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Generalised Obesity</w:t>
      </w:r>
    </w:p>
    <w:p>
      <w:pPr>
        <w:spacing w:before="0" w:after="160"/>
      </w:pPr>
      <w:r>
        <w:rPr>
          <w:rFonts w:ascii="Calibri" w:hAnsi="Calibri"/>
          <w:b/>
          <w:i w:val="0"/>
          <w:color w:val="212121"/>
          <w:sz w:val="22"/>
        </w:rPr>
        <w:t xml:space="preserve">AKA </w:t>
      </w:r>
      <w:r>
        <w:rPr>
          <w:rFonts w:ascii="Calibri" w:hAnsi="Calibri"/>
          <w:b w:val="0"/>
          <w:i w:val="0"/>
          <w:color w:val="212121"/>
          <w:sz w:val="22"/>
        </w:rPr>
        <w:t>i.e., Generalised (whole-body) obesity, Adiposity, Overweight/obesity, Corpulence; distinct from abdominal (central) obesity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Obesity is a chronic, relapsing, multifactorial disease characterised by abnormal or excessive accumulation of body fat (adiposity) that impairs health. Generalised obesity denotes a whole-body excess of adipose tissue, most often assessed by body mass index (BMI, weight in kg divided by height in metres squared). In Asian Indians it is defined at a lower BMI threshold - overweight at a BMI of 23 and obesity at a BMI of 25 kg/m2 - rather than the WHO cut-off of 30, because Indians carry more total body fat and visceral fat, and face higher cardiometabolic risk, at any given BMI (the so-called thin-fat phenotype). It is the single most important modifiable driver of type 2 diabetes, cardiovascular disease, obstructive sleep apnoea and fatty liver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the ICMR-INDIAB national study (2023), 28.6% of Indian adults had generalised obesity (BMI at least 25 kg/m2 by Asian-Indian criteria) and 39.5% had abdominal obesity, alongside 11.4% with diabetes and 35.5% with hypertension. Obesity is markedly commoner in urban than rural areas and shows a reverse socio-economic gradient in India, being highest among wealthier and more educated groups; among women it has roughly tripled over two decades (from about 5% in 1998-99 to 15.7% by NFHS-5), and 40% of women are abdominally obese versus 12% of men. Because Asian Indians accumulate excess fat at a normal BMI, an additional large share are metabolically obese despite a normal weight, so BMI-based figures substantially under-count the true adiposity burden.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Obesity is diagnosed clinically using anthropometry and body-fat assessment; Asian-Indian (lower) cut-offs are used for Indians because of their higher adiposity and cardiometabolic risk at a given BMI: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Body Mass Index (Asian-Indian): normal 18.0-22.9 kg/m2; overweight 23.0-24.9 kg/m2; obesity at BMI &gt;= 25 kg/m2 (WHO international cut-offs classify overweight as 25.0-29.9 and obesity as &gt;= 30 kg/m2).</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Abdominal (central) obesity by waist circumference (Indian cut-offs): &gt;= 90 cm in men and &gt;= 80 cm in women.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Waist-to-height ratio &gt; 0.5 indicates central adiposity and is a simple, height-adjusted marker.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Excess body-fat percentage: broadly &gt; 25% in men and &gt; 35% in women (revised Indian thresholds of &gt; 25.5% in men and &gt; 38% in women have been proposed), which detects normal-weight obesity missed by BMI.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Two-stage Asian-Indian clinical staging (2024): Stage 1 obesity is increased adiposity (BMI &gt; 23) without organ dysfunction or functional limitation; Stage 2 obesity is increased adiposity with excess waist circumference or waist-to-height ratio plus obesity-related symptoms, functional limitation or comorbidity.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BMI alone is an imperfect measure of adiposity in Indians; it should be combined with waist circumference or waist-to-height ratio to avoid missing the thin-fat / normal-weight-obese phenotype.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Generalised obesity can be classified by degree (BMI grade), by fat distribution, by underlying cause, and by metabolic phenotype:</w:t>
      </w:r>
    </w:p>
    <w:p>
      <w:pPr>
        <w:spacing w:before="0" w:after="80"/>
      </w:pPr>
      <w:r>
        <w:rPr>
          <w:rFonts w:ascii="Calibri" w:hAnsi="Calibri"/>
          <w:b w:val="0"/>
          <w:i w:val="0"/>
          <w:color w:val="212121"/>
          <w:sz w:val="21"/>
        </w:rPr>
        <w:t>(1) By BMI grade (Asian-Indian cut-offs): normal 18.0-22.9; overweight/Grade I 23.0-24.9; obesity Grade II 25.0-27.5; Grade III 27.6-32.4; Grade IV (severe) &gt;= 32.5 kg/m2. The WHO international scheme instead grades obesity as Class I 30.0-34.9, Class II 35.0-39.9 and Class III (severe/morbid) &gt;= 40 kg/m2.</w:t>
      </w:r>
    </w:p>
    <w:p>
      <w:pPr>
        <w:spacing w:before="0" w:after="80"/>
      </w:pPr>
      <w:r>
        <w:rPr>
          <w:rFonts w:ascii="Calibri" w:hAnsi="Calibri"/>
          <w:b w:val="0"/>
          <w:i w:val="0"/>
          <w:color w:val="212121"/>
          <w:sz w:val="21"/>
        </w:rPr>
        <w:t>(2) By fat distribution: generalised (whole-body, BMI-based) obesity versus central/abdominal (android, apple-shaped, visceral) obesity versus gynoid (pear-shaped, hip/thigh) obesity; visceral fat is the most metabolically harmful and predominates in Asian Indians.</w:t>
      </w:r>
    </w:p>
    <w:p>
      <w:pPr>
        <w:spacing w:before="0" w:after="80"/>
      </w:pPr>
      <w:r>
        <w:rPr>
          <w:rFonts w:ascii="Calibri" w:hAnsi="Calibri"/>
          <w:b w:val="0"/>
          <w:i w:val="0"/>
          <w:color w:val="212121"/>
          <w:sz w:val="21"/>
        </w:rPr>
        <w:t>(3) By cause: primary (exogenous) obesity from chronic positive energy balance and polygenic susceptibility, versus secondary obesity - endocrine (hypothyroidism, Cushing syndrome, PCOS, hypothalamic damage), monogenic/syndromic (MC4R and leptin-pathway mutations, Prader-Willi syndrome), and iatrogenic/drug-induced (glucocorticoids, some antipsychotics and antidepressants, insulin and sulfonylureas, certain antiepileptics).</w:t>
      </w:r>
    </w:p>
    <w:p>
      <w:pPr>
        <w:spacing w:before="0" w:after="80"/>
      </w:pPr>
      <w:r>
        <w:rPr>
          <w:rFonts w:ascii="Calibri" w:hAnsi="Calibri"/>
          <w:b w:val="0"/>
          <w:i w:val="0"/>
          <w:color w:val="212121"/>
          <w:sz w:val="21"/>
        </w:rPr>
        <w:t>(4) By metabolic phenotype: metabolically healthy obese (MHO, a minority and often transient) versus metabolically unhealthy obese; and normal-weight obesity / metabolically-obese-normal-weight (the thin-fat pattern) - excess body fat and cardiometabolic risk despite a BMI below 25, which is very common in Indians and frequently missed by BMI screening.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Chronic positive energy balance: Sustained energy intake in excess of expenditure is the proximate cause; surplus calories are stored as adipose tissue, and in Indians preferentially as visceral and ectopic (liver, pancreas) fat.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Poor diet quality: Energy-dense, high-glycaemic and highly refined foods (white rice, maida/bakery items, deep-fried snacks, sweets), sugar-sweetened beverages and ultra-processed foods promote fat gain and are increasingly common with India's nutrition transition.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Physical inactivity and sedentary behaviour: Low occupational and leisure-time activity plus prolonged sitting and screen time reduce energy expenditure and worsen body composition; over half of Indian adults are physically inactive.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and developmental factors: Polygenic susceptibility (e.g., FTO, MC4R variants), a thrifty genotype, and adverse fetal/early-life programming underlie the thin-fat phenotype of higher body fat and lower muscle mass at a given BMI.</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Secondary and drug-induced causes: Hypothyroidism, Cushing syndrome, PCOS and hypothalamic disorders, and medications such as glucocorticoids, some antipsychotics/antidepressants, insulin and sulfonylureas can cause or aggravate weight gain.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Sleep deprivation, circadian disruption and psychological stress: Short or poor-quality sleep and chronic stress raise appetite (higher ghrelin, lower leptin, higher cortisol) and promote energy-dense eating and inactivity.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Obesogenic environment: Rapid urbanisation, motorised transport, mechanised work, marketing of cheap calorie-dense food and rising affluence create an environment that favours weight gain, with a reverse socio-economic gradient in India.</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Cumulative dietary excess, declining physical activity and a fall in resting metabolic rate promote steady fat accumulation through adult life. In Indians, excess weight translates disproportionately into visceral fat, so cardiometabolic risk rises even with modest BMI increases.</w:t>
            </w:r>
          </w:p>
          <w:p>
            <w:pPr>
              <w:spacing w:after="40" w:before="60" w:line="259" w:lineRule="auto"/>
            </w:pPr>
            <w:r>
              <w:rPr>
                <w:rFonts w:ascii="Calibri" w:hAnsi="Calibri"/>
                <w:b w:val="0"/>
                <w:i w:val="0"/>
                <w:color w:val="212121"/>
                <w:sz w:val="19"/>
              </w:rPr>
              <w:t>The ICMR-INDIAB national study found generalised obesity (BMI &gt;= 25) in 28.6% of Indian adults and abdominal obesity in 39.5%.</w:t>
            </w:r>
          </w:p>
          <w:p>
            <w:pPr>
              <w:spacing w:after="40" w:line="252" w:lineRule="auto"/>
            </w:pPr>
            <w:hyperlink r:id="rId9">
              <w:r>
                <w:rPr>
                  <w:rFonts w:ascii="Calibri" w:hAnsi="Calibri" w:cs="Calibri"/>
                  <w:sz w:val="18"/>
                  <w:color w:val="1155CC"/>
                  <w:u w:val="single"/>
                </w:rPr>
                <w:t xml:space="preserve">nmji.in - lessons from ICMR-INDIAB (national prevalence)</w:t>
              </w:r>
            </w:hyperlink>
          </w:p>
          <w:p>
            <w:pPr>
              <w:spacing w:before="60" w:after="40"/>
            </w:pPr>
            <w:r>
              <w:rPr>
                <w:rFonts w:ascii="Calibri" w:hAnsi="Calibri"/>
                <w:b w:val="0"/>
                <w:i w:val="0"/>
                <w:color w:val="5A5A5A"/>
                <w:sz w:val="18"/>
              </w:rPr>
              <w:t>#obesity  #adiposity  #visceralfat  #asianBMI  #lifestyle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Middle-aged and elderly (35-49 and older)</w:t>
            </w:r>
          </w:p>
        </w:tc>
        <w:tc>
          <w:tcPr>
            <w:tcW w:type="dxa" w:w="4276"/>
            <w:vAlign w:val="top"/>
          </w:tcPr>
          <w:p>
            <w:pPr>
              <w:spacing w:after="60" w:line="259" w:lineRule="auto"/>
            </w:pPr>
            <w:r>
              <w:rPr>
                <w:rFonts w:ascii="Calibri" w:hAnsi="Calibri"/>
                <w:b w:val="0"/>
                <w:i w:val="0"/>
                <w:color w:val="212121"/>
                <w:sz w:val="19"/>
              </w:rPr>
              <w:t>Weight and central adiposity typically peak in middle age as muscle mass falls (sarcopenic obesity) and activity declines; longer exposure to excess fat compounds diabetes, hypertension and osteoarthritis risk.</w:t>
            </w:r>
          </w:p>
          <w:p>
            <w:pPr>
              <w:spacing w:after="40" w:before="60" w:line="259" w:lineRule="auto"/>
            </w:pPr>
            <w:r>
              <w:rPr>
                <w:rFonts w:ascii="Calibri" w:hAnsi="Calibri"/>
                <w:b w:val="0"/>
                <w:i w:val="0"/>
                <w:color w:val="212121"/>
                <w:sz w:val="19"/>
              </w:rPr>
              <w:t>In NFHS survey analyses the odds of obesity in women were highest at ages 35-49 (about 3.8 times that of the youngest adults).</w:t>
            </w:r>
          </w:p>
          <w:p>
            <w:pPr>
              <w:spacing w:after="40" w:line="252" w:lineRule="auto"/>
            </w:pPr>
            <w:hyperlink r:id="rId10">
              <w:r>
                <w:rPr>
                  <w:rFonts w:ascii="Calibri" w:hAnsi="Calibri" w:cs="Calibri"/>
                  <w:sz w:val="18"/>
                  <w:color w:val="1155CC"/>
                  <w:u w:val="single"/>
                </w:rPr>
                <w:t xml:space="preserve">link.springer.com - NFHS obesity trends and determinants</w:t>
              </w:r>
            </w:hyperlink>
          </w:p>
          <w:p>
            <w:pPr>
              <w:spacing w:before="60" w:after="40"/>
            </w:pPr>
            <w:r>
              <w:rPr>
                <w:rFonts w:ascii="Calibri" w:hAnsi="Calibri"/>
                <w:b w:val="0"/>
                <w:i w:val="0"/>
                <w:color w:val="5A5A5A"/>
                <w:sz w:val="18"/>
              </w:rPr>
              <w:t>#middleage  #sarcopenicobesity  #metabolicrisk  #ageing</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in India have higher rates of generalised and abdominal obesity than men, reflecting gynoid fat deposition, repeated pregnancies, hormonal shifts (notably after menopause) and often lower leisure-time activity.</w:t>
            </w:r>
          </w:p>
          <w:p>
            <w:pPr>
              <w:spacing w:after="40" w:before="60" w:line="259" w:lineRule="auto"/>
            </w:pPr>
            <w:r>
              <w:rPr>
                <w:rFonts w:ascii="Calibri" w:hAnsi="Calibri"/>
                <w:b w:val="0"/>
                <w:i w:val="0"/>
                <w:color w:val="212121"/>
                <w:sz w:val="19"/>
              </w:rPr>
              <w:t>On NFHS-5 data, about 40% of Indian women had abdominal obesity versus about 12% of men, with 5-6 of every 10 women aged 30-49 abdominally obese.</w:t>
            </w:r>
          </w:p>
          <w:p>
            <w:pPr>
              <w:spacing w:after="40" w:line="252" w:lineRule="auto"/>
            </w:pPr>
            <w:hyperlink r:id="rId11">
              <w:r>
                <w:rPr>
                  <w:rFonts w:ascii="Calibri" w:hAnsi="Calibri" w:cs="Calibri"/>
                  <w:sz w:val="18"/>
                  <w:color w:val="1155CC"/>
                  <w:u w:val="single"/>
                </w:rPr>
                <w:t xml:space="preserve">pmc.ncbi.nlm.nih.gov - NFHS-5 abdominal obesity in India</w:t>
              </w:r>
            </w:hyperlink>
          </w:p>
          <w:p>
            <w:pPr>
              <w:spacing w:before="60" w:after="40"/>
            </w:pPr>
            <w:r>
              <w:rPr>
                <w:rFonts w:ascii="Calibri" w:hAnsi="Calibri"/>
                <w:b w:val="0"/>
                <w:i w:val="0"/>
                <w:color w:val="5A5A5A"/>
                <w:sz w:val="18"/>
              </w:rPr>
              <w:t>#womenshealth  #abdominalobesity  #gynoidfat  #menopause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accumulate proportionally more visceral (android) fat for a given BMI, which is the most metabolically harmful depot; abdominal obesity in men therefore carries high diabetes and cardiovascular risk even when generalised obesity looks modest.</w:t>
            </w:r>
          </w:p>
          <w:p>
            <w:pPr>
              <w:spacing w:after="40" w:before="60" w:line="259" w:lineRule="auto"/>
            </w:pPr>
            <w:r>
              <w:rPr>
                <w:rFonts w:ascii="Calibri" w:hAnsi="Calibri"/>
                <w:b w:val="0"/>
                <w:i w:val="0"/>
                <w:color w:val="212121"/>
                <w:sz w:val="19"/>
              </w:rPr>
              <w:t>About 12% of Indian men have abdominal obesity by NFHS-5, but men deposit visceral fat readily, driving metabolic risk at lower BMI.</w:t>
            </w:r>
          </w:p>
          <w:p>
            <w:pPr>
              <w:spacing w:after="40" w:line="252" w:lineRule="auto"/>
            </w:pPr>
            <w:hyperlink r:id="rId11">
              <w:r>
                <w:rPr>
                  <w:rFonts w:ascii="Calibri" w:hAnsi="Calibri" w:cs="Calibri"/>
                  <w:sz w:val="18"/>
                  <w:color w:val="1155CC"/>
                  <w:u w:val="single"/>
                </w:rPr>
                <w:t xml:space="preserve">pmc.ncbi.nlm.nih.gov - NFHS-5 abdominal obesity in India</w:t>
              </w:r>
            </w:hyperlink>
          </w:p>
          <w:p>
            <w:pPr>
              <w:spacing w:before="60" w:after="40"/>
            </w:pPr>
            <w:r>
              <w:rPr>
                <w:rFonts w:ascii="Calibri" w:hAnsi="Calibri"/>
                <w:b w:val="0"/>
                <w:i w:val="0"/>
                <w:color w:val="5A5A5A"/>
                <w:sz w:val="18"/>
              </w:rPr>
              <w:t>#malerisk  #visceralfat  #androidobesity  #metabolicrisk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Affluent, educated and urban middle/upper class</w:t>
            </w:r>
          </w:p>
        </w:tc>
        <w:tc>
          <w:tcPr>
            <w:tcW w:type="dxa" w:w="4276"/>
            <w:vAlign w:val="top"/>
          </w:tcPr>
          <w:p>
            <w:pPr>
              <w:spacing w:after="60" w:line="259" w:lineRule="auto"/>
            </w:pPr>
            <w:r>
              <w:rPr>
                <w:rFonts w:ascii="Calibri" w:hAnsi="Calibri"/>
                <w:b w:val="0"/>
                <w:i w:val="0"/>
                <w:color w:val="212121"/>
                <w:sz w:val="19"/>
              </w:rPr>
              <w:t>Unlike high-income countries, obesity in India shows a reverse socio-economic gradient: higher income buys energy-dense restaurant and packaged food, motorised transport and sedentary white-collar work, so the wealthy and more educated are most affected (though the burden is now spreading to poorer groups).</w:t>
            </w:r>
          </w:p>
          <w:p>
            <w:pPr>
              <w:spacing w:after="40" w:before="60" w:line="259" w:lineRule="auto"/>
            </w:pPr>
            <w:r>
              <w:rPr>
                <w:rFonts w:ascii="Calibri" w:hAnsi="Calibri"/>
                <w:b w:val="0"/>
                <w:i w:val="0"/>
                <w:color w:val="212121"/>
                <w:sz w:val="19"/>
              </w:rPr>
              <w:t>Among Indian women, obesity rose from about 4.9% in the poorest wealth quintile to 28.2% in the richest; higher education (about 21%) carried more than double the burden of no education (about 11%).</w:t>
            </w:r>
          </w:p>
          <w:p>
            <w:pPr>
              <w:spacing w:after="40" w:line="252" w:lineRule="auto"/>
            </w:pPr>
            <w:hyperlink r:id="rId10">
              <w:r>
                <w:rPr>
                  <w:rFonts w:ascii="Calibri" w:hAnsi="Calibri" w:cs="Calibri"/>
                  <w:sz w:val="18"/>
                  <w:color w:val="1155CC"/>
                  <w:u w:val="single"/>
                </w:rPr>
                <w:t xml:space="preserve">link.springer.com - NFHS obesity by wealth and education</w:t>
              </w:r>
            </w:hyperlink>
          </w:p>
          <w:p>
            <w:pPr>
              <w:spacing w:before="60" w:after="40"/>
            </w:pPr>
            <w:r>
              <w:rPr>
                <w:rFonts w:ascii="Calibri" w:hAnsi="Calibri"/>
                <w:b w:val="0"/>
                <w:i w:val="0"/>
                <w:color w:val="5A5A5A"/>
                <w:sz w:val="18"/>
              </w:rPr>
              <w:t>#reversegradient  #affluence  #urbanisation  #processedfood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Asian-Indian phenotype; urban and southern/northern metros</w:t>
            </w:r>
          </w:p>
        </w:tc>
        <w:tc>
          <w:tcPr>
            <w:tcW w:type="dxa" w:w="4276"/>
            <w:vAlign w:val="top"/>
          </w:tcPr>
          <w:p>
            <w:pPr>
              <w:spacing w:after="60" w:line="259" w:lineRule="auto"/>
            </w:pPr>
            <w:r>
              <w:rPr>
                <w:rFonts w:ascii="Calibri" w:hAnsi="Calibri"/>
                <w:b w:val="0"/>
                <w:i w:val="0"/>
                <w:color w:val="212121"/>
                <w:sz w:val="19"/>
              </w:rPr>
              <w:t>The Asian-Indian body composition (more fat, less muscle at a given BMI) predisposes the whole population to obesity-related disease at lower weights, and prevalence varies widely by state and is consistently higher in richer, more urbanised regions.</w:t>
            </w:r>
          </w:p>
          <w:p>
            <w:pPr>
              <w:spacing w:after="40" w:before="60" w:line="259" w:lineRule="auto"/>
            </w:pPr>
            <w:r>
              <w:rPr>
                <w:rFonts w:ascii="Calibri" w:hAnsi="Calibri"/>
                <w:b w:val="0"/>
                <w:i w:val="0"/>
                <w:color w:val="212121"/>
                <w:sz w:val="19"/>
              </w:rPr>
              <w:t>In ICMR-INDIAB, generalised obesity ranged from about 11.8% in Jharkhand to 24.6% in Tamil Nadu and 31.3% in Chandigarh, with urban rates exceeding rural across regions.</w:t>
            </w:r>
          </w:p>
          <w:p>
            <w:pPr>
              <w:spacing w:after="40" w:line="252" w:lineRule="auto"/>
            </w:pPr>
            <w:hyperlink r:id="rId12">
              <w:r>
                <w:rPr>
                  <w:rFonts w:ascii="Calibri" w:hAnsi="Calibri" w:cs="Calibri"/>
                  <w:sz w:val="18"/>
                  <w:color w:val="1155CC"/>
                  <w:u w:val="single"/>
                </w:rPr>
                <w:t xml:space="preserve">nams-annals.in - obesity and lifestyle diseases in India (regional data)</w:t>
              </w:r>
            </w:hyperlink>
          </w:p>
          <w:p>
            <w:pPr>
              <w:spacing w:before="60" w:after="40"/>
            </w:pPr>
            <w:r>
              <w:rPr>
                <w:rFonts w:ascii="Calibri" w:hAnsi="Calibri"/>
                <w:b w:val="0"/>
                <w:i w:val="0"/>
                <w:color w:val="5A5A5A"/>
                <w:sz w:val="18"/>
              </w:rPr>
              <w:t>#regionalvariation  #Chandigarh  #TamilNadu  #thinfat  #asianphenotype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Urban residents</w:t>
            </w:r>
          </w:p>
        </w:tc>
        <w:tc>
          <w:tcPr>
            <w:tcW w:type="dxa" w:w="4276"/>
            <w:vAlign w:val="top"/>
          </w:tcPr>
          <w:p>
            <w:pPr>
              <w:spacing w:after="60" w:line="259" w:lineRule="auto"/>
            </w:pPr>
            <w:r>
              <w:rPr>
                <w:rFonts w:ascii="Calibri" w:hAnsi="Calibri"/>
                <w:b w:val="0"/>
                <w:i w:val="0"/>
                <w:color w:val="212121"/>
                <w:sz w:val="19"/>
              </w:rPr>
              <w:t>Urban living concentrates the obesogenic environment - calorie-dense affordable food, sedentary jobs, motorised commuting and less physical labour - so city-dwellers carry a substantially higher obesity burden than rural residents.</w:t>
            </w:r>
          </w:p>
          <w:p>
            <w:pPr>
              <w:spacing w:after="40" w:before="60" w:line="259" w:lineRule="auto"/>
            </w:pPr>
            <w:r>
              <w:rPr>
                <w:rFonts w:ascii="Calibri" w:hAnsi="Calibri"/>
                <w:b w:val="0"/>
                <w:i w:val="0"/>
                <w:color w:val="212121"/>
                <w:sz w:val="19"/>
              </w:rPr>
              <w:t>Obesity among Indian women was about 23.8% in urban versus 12% in rural areas; NFHS-3 showed a similar urban-rural gap in men (about 15.9% vs 5.6%).</w:t>
            </w:r>
          </w:p>
          <w:p>
            <w:pPr>
              <w:spacing w:after="40" w:line="252" w:lineRule="auto"/>
            </w:pPr>
            <w:hyperlink r:id="rId10">
              <w:r>
                <w:rPr>
                  <w:rFonts w:ascii="Calibri" w:hAnsi="Calibri" w:cs="Calibri"/>
                  <w:sz w:val="18"/>
                  <w:color w:val="1155CC"/>
                  <w:u w:val="single"/>
                </w:rPr>
                <w:t xml:space="preserve">link.springer.com - urban-rural obesity in India</w:t>
              </w:r>
            </w:hyperlink>
          </w:p>
          <w:p>
            <w:pPr>
              <w:spacing w:before="60" w:after="40"/>
            </w:pPr>
            <w:r>
              <w:rPr>
                <w:rFonts w:ascii="Calibri" w:hAnsi="Calibri"/>
                <w:b w:val="0"/>
                <w:i w:val="0"/>
                <w:color w:val="5A5A5A"/>
                <w:sz w:val="18"/>
              </w:rPr>
              <w:t>#urbanisation  #obesogenicenvironment  #sedentaryjobs  #nutritiontransition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Office/IT workers, homemakers, drivers, students</w:t>
            </w:r>
          </w:p>
        </w:tc>
        <w:tc>
          <w:tcPr>
            <w:tcW w:type="dxa" w:w="4276"/>
            <w:vAlign w:val="top"/>
          </w:tcPr>
          <w:p>
            <w:pPr>
              <w:spacing w:after="60" w:line="259" w:lineRule="auto"/>
            </w:pPr>
            <w:r>
              <w:rPr>
                <w:rFonts w:ascii="Calibri" w:hAnsi="Calibri"/>
                <w:b w:val="0"/>
                <w:i w:val="0"/>
                <w:color w:val="212121"/>
                <w:sz w:val="19"/>
              </w:rPr>
              <w:t>Low physical activity and prolonged sitting reduce total energy expenditure and skeletal-muscle glucose and fat uptake, promoting positive energy balance and central fat gain. Inactive Indians have measurably higher BMI, waist circumference and blood pressure.</w:t>
            </w:r>
          </w:p>
          <w:p>
            <w:pPr>
              <w:spacing w:after="40" w:before="60" w:line="259" w:lineRule="auto"/>
            </w:pPr>
            <w:r>
              <w:rPr>
                <w:rFonts w:ascii="Calibri" w:hAnsi="Calibri"/>
                <w:b w:val="0"/>
                <w:i w:val="0"/>
                <w:color w:val="212121"/>
                <w:sz w:val="19"/>
              </w:rPr>
              <w:t>In ICMR-INDIAB, 54.4% of Indians were physically inactive (about 392 million), higher in urban (65%) than rural (50%) areas, and 91.9% did no recreational activity; inactive people had significantly higher BMI and waist circumference.</w:t>
            </w:r>
          </w:p>
          <w:p>
            <w:pPr>
              <w:spacing w:after="40" w:line="252" w:lineRule="auto"/>
            </w:pPr>
            <w:hyperlink r:id="rId13">
              <w:r>
                <w:rPr>
                  <w:rFonts w:ascii="Calibri" w:hAnsi="Calibri" w:cs="Calibri"/>
                  <w:sz w:val="18"/>
                  <w:color w:val="1155CC"/>
                  <w:u w:val="single"/>
                </w:rPr>
                <w:t xml:space="preserve">link.springer.com - ICMR-INDIAB physical activity patterns</w:t>
              </w:r>
            </w:hyperlink>
          </w:p>
          <w:p>
            <w:pPr>
              <w:spacing w:before="60" w:after="40"/>
            </w:pPr>
            <w:r>
              <w:rPr>
                <w:rFonts w:ascii="Calibri" w:hAnsi="Calibri"/>
                <w:b w:val="0"/>
                <w:i w:val="0"/>
                <w:color w:val="5A5A5A"/>
                <w:sz w:val="18"/>
              </w:rPr>
              <w:t>#sedentary  #inactivity  #screentime  #deskjob  #lowNEAT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w:t>
            </w:r>
          </w:p>
        </w:tc>
        <w:tc>
          <w:tcPr>
            <w:tcW w:type="dxa" w:w="2160"/>
            <w:vAlign w:val="top"/>
          </w:tcPr>
          <w:p>
            <w:pPr>
              <w:spacing w:after="40" w:before="0" w:line="259" w:lineRule="auto"/>
            </w:pPr>
            <w:r>
              <w:rPr>
                <w:rFonts w:ascii="Calibri" w:hAnsi="Calibri"/>
                <w:b w:val="0"/>
                <w:i w:val="0"/>
                <w:color w:val="212121"/>
                <w:sz w:val="19"/>
              </w:rPr>
              <w:t>Short sleepers, shift workers, chronic screen users</w:t>
            </w:r>
          </w:p>
        </w:tc>
        <w:tc>
          <w:tcPr>
            <w:tcW w:type="dxa" w:w="4276"/>
            <w:vAlign w:val="top"/>
          </w:tcPr>
          <w:p>
            <w:pPr>
              <w:spacing w:after="60" w:line="259" w:lineRule="auto"/>
            </w:pPr>
            <w:r>
              <w:rPr>
                <w:rFonts w:ascii="Calibri" w:hAnsi="Calibri"/>
                <w:b w:val="0"/>
                <w:i w:val="0"/>
                <w:color w:val="212121"/>
                <w:sz w:val="19"/>
              </w:rPr>
              <w:t>Short and poor-quality sleep dysregulate appetite hormones (raising ghrelin and lowering leptin), increase cortisol, and lengthen eating opportunities, driving higher energy intake and weight gain; circadian disruption in shift work compounds the effect.</w:t>
            </w:r>
          </w:p>
          <w:p>
            <w:pPr>
              <w:spacing w:after="40" w:before="60" w:line="259" w:lineRule="auto"/>
            </w:pPr>
            <w:r>
              <w:rPr>
                <w:rFonts w:ascii="Calibri" w:hAnsi="Calibri"/>
                <w:b w:val="0"/>
                <w:i w:val="0"/>
                <w:color w:val="212121"/>
                <w:sz w:val="19"/>
              </w:rPr>
              <w:t>A meta-analysis found short sleep duration associated with about 55% higher odds of obesity in adults (and about 89% higher in children).</w:t>
            </w:r>
          </w:p>
          <w:p>
            <w:pPr>
              <w:spacing w:after="40" w:line="252" w:lineRule="auto"/>
            </w:pPr>
            <w:hyperlink r:id="rId14">
              <w:r>
                <w:rPr>
                  <w:rFonts w:ascii="Calibri" w:hAnsi="Calibri" w:cs="Calibri"/>
                  <w:sz w:val="18"/>
                  <w:color w:val="1155CC"/>
                  <w:u w:val="single"/>
                </w:rPr>
                <w:t xml:space="preserve">pmc.ncbi.nlm.nih.gov - short sleep and obesity meta-analysis</w:t>
              </w:r>
            </w:hyperlink>
          </w:p>
          <w:p>
            <w:pPr>
              <w:spacing w:before="60" w:after="40"/>
            </w:pPr>
            <w:r>
              <w:rPr>
                <w:rFonts w:ascii="Calibri" w:hAnsi="Calibri"/>
                <w:b w:val="0"/>
                <w:i w:val="0"/>
                <w:color w:val="5A5A5A"/>
                <w:sz w:val="18"/>
              </w:rPr>
              <w:t>#sleep  #ghrelin  #leptin  #circadian  #shiftwork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bidi and smokeless-tobacco users</w:t>
            </w:r>
          </w:p>
        </w:tc>
        <w:tc>
          <w:tcPr>
            <w:tcW w:type="dxa" w:w="4276"/>
            <w:vAlign w:val="top"/>
          </w:tcPr>
          <w:p>
            <w:pPr>
              <w:spacing w:after="60" w:line="259" w:lineRule="auto"/>
            </w:pPr>
            <w:r>
              <w:rPr>
                <w:rFonts w:ascii="Calibri" w:hAnsi="Calibri"/>
                <w:b w:val="0"/>
                <w:i w:val="0"/>
                <w:color w:val="212121"/>
                <w:sz w:val="19"/>
              </w:rPr>
              <w:t>Although nicotine transiently suppresses appetite and can lower total body weight, smoking promotes central/visceral fat redistribution and insulin resistance; stopping smoking commonly causes short-term weight gain, which is best managed with diet and activity rather than continued tobacco use.</w:t>
            </w:r>
          </w:p>
          <w:p>
            <w:pPr>
              <w:spacing w:after="40" w:before="60" w:line="259" w:lineRule="auto"/>
            </w:pPr>
            <w:r>
              <w:rPr>
                <w:rFonts w:ascii="Calibri" w:hAnsi="Calibri"/>
                <w:b w:val="0"/>
                <w:i w:val="0"/>
                <w:color w:val="212121"/>
                <w:sz w:val="19"/>
              </w:rPr>
              <w:t>Smoking is linked to a more central pattern of fat distribution and insulin resistance despite lower average body weight; cessation-related weight gain is usually modest and outweighed by the benefits of quitting.</w:t>
            </w:r>
          </w:p>
          <w:p>
            <w:pPr>
              <w:spacing w:before="60" w:after="40"/>
            </w:pPr>
            <w:r>
              <w:rPr>
                <w:rFonts w:ascii="Calibri" w:hAnsi="Calibri"/>
                <w:b w:val="0"/>
                <w:i w:val="0"/>
                <w:color w:val="5A5A5A"/>
                <w:sz w:val="18"/>
              </w:rPr>
              <w:t>#smoking  #centralfat  #insulinresistance  #cessationweight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and heavy drinkers</w:t>
            </w:r>
          </w:p>
        </w:tc>
        <w:tc>
          <w:tcPr>
            <w:tcW w:type="dxa" w:w="4276"/>
            <w:vAlign w:val="top"/>
          </w:tcPr>
          <w:p>
            <w:pPr>
              <w:spacing w:after="60" w:line="259" w:lineRule="auto"/>
            </w:pPr>
            <w:r>
              <w:rPr>
                <w:rFonts w:ascii="Calibri" w:hAnsi="Calibri"/>
                <w:b w:val="0"/>
                <w:i w:val="0"/>
                <w:color w:val="212121"/>
                <w:sz w:val="19"/>
              </w:rPr>
              <w:t>Alcohol adds roughly 7 kcal per gram of readily stored energy, stimulates appetite, and promotes central (truncal) fat deposition and hepatic fat; regular or heavy intake is associated with abdominal obesity and fatty liver.</w:t>
            </w:r>
          </w:p>
          <w:p>
            <w:pPr>
              <w:spacing w:after="40" w:before="60" w:line="259" w:lineRule="auto"/>
            </w:pPr>
            <w:r>
              <w:rPr>
                <w:rFonts w:ascii="Calibri" w:hAnsi="Calibri"/>
                <w:b w:val="0"/>
                <w:i w:val="0"/>
                <w:color w:val="212121"/>
                <w:sz w:val="19"/>
              </w:rPr>
              <w:t>Alcohol contributes substantial empty calories and is associated with increased abdominal obesity and hepatic steatosis, particularly with heavy or frequent drinking.</w:t>
            </w:r>
          </w:p>
          <w:p>
            <w:pPr>
              <w:spacing w:before="60" w:after="40"/>
            </w:pPr>
            <w:r>
              <w:rPr>
                <w:rFonts w:ascii="Calibri" w:hAnsi="Calibri"/>
                <w:b w:val="0"/>
                <w:i w:val="0"/>
                <w:color w:val="5A5A5A"/>
                <w:sz w:val="18"/>
              </w:rPr>
              <w:t>#alcohol  #emptycalories  #truncalfat  #fattyliver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refined-carbohydrate, fried, sugary and ultra-processed diets</w:t>
            </w:r>
          </w:p>
        </w:tc>
        <w:tc>
          <w:tcPr>
            <w:tcW w:type="dxa" w:w="4276"/>
            <w:vAlign w:val="top"/>
          </w:tcPr>
          <w:p>
            <w:pPr>
              <w:spacing w:after="60" w:line="259" w:lineRule="auto"/>
            </w:pPr>
            <w:r>
              <w:rPr>
                <w:rFonts w:ascii="Calibri" w:hAnsi="Calibri"/>
                <w:b w:val="0"/>
                <w:i w:val="0"/>
                <w:color w:val="212121"/>
                <w:sz w:val="19"/>
              </w:rPr>
              <w:t>Diets dominated by refined grains (white rice, maida), deep-fried snacks, sweets, sugar-sweetened beverages and packaged ultra-processed foods deliver large, rapidly absorbed calorie loads with low satiety, driving fat gain; India's shift towards such foods underlies rising obesity.</w:t>
            </w:r>
          </w:p>
          <w:p>
            <w:pPr>
              <w:spacing w:after="40" w:before="60" w:line="259" w:lineRule="auto"/>
            </w:pPr>
            <w:r>
              <w:rPr>
                <w:rFonts w:ascii="Calibri" w:hAnsi="Calibri"/>
                <w:b w:val="0"/>
                <w:i w:val="0"/>
                <w:color w:val="212121"/>
                <w:sz w:val="19"/>
              </w:rPr>
              <w:t>WHO attributes the global rise in obesity chiefly to increased intake of energy-dense, high-fat and high-sugar foods combined with declining physical activity.</w:t>
            </w:r>
          </w:p>
          <w:p>
            <w:pPr>
              <w:spacing w:after="40" w:line="252" w:lineRule="auto"/>
            </w:pPr>
            <w:hyperlink r:id="rId15">
              <w:r>
                <w:rPr>
                  <w:rFonts w:ascii="Calibri" w:hAnsi="Calibri" w:cs="Calibri"/>
                  <w:sz w:val="18"/>
                  <w:color w:val="1155CC"/>
                  <w:u w:val="single"/>
                </w:rPr>
                <w:t xml:space="preserve">who.int - obesity and overweight fact sheet</w:t>
              </w:r>
            </w:hyperlink>
          </w:p>
          <w:p>
            <w:pPr>
              <w:spacing w:before="60" w:after="40"/>
            </w:pPr>
            <w:r>
              <w:rPr>
                <w:rFonts w:ascii="Calibri" w:hAnsi="Calibri"/>
                <w:b w:val="0"/>
                <w:i w:val="0"/>
                <w:color w:val="5A5A5A"/>
                <w:sz w:val="18"/>
              </w:rPr>
              <w:t>#refinedcarbs  #friedfood  #sugarsweetenedbeverages  #ultraprocessed  #highGI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(Asian-Indian BMI 23-24.9)</w:t>
            </w:r>
          </w:p>
        </w:tc>
        <w:tc>
          <w:tcPr>
            <w:tcW w:type="dxa" w:w="4276"/>
            <w:vAlign w:val="top"/>
          </w:tcPr>
          <w:p>
            <w:pPr>
              <w:spacing w:after="60" w:line="259" w:lineRule="auto"/>
            </w:pPr>
            <w:r>
              <w:rPr>
                <w:rFonts w:ascii="Calibri" w:hAnsi="Calibri"/>
                <w:b w:val="0"/>
                <w:i w:val="0"/>
                <w:color w:val="212121"/>
                <w:sz w:val="19"/>
              </w:rPr>
              <w:t>In Indians, overweight begins at a BMI of 23 rather than 25, and even this modest excess drives insulin resistance and central fat; without intervention overweight commonly progresses to frank obesity and its complications.</w:t>
            </w:r>
          </w:p>
          <w:p>
            <w:pPr>
              <w:spacing w:after="40" w:before="60" w:line="259" w:lineRule="auto"/>
            </w:pPr>
            <w:r>
              <w:rPr>
                <w:rFonts w:ascii="Calibri" w:hAnsi="Calibri"/>
                <w:b w:val="0"/>
                <w:i w:val="0"/>
                <w:color w:val="212121"/>
                <w:sz w:val="19"/>
              </w:rPr>
              <w:t>Revised Asian-Indian guidance defines overweight at BMI 23-24.9 and obesity at &gt;= 25 kg/m2, reflecting elevated cardiometabolic risk at lower weights than in Western populations.</w:t>
            </w:r>
          </w:p>
          <w:p>
            <w:pPr>
              <w:spacing w:after="40" w:line="252" w:lineRule="auto"/>
            </w:pPr>
            <w:hyperlink r:id="rId16">
              <w:r>
                <w:rPr>
                  <w:rFonts w:ascii="Calibri" w:hAnsi="Calibri" w:cs="Calibri"/>
                  <w:sz w:val="18"/>
                  <w:color w:val="1155CC"/>
                  <w:u w:val="single"/>
                </w:rPr>
                <w:t xml:space="preserve">cmcendovellore.org - revised definition of obesity in Asian Indians (2024)</w:t>
              </w:r>
            </w:hyperlink>
          </w:p>
          <w:p>
            <w:pPr>
              <w:spacing w:before="60" w:after="40"/>
            </w:pPr>
            <w:r>
              <w:rPr>
                <w:rFonts w:ascii="Calibri" w:hAnsi="Calibri"/>
                <w:b w:val="0"/>
                <w:i w:val="0"/>
                <w:color w:val="5A5A5A"/>
                <w:sz w:val="18"/>
              </w:rPr>
              <w:t>#overweight  #asianBMI  #insulinresistance  #progression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Parental / familial obesity</w:t>
            </w:r>
          </w:p>
        </w:tc>
        <w:tc>
          <w:tcPr>
            <w:tcW w:type="dxa" w:w="4276"/>
            <w:vAlign w:val="top"/>
          </w:tcPr>
          <w:p>
            <w:pPr>
              <w:spacing w:after="60" w:line="259" w:lineRule="auto"/>
            </w:pPr>
            <w:r>
              <w:rPr>
                <w:rFonts w:ascii="Calibri" w:hAnsi="Calibri"/>
                <w:b w:val="0"/>
                <w:i w:val="0"/>
                <w:color w:val="212121"/>
                <w:sz w:val="19"/>
              </w:rPr>
              <w:t>Body weight is highly heritable; children of obese parents have a substantially higher risk through shared genetic susceptibility (e.g., FTO, MC4R) and a shared obesogenic home environment, with early-life feeding and activity patterns reinforcing the tendency.</w:t>
            </w:r>
          </w:p>
          <w:p>
            <w:pPr>
              <w:spacing w:after="40" w:before="60" w:line="259" w:lineRule="auto"/>
            </w:pPr>
            <w:r>
              <w:rPr>
                <w:rFonts w:ascii="Calibri" w:hAnsi="Calibri"/>
                <w:b w:val="0"/>
                <w:i w:val="0"/>
                <w:color w:val="212121"/>
                <w:sz w:val="19"/>
              </w:rPr>
              <w:t>A strong family history of obesity markedly raises individual risk through combined genetic predisposition and shared dietary and activity habits.</w:t>
            </w:r>
          </w:p>
          <w:p>
            <w:pPr>
              <w:spacing w:before="60" w:after="40"/>
            </w:pPr>
            <w:r>
              <w:rPr>
                <w:rFonts w:ascii="Calibri" w:hAnsi="Calibri"/>
                <w:b w:val="0"/>
                <w:i w:val="0"/>
                <w:color w:val="5A5A5A"/>
                <w:sz w:val="18"/>
              </w:rPr>
              <w:t>#familyhistory  #FTO  #MC4R  #heritability  #earlylife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Phenotype</w:t>
            </w:r>
          </w:p>
        </w:tc>
        <w:tc>
          <w:tcPr>
            <w:tcW w:type="dxa" w:w="2160"/>
            <w:vAlign w:val="top"/>
          </w:tcPr>
          <w:p>
            <w:pPr>
              <w:spacing w:after="40" w:before="0" w:line="259" w:lineRule="auto"/>
            </w:pPr>
            <w:r>
              <w:rPr>
                <w:rFonts w:ascii="Calibri" w:hAnsi="Calibri"/>
                <w:b w:val="0"/>
                <w:i w:val="0"/>
                <w:color w:val="212121"/>
                <w:sz w:val="19"/>
              </w:rPr>
              <w:t>Thin-fat / normal-weight obesity</w:t>
            </w:r>
          </w:p>
        </w:tc>
        <w:tc>
          <w:tcPr>
            <w:tcW w:type="dxa" w:w="4276"/>
            <w:vAlign w:val="top"/>
          </w:tcPr>
          <w:p>
            <w:pPr>
              <w:spacing w:after="60" w:line="259" w:lineRule="auto"/>
            </w:pPr>
            <w:r>
              <w:rPr>
                <w:rFonts w:ascii="Calibri" w:hAnsi="Calibri"/>
                <w:b w:val="0"/>
                <w:i w:val="0"/>
                <w:color w:val="212121"/>
                <w:sz w:val="19"/>
              </w:rPr>
              <w:t>Asian Indians store fat poorly in subcutaneous depots (the fat-overflow hypothesis), diverting excess energy to visceral and ectopic sites; they therefore carry high body fat and metabolic risk even at a normal BMI - the thin-fat or metabolically-obese-normal-weight phenotype.</w:t>
            </w:r>
          </w:p>
          <w:p>
            <w:pPr>
              <w:spacing w:after="40" w:before="60" w:line="259" w:lineRule="auto"/>
            </w:pPr>
            <w:r>
              <w:rPr>
                <w:rFonts w:ascii="Calibri" w:hAnsi="Calibri"/>
                <w:b w:val="0"/>
                <w:i w:val="0"/>
                <w:color w:val="212121"/>
                <w:sz w:val="19"/>
              </w:rPr>
              <w:t>At an identical BMI of 22.3, an Indian had 21.2% body fat versus 9.1% in a Caucasian (the Y-Y paradox); normal-weight obesity accounts for roughly a third of Indian adults and carries about 2.7 times higher odds of diabetes.</w:t>
            </w:r>
          </w:p>
          <w:p>
            <w:pPr>
              <w:spacing w:after="40" w:line="252" w:lineRule="auto"/>
            </w:pPr>
            <w:hyperlink r:id="rId17">
              <w:r>
                <w:rPr>
                  <w:rFonts w:ascii="Calibri" w:hAnsi="Calibri" w:cs="Calibri"/>
                  <w:sz w:val="18"/>
                  <w:color w:val="1155CC"/>
                  <w:u w:val="single"/>
                </w:rPr>
                <w:t xml:space="preserve">ncbi.nlm.nih.gov (Endotext) - thin-fat / tropical obesity phenotype</w:t>
              </w:r>
            </w:hyperlink>
          </w:p>
          <w:p>
            <w:pPr>
              <w:spacing w:before="60" w:after="40"/>
            </w:pPr>
            <w:r>
              <w:rPr>
                <w:rFonts w:ascii="Calibri" w:hAnsi="Calibri"/>
                <w:b w:val="0"/>
                <w:i w:val="0"/>
                <w:color w:val="5A5A5A"/>
                <w:sz w:val="18"/>
              </w:rPr>
              <w:t>#thinfat  #normalweightobesity  #fatoverflow  #ectopicfat  #YYparadox</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Type 2 diabetes / insulin resistance</w:t>
            </w:r>
          </w:p>
        </w:tc>
        <w:tc>
          <w:tcPr>
            <w:tcW w:type="dxa" w:w="2160"/>
            <w:vAlign w:val="top"/>
          </w:tcPr>
          <w:p>
            <w:pPr>
              <w:spacing w:after="40" w:before="0" w:line="259" w:lineRule="auto"/>
            </w:pPr>
            <w:r>
              <w:rPr>
                <w:rFonts w:ascii="Calibri" w:hAnsi="Calibri"/>
                <w:b w:val="0"/>
                <w:i w:val="0"/>
                <w:color w:val="212121"/>
                <w:sz w:val="19"/>
              </w:rPr>
              <w:t>Metabolically obese individuals</w:t>
            </w:r>
          </w:p>
        </w:tc>
        <w:tc>
          <w:tcPr>
            <w:tcW w:type="dxa" w:w="4276"/>
            <w:vAlign w:val="top"/>
          </w:tcPr>
          <w:p>
            <w:pPr>
              <w:spacing w:after="60" w:line="259" w:lineRule="auto"/>
            </w:pPr>
            <w:r>
              <w:rPr>
                <w:rFonts w:ascii="Calibri" w:hAnsi="Calibri"/>
                <w:b w:val="0"/>
                <w:i w:val="0"/>
                <w:color w:val="212121"/>
                <w:sz w:val="19"/>
              </w:rPr>
              <w:t>Excess adipose tissue, especially visceral fat, releases free fatty acids and inflammatory cytokines that cause insulin resistance and beta-cell stress; obesity is the strongest modifiable driver of type 2 diabetes, and in Indians this cluster appears even at normal BMI.</w:t>
            </w:r>
          </w:p>
          <w:p>
            <w:pPr>
              <w:spacing w:after="40" w:before="60" w:line="259" w:lineRule="auto"/>
            </w:pPr>
            <w:r>
              <w:rPr>
                <w:rFonts w:ascii="Calibri" w:hAnsi="Calibri"/>
                <w:b w:val="0"/>
                <w:i w:val="0"/>
                <w:color w:val="212121"/>
                <w:sz w:val="19"/>
              </w:rPr>
              <w:t>In ICMR-INDIAB-23, 28.3% of Indian adults were metabolically obese and obese, and a further 43.3% were metabolically obese despite a non-obese BMI - a very large diabetes-prone pool.</w:t>
            </w:r>
          </w:p>
          <w:p>
            <w:pPr>
              <w:spacing w:after="40" w:line="252" w:lineRule="auto"/>
            </w:pPr>
            <w:hyperlink r:id="rId18">
              <w:r>
                <w:rPr>
                  <w:rFonts w:ascii="Calibri" w:hAnsi="Calibri" w:cs="Calibri"/>
                  <w:sz w:val="18"/>
                  <w:color w:val="1155CC"/>
                  <w:u w:val="single"/>
                </w:rPr>
                <w:t xml:space="preserve">ijmr.org.in - ICMR-INDIAB-23 metabolic obesity</w:t>
              </w:r>
            </w:hyperlink>
          </w:p>
          <w:p>
            <w:pPr>
              <w:spacing w:before="60" w:after="40"/>
            </w:pPr>
            <w:r>
              <w:rPr>
                <w:rFonts w:ascii="Calibri" w:hAnsi="Calibri"/>
                <w:b w:val="0"/>
                <w:i w:val="0"/>
                <w:color w:val="5A5A5A"/>
                <w:sz w:val="18"/>
              </w:rPr>
              <w:t>#type2diabetes  #insulinresistance  #metabolicobesity  #freefattyacids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Non-alcoholic fatty liver disease</w:t>
            </w:r>
          </w:p>
        </w:tc>
        <w:tc>
          <w:tcPr>
            <w:tcW w:type="dxa" w:w="2160"/>
            <w:vAlign w:val="top"/>
          </w:tcPr>
          <w:p>
            <w:pPr>
              <w:spacing w:after="40" w:before="0" w:line="259" w:lineRule="auto"/>
            </w:pPr>
            <w:r>
              <w:rPr>
                <w:rFonts w:ascii="Calibri" w:hAnsi="Calibri"/>
                <w:b w:val="0"/>
                <w:i w:val="0"/>
                <w:color w:val="212121"/>
                <w:sz w:val="19"/>
              </w:rPr>
              <w:t>Obese and centrally obese adults</w:t>
            </w:r>
          </w:p>
        </w:tc>
        <w:tc>
          <w:tcPr>
            <w:tcW w:type="dxa" w:w="4276"/>
            <w:vAlign w:val="top"/>
          </w:tcPr>
          <w:p>
            <w:pPr>
              <w:spacing w:after="60" w:line="259" w:lineRule="auto"/>
            </w:pPr>
            <w:r>
              <w:rPr>
                <w:rFonts w:ascii="Calibri" w:hAnsi="Calibri"/>
                <w:b w:val="0"/>
                <w:i w:val="0"/>
                <w:color w:val="212121"/>
                <w:sz w:val="19"/>
              </w:rPr>
              <w:t>Ectopic fat accumulation in the liver, driven by insulin resistance and adipose overflow, produces non-alcoholic fatty liver disease (NAFLD/MASLD); central obesity is one of the strongest independent predictors and can progress to steatohepatitis, fibrosis and cirrhosis.</w:t>
            </w:r>
          </w:p>
          <w:p>
            <w:pPr>
              <w:spacing w:after="40" w:before="60" w:line="259" w:lineRule="auto"/>
            </w:pPr>
            <w:r>
              <w:rPr>
                <w:rFonts w:ascii="Calibri" w:hAnsi="Calibri"/>
                <w:b w:val="0"/>
                <w:i w:val="0"/>
                <w:color w:val="212121"/>
                <w:sz w:val="19"/>
              </w:rPr>
              <w:t>In a north-Indian community study, ultrasound NAFLD was present in 65.7% of urban and 61.1% of rural adults, with central obesity independently associated (odds ratio up to about 2.3).</w:t>
            </w:r>
          </w:p>
          <w:p>
            <w:pPr>
              <w:spacing w:after="40" w:line="252" w:lineRule="auto"/>
            </w:pPr>
            <w:hyperlink r:id="rId19">
              <w:r>
                <w:rPr>
                  <w:rFonts w:ascii="Calibri" w:hAnsi="Calibri" w:cs="Calibri"/>
                  <w:sz w:val="18"/>
                  <w:color w:val="1155CC"/>
                  <w:u w:val="single"/>
                </w:rPr>
                <w:t xml:space="preserve">journals.plos.org - NAFLD and central obesity in North India</w:t>
              </w:r>
            </w:hyperlink>
          </w:p>
          <w:p>
            <w:pPr>
              <w:spacing w:before="60" w:after="40"/>
            </w:pPr>
            <w:r>
              <w:rPr>
                <w:rFonts w:ascii="Calibri" w:hAnsi="Calibri"/>
                <w:b w:val="0"/>
                <w:i w:val="0"/>
                <w:color w:val="5A5A5A"/>
                <w:sz w:val="18"/>
              </w:rPr>
              <w:t>#NAFLD  #MASLD  #fattyliver  #ectopicfat  #centralobesity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Obstructive sleep apnoea</w:t>
            </w:r>
          </w:p>
        </w:tc>
        <w:tc>
          <w:tcPr>
            <w:tcW w:type="dxa" w:w="2160"/>
            <w:vAlign w:val="top"/>
          </w:tcPr>
          <w:p>
            <w:pPr>
              <w:spacing w:after="40" w:before="0" w:line="259" w:lineRule="auto"/>
            </w:pPr>
            <w:r>
              <w:rPr>
                <w:rFonts w:ascii="Calibri" w:hAnsi="Calibri"/>
                <w:b w:val="0"/>
                <w:i w:val="0"/>
                <w:color w:val="212121"/>
                <w:sz w:val="19"/>
              </w:rPr>
              <w:t>Obese adults, especially men</w:t>
            </w:r>
          </w:p>
        </w:tc>
        <w:tc>
          <w:tcPr>
            <w:tcW w:type="dxa" w:w="4276"/>
            <w:vAlign w:val="top"/>
          </w:tcPr>
          <w:p>
            <w:pPr>
              <w:spacing w:after="60" w:line="259" w:lineRule="auto"/>
            </w:pPr>
            <w:r>
              <w:rPr>
                <w:rFonts w:ascii="Calibri" w:hAnsi="Calibri"/>
                <w:b w:val="0"/>
                <w:i w:val="0"/>
                <w:color w:val="212121"/>
                <w:sz w:val="19"/>
              </w:rPr>
              <w:t>Fat deposition around the upper airway and abdomen narrows the pharynx and restricts ventilation, causing obstructive sleep apnoea; the resulting intermittent hypoxia and sleep fragmentation in turn worsen insulin resistance and appetite regulation, reinforcing weight gain.</w:t>
            </w:r>
          </w:p>
          <w:p>
            <w:pPr>
              <w:spacing w:after="40" w:before="60" w:line="259" w:lineRule="auto"/>
            </w:pPr>
            <w:r>
              <w:rPr>
                <w:rFonts w:ascii="Calibri" w:hAnsi="Calibri"/>
                <w:b w:val="0"/>
                <w:i w:val="0"/>
                <w:color w:val="212121"/>
                <w:sz w:val="19"/>
              </w:rPr>
              <w:t>A systematic review estimated obstructive sleep apnoea in about 11% of Indian adults (13% of men, 5% of women) - roughly 104 million people - with obesity a leading risk factor.</w:t>
            </w:r>
          </w:p>
          <w:p>
            <w:pPr>
              <w:spacing w:after="40" w:line="252" w:lineRule="auto"/>
            </w:pPr>
            <w:hyperlink r:id="rId20">
              <w:r>
                <w:rPr>
                  <w:rFonts w:ascii="Calibri" w:hAnsi="Calibri" w:cs="Calibri"/>
                  <w:sz w:val="18"/>
                  <w:color w:val="1155CC"/>
                  <w:u w:val="single"/>
                </w:rPr>
                <w:t xml:space="preserve">pubmed.ncbi.nlm.nih.gov - OSA prevalence in Indian adults (meta-analysis)</w:t>
              </w:r>
            </w:hyperlink>
          </w:p>
          <w:p>
            <w:pPr>
              <w:spacing w:before="60" w:after="40"/>
            </w:pPr>
            <w:r>
              <w:rPr>
                <w:rFonts w:ascii="Calibri" w:hAnsi="Calibri"/>
                <w:b w:val="0"/>
                <w:i w:val="0"/>
                <w:color w:val="5A5A5A"/>
                <w:sz w:val="18"/>
              </w:rPr>
              <w:t>#OSA  #sleepapnoea  #intermittenthypoxia  #airwayfat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Endocrine / secondary causes</w:t>
            </w:r>
          </w:p>
        </w:tc>
        <w:tc>
          <w:tcPr>
            <w:tcW w:type="dxa" w:w="2160"/>
            <w:vAlign w:val="top"/>
          </w:tcPr>
          <w:p>
            <w:pPr>
              <w:spacing w:after="40" w:before="0" w:line="259" w:lineRule="auto"/>
            </w:pPr>
            <w:r>
              <w:rPr>
                <w:rFonts w:ascii="Calibri" w:hAnsi="Calibri"/>
                <w:b w:val="0"/>
                <w:i w:val="0"/>
                <w:color w:val="212121"/>
                <w:sz w:val="19"/>
              </w:rPr>
              <w:t>Hypothyroidism, Cushing syndrome, PCOS, drug-induced</w:t>
            </w:r>
          </w:p>
        </w:tc>
        <w:tc>
          <w:tcPr>
            <w:tcW w:type="dxa" w:w="4276"/>
            <w:vAlign w:val="top"/>
          </w:tcPr>
          <w:p>
            <w:pPr>
              <w:spacing w:after="60" w:line="259" w:lineRule="auto"/>
            </w:pPr>
            <w:r>
              <w:rPr>
                <w:rFonts w:ascii="Calibri" w:hAnsi="Calibri"/>
                <w:b w:val="0"/>
                <w:i w:val="0"/>
                <w:color w:val="212121"/>
                <w:sz w:val="19"/>
              </w:rPr>
              <w:t>A minority of obesity is secondary: hypothyroidism lowers metabolic rate, Cushing syndrome and glucocorticoids drive central fat, PCOS links insulin resistance with weight gain in young women, and drugs such as antipsychotics, insulin and sulfonylureas promote weight gain. These are important, sometimes reversible, contributors to screen for.</w:t>
            </w:r>
          </w:p>
          <w:p>
            <w:pPr>
              <w:spacing w:after="40" w:before="60" w:line="259" w:lineRule="auto"/>
            </w:pPr>
            <w:r>
              <w:rPr>
                <w:rFonts w:ascii="Calibri" w:hAnsi="Calibri"/>
                <w:b w:val="0"/>
                <w:i w:val="0"/>
                <w:color w:val="212121"/>
                <w:sz w:val="19"/>
              </w:rPr>
              <w:t>Secondary and drug-induced causes account for a small but clinically important share of obesity and should be considered, especially with rapid or atypical weight gain.</w:t>
            </w:r>
          </w:p>
          <w:p>
            <w:pPr>
              <w:spacing w:before="60" w:after="40"/>
            </w:pPr>
            <w:r>
              <w:rPr>
                <w:rFonts w:ascii="Calibri" w:hAnsi="Calibri"/>
                <w:b w:val="0"/>
                <w:i w:val="0"/>
                <w:color w:val="5A5A5A"/>
                <w:sz w:val="18"/>
              </w:rPr>
              <w:t>#hypothyroidism  #Cushing  #PCOS  #druginduced  #secondaryobesity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and sedentary time are major drivers of positive energy balance; over half of Indian adults are inactive, and inactive individuals have significantly higher BMI and waist circumference. At least 150-300 minutes/week of moderate activity plus resistance training protects against fat gain.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Energy-dense, high-glycaemic, fried, sugar-sweetened and ultra-processed foods and large portions drive fat accumulation; India's nutrition transition to such foods closely tracks its rising obesity.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Short (&lt; 6 h) and poor-quality sleep raise obesity risk (about 55% higher odds in adults) by increasing ghrelin, lowering leptin, raising cortisol and lengthening eating opportunities.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 suppresses appetite and lowers average weight but promotes central/visceral fat and insulin resistance; cessation causes modest short-term weight gain that is outweighed by quitting.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supplies about 7 kcal/g of readily stored energy, stimulates appetite and promotes truncal fat and hepatic steatosis, particularly with heavy or frequent intake.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stress, depression and emotional eating raise cortisol and energy-dense food intake and reduce activity; the relationship with obesity is bidirectional.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Replacing sugar-sweetened beverages with water lowers energy intake, and pre-meal water may modestly reduce intake, but any direct effect of hydration on adiposity is small.</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transiently increases energy expenditure and lipolysis, but caffeinated sugary drinks add calories; the net effect on obesity is negligible.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does not cause obesity, but excess skin folds predispose to intertrigo and fungal/bacterial skin-fold infections, so skin-fold hygiene becomes important once obese.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Drug-induced (glucocorticoids, some antipsychotics/antidepressants, insulin, sulfonylureas), endocrine (hypothyroidism, Cushing syndrome, PCOS), pregnancy and smoking cessation can provoke or accelerate weight gain.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60" w:line="259" w:lineRule="auto"/>
            </w:pPr>
            <w:r>
              <w:rPr>
                <w:rFonts w:ascii="Calibri" w:hAnsi="Calibri"/>
                <w:b w:val="0"/>
                <w:i w:val="0"/>
                <w:color w:val="212121"/>
                <w:sz w:val="19"/>
              </w:rPr>
              <w:t>Asian-Indian cut-offs are lower than WHO because of higher body fat at a given BMI</w:t>
            </w:r>
          </w:p>
          <w:p>
            <w:pPr>
              <w:spacing w:after="40" w:line="252" w:lineRule="auto"/>
            </w:pPr>
            <w:hyperlink r:id="rId16">
              <w:r>
                <w:rPr>
                  <w:rFonts w:ascii="Calibri" w:hAnsi="Calibri" w:cs="Calibri"/>
                  <w:sz w:val="18"/>
                  <w:color w:val="1155CC"/>
                  <w:u w:val="single"/>
                </w:rPr>
                <w:t xml:space="preserve">https://www.cmcendovellore.org/pub/2025/revised-definition-of-obesity-in-asian-indians-living-in-india.pdf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Adults, overweight, obese</w:t>
            </w:r>
          </w:p>
        </w:tc>
        <w:tc>
          <w:tcPr>
            <w:tcW w:type="dxa" w:w="1512"/>
            <w:vAlign w:val="top"/>
          </w:tcPr>
          <w:p>
            <w:pPr>
              <w:spacing w:after="40" w:before="0" w:line="259" w:lineRule="auto"/>
            </w:pPr>
            <w:r>
              <w:rPr>
                <w:rFonts w:ascii="Calibri" w:hAnsi="Calibri"/>
                <w:b w:val="0"/>
                <w:i w:val="0"/>
                <w:color w:val="212121"/>
                <w:sz w:val="19"/>
              </w:rPr>
              <w:t>M &lt; 90; F &lt; 80 cm</w:t>
            </w:r>
          </w:p>
        </w:tc>
        <w:tc>
          <w:tcPr>
            <w:tcW w:type="dxa" w:w="1512"/>
            <w:vAlign w:val="top"/>
          </w:tcPr>
          <w:p>
            <w:pPr>
              <w:spacing w:after="40" w:before="0" w:line="259" w:lineRule="auto"/>
            </w:pPr>
            <w:r>
              <w:rPr>
                <w:rFonts w:ascii="Calibri" w:hAnsi="Calibri"/>
                <w:b w:val="0"/>
                <w:i w:val="0"/>
                <w:color w:val="212121"/>
                <w:sz w:val="19"/>
              </w:rPr>
              <w:t>M &gt;= 90; F &gt;= 80 cm</w:t>
            </w:r>
          </w:p>
        </w:tc>
        <w:tc>
          <w:tcPr>
            <w:tcW w:type="dxa" w:w="1468"/>
            <w:vAlign w:val="top"/>
          </w:tcPr>
          <w:p>
            <w:pPr>
              <w:spacing w:after="60" w:line="259" w:lineRule="auto"/>
            </w:pPr>
            <w:r>
              <w:rPr>
                <w:rFonts w:ascii="Calibri" w:hAnsi="Calibri"/>
                <w:b w:val="0"/>
                <w:i w:val="0"/>
                <w:color w:val="212121"/>
                <w:sz w:val="19"/>
              </w:rPr>
              <w:t>Indian cut-offs for abdominal obesity; the strongest anthropometric predictor of metabolic risk</w:t>
            </w:r>
          </w:p>
          <w:p>
            <w:pPr>
              <w:spacing w:after="40" w:line="252" w:lineRule="auto"/>
            </w:pPr>
            <w:hyperlink r:id="rId18">
              <w:r>
                <w:rPr>
                  <w:rFonts w:ascii="Calibri" w:hAnsi="Calibri" w:cs="Calibri"/>
                  <w:sz w:val="18"/>
                  <w:color w:val="1155CC"/>
                  <w:u w:val="single"/>
                </w:rPr>
                <w:t xml:space="preserve">https://ijmr.org.in/high-prevalence-of-metabolic-obesity-in-india-the-icmr-indiab-national-study-icmr-indiab-23/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Waist-to-height ratio</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0.5</w:t>
            </w:r>
          </w:p>
        </w:tc>
        <w:tc>
          <w:tcPr>
            <w:tcW w:type="dxa" w:w="1512"/>
            <w:vAlign w:val="top"/>
          </w:tcPr>
          <w:p>
            <w:pPr>
              <w:spacing w:after="40" w:before="0" w:line="259" w:lineRule="auto"/>
            </w:pPr>
            <w:r>
              <w:rPr>
                <w:rFonts w:ascii="Calibri" w:hAnsi="Calibri"/>
                <w:b w:val="0"/>
                <w:i w:val="0"/>
                <w:color w:val="212121"/>
                <w:sz w:val="19"/>
              </w:rPr>
              <w:t>&gt; 0.5</w:t>
            </w:r>
          </w:p>
        </w:tc>
        <w:tc>
          <w:tcPr>
            <w:tcW w:type="dxa" w:w="1468"/>
            <w:vAlign w:val="top"/>
          </w:tcPr>
          <w:p>
            <w:pPr>
              <w:spacing w:after="60" w:line="259" w:lineRule="auto"/>
            </w:pPr>
            <w:r>
              <w:rPr>
                <w:rFonts w:ascii="Calibri" w:hAnsi="Calibri"/>
                <w:b w:val="0"/>
                <w:i w:val="0"/>
                <w:color w:val="212121"/>
                <w:sz w:val="19"/>
              </w:rPr>
              <w:t>Simple height-adjusted marker of central adiposity; useful across body sizes</w:t>
            </w:r>
          </w:p>
          <w:p>
            <w:pPr>
              <w:spacing w:after="40" w:line="252" w:lineRule="auto"/>
            </w:pPr>
            <w:hyperlink r:id="rId16">
              <w:r>
                <w:rPr>
                  <w:rFonts w:ascii="Calibri" w:hAnsi="Calibri" w:cs="Calibri"/>
                  <w:sz w:val="18"/>
                  <w:color w:val="1155CC"/>
                  <w:u w:val="single"/>
                </w:rPr>
                <w:t xml:space="preserve">https://www.cmcendovellore.org/pub/2025/revised-definition-of-obesity-in-asian-indians-living-in-india.pdf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Waist-Hip Ratio</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M &lt; 0.90; F &lt; 0.85</w:t>
            </w:r>
          </w:p>
        </w:tc>
        <w:tc>
          <w:tcPr>
            <w:tcW w:type="dxa" w:w="1512"/>
            <w:vAlign w:val="top"/>
          </w:tcPr>
          <w:p>
            <w:pPr>
              <w:spacing w:after="40" w:before="0" w:line="259" w:lineRule="auto"/>
            </w:pPr>
            <w:r>
              <w:rPr>
                <w:rFonts w:ascii="Calibri" w:hAnsi="Calibri"/>
                <w:b w:val="0"/>
                <w:i w:val="0"/>
                <w:color w:val="212121"/>
                <w:sz w:val="19"/>
              </w:rPr>
              <w:t>M &gt;= 0.90; F &gt;= 0.85</w:t>
            </w:r>
          </w:p>
        </w:tc>
        <w:tc>
          <w:tcPr>
            <w:tcW w:type="dxa" w:w="1468"/>
            <w:vAlign w:val="top"/>
          </w:tcPr>
          <w:p>
            <w:pPr>
              <w:spacing w:after="40" w:before="0" w:line="259" w:lineRule="auto"/>
            </w:pPr>
            <w:r>
              <w:rPr>
                <w:rFonts w:ascii="Calibri" w:hAnsi="Calibri"/>
                <w:b w:val="0"/>
                <w:i w:val="0"/>
                <w:color w:val="212121"/>
                <w:sz w:val="19"/>
              </w:rPr>
              <w:t>Reflects visceral fat distribution and android obesity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Body-fat percentage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 25%; F &lt; 35%</w:t>
            </w:r>
          </w:p>
        </w:tc>
        <w:tc>
          <w:tcPr>
            <w:tcW w:type="dxa" w:w="1512"/>
            <w:vAlign w:val="top"/>
          </w:tcPr>
          <w:p>
            <w:pPr>
              <w:spacing w:after="40" w:before="0" w:line="259" w:lineRule="auto"/>
            </w:pPr>
            <w:r>
              <w:rPr>
                <w:rFonts w:ascii="Calibri" w:hAnsi="Calibri"/>
                <w:b w:val="0"/>
                <w:i w:val="0"/>
                <w:color w:val="212121"/>
                <w:sz w:val="19"/>
              </w:rPr>
              <w:t>M &gt; 25.5%; F &gt; 38%</w:t>
            </w:r>
          </w:p>
        </w:tc>
        <w:tc>
          <w:tcPr>
            <w:tcW w:type="dxa" w:w="1468"/>
            <w:vAlign w:val="top"/>
          </w:tcPr>
          <w:p>
            <w:pPr>
              <w:spacing w:after="60" w:line="259" w:lineRule="auto"/>
            </w:pPr>
            <w:r>
              <w:rPr>
                <w:rFonts w:ascii="Calibri" w:hAnsi="Calibri"/>
                <w:b w:val="0"/>
                <w:i w:val="0"/>
                <w:color w:val="212121"/>
                <w:sz w:val="19"/>
              </w:rPr>
              <w:t>Detects normal-weight (thin-fat) obesity missed by BMI</w:t>
            </w:r>
          </w:p>
          <w:p>
            <w:pPr>
              <w:spacing w:after="40" w:line="252" w:lineRule="auto"/>
            </w:pPr>
            <w:hyperlink r:id="rId16">
              <w:r>
                <w:rPr>
                  <w:rFonts w:ascii="Calibri" w:hAnsi="Calibri" w:cs="Calibri"/>
                  <w:sz w:val="18"/>
                  <w:color w:val="1155CC"/>
                  <w:u w:val="single"/>
                </w:rPr>
                <w:t xml:space="preserve">https://www.cmcendovellore.org/pub/2025/revised-definition-of-obesity-in-asian-indians-living-in-india.pdf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(minutes/week)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&gt;= 150-300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Inactivity is a leading driver of fat gain; over half of Indian adults fall short</w:t>
            </w:r>
          </w:p>
          <w:p>
            <w:pPr>
              <w:spacing w:after="40" w:line="252" w:lineRule="auto"/>
            </w:pPr>
            <w:hyperlink r:id="rId13">
              <w:r>
                <w:rPr>
                  <w:rFonts w:ascii="Calibri" w:hAnsi="Calibri" w:cs="Calibri"/>
                  <w:sz w:val="18"/>
                  <w:color w:val="1155CC"/>
                  <w:u w:val="single"/>
                </w:rPr>
                <w:t xml:space="preserve">https://link.springer.com/article/10.1186/1479-5868-11-26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Sedentary sitting time (hours/day)</w:t>
            </w:r>
          </w:p>
        </w:tc>
        <w:tc>
          <w:tcPr>
            <w:tcW w:type="dxa" w:w="1655"/>
            <w:vAlign w:val="top"/>
          </w:tcPr>
          <w:p>
            <w:pPr>
              <w:spacing w:after="40" w:before="0" w:line="259" w:lineRule="auto"/>
            </w:pPr>
            <w:r>
              <w:rPr>
                <w:rFonts w:ascii="Calibri" w:hAnsi="Calibri"/>
                <w:b w:val="0"/>
                <w:i w:val="0"/>
                <w:color w:val="212121"/>
                <w:sz w:val="19"/>
              </w:rPr>
              <w:t>Adults, office workers</w:t>
            </w:r>
          </w:p>
        </w:tc>
        <w:tc>
          <w:tcPr>
            <w:tcW w:type="dxa" w:w="1512"/>
            <w:vAlign w:val="top"/>
          </w:tcPr>
          <w:p>
            <w:pPr>
              <w:spacing w:after="40" w:before="0" w:line="259" w:lineRule="auto"/>
            </w:pPr>
            <w:r>
              <w:rPr>
                <w:rFonts w:ascii="Calibri" w:hAnsi="Calibri"/>
                <w:b w:val="0"/>
                <w:i w:val="0"/>
                <w:color w:val="212121"/>
                <w:sz w:val="19"/>
              </w:rPr>
              <w:t>&lt; 6 h/day with regular breaks</w:t>
            </w:r>
          </w:p>
        </w:tc>
        <w:tc>
          <w:tcPr>
            <w:tcW w:type="dxa" w:w="1512"/>
            <w:vAlign w:val="top"/>
          </w:tcPr>
          <w:p>
            <w:pPr>
              <w:spacing w:after="40" w:before="0" w:line="259" w:lineRule="auto"/>
            </w:pPr>
            <w:r>
              <w:rPr>
                <w:rFonts w:ascii="Calibri" w:hAnsi="Calibri"/>
                <w:b w:val="0"/>
                <w:i w:val="0"/>
                <w:color w:val="212121"/>
                <w:sz w:val="19"/>
              </w:rPr>
              <w:t>Prolonged sitting (&gt; 8 h/day)</w:t>
            </w:r>
          </w:p>
        </w:tc>
        <w:tc>
          <w:tcPr>
            <w:tcW w:type="dxa" w:w="1468"/>
            <w:vAlign w:val="top"/>
          </w:tcPr>
          <w:p>
            <w:pPr>
              <w:spacing w:after="60" w:line="259" w:lineRule="auto"/>
            </w:pPr>
            <w:r>
              <w:rPr>
                <w:rFonts w:ascii="Calibri" w:hAnsi="Calibri"/>
                <w:b w:val="0"/>
                <w:i w:val="0"/>
                <w:color w:val="212121"/>
                <w:sz w:val="19"/>
              </w:rPr>
              <w:t>Prolonged uninterrupted sitting independently promotes weight gain</w:t>
            </w:r>
          </w:p>
          <w:p>
            <w:pPr>
              <w:spacing w:after="40" w:line="252" w:lineRule="auto"/>
            </w:pPr>
            <w:hyperlink r:id="rId13">
              <w:r>
                <w:rPr>
                  <w:rFonts w:ascii="Calibri" w:hAnsi="Calibri" w:cs="Calibri"/>
                  <w:sz w:val="18"/>
                  <w:color w:val="1155CC"/>
                  <w:u w:val="single"/>
                </w:rPr>
                <w:t xml:space="preserve">https://link.springer.com/article/10.1186/1479-5868-11-26</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60" w:line="259" w:lineRule="auto"/>
            </w:pPr>
            <w:r>
              <w:rPr>
                <w:rFonts w:ascii="Calibri" w:hAnsi="Calibri"/>
                <w:b w:val="0"/>
                <w:i w:val="0"/>
                <w:color w:val="212121"/>
                <w:sz w:val="19"/>
              </w:rPr>
              <w:t>Short sleep is associated with about 55% higher odds of obesity</w:t>
            </w:r>
          </w:p>
          <w:p>
            <w:pPr>
              <w:spacing w:after="40" w:line="252" w:lineRule="auto"/>
            </w:pPr>
            <w:hyperlink r:id="rId14">
              <w:r>
                <w:rPr>
                  <w:rFonts w:ascii="Calibri" w:hAnsi="Calibri" w:cs="Calibri"/>
                  <w:sz w:val="18"/>
                  <w:color w:val="1155CC"/>
                  <w:u w:val="single"/>
                </w:rPr>
                <w:t xml:space="preserve">https://pmc.ncbi.nlm.nih.gov/articles/PMC2398753/</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Sugar-sweetened beverage intake</w:t>
            </w:r>
          </w:p>
        </w:tc>
        <w:tc>
          <w:tcPr>
            <w:tcW w:type="dxa" w:w="1655"/>
            <w:vAlign w:val="top"/>
          </w:tcPr>
          <w:p>
            <w:pPr>
              <w:spacing w:after="40" w:before="0" w:line="259" w:lineRule="auto"/>
            </w:pPr>
            <w:r>
              <w:rPr>
                <w:rFonts w:ascii="Calibri" w:hAnsi="Calibri"/>
                <w:b w:val="0"/>
                <w:i w:val="0"/>
                <w:color w:val="212121"/>
                <w:sz w:val="19"/>
              </w:rPr>
              <w:t>Adults, children</w:t>
            </w:r>
          </w:p>
        </w:tc>
        <w:tc>
          <w:tcPr>
            <w:tcW w:type="dxa" w:w="1512"/>
            <w:vAlign w:val="top"/>
          </w:tcPr>
          <w:p>
            <w:pPr>
              <w:spacing w:after="40" w:before="0" w:line="259" w:lineRule="auto"/>
            </w:pPr>
            <w:r>
              <w:rPr>
                <w:rFonts w:ascii="Calibri" w:hAnsi="Calibri"/>
                <w:b w:val="0"/>
                <w:i w:val="0"/>
                <w:color w:val="212121"/>
                <w:sz w:val="19"/>
              </w:rPr>
              <w:t>None to occasional</w:t>
            </w:r>
          </w:p>
        </w:tc>
        <w:tc>
          <w:tcPr>
            <w:tcW w:type="dxa" w:w="1512"/>
            <w:vAlign w:val="top"/>
          </w:tcPr>
          <w:p>
            <w:pPr>
              <w:spacing w:after="40" w:before="0" w:line="259" w:lineRule="auto"/>
            </w:pPr>
            <w:r>
              <w:rPr>
                <w:rFonts w:ascii="Calibri" w:hAnsi="Calibri"/>
                <w:b w:val="0"/>
                <w:i w:val="0"/>
                <w:color w:val="212121"/>
                <w:sz w:val="19"/>
              </w:rPr>
              <w:t>Daily/regular consumption</w:t>
            </w:r>
          </w:p>
        </w:tc>
        <w:tc>
          <w:tcPr>
            <w:tcW w:type="dxa" w:w="1468"/>
            <w:vAlign w:val="top"/>
          </w:tcPr>
          <w:p>
            <w:pPr>
              <w:spacing w:after="40" w:before="0" w:line="259" w:lineRule="auto"/>
            </w:pPr>
            <w:r>
              <w:rPr>
                <w:rFonts w:ascii="Calibri" w:hAnsi="Calibri"/>
                <w:b w:val="0"/>
                <w:i w:val="0"/>
                <w:color w:val="212121"/>
                <w:sz w:val="19"/>
              </w:rPr>
              <w:t>Liquid sugar adds calories with low satiety and promotes fat gain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calorie balance</w:t>
            </w:r>
          </w:p>
        </w:tc>
        <w:tc>
          <w:tcPr>
            <w:tcW w:type="dxa" w:w="1655"/>
            <w:vAlign w:val="top"/>
          </w:tcPr>
          <w:p>
            <w:pPr>
              <w:spacing w:after="40" w:before="0" w:line="259" w:lineRule="auto"/>
            </w:pPr>
            <w:r>
              <w:rPr>
                <w:rFonts w:ascii="Calibri" w:hAnsi="Calibri"/>
                <w:b w:val="0"/>
                <w:i w:val="0"/>
                <w:color w:val="212121"/>
                <w:sz w:val="19"/>
              </w:rPr>
              <w:t>Overweight, obese adults</w:t>
            </w:r>
          </w:p>
        </w:tc>
        <w:tc>
          <w:tcPr>
            <w:tcW w:type="dxa" w:w="1512"/>
            <w:vAlign w:val="top"/>
          </w:tcPr>
          <w:p>
            <w:pPr>
              <w:spacing w:after="40" w:before="0" w:line="259" w:lineRule="auto"/>
            </w:pPr>
            <w:r>
              <w:rPr>
                <w:rFonts w:ascii="Calibri" w:hAnsi="Calibri"/>
                <w:b w:val="0"/>
                <w:i w:val="0"/>
                <w:color w:val="212121"/>
                <w:sz w:val="19"/>
              </w:rPr>
              <w:t>Energy balance at healthy weight</w:t>
            </w:r>
          </w:p>
        </w:tc>
        <w:tc>
          <w:tcPr>
            <w:tcW w:type="dxa" w:w="1512"/>
            <w:vAlign w:val="top"/>
          </w:tcPr>
          <w:p>
            <w:pPr>
              <w:spacing w:after="40" w:before="0" w:line="259" w:lineRule="auto"/>
            </w:pPr>
            <w:r>
              <w:rPr>
                <w:rFonts w:ascii="Calibri" w:hAnsi="Calibri"/>
                <w:b w:val="0"/>
                <w:i w:val="0"/>
                <w:color w:val="212121"/>
                <w:sz w:val="19"/>
              </w:rPr>
              <w:t>Sustained calorie surplus</w:t>
            </w:r>
          </w:p>
        </w:tc>
        <w:tc>
          <w:tcPr>
            <w:tcW w:type="dxa" w:w="1468"/>
            <w:vAlign w:val="top"/>
          </w:tcPr>
          <w:p>
            <w:pPr>
              <w:spacing w:after="40" w:before="0" w:line="259" w:lineRule="auto"/>
            </w:pPr>
            <w:r>
              <w:rPr>
                <w:rFonts w:ascii="Calibri" w:hAnsi="Calibri"/>
                <w:b w:val="0"/>
                <w:i w:val="0"/>
                <w:color w:val="212121"/>
                <w:sz w:val="19"/>
              </w:rPr>
              <w:t>A deficit of about 500 kcal/day supports gradual weight loss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(drinks/week)</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None to minimal</w:t>
            </w:r>
          </w:p>
        </w:tc>
        <w:tc>
          <w:tcPr>
            <w:tcW w:type="dxa" w:w="1512"/>
            <w:vAlign w:val="top"/>
          </w:tcPr>
          <w:p>
            <w:pPr>
              <w:spacing w:after="40" w:before="0" w:line="259" w:lineRule="auto"/>
            </w:pPr>
            <w:r>
              <w:rPr>
                <w:rFonts w:ascii="Calibri" w:hAnsi="Calibri"/>
                <w:b w:val="0"/>
                <w:i w:val="0"/>
                <w:color w:val="212121"/>
                <w:sz w:val="19"/>
              </w:rPr>
              <w:t>Heavy/frequent intake</w:t>
            </w:r>
          </w:p>
        </w:tc>
        <w:tc>
          <w:tcPr>
            <w:tcW w:type="dxa" w:w="1468"/>
            <w:vAlign w:val="top"/>
          </w:tcPr>
          <w:p>
            <w:pPr>
              <w:spacing w:after="40" w:before="0" w:line="259" w:lineRule="auto"/>
            </w:pPr>
            <w:r>
              <w:rPr>
                <w:rFonts w:ascii="Calibri" w:hAnsi="Calibri"/>
                <w:b w:val="0"/>
                <w:i w:val="0"/>
                <w:color w:val="212121"/>
                <w:sz w:val="19"/>
              </w:rPr>
              <w:t>Empty calories that promote truncal fat and fatty liver</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(non-user)</w:t>
            </w:r>
          </w:p>
        </w:tc>
        <w:tc>
          <w:tcPr>
            <w:tcW w:type="dxa" w:w="1512"/>
            <w:vAlign w:val="top"/>
          </w:tcPr>
          <w:p>
            <w:pPr>
              <w:spacing w:after="40" w:before="0" w:line="259" w:lineRule="auto"/>
            </w:pPr>
            <w:r>
              <w:rPr>
                <w:rFonts w:ascii="Calibri" w:hAnsi="Calibri"/>
                <w:b w:val="0"/>
                <w:i w:val="0"/>
                <w:color w:val="212121"/>
                <w:sz w:val="19"/>
              </w:rPr>
              <w:t>Any use</w:t>
            </w:r>
          </w:p>
        </w:tc>
        <w:tc>
          <w:tcPr>
            <w:tcW w:type="dxa" w:w="1468"/>
            <w:vAlign w:val="top"/>
          </w:tcPr>
          <w:p>
            <w:pPr>
              <w:spacing w:after="40" w:before="0" w:line="259" w:lineRule="auto"/>
            </w:pPr>
            <w:r>
              <w:rPr>
                <w:rFonts w:ascii="Calibri" w:hAnsi="Calibri"/>
                <w:b w:val="0"/>
                <w:i w:val="0"/>
                <w:color w:val="212121"/>
                <w:sz w:val="19"/>
              </w:rPr>
              <w:t>Promotes central fat and insulin resistance despite lower average weight</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Anthropometry</w:t>
            </w:r>
          </w:p>
        </w:tc>
        <w:tc>
          <w:tcPr>
            <w:tcW w:type="dxa" w:w="1036"/>
            <w:vAlign w:val="top"/>
          </w:tcPr>
          <w:p>
            <w:pPr>
              <w:spacing w:after="40" w:before="0" w:line="259" w:lineRule="auto"/>
            </w:pPr>
            <w:r>
              <w:rPr>
                <w:rFonts w:ascii="Calibri" w:hAnsi="Calibri"/>
                <w:b w:val="0"/>
                <w:i w:val="0"/>
                <w:color w:val="212121"/>
                <w:sz w:val="16"/>
              </w:rPr>
              <w:t>BMI / Waist circumference / Waist-to-height ratio</w:t>
            </w:r>
          </w:p>
        </w:tc>
        <w:tc>
          <w:tcPr>
            <w:tcW w:type="dxa" w:w="892"/>
            <w:vAlign w:val="top"/>
          </w:tcPr>
          <w:p>
            <w:pPr>
              <w:spacing w:after="40" w:before="0" w:line="259" w:lineRule="auto"/>
            </w:pPr>
            <w:r>
              <w:rPr>
                <w:rFonts w:ascii="Calibri" w:hAnsi="Calibri"/>
                <w:b w:val="0"/>
                <w:i w:val="0"/>
                <w:color w:val="212121"/>
                <w:sz w:val="16"/>
              </w:rPr>
              <w:t>Body measurement</w:t>
            </w:r>
          </w:p>
        </w:tc>
        <w:tc>
          <w:tcPr>
            <w:tcW w:type="dxa" w:w="950"/>
            <w:vAlign w:val="top"/>
          </w:tcPr>
          <w:p>
            <w:pPr>
              <w:spacing w:after="40" w:before="0" w:line="259" w:lineRule="auto"/>
            </w:pPr>
            <w:r>
              <w:rPr>
                <w:rFonts w:ascii="Calibri" w:hAnsi="Calibri"/>
                <w:b w:val="0"/>
                <w:i w:val="0"/>
                <w:color w:val="212121"/>
                <w:sz w:val="16"/>
              </w:rPr>
              <w:t>BMI &lt; 23; waist M &lt; 90, F &lt; 80 cm; WHtR &lt; 0.5</w:t>
            </w:r>
          </w:p>
        </w:tc>
        <w:tc>
          <w:tcPr>
            <w:tcW w:type="dxa" w:w="950"/>
            <w:vAlign w:val="top"/>
          </w:tcPr>
          <w:p>
            <w:pPr>
              <w:spacing w:after="40" w:before="0" w:line="259" w:lineRule="auto"/>
            </w:pPr>
            <w:r>
              <w:rPr>
                <w:rFonts w:ascii="Calibri" w:hAnsi="Calibri"/>
                <w:b w:val="0"/>
                <w:i w:val="0"/>
                <w:color w:val="212121"/>
                <w:sz w:val="16"/>
              </w:rPr>
              <w:t>BMI &gt;= 25; waist M &gt;= 90, F &gt;= 80 cm; WHtR &gt; 0.5</w:t>
            </w:r>
          </w:p>
        </w:tc>
        <w:tc>
          <w:tcPr>
            <w:tcW w:type="dxa" w:w="1036"/>
            <w:vAlign w:val="top"/>
          </w:tcPr>
          <w:p>
            <w:pPr>
              <w:spacing w:after="40" w:before="0" w:line="259" w:lineRule="auto"/>
            </w:pPr>
            <w:r>
              <w:rPr>
                <w:rFonts w:ascii="Calibri" w:hAnsi="Calibri"/>
                <w:b w:val="0"/>
                <w:i w:val="0"/>
                <w:color w:val="212121"/>
                <w:sz w:val="16"/>
              </w:rPr>
              <w:t>Confirms and grades generalised and central obesity using Asian-Indian cut-offs</w:t>
            </w:r>
          </w:p>
        </w:tc>
        <w:tc>
          <w:tcPr>
            <w:tcW w:type="dxa" w:w="1036"/>
            <w:vAlign w:val="top"/>
          </w:tcPr>
          <w:p>
            <w:pPr>
              <w:spacing w:after="40" w:before="0" w:line="259" w:lineRule="auto"/>
            </w:pPr>
            <w:r>
              <w:rPr>
                <w:rFonts w:ascii="Calibri" w:hAnsi="Calibri"/>
                <w:b w:val="0"/>
                <w:i w:val="0"/>
                <w:color w:val="212121"/>
                <w:sz w:val="16"/>
              </w:rPr>
              <w:t>All at-risk adults, overweight, family history</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Combine BMI with waist measures to catch thin-fat obesity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Body composition</w:t>
            </w:r>
          </w:p>
        </w:tc>
        <w:tc>
          <w:tcPr>
            <w:tcW w:type="dxa" w:w="1036"/>
            <w:vAlign w:val="top"/>
          </w:tcPr>
          <w:p>
            <w:pPr>
              <w:spacing w:after="40" w:before="0" w:line="259" w:lineRule="auto"/>
            </w:pPr>
            <w:r>
              <w:rPr>
                <w:rFonts w:ascii="Calibri" w:hAnsi="Calibri"/>
                <w:b w:val="0"/>
                <w:i w:val="0"/>
                <w:color w:val="212121"/>
                <w:sz w:val="16"/>
              </w:rPr>
              <w:t>Body-fat percentage / visceral fat</w:t>
            </w:r>
          </w:p>
        </w:tc>
        <w:tc>
          <w:tcPr>
            <w:tcW w:type="dxa" w:w="892"/>
            <w:vAlign w:val="top"/>
          </w:tcPr>
          <w:p>
            <w:pPr>
              <w:spacing w:after="40" w:before="0" w:line="259" w:lineRule="auto"/>
            </w:pPr>
            <w:r>
              <w:rPr>
                <w:rFonts w:ascii="Calibri" w:hAnsi="Calibri"/>
                <w:b w:val="0"/>
                <w:i w:val="0"/>
                <w:color w:val="212121"/>
                <w:sz w:val="16"/>
              </w:rPr>
              <w:t>Bioimpedance or DEXA</w:t>
            </w:r>
          </w:p>
        </w:tc>
        <w:tc>
          <w:tcPr>
            <w:tcW w:type="dxa" w:w="950"/>
            <w:vAlign w:val="top"/>
          </w:tcPr>
          <w:p>
            <w:pPr>
              <w:spacing w:after="40" w:before="0" w:line="259" w:lineRule="auto"/>
            </w:pPr>
            <w:r>
              <w:rPr>
                <w:rFonts w:ascii="Calibri" w:hAnsi="Calibri"/>
                <w:b w:val="0"/>
                <w:i w:val="0"/>
                <w:color w:val="212121"/>
                <w:sz w:val="16"/>
              </w:rPr>
              <w:t>M &lt; 25%; F &lt; 35%</w:t>
            </w:r>
          </w:p>
        </w:tc>
        <w:tc>
          <w:tcPr>
            <w:tcW w:type="dxa" w:w="950"/>
            <w:vAlign w:val="top"/>
          </w:tcPr>
          <w:p>
            <w:pPr>
              <w:spacing w:after="40" w:before="0" w:line="259" w:lineRule="auto"/>
            </w:pPr>
            <w:r>
              <w:rPr>
                <w:rFonts w:ascii="Calibri" w:hAnsi="Calibri"/>
                <w:b w:val="0"/>
                <w:i w:val="0"/>
                <w:color w:val="212121"/>
                <w:sz w:val="16"/>
              </w:rPr>
              <w:t>M &gt; 25.5%; F &gt; 38%; high visceral fat</w:t>
            </w:r>
          </w:p>
        </w:tc>
        <w:tc>
          <w:tcPr>
            <w:tcW w:type="dxa" w:w="1036"/>
            <w:vAlign w:val="top"/>
          </w:tcPr>
          <w:p>
            <w:pPr>
              <w:spacing w:after="40" w:before="0" w:line="259" w:lineRule="auto"/>
            </w:pPr>
            <w:r>
              <w:rPr>
                <w:rFonts w:ascii="Calibri" w:hAnsi="Calibri"/>
                <w:b w:val="0"/>
                <w:i w:val="0"/>
                <w:color w:val="212121"/>
                <w:sz w:val="16"/>
              </w:rPr>
              <w:t>Detects excess adiposity and normal-weight obesity not seen on BMI</w:t>
            </w:r>
          </w:p>
        </w:tc>
        <w:tc>
          <w:tcPr>
            <w:tcW w:type="dxa" w:w="1036"/>
            <w:vAlign w:val="top"/>
          </w:tcPr>
          <w:p>
            <w:pPr>
              <w:spacing w:after="40" w:before="0" w:line="259" w:lineRule="auto"/>
            </w:pPr>
            <w:r>
              <w:rPr>
                <w:rFonts w:ascii="Calibri" w:hAnsi="Calibri"/>
                <w:b w:val="0"/>
                <w:i w:val="0"/>
                <w:color w:val="212121"/>
                <w:sz w:val="16"/>
              </w:rPr>
              <w:t>Normal-weight-obese, athletes, elderly (sarcopenic obesity)</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DEXA/bioimpedance quantify fat vs lean mass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FPG &lt; 100 mg/dL; HbA1c &lt; 5.7%</w:t>
            </w:r>
          </w:p>
        </w:tc>
        <w:tc>
          <w:tcPr>
            <w:tcW w:type="dxa" w:w="950"/>
            <w:vAlign w:val="top"/>
          </w:tcPr>
          <w:p>
            <w:pPr>
              <w:spacing w:after="40" w:before="0" w:line="259" w:lineRule="auto"/>
            </w:pPr>
            <w:r>
              <w:rPr>
                <w:rFonts w:ascii="Calibri" w:hAnsi="Calibri"/>
                <w:b w:val="0"/>
                <w:i w:val="0"/>
                <w:color w:val="212121"/>
                <w:sz w:val="16"/>
              </w:rPr>
              <w:t>FPG &gt;= 126; HbA1c &gt;= 6.5% (prediabetes 100-125 / 5.7-6.4%)</w:t>
            </w:r>
          </w:p>
        </w:tc>
        <w:tc>
          <w:tcPr>
            <w:tcW w:type="dxa" w:w="1036"/>
            <w:vAlign w:val="top"/>
          </w:tcPr>
          <w:p>
            <w:pPr>
              <w:spacing w:after="40" w:before="0" w:line="259" w:lineRule="auto"/>
            </w:pPr>
            <w:r>
              <w:rPr>
                <w:rFonts w:ascii="Calibri" w:hAnsi="Calibri"/>
                <w:b w:val="0"/>
                <w:i w:val="0"/>
                <w:color w:val="212121"/>
                <w:sz w:val="16"/>
              </w:rPr>
              <w:t>Obesity is the strongest driver of type 2 diabetes; screen all obese adults</w:t>
            </w:r>
          </w:p>
        </w:tc>
        <w:tc>
          <w:tcPr>
            <w:tcW w:type="dxa" w:w="1036"/>
            <w:vAlign w:val="top"/>
          </w:tcPr>
          <w:p>
            <w:pPr>
              <w:spacing w:after="40" w:before="0" w:line="259" w:lineRule="auto"/>
            </w:pPr>
            <w:r>
              <w:rPr>
                <w:rFonts w:ascii="Calibri" w:hAnsi="Calibri"/>
                <w:b w:val="0"/>
                <w:i w:val="0"/>
                <w:color w:val="212121"/>
                <w:sz w:val="16"/>
              </w:rPr>
              <w:t>Obese, central obesity, metabolic syndrome, family history of DM</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Prediabetes is common and warrants intensive lifestyle change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TG &lt; 150; HDL M &gt;= 40, F &gt;= 50 mg/dL</w:t>
            </w:r>
          </w:p>
        </w:tc>
        <w:tc>
          <w:tcPr>
            <w:tcW w:type="dxa" w:w="950"/>
            <w:vAlign w:val="top"/>
          </w:tcPr>
          <w:p>
            <w:pPr>
              <w:spacing w:after="40" w:before="0" w:line="259" w:lineRule="auto"/>
            </w:pPr>
            <w:r>
              <w:rPr>
                <w:rFonts w:ascii="Calibri" w:hAnsi="Calibri"/>
                <w:b w:val="0"/>
                <w:i w:val="0"/>
                <w:color w:val="212121"/>
                <w:sz w:val="16"/>
              </w:rPr>
              <w:t>TG &gt;= 150; low HDL; raised non-HDL/LDL</w:t>
            </w:r>
          </w:p>
        </w:tc>
        <w:tc>
          <w:tcPr>
            <w:tcW w:type="dxa" w:w="1036"/>
            <w:vAlign w:val="top"/>
          </w:tcPr>
          <w:p>
            <w:pPr>
              <w:spacing w:after="40" w:before="0" w:line="259" w:lineRule="auto"/>
            </w:pPr>
            <w:r>
              <w:rPr>
                <w:rFonts w:ascii="Calibri" w:hAnsi="Calibri"/>
                <w:b w:val="0"/>
                <w:i w:val="0"/>
                <w:color w:val="212121"/>
                <w:sz w:val="16"/>
              </w:rPr>
              <w:t>Central obesity produces atherogenic dyslipidemia (high TG, low HDL)</w:t>
            </w:r>
          </w:p>
        </w:tc>
        <w:tc>
          <w:tcPr>
            <w:tcW w:type="dxa" w:w="1036"/>
            <w:vAlign w:val="top"/>
          </w:tcPr>
          <w:p>
            <w:pPr>
              <w:spacing w:after="40" w:before="0" w:line="259" w:lineRule="auto"/>
            </w:pPr>
            <w:r>
              <w:rPr>
                <w:rFonts w:ascii="Calibri" w:hAnsi="Calibri"/>
                <w:b w:val="0"/>
                <w:i w:val="0"/>
                <w:color w:val="212121"/>
                <w:sz w:val="16"/>
              </w:rPr>
              <w:t>Obese, metabolic syndrome, NAFLD</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Non-HDL is a useful co-target in Indians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Imaging</w:t>
            </w:r>
          </w:p>
        </w:tc>
        <w:tc>
          <w:tcPr>
            <w:tcW w:type="dxa" w:w="1036"/>
            <w:vAlign w:val="top"/>
          </w:tcPr>
          <w:p>
            <w:pPr>
              <w:spacing w:after="40" w:before="0" w:line="259" w:lineRule="auto"/>
            </w:pPr>
            <w:r>
              <w:rPr>
                <w:rFonts w:ascii="Calibri" w:hAnsi="Calibri"/>
                <w:b w:val="0"/>
                <w:i w:val="0"/>
                <w:color w:val="212121"/>
                <w:sz w:val="16"/>
              </w:rPr>
              <w:t>Liver enzymes (ALT/AST) and abdominal ultrasound</w:t>
            </w:r>
          </w:p>
        </w:tc>
        <w:tc>
          <w:tcPr>
            <w:tcW w:type="dxa" w:w="892"/>
            <w:vAlign w:val="top"/>
          </w:tcPr>
          <w:p>
            <w:pPr>
              <w:spacing w:after="40" w:before="0" w:line="259" w:lineRule="auto"/>
            </w:pPr>
            <w:r>
              <w:rPr>
                <w:rFonts w:ascii="Calibri" w:hAnsi="Calibri"/>
                <w:b w:val="0"/>
                <w:i w:val="0"/>
                <w:color w:val="212121"/>
                <w:sz w:val="16"/>
              </w:rPr>
              <w:t>Liver assessment</w:t>
            </w:r>
          </w:p>
        </w:tc>
        <w:tc>
          <w:tcPr>
            <w:tcW w:type="dxa" w:w="950"/>
            <w:vAlign w:val="top"/>
          </w:tcPr>
          <w:p>
            <w:pPr>
              <w:spacing w:after="40" w:before="0" w:line="259" w:lineRule="auto"/>
            </w:pPr>
            <w:r>
              <w:rPr>
                <w:rFonts w:ascii="Calibri" w:hAnsi="Calibri"/>
                <w:b w:val="0"/>
                <w:i w:val="0"/>
                <w:color w:val="212121"/>
                <w:sz w:val="16"/>
              </w:rPr>
              <w:t>ALT &lt; 40 IU/L; no steatosis on USG</w:t>
            </w:r>
          </w:p>
        </w:tc>
        <w:tc>
          <w:tcPr>
            <w:tcW w:type="dxa" w:w="950"/>
            <w:vAlign w:val="top"/>
          </w:tcPr>
          <w:p>
            <w:pPr>
              <w:spacing w:after="40" w:before="0" w:line="259" w:lineRule="auto"/>
            </w:pPr>
            <w:r>
              <w:rPr>
                <w:rFonts w:ascii="Calibri" w:hAnsi="Calibri"/>
                <w:b w:val="0"/>
                <w:i w:val="0"/>
                <w:color w:val="212121"/>
                <w:sz w:val="16"/>
              </w:rPr>
              <w:t>ALT &gt;= 40 IU/L; fatty liver on USG</w:t>
            </w:r>
          </w:p>
        </w:tc>
        <w:tc>
          <w:tcPr>
            <w:tcW w:type="dxa" w:w="1036"/>
            <w:vAlign w:val="top"/>
          </w:tcPr>
          <w:p>
            <w:pPr>
              <w:spacing w:after="40" w:before="0" w:line="259" w:lineRule="auto"/>
            </w:pPr>
            <w:r>
              <w:rPr>
                <w:rFonts w:ascii="Calibri" w:hAnsi="Calibri"/>
                <w:b w:val="0"/>
                <w:i w:val="0"/>
                <w:color w:val="212121"/>
                <w:sz w:val="16"/>
              </w:rPr>
              <w:t>Screens for NAFLD/MASLD, which is very common in obese Indians</w:t>
            </w:r>
          </w:p>
        </w:tc>
        <w:tc>
          <w:tcPr>
            <w:tcW w:type="dxa" w:w="1036"/>
            <w:vAlign w:val="top"/>
          </w:tcPr>
          <w:p>
            <w:pPr>
              <w:spacing w:after="40" w:before="0" w:line="259" w:lineRule="auto"/>
            </w:pPr>
            <w:r>
              <w:rPr>
                <w:rFonts w:ascii="Calibri" w:hAnsi="Calibri"/>
                <w:b w:val="0"/>
                <w:i w:val="0"/>
                <w:color w:val="212121"/>
                <w:sz w:val="16"/>
              </w:rPr>
              <w:t>Obese, central obesity, diabetics, dyslipidemia</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Ultrasound is first-line; consider fibrosis assessment if abnormal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(TSH)</w:t>
            </w:r>
          </w:p>
        </w:tc>
        <w:tc>
          <w:tcPr>
            <w:tcW w:type="dxa" w:w="892"/>
            <w:vAlign w:val="top"/>
          </w:tcPr>
          <w:p>
            <w:pPr>
              <w:spacing w:after="40" w:before="0" w:line="259" w:lineRule="auto"/>
            </w:pPr>
            <w:r>
              <w:rPr>
                <w:rFonts w:ascii="Calibri" w:hAnsi="Calibri"/>
                <w:b w:val="0"/>
                <w:i w:val="0"/>
                <w:color w:val="212121"/>
                <w:sz w:val="16"/>
              </w:rPr>
              <w:t>Secondary-cause screen</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TSH elevated (hypothyroidism)</w:t>
            </w:r>
          </w:p>
        </w:tc>
        <w:tc>
          <w:tcPr>
            <w:tcW w:type="dxa" w:w="1036"/>
            <w:vAlign w:val="top"/>
          </w:tcPr>
          <w:p>
            <w:pPr>
              <w:spacing w:after="40" w:before="0" w:line="259" w:lineRule="auto"/>
            </w:pPr>
            <w:r>
              <w:rPr>
                <w:rFonts w:ascii="Calibri" w:hAnsi="Calibri"/>
                <w:b w:val="0"/>
                <w:i w:val="0"/>
                <w:color w:val="212121"/>
                <w:sz w:val="16"/>
              </w:rPr>
              <w:t>Excludes hypothyroidism as a reversible secondary cause of weight gain</w:t>
            </w:r>
          </w:p>
        </w:tc>
        <w:tc>
          <w:tcPr>
            <w:tcW w:type="dxa" w:w="1036"/>
            <w:vAlign w:val="top"/>
          </w:tcPr>
          <w:p>
            <w:pPr>
              <w:spacing w:after="40" w:before="0" w:line="259" w:lineRule="auto"/>
            </w:pPr>
            <w:r>
              <w:rPr>
                <w:rFonts w:ascii="Calibri" w:hAnsi="Calibri"/>
                <w:b w:val="0"/>
                <w:i w:val="0"/>
                <w:color w:val="212121"/>
                <w:sz w:val="16"/>
              </w:rPr>
              <w:t>New/unexplained weight gain, fatigue,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Check before attributing obesity solely to lifestyle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insulin / HOMA-IR</w:t>
            </w:r>
          </w:p>
        </w:tc>
        <w:tc>
          <w:tcPr>
            <w:tcW w:type="dxa" w:w="892"/>
            <w:vAlign w:val="top"/>
          </w:tcPr>
          <w:p>
            <w:pPr>
              <w:spacing w:after="40" w:before="0" w:line="259" w:lineRule="auto"/>
            </w:pPr>
            <w:r>
              <w:rPr>
                <w:rFonts w:ascii="Calibri" w:hAnsi="Calibri"/>
                <w:b w:val="0"/>
                <w:i w:val="0"/>
                <w:color w:val="212121"/>
                <w:sz w:val="16"/>
              </w:rPr>
              <w:t>Insulin resistance index</w:t>
            </w:r>
          </w:p>
        </w:tc>
        <w:tc>
          <w:tcPr>
            <w:tcW w:type="dxa" w:w="950"/>
            <w:vAlign w:val="top"/>
          </w:tcPr>
          <w:p>
            <w:pPr>
              <w:spacing w:after="40" w:before="0" w:line="259" w:lineRule="auto"/>
            </w:pPr>
            <w:r>
              <w:rPr>
                <w:rFonts w:ascii="Calibri" w:hAnsi="Calibri"/>
                <w:b w:val="0"/>
                <w:i w:val="0"/>
                <w:color w:val="212121"/>
                <w:sz w:val="16"/>
              </w:rPr>
              <w:t>HOMA-IR &lt; 2.0</w:t>
            </w:r>
          </w:p>
        </w:tc>
        <w:tc>
          <w:tcPr>
            <w:tcW w:type="dxa" w:w="950"/>
            <w:vAlign w:val="top"/>
          </w:tcPr>
          <w:p>
            <w:pPr>
              <w:spacing w:after="40" w:before="0" w:line="259" w:lineRule="auto"/>
            </w:pPr>
            <w:r>
              <w:rPr>
                <w:rFonts w:ascii="Calibri" w:hAnsi="Calibri"/>
                <w:b w:val="0"/>
                <w:i w:val="0"/>
                <w:color w:val="212121"/>
                <w:sz w:val="16"/>
              </w:rPr>
              <w:t>HOMA-IR &gt; 2.5</w:t>
            </w:r>
          </w:p>
        </w:tc>
        <w:tc>
          <w:tcPr>
            <w:tcW w:type="dxa" w:w="1036"/>
            <w:vAlign w:val="top"/>
          </w:tcPr>
          <w:p>
            <w:pPr>
              <w:spacing w:after="40" w:before="0" w:line="259" w:lineRule="auto"/>
            </w:pPr>
            <w:r>
              <w:rPr>
                <w:rFonts w:ascii="Calibri" w:hAnsi="Calibri"/>
                <w:b w:val="0"/>
                <w:i w:val="0"/>
                <w:color w:val="212121"/>
                <w:sz w:val="16"/>
              </w:rPr>
              <w:t>Quantifies insulin resistance, the metabolic link between fat and disease</w:t>
            </w:r>
          </w:p>
        </w:tc>
        <w:tc>
          <w:tcPr>
            <w:tcW w:type="dxa" w:w="1036"/>
            <w:vAlign w:val="top"/>
          </w:tcPr>
          <w:p>
            <w:pPr>
              <w:spacing w:after="40" w:before="0" w:line="259" w:lineRule="auto"/>
            </w:pPr>
            <w:r>
              <w:rPr>
                <w:rFonts w:ascii="Calibri" w:hAnsi="Calibri"/>
                <w:b w:val="0"/>
                <w:i w:val="0"/>
                <w:color w:val="212121"/>
                <w:sz w:val="16"/>
              </w:rPr>
              <w:t>Central obesity, PCOS, acanthosis nigricans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Supports risk stratification rather than routine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pressure and metabolic-syndrome cluster</w:t>
            </w:r>
          </w:p>
        </w:tc>
        <w:tc>
          <w:tcPr>
            <w:tcW w:type="dxa" w:w="892"/>
            <w:vAlign w:val="top"/>
          </w:tcPr>
          <w:p>
            <w:pPr>
              <w:spacing w:after="40" w:before="0" w:line="259" w:lineRule="auto"/>
            </w:pPr>
            <w:r>
              <w:rPr>
                <w:rFonts w:ascii="Calibri" w:hAnsi="Calibri"/>
                <w:b w:val="0"/>
                <w:i w:val="0"/>
                <w:color w:val="212121"/>
                <w:sz w:val="16"/>
              </w:rPr>
              <w:t>Cardiometabolic screen</w:t>
            </w:r>
          </w:p>
        </w:tc>
        <w:tc>
          <w:tcPr>
            <w:tcW w:type="dxa" w:w="950"/>
            <w:vAlign w:val="top"/>
          </w:tcPr>
          <w:p>
            <w:pPr>
              <w:spacing w:after="40" w:before="0" w:line="259" w:lineRule="auto"/>
            </w:pPr>
            <w:r>
              <w:rPr>
                <w:rFonts w:ascii="Calibri" w:hAnsi="Calibri"/>
                <w:b w:val="0"/>
                <w:i w:val="0"/>
                <w:color w:val="212121"/>
                <w:sz w:val="16"/>
              </w:rPr>
              <w:t>BP &lt; 130/85 mmHg with normal glucose/lipids</w:t>
            </w:r>
          </w:p>
        </w:tc>
        <w:tc>
          <w:tcPr>
            <w:tcW w:type="dxa" w:w="950"/>
            <w:vAlign w:val="top"/>
          </w:tcPr>
          <w:p>
            <w:pPr>
              <w:spacing w:after="40" w:before="0" w:line="259" w:lineRule="auto"/>
            </w:pPr>
            <w:r>
              <w:rPr>
                <w:rFonts w:ascii="Calibri" w:hAnsi="Calibri"/>
                <w:b w:val="0"/>
                <w:i w:val="0"/>
                <w:color w:val="212121"/>
                <w:sz w:val="16"/>
              </w:rPr>
              <w:t>&gt;= 3 of raised waist, BP, glucose, TG, low HDL</w:t>
            </w:r>
          </w:p>
        </w:tc>
        <w:tc>
          <w:tcPr>
            <w:tcW w:type="dxa" w:w="1036"/>
            <w:vAlign w:val="top"/>
          </w:tcPr>
          <w:p>
            <w:pPr>
              <w:spacing w:after="40" w:before="0" w:line="259" w:lineRule="auto"/>
            </w:pPr>
            <w:r>
              <w:rPr>
                <w:rFonts w:ascii="Calibri" w:hAnsi="Calibri"/>
                <w:b w:val="0"/>
                <w:i w:val="0"/>
                <w:color w:val="212121"/>
                <w:sz w:val="16"/>
              </w:rPr>
              <w:t>Defines metabolic syndrome and overall cardiovascular risk</w:t>
            </w:r>
          </w:p>
        </w:tc>
        <w:tc>
          <w:tcPr>
            <w:tcW w:type="dxa" w:w="1036"/>
            <w:vAlign w:val="top"/>
          </w:tcPr>
          <w:p>
            <w:pPr>
              <w:spacing w:after="40" w:before="0" w:line="259" w:lineRule="auto"/>
            </w:pPr>
            <w:r>
              <w:rPr>
                <w:rFonts w:ascii="Calibri" w:hAnsi="Calibri"/>
                <w:b w:val="0"/>
                <w:i w:val="0"/>
                <w:color w:val="212121"/>
                <w:sz w:val="16"/>
              </w:rPr>
              <w:t>Obese, central obesity, hypertensive</w:t>
            </w:r>
          </w:p>
        </w:tc>
        <w:tc>
          <w:tcPr>
            <w:tcW w:type="dxa" w:w="720"/>
            <w:vAlign w:val="top"/>
          </w:tcPr>
          <w:p>
            <w:pPr>
              <w:spacing w:after="40" w:before="0" w:line="259" w:lineRule="auto"/>
            </w:pPr>
            <w:r>
              <w:rPr>
                <w:rFonts w:ascii="Calibri" w:hAnsi="Calibri"/>
                <w:b w:val="0"/>
                <w:i w:val="0"/>
                <w:color w:val="212121"/>
                <w:sz w:val="16"/>
              </w:rPr>
              <w:t>Food; Physical activity;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Clustering multiplies cardiovascular risk</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24-hour recall, meal pattern, portions, SSBs, eating out</w:t>
            </w:r>
          </w:p>
        </w:tc>
        <w:tc>
          <w:tcPr>
            <w:tcW w:type="dxa" w:w="950"/>
            <w:vAlign w:val="top"/>
          </w:tcPr>
          <w:p>
            <w:pPr>
              <w:spacing w:after="40" w:before="0" w:line="259" w:lineRule="auto"/>
            </w:pPr>
            <w:r>
              <w:rPr>
                <w:rFonts w:ascii="Calibri" w:hAnsi="Calibri"/>
                <w:b w:val="0"/>
                <w:i w:val="0"/>
                <w:color w:val="212121"/>
                <w:sz w:val="16"/>
              </w:rPr>
              <w:t>Balanced, appropriate-calorie diet</w:t>
            </w:r>
          </w:p>
        </w:tc>
        <w:tc>
          <w:tcPr>
            <w:tcW w:type="dxa" w:w="950"/>
            <w:vAlign w:val="top"/>
          </w:tcPr>
          <w:p>
            <w:pPr>
              <w:spacing w:after="40" w:before="0" w:line="259" w:lineRule="auto"/>
            </w:pPr>
            <w:r>
              <w:rPr>
                <w:rFonts w:ascii="Calibri" w:hAnsi="Calibri"/>
                <w:b w:val="0"/>
                <w:i w:val="0"/>
                <w:color w:val="212121"/>
                <w:sz w:val="16"/>
              </w:rPr>
              <w:t>Frequent high-calorie, fried, sugary or ultra-processed intake</w:t>
            </w:r>
          </w:p>
        </w:tc>
        <w:tc>
          <w:tcPr>
            <w:tcW w:type="dxa" w:w="1036"/>
            <w:vAlign w:val="top"/>
          </w:tcPr>
          <w:p>
            <w:pPr>
              <w:spacing w:after="40" w:before="0" w:line="259" w:lineRule="auto"/>
            </w:pPr>
            <w:r>
              <w:rPr>
                <w:rFonts w:ascii="Calibri" w:hAnsi="Calibri"/>
                <w:b w:val="0"/>
                <w:i w:val="0"/>
                <w:color w:val="212121"/>
                <w:sz w:val="16"/>
              </w:rPr>
              <w:t>Identifies the energy-surplus and diet-quality drivers of weight gain</w:t>
            </w:r>
          </w:p>
        </w:tc>
        <w:tc>
          <w:tcPr>
            <w:tcW w:type="dxa" w:w="1036"/>
            <w:vAlign w:val="top"/>
          </w:tcPr>
          <w:p>
            <w:pPr>
              <w:spacing w:after="40" w:before="0" w:line="259" w:lineRule="auto"/>
            </w:pPr>
            <w:r>
              <w:rPr>
                <w:rFonts w:ascii="Calibri" w:hAnsi="Calibri"/>
                <w:b w:val="0"/>
                <w:i w:val="0"/>
                <w:color w:val="212121"/>
                <w:sz w:val="16"/>
              </w:rPr>
              <w:t>Urban adults, fast-food consumers, snackers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first-line dietary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Physical activity and sedentary history</w:t>
            </w:r>
          </w:p>
        </w:tc>
        <w:tc>
          <w:tcPr>
            <w:tcW w:type="dxa" w:w="979"/>
            <w:vAlign w:val="top"/>
          </w:tcPr>
          <w:p>
            <w:pPr>
              <w:spacing w:after="40" w:before="0" w:line="259" w:lineRule="auto"/>
            </w:pPr>
            <w:r>
              <w:rPr>
                <w:rFonts w:ascii="Calibri" w:hAnsi="Calibri"/>
                <w:b w:val="0"/>
                <w:i w:val="0"/>
                <w:color w:val="212121"/>
                <w:sz w:val="16"/>
              </w:rPr>
              <w:t>Occupational/leisure activity, sitting and screen time</w:t>
            </w:r>
          </w:p>
        </w:tc>
        <w:tc>
          <w:tcPr>
            <w:tcW w:type="dxa" w:w="950"/>
            <w:vAlign w:val="top"/>
          </w:tcPr>
          <w:p>
            <w:pPr>
              <w:spacing w:after="40" w:before="0" w:line="259" w:lineRule="auto"/>
            </w:pPr>
            <w:r>
              <w:rPr>
                <w:rFonts w:ascii="Calibri" w:hAnsi="Calibri"/>
                <w:b w:val="0"/>
                <w:i w:val="0"/>
                <w:color w:val="212121"/>
                <w:sz w:val="16"/>
              </w:rPr>
              <w:t>&gt;= 150 min/week activity, limited sitting</w:t>
            </w:r>
          </w:p>
        </w:tc>
        <w:tc>
          <w:tcPr>
            <w:tcW w:type="dxa" w:w="950"/>
            <w:vAlign w:val="top"/>
          </w:tcPr>
          <w:p>
            <w:pPr>
              <w:spacing w:after="40" w:before="0" w:line="259" w:lineRule="auto"/>
            </w:pPr>
            <w:r>
              <w:rPr>
                <w:rFonts w:ascii="Calibri" w:hAnsi="Calibri"/>
                <w:b w:val="0"/>
                <w:i w:val="0"/>
                <w:color w:val="212121"/>
                <w:sz w:val="16"/>
              </w:rPr>
              <w:t>Inactive, prolonged sitting/screen time</w:t>
            </w:r>
          </w:p>
        </w:tc>
        <w:tc>
          <w:tcPr>
            <w:tcW w:type="dxa" w:w="1036"/>
            <w:vAlign w:val="top"/>
          </w:tcPr>
          <w:p>
            <w:pPr>
              <w:spacing w:after="40" w:before="0" w:line="259" w:lineRule="auto"/>
            </w:pPr>
            <w:r>
              <w:rPr>
                <w:rFonts w:ascii="Calibri" w:hAnsi="Calibri"/>
                <w:b w:val="0"/>
                <w:i w:val="0"/>
                <w:color w:val="212121"/>
                <w:sz w:val="16"/>
              </w:rPr>
              <w:t>Low activity and high sedentary time promote positive energy balance</w:t>
            </w:r>
          </w:p>
        </w:tc>
        <w:tc>
          <w:tcPr>
            <w:tcW w:type="dxa" w:w="1036"/>
            <w:vAlign w:val="top"/>
          </w:tcPr>
          <w:p>
            <w:pPr>
              <w:spacing w:after="40" w:before="0" w:line="259" w:lineRule="auto"/>
            </w:pPr>
            <w:r>
              <w:rPr>
                <w:rFonts w:ascii="Calibri" w:hAnsi="Calibri"/>
                <w:b w:val="0"/>
                <w:i w:val="0"/>
                <w:color w:val="212121"/>
                <w:sz w:val="16"/>
              </w:rPr>
              <w:t>Office/IT workers, homemakers, students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Both structured exercise and daily movement matter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Sleep and OSA screen</w:t>
            </w:r>
          </w:p>
        </w:tc>
        <w:tc>
          <w:tcPr>
            <w:tcW w:type="dxa" w:w="979"/>
            <w:vAlign w:val="top"/>
          </w:tcPr>
          <w:p>
            <w:pPr>
              <w:spacing w:after="40" w:before="0" w:line="259" w:lineRule="auto"/>
            </w:pPr>
            <w:r>
              <w:rPr>
                <w:rFonts w:ascii="Calibri" w:hAnsi="Calibri"/>
                <w:b w:val="0"/>
                <w:i w:val="0"/>
                <w:color w:val="212121"/>
                <w:sz w:val="16"/>
              </w:rPr>
              <w:t>Sleep hours/quality, snoring, daytime sleepiness (STOP-BANG)</w:t>
            </w:r>
          </w:p>
        </w:tc>
        <w:tc>
          <w:tcPr>
            <w:tcW w:type="dxa" w:w="950"/>
            <w:vAlign w:val="top"/>
          </w:tcPr>
          <w:p>
            <w:pPr>
              <w:spacing w:after="40" w:before="0" w:line="259" w:lineRule="auto"/>
            </w:pPr>
            <w:r>
              <w:rPr>
                <w:rFonts w:ascii="Calibri" w:hAnsi="Calibri"/>
                <w:b w:val="0"/>
                <w:i w:val="0"/>
                <w:color w:val="212121"/>
                <w:sz w:val="16"/>
              </w:rPr>
              <w:t>7-9 h, no snoring/apnoea</w:t>
            </w:r>
          </w:p>
        </w:tc>
        <w:tc>
          <w:tcPr>
            <w:tcW w:type="dxa" w:w="950"/>
            <w:vAlign w:val="top"/>
          </w:tcPr>
          <w:p>
            <w:pPr>
              <w:spacing w:after="40" w:before="0" w:line="259" w:lineRule="auto"/>
            </w:pPr>
            <w:r>
              <w:rPr>
                <w:rFonts w:ascii="Calibri" w:hAnsi="Calibri"/>
                <w:b w:val="0"/>
                <w:i w:val="0"/>
                <w:color w:val="212121"/>
                <w:sz w:val="16"/>
              </w:rPr>
              <w:t>&lt; 6 h, loud snoring, witnessed apnoea, sleepiness</w:t>
            </w:r>
          </w:p>
        </w:tc>
        <w:tc>
          <w:tcPr>
            <w:tcW w:type="dxa" w:w="1036"/>
            <w:vAlign w:val="top"/>
          </w:tcPr>
          <w:p>
            <w:pPr>
              <w:spacing w:after="40" w:before="0" w:line="259" w:lineRule="auto"/>
            </w:pPr>
            <w:r>
              <w:rPr>
                <w:rFonts w:ascii="Calibri" w:hAnsi="Calibri"/>
                <w:b w:val="0"/>
                <w:i w:val="0"/>
                <w:color w:val="212121"/>
                <w:sz w:val="16"/>
              </w:rPr>
              <w:t>Short sleep promotes obesity; screens for obstructive sleep apnoea</w:t>
            </w:r>
          </w:p>
        </w:tc>
        <w:tc>
          <w:tcPr>
            <w:tcW w:type="dxa" w:w="1036"/>
            <w:vAlign w:val="top"/>
          </w:tcPr>
          <w:p>
            <w:pPr>
              <w:spacing w:after="40" w:before="0" w:line="259" w:lineRule="auto"/>
            </w:pPr>
            <w:r>
              <w:rPr>
                <w:rFonts w:ascii="Calibri" w:hAnsi="Calibri"/>
                <w:b w:val="0"/>
                <w:i w:val="0"/>
                <w:color w:val="212121"/>
                <w:sz w:val="16"/>
              </w:rPr>
              <w:t>Obese adults, snorers, shift workers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Refer for sleep study if OSA suspected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drug and secondary-cause history</w:t>
            </w:r>
          </w:p>
        </w:tc>
        <w:tc>
          <w:tcPr>
            <w:tcW w:type="dxa" w:w="979"/>
            <w:vAlign w:val="top"/>
          </w:tcPr>
          <w:p>
            <w:pPr>
              <w:spacing w:after="40" w:before="0" w:line="259" w:lineRule="auto"/>
            </w:pPr>
            <w:r>
              <w:rPr>
                <w:rFonts w:ascii="Calibri" w:hAnsi="Calibri"/>
                <w:b w:val="0"/>
                <w:i w:val="0"/>
                <w:color w:val="212121"/>
                <w:sz w:val="16"/>
              </w:rPr>
              <w:t>Parental obesity; steroids, antipsychotics, insulin; thyroid/PCOS/Cushing features</w:t>
            </w:r>
          </w:p>
        </w:tc>
        <w:tc>
          <w:tcPr>
            <w:tcW w:type="dxa" w:w="950"/>
            <w:vAlign w:val="top"/>
          </w:tcPr>
          <w:p>
            <w:pPr>
              <w:spacing w:after="40" w:before="0" w:line="259" w:lineRule="auto"/>
            </w:pPr>
            <w:r>
              <w:rPr>
                <w:rFonts w:ascii="Calibri" w:hAnsi="Calibri"/>
                <w:b w:val="0"/>
                <w:i w:val="0"/>
                <w:color w:val="212121"/>
                <w:sz w:val="16"/>
              </w:rPr>
              <w:t>No family history or relevant drugs/conditions</w:t>
            </w:r>
          </w:p>
        </w:tc>
        <w:tc>
          <w:tcPr>
            <w:tcW w:type="dxa" w:w="950"/>
            <w:vAlign w:val="top"/>
          </w:tcPr>
          <w:p>
            <w:pPr>
              <w:spacing w:after="40" w:before="0" w:line="259" w:lineRule="auto"/>
            </w:pPr>
            <w:r>
              <w:rPr>
                <w:rFonts w:ascii="Calibri" w:hAnsi="Calibri"/>
                <w:b w:val="0"/>
                <w:i w:val="0"/>
                <w:color w:val="212121"/>
                <w:sz w:val="16"/>
              </w:rPr>
              <w:t>Strong family history or relevant drug/endocrine cause</w:t>
            </w:r>
          </w:p>
        </w:tc>
        <w:tc>
          <w:tcPr>
            <w:tcW w:type="dxa" w:w="1036"/>
            <w:vAlign w:val="top"/>
          </w:tcPr>
          <w:p>
            <w:pPr>
              <w:spacing w:after="40" w:before="0" w:line="259" w:lineRule="auto"/>
            </w:pPr>
            <w:r>
              <w:rPr>
                <w:rFonts w:ascii="Calibri" w:hAnsi="Calibri"/>
                <w:b w:val="0"/>
                <w:i w:val="0"/>
                <w:color w:val="212121"/>
                <w:sz w:val="16"/>
              </w:rPr>
              <w:t>Identifies genetic risk and reversible secondary or iatrogenic causes</w:t>
            </w:r>
          </w:p>
        </w:tc>
        <w:tc>
          <w:tcPr>
            <w:tcW w:type="dxa" w:w="1036"/>
            <w:vAlign w:val="top"/>
          </w:tcPr>
          <w:p>
            <w:pPr>
              <w:spacing w:after="40" w:before="0" w:line="259" w:lineRule="auto"/>
            </w:pPr>
            <w:r>
              <w:rPr>
                <w:rFonts w:ascii="Calibri" w:hAnsi="Calibri"/>
                <w:b w:val="0"/>
                <w:i w:val="0"/>
                <w:color w:val="212121"/>
                <w:sz w:val="16"/>
              </w:rPr>
              <w:t>Young-onset or rapid weight gain, women with menstrual irregularity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Prompts targeted endocrine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Anthropometry and fat distribution</w:t>
            </w:r>
          </w:p>
        </w:tc>
        <w:tc>
          <w:tcPr>
            <w:tcW w:type="dxa" w:w="979"/>
            <w:vAlign w:val="top"/>
          </w:tcPr>
          <w:p>
            <w:pPr>
              <w:spacing w:after="40" w:before="0" w:line="259" w:lineRule="auto"/>
            </w:pPr>
            <w:r>
              <w:rPr>
                <w:rFonts w:ascii="Calibri" w:hAnsi="Calibri"/>
                <w:b w:val="0"/>
                <w:i w:val="0"/>
                <w:color w:val="212121"/>
                <w:sz w:val="16"/>
              </w:rPr>
              <w:t>BMI, waist circumference, waist-hip ratio, android vs gynoid pattern</w:t>
            </w:r>
          </w:p>
        </w:tc>
        <w:tc>
          <w:tcPr>
            <w:tcW w:type="dxa" w:w="950"/>
            <w:vAlign w:val="top"/>
          </w:tcPr>
          <w:p>
            <w:pPr>
              <w:spacing w:after="40" w:before="0" w:line="259" w:lineRule="auto"/>
            </w:pPr>
            <w:r>
              <w:rPr>
                <w:rFonts w:ascii="Calibri" w:hAnsi="Calibri"/>
                <w:b w:val="0"/>
                <w:i w:val="0"/>
                <w:color w:val="212121"/>
                <w:sz w:val="16"/>
              </w:rPr>
              <w:t>BMI &lt; 23; waist M &lt; 90, F &lt; 80 cm</w:t>
            </w:r>
          </w:p>
        </w:tc>
        <w:tc>
          <w:tcPr>
            <w:tcW w:type="dxa" w:w="950"/>
            <w:vAlign w:val="top"/>
          </w:tcPr>
          <w:p>
            <w:pPr>
              <w:spacing w:after="40" w:before="0" w:line="259" w:lineRule="auto"/>
            </w:pPr>
            <w:r>
              <w:rPr>
                <w:rFonts w:ascii="Calibri" w:hAnsi="Calibri"/>
                <w:b w:val="0"/>
                <w:i w:val="0"/>
                <w:color w:val="212121"/>
                <w:sz w:val="16"/>
              </w:rPr>
              <w:t>BMI &gt;= 25; central (android) fat distribution</w:t>
            </w:r>
          </w:p>
        </w:tc>
        <w:tc>
          <w:tcPr>
            <w:tcW w:type="dxa" w:w="1036"/>
            <w:vAlign w:val="top"/>
          </w:tcPr>
          <w:p>
            <w:pPr>
              <w:spacing w:after="40" w:before="0" w:line="259" w:lineRule="auto"/>
            </w:pPr>
            <w:r>
              <w:rPr>
                <w:rFonts w:ascii="Calibri" w:hAnsi="Calibri"/>
                <w:b w:val="0"/>
                <w:i w:val="0"/>
                <w:color w:val="212121"/>
                <w:sz w:val="16"/>
              </w:rPr>
              <w:t>Grades obesity and highlights the high-risk central pattern</w:t>
            </w:r>
          </w:p>
        </w:tc>
        <w:tc>
          <w:tcPr>
            <w:tcW w:type="dxa" w:w="1036"/>
            <w:vAlign w:val="top"/>
          </w:tcPr>
          <w:p>
            <w:pPr>
              <w:spacing w:after="40" w:before="0" w:line="259" w:lineRule="auto"/>
            </w:pPr>
            <w:r>
              <w:rPr>
                <w:rFonts w:ascii="Calibri" w:hAnsi="Calibri"/>
                <w:b w:val="0"/>
                <w:i w:val="0"/>
                <w:color w:val="212121"/>
                <w:sz w:val="16"/>
              </w:rPr>
              <w:t>All at-risk adults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Use Asian-Indian cut-offs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Signs of insulin resistance and secondary causes</w:t>
            </w:r>
          </w:p>
        </w:tc>
        <w:tc>
          <w:tcPr>
            <w:tcW w:type="dxa" w:w="979"/>
            <w:vAlign w:val="top"/>
          </w:tcPr>
          <w:p>
            <w:pPr>
              <w:spacing w:after="40" w:before="0" w:line="259" w:lineRule="auto"/>
            </w:pPr>
            <w:r>
              <w:rPr>
                <w:rFonts w:ascii="Calibri" w:hAnsi="Calibri"/>
                <w:b w:val="0"/>
                <w:i w:val="0"/>
                <w:color w:val="212121"/>
                <w:sz w:val="16"/>
              </w:rPr>
              <w:t>Acanthosis nigricans, skin tags, striae, moon face, goitre, hirsutism</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(e.g., acanthosis, purple striae, goitre)</w:t>
            </w:r>
          </w:p>
        </w:tc>
        <w:tc>
          <w:tcPr>
            <w:tcW w:type="dxa" w:w="1036"/>
            <w:vAlign w:val="top"/>
          </w:tcPr>
          <w:p>
            <w:pPr>
              <w:spacing w:after="40" w:before="0" w:line="259" w:lineRule="auto"/>
            </w:pPr>
            <w:r>
              <w:rPr>
                <w:rFonts w:ascii="Calibri" w:hAnsi="Calibri"/>
                <w:b w:val="0"/>
                <w:i w:val="0"/>
                <w:color w:val="212121"/>
                <w:sz w:val="16"/>
              </w:rPr>
              <w:t>Point to insulin resistance or an endocrine secondary cause</w:t>
            </w:r>
          </w:p>
        </w:tc>
        <w:tc>
          <w:tcPr>
            <w:tcW w:type="dxa" w:w="1036"/>
            <w:vAlign w:val="top"/>
          </w:tcPr>
          <w:p>
            <w:pPr>
              <w:spacing w:after="40" w:before="0" w:line="259" w:lineRule="auto"/>
            </w:pPr>
            <w:r>
              <w:rPr>
                <w:rFonts w:ascii="Calibri" w:hAnsi="Calibri"/>
                <w:b w:val="0"/>
                <w:i w:val="0"/>
                <w:color w:val="212121"/>
                <w:sz w:val="16"/>
              </w:rPr>
              <w:t>Central obesity, PCOS, suspected Cushing/hypothyroid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Purple striae and moon face suggest Cushing syndrome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Often asymptomatic / weight gain noticed only cosmetically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Uncomplicated obesity may cause few symptoms and is frequently detected on measurement or for comorbidity screening.</w:t>
            </w:r>
          </w:p>
        </w:tc>
      </w:tr>
      <w:tr>
        <w:trPr>
          <w:cantSplit/>
        </w:trPr>
        <w:tc>
          <w:tcPr>
            <w:tcW w:type="dxa" w:w="2304"/>
            <w:vAlign w:val="top"/>
          </w:tcPr>
          <w:p>
            <w:pPr>
              <w:spacing w:after="40" w:before="0" w:line="259" w:lineRule="auto"/>
            </w:pPr>
            <w:r>
              <w:rPr>
                <w:rFonts w:ascii="Calibri" w:hAnsi="Calibri"/>
                <w:b/>
                <w:i w:val="0"/>
                <w:color w:val="212121"/>
                <w:sz w:val="19"/>
              </w:rPr>
              <w:t>Breathlessness and 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Excess weight and deconditioning increase the work of breathing and limit exertion.</w:t>
            </w:r>
          </w:p>
        </w:tc>
      </w:tr>
      <w:tr>
        <w:trPr>
          <w:cantSplit/>
        </w:trPr>
        <w:tc>
          <w:tcPr>
            <w:tcW w:type="dxa" w:w="2304"/>
            <w:vAlign w:val="top"/>
          </w:tcPr>
          <w:p>
            <w:pPr>
              <w:spacing w:after="40" w:before="0" w:line="259" w:lineRule="auto"/>
            </w:pPr>
            <w:r>
              <w:rPr>
                <w:rFonts w:ascii="Calibri" w:hAnsi="Calibri"/>
                <w:b/>
                <w:i w:val="0"/>
                <w:color w:val="212121"/>
                <w:sz w:val="19"/>
              </w:rPr>
              <w:t>Excessive daytime sleepiness and loud snoring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Suggests obstructive sleep apnoea from upper-airway fat deposition.</w:t>
            </w:r>
          </w:p>
        </w:tc>
      </w:tr>
      <w:tr>
        <w:trPr>
          <w:cantSplit/>
        </w:trPr>
        <w:tc>
          <w:tcPr>
            <w:tcW w:type="dxa" w:w="2304"/>
            <w:vAlign w:val="top"/>
          </w:tcPr>
          <w:p>
            <w:pPr>
              <w:spacing w:after="40" w:before="0" w:line="259" w:lineRule="auto"/>
            </w:pPr>
            <w:r>
              <w:rPr>
                <w:rFonts w:ascii="Calibri" w:hAnsi="Calibri"/>
                <w:b/>
                <w:i w:val="0"/>
                <w:color w:val="212121"/>
                <w:sz w:val="19"/>
              </w:rPr>
              <w:t>Joint pain (knees, hips, low back)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Mechanical overloading of weight-bearing joints causes and accelerates osteoarthritis.</w:t>
            </w:r>
          </w:p>
        </w:tc>
      </w:tr>
      <w:tr>
        <w:trPr>
          <w:cantSplit/>
        </w:trPr>
        <w:tc>
          <w:tcPr>
            <w:tcW w:type="dxa" w:w="2304"/>
            <w:vAlign w:val="top"/>
          </w:tcPr>
          <w:p>
            <w:pPr>
              <w:spacing w:after="40" w:before="0" w:line="259" w:lineRule="auto"/>
            </w:pPr>
            <w:r>
              <w:rPr>
                <w:rFonts w:ascii="Calibri" w:hAnsi="Calibri"/>
                <w:b/>
                <w:i w:val="0"/>
                <w:color w:val="212121"/>
                <w:sz w:val="19"/>
              </w:rPr>
              <w:t>Fatigue and low stamina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deconditioning, poor sleep and often coexisting metabolic disturbance.</w:t>
            </w:r>
          </w:p>
        </w:tc>
      </w:tr>
      <w:tr>
        <w:trPr>
          <w:cantSplit/>
        </w:trPr>
        <w:tc>
          <w:tcPr>
            <w:tcW w:type="dxa" w:w="2304"/>
            <w:vAlign w:val="top"/>
          </w:tcPr>
          <w:p>
            <w:pPr>
              <w:spacing w:after="40" w:before="0" w:line="259" w:lineRule="auto"/>
            </w:pPr>
            <w:r>
              <w:rPr>
                <w:rFonts w:ascii="Calibri" w:hAnsi="Calibri"/>
                <w:b/>
                <w:i w:val="0"/>
                <w:color w:val="212121"/>
                <w:sz w:val="19"/>
              </w:rPr>
              <w:t>Excessive sweating and heat intolerance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Adipose insulation and higher metabolic workload increase heat production.</w:t>
            </w:r>
          </w:p>
        </w:tc>
      </w:tr>
      <w:tr>
        <w:trPr>
          <w:cantSplit/>
        </w:trPr>
        <w:tc>
          <w:tcPr>
            <w:tcW w:type="dxa" w:w="2304"/>
            <w:vAlign w:val="top"/>
          </w:tcPr>
          <w:p>
            <w:pPr>
              <w:spacing w:after="40" w:before="0" w:line="259" w:lineRule="auto"/>
            </w:pPr>
            <w:r>
              <w:rPr>
                <w:rFonts w:ascii="Calibri" w:hAnsi="Calibri"/>
                <w:b/>
                <w:i w:val="0"/>
                <w:color w:val="212121"/>
                <w:sz w:val="19"/>
              </w:rPr>
              <w:t>Low mood, low self-esteem or anxiety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Psychological distress and weight stigma commonly accompany obesity and can be bidirectional.</w:t>
            </w:r>
          </w:p>
        </w:tc>
      </w:tr>
      <w:tr>
        <w:trPr>
          <w:cantSplit/>
        </w:trPr>
        <w:tc>
          <w:tcPr>
            <w:tcW w:type="dxa" w:w="2304"/>
            <w:vAlign w:val="top"/>
          </w:tcPr>
          <w:p>
            <w:pPr>
              <w:spacing w:after="40" w:before="0" w:line="259" w:lineRule="auto"/>
            </w:pPr>
            <w:r>
              <w:rPr>
                <w:rFonts w:ascii="Calibri" w:hAnsi="Calibri"/>
                <w:b/>
                <w:i w:val="0"/>
                <w:color w:val="212121"/>
                <w:sz w:val="19"/>
              </w:rPr>
              <w:t>Heartburn / acid reflux</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Raised intra-abdominal pressure promotes gastro-oesophageal reflux.</w:t>
            </w:r>
          </w:p>
        </w:tc>
      </w:tr>
      <w:tr>
        <w:trPr>
          <w:cantSplit/>
        </w:trPr>
        <w:tc>
          <w:tcPr>
            <w:tcW w:type="dxa" w:w="2304"/>
            <w:vAlign w:val="top"/>
          </w:tcPr>
          <w:p>
            <w:pPr>
              <w:spacing w:after="40" w:before="0" w:line="259" w:lineRule="auto"/>
            </w:pPr>
            <w:r>
              <w:rPr>
                <w:rFonts w:ascii="Calibri" w:hAnsi="Calibri"/>
                <w:b/>
                <w:i w:val="0"/>
                <w:color w:val="212121"/>
                <w:sz w:val="19"/>
              </w:rPr>
              <w:t>Menstrual irregularity and reduced fertility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Adiposity-related hormonal changes, often with PCOS, disturb ovulation.</w:t>
            </w:r>
          </w:p>
        </w:tc>
      </w:tr>
      <w:tr>
        <w:trPr>
          <w:cantSplit/>
        </w:trPr>
        <w:tc>
          <w:tcPr>
            <w:tcW w:type="dxa" w:w="2304"/>
            <w:vAlign w:val="top"/>
          </w:tcPr>
          <w:p>
            <w:pPr>
              <w:spacing w:after="40" w:before="0" w:line="259" w:lineRule="auto"/>
            </w:pPr>
            <w:r>
              <w:rPr>
                <w:rFonts w:ascii="Calibri" w:hAnsi="Calibri"/>
                <w:b/>
                <w:i w:val="0"/>
                <w:color w:val="212121"/>
                <w:sz w:val="19"/>
              </w:rPr>
              <w:t>Skin chafing, rashes and fold infections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Intertrigo and fungal/bacterial infection develop in moist skin folds.</w:t>
            </w:r>
          </w:p>
        </w:tc>
      </w:tr>
      <w:tr>
        <w:trPr>
          <w:cantSplit/>
        </w:trPr>
        <w:tc>
          <w:tcPr>
            <w:tcW w:type="dxa" w:w="2304"/>
            <w:vAlign w:val="top"/>
          </w:tcPr>
          <w:p>
            <w:pPr>
              <w:spacing w:after="40" w:before="0" w:line="259" w:lineRule="auto"/>
            </w:pPr>
            <w:r>
              <w:rPr>
                <w:rFonts w:ascii="Calibri" w:hAnsi="Calibri"/>
                <w:b/>
                <w:i w:val="0"/>
                <w:color w:val="212121"/>
                <w:sz w:val="19"/>
              </w:rPr>
              <w:t>Erectile dysfunction (men)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Linked to vascular disease, low testosterone and insulin resistance.</w:t>
            </w:r>
          </w:p>
        </w:tc>
      </w:tr>
      <w:tr>
        <w:trPr>
          <w:cantSplit/>
        </w:trPr>
        <w:tc>
          <w:tcPr>
            <w:tcW w:type="dxa" w:w="2304"/>
            <w:vAlign w:val="top"/>
          </w:tcPr>
          <w:p>
            <w:pPr>
              <w:spacing w:after="40" w:before="0" w:line="259" w:lineRule="auto"/>
            </w:pPr>
            <w:r>
              <w:rPr>
                <w:rFonts w:ascii="Calibri" w:hAnsi="Calibri"/>
                <w:b/>
                <w:i w:val="0"/>
                <w:color w:val="212121"/>
                <w:sz w:val="19"/>
              </w:rPr>
              <w:t>Stress urinary incontinence (women)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Raised intra-abdominal pressure weakens pelvic-floor continence mechanisms.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Elevated BMI (&gt;= 25 kg/m2, Asian-Indian)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marker of generalised obesity on measured weight and height.</w:t>
            </w:r>
          </w:p>
        </w:tc>
      </w:tr>
      <w:tr>
        <w:trPr>
          <w:cantSplit/>
        </w:trPr>
        <w:tc>
          <w:tcPr>
            <w:tcW w:type="dxa" w:w="3456"/>
            <w:vAlign w:val="top"/>
          </w:tcPr>
          <w:p>
            <w:pPr>
              <w:spacing w:after="40" w:before="0" w:line="259" w:lineRule="auto"/>
            </w:pPr>
            <w:r>
              <w:rPr>
                <w:rFonts w:ascii="Calibri" w:hAnsi="Calibri"/>
                <w:b/>
                <w:i w:val="0"/>
                <w:color w:val="212121"/>
                <w:sz w:val="19"/>
              </w:rPr>
              <w:t>Increased waist circumference (M &gt;= 90, F &gt;= 80 cm)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Indicates abdominal/visceral obesity, the highest-risk pattern.</w:t>
            </w:r>
          </w:p>
        </w:tc>
      </w:tr>
      <w:tr>
        <w:trPr>
          <w:cantSplit/>
        </w:trPr>
        <w:tc>
          <w:tcPr>
            <w:tcW w:type="dxa" w:w="3456"/>
            <w:vAlign w:val="top"/>
          </w:tcPr>
          <w:p>
            <w:pPr>
              <w:spacing w:after="40" w:before="0" w:line="259" w:lineRule="auto"/>
            </w:pPr>
            <w:r>
              <w:rPr>
                <w:rFonts w:ascii="Calibri" w:hAnsi="Calibri"/>
                <w:b/>
                <w:i w:val="0"/>
                <w:color w:val="212121"/>
                <w:sz w:val="19"/>
              </w:rPr>
              <w:t>Central (android) fat distribution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Truncal, apple-shaped fat predominance typical of Asian Indians.</w:t>
            </w:r>
          </w:p>
        </w:tc>
      </w:tr>
      <w:tr>
        <w:trPr>
          <w:cantSplit/>
        </w:trPr>
        <w:tc>
          <w:tcPr>
            <w:tcW w:type="dxa" w:w="3456"/>
            <w:vAlign w:val="top"/>
          </w:tcPr>
          <w:p>
            <w:pPr>
              <w:spacing w:after="40" w:before="0" w:line="259" w:lineRule="auto"/>
            </w:pPr>
            <w:r>
              <w:rPr>
                <w:rFonts w:ascii="Calibri" w:hAnsi="Calibri"/>
                <w:b/>
                <w:i w:val="0"/>
                <w:color w:val="212121"/>
                <w:sz w:val="19"/>
              </w:rPr>
              <w:t>Acanthosis nigricans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Velvety hyperpigmentation at neck/axillae signalling insulin resistance.</w:t>
            </w:r>
          </w:p>
        </w:tc>
      </w:tr>
      <w:tr>
        <w:trPr>
          <w:cantSplit/>
        </w:trPr>
        <w:tc>
          <w:tcPr>
            <w:tcW w:type="dxa" w:w="3456"/>
            <w:vAlign w:val="top"/>
          </w:tcPr>
          <w:p>
            <w:pPr>
              <w:spacing w:after="40" w:before="0" w:line="259" w:lineRule="auto"/>
            </w:pPr>
            <w:r>
              <w:rPr>
                <w:rFonts w:ascii="Calibri" w:hAnsi="Calibri"/>
                <w:b/>
                <w:i w:val="0"/>
                <w:color w:val="212121"/>
                <w:sz w:val="19"/>
              </w:rPr>
              <w:t>Skin tags (acrochordons)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Common at neck and folds; associated with insulin resistance.</w:t>
            </w:r>
          </w:p>
        </w:tc>
      </w:tr>
      <w:tr>
        <w:trPr>
          <w:cantSplit/>
        </w:trPr>
        <w:tc>
          <w:tcPr>
            <w:tcW w:type="dxa" w:w="3456"/>
            <w:vAlign w:val="top"/>
          </w:tcPr>
          <w:p>
            <w:pPr>
              <w:spacing w:after="40" w:before="0" w:line="259" w:lineRule="auto"/>
            </w:pPr>
            <w:r>
              <w:rPr>
                <w:rFonts w:ascii="Calibri" w:hAnsi="Calibri"/>
                <w:b/>
                <w:i w:val="0"/>
                <w:color w:val="212121"/>
                <w:sz w:val="19"/>
              </w:rPr>
              <w:t>Elevated blood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Obesity-related hypertension via sympathetic and renal mechanisms.</w:t>
            </w:r>
          </w:p>
        </w:tc>
      </w:tr>
      <w:tr>
        <w:trPr>
          <w:cantSplit/>
        </w:trPr>
        <w:tc>
          <w:tcPr>
            <w:tcW w:type="dxa" w:w="3456"/>
            <w:vAlign w:val="top"/>
          </w:tcPr>
          <w:p>
            <w:pPr>
              <w:spacing w:after="40" w:before="0" w:line="259" w:lineRule="auto"/>
            </w:pPr>
            <w:r>
              <w:rPr>
                <w:rFonts w:ascii="Calibri" w:hAnsi="Calibri"/>
                <w:b/>
                <w:i w:val="0"/>
                <w:color w:val="212121"/>
                <w:sz w:val="19"/>
              </w:rPr>
              <w:t>Striae (stretch marks)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rapid tissue expansion; purple/broad striae raise suspicion of Cushing syndrome.</w:t>
            </w:r>
          </w:p>
        </w:tc>
      </w:tr>
      <w:tr>
        <w:trPr>
          <w:cantSplit/>
        </w:trPr>
        <w:tc>
          <w:tcPr>
            <w:tcW w:type="dxa" w:w="3456"/>
            <w:vAlign w:val="top"/>
          </w:tcPr>
          <w:p>
            <w:pPr>
              <w:spacing w:after="40" w:before="0" w:line="259" w:lineRule="auto"/>
            </w:pPr>
            <w:r>
              <w:rPr>
                <w:rFonts w:ascii="Calibri" w:hAnsi="Calibri"/>
                <w:b/>
                <w:i w:val="0"/>
                <w:color w:val="212121"/>
                <w:sz w:val="19"/>
              </w:rPr>
              <w:t>Intertrigo / skin-fold candidiasis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Moist macerated fold infection secondary to excess adiposity.</w:t>
            </w:r>
          </w:p>
        </w:tc>
      </w:tr>
      <w:tr>
        <w:trPr>
          <w:cantSplit/>
        </w:trPr>
        <w:tc>
          <w:tcPr>
            <w:tcW w:type="dxa" w:w="3456"/>
            <w:vAlign w:val="top"/>
          </w:tcPr>
          <w:p>
            <w:pPr>
              <w:spacing w:after="40" w:before="0" w:line="259" w:lineRule="auto"/>
            </w:pPr>
            <w:r>
              <w:rPr>
                <w:rFonts w:ascii="Calibri" w:hAnsi="Calibri"/>
                <w:b/>
                <w:i w:val="0"/>
                <w:color w:val="212121"/>
                <w:sz w:val="19"/>
              </w:rPr>
              <w:t>Hepatomegaly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Enlarged, often fatty liver reflecting NAFLD.</w:t>
            </w:r>
          </w:p>
        </w:tc>
      </w:tr>
      <w:tr>
        <w:trPr>
          <w:cantSplit/>
        </w:trPr>
        <w:tc>
          <w:tcPr>
            <w:tcW w:type="dxa" w:w="3456"/>
            <w:vAlign w:val="top"/>
          </w:tcPr>
          <w:p>
            <w:pPr>
              <w:spacing w:after="40" w:before="0" w:line="259" w:lineRule="auto"/>
            </w:pPr>
            <w:r>
              <w:rPr>
                <w:rFonts w:ascii="Calibri" w:hAnsi="Calibri"/>
                <w:b/>
                <w:i w:val="0"/>
                <w:color w:val="212121"/>
                <w:sz w:val="19"/>
              </w:rPr>
              <w:t>Dependent oedema / venous changes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raised intra-abdominal pressure, immobility and venous insufficiency.</w:t>
            </w:r>
          </w:p>
        </w:tc>
      </w:tr>
      <w:tr>
        <w:trPr>
          <w:cantSplit/>
        </w:trPr>
        <w:tc>
          <w:tcPr>
            <w:tcW w:type="dxa" w:w="3456"/>
            <w:vAlign w:val="top"/>
          </w:tcPr>
          <w:p>
            <w:pPr>
              <w:spacing w:after="40" w:before="0" w:line="259" w:lineRule="auto"/>
            </w:pPr>
            <w:r>
              <w:rPr>
                <w:rFonts w:ascii="Calibri" w:hAnsi="Calibri"/>
                <w:b/>
                <w:i w:val="0"/>
                <w:color w:val="212121"/>
                <w:sz w:val="19"/>
              </w:rPr>
              <w:t>Moon face, dorsocervical fat pad (buffalo hump), purple striae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 Cushing syndrome as a secondary cause of obesity.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Insulin resistance and the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Atherogenic dyslipidemia (high triglycerides, low HDL) and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Hepatic and visceral fat accumulation (hepatic steatosis)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Mechanical overloading of weight-bearing joints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ventilatory capacity and obstructive sleep apnoea</w:t>
            </w:r>
          </w:p>
        </w:tc>
        <w:tc>
          <w:tcPr>
            <w:tcW w:type="dxa" w:w="2980"/>
            <w:vAlign w:val="top"/>
          </w:tcPr>
          <w:p>
            <w:pPr>
              <w:spacing w:after="40" w:before="0" w:line="259" w:lineRule="auto"/>
            </w:pPr>
            <w:r>
              <w:rPr>
                <w:rFonts w:ascii="Calibri" w:hAnsi="Calibri"/>
                <w:b w:val="0"/>
                <w:i w:val="0"/>
                <w:color w:val="212121"/>
                <w:sz w:val="19"/>
              </w:rPr>
              <w:t>Direct metabolic and mechanical consequences of excess adiposity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2 diabetes mellitus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Coronary artery disease, stroke and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Non-alcoholic fatty liver disease / steatohepatitis (NAFLD/NASH)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Osteoarthritis (knees, hips)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sleep apnoea and obesity hypoventilation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PCOS, subfertility and pregnancy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Gallstones and gastro-oesophageal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Obesity-related cancers (breast, endometrial, colon, 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w:t>
            </w:r>
          </w:p>
        </w:tc>
        <w:tc>
          <w:tcPr>
            <w:tcW w:type="dxa" w:w="2980"/>
            <w:vAlign w:val="top"/>
          </w:tcPr>
          <w:p>
            <w:pPr>
              <w:spacing w:after="40" w:before="0" w:line="259" w:lineRule="auto"/>
            </w:pPr>
            <w:r>
              <w:rPr>
                <w:rFonts w:ascii="Calibri" w:hAnsi="Calibri"/>
                <w:b w:val="0"/>
                <w:i w:val="0"/>
                <w:color w:val="212121"/>
                <w:sz w:val="19"/>
              </w:rPr>
              <w:t>Organ diseases arising from sustained obesity and its metabolic effects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Cirrhosis and hepatocellular carcinoma from NASH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Myocardial infarction, disabling stroke and cardiovascular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joint disease requiring arthroplasty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 failure from obesity hypoventilation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renal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disability and shortened life expectancy</w:t>
            </w:r>
          </w:p>
        </w:tc>
        <w:tc>
          <w:tcPr>
            <w:tcW w:type="dxa" w:w="2980"/>
            <w:vAlign w:val="top"/>
          </w:tcPr>
          <w:p>
            <w:pPr>
              <w:spacing w:after="40" w:before="0" w:line="259" w:lineRule="auto"/>
            </w:pPr>
            <w:r>
              <w:rPr>
                <w:rFonts w:ascii="Calibri" w:hAnsi="Calibri"/>
                <w:b w:val="0"/>
                <w:i w:val="0"/>
                <w:color w:val="212121"/>
                <w:sz w:val="19"/>
              </w:rPr>
              <w:t>Irreversible, disabling or fatal end-stage outcomes of longstanding obesity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Type 2 diabetes mellitus / prediabetes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Obesity, especially visceral fat, is the strongest modifiable driver of insulin resistance and type 2 diabetes; the metabolically-obese-normal-weight phenotype carries about 2.7 times higher odds of diabetes.</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Frequently coexists as part of the metabolic syndrome through sympathetic activation and sodium retention; national hypertension prevalence is about 35.5%.</w:t>
            </w:r>
          </w:p>
          <w:p>
            <w:pPr>
              <w:spacing w:after="40" w:before="0" w:line="259" w:lineRule="auto"/>
            </w:pPr>
            <w:r>
              <w:rPr>
                <w:rFonts w:ascii="Calibri" w:hAnsi="Calibri"/>
                <w:b/>
                <w:i w:val="0"/>
                <w:color w:val="212121"/>
                <w:sz w:val="19"/>
              </w:rPr>
              <w:t>~35.5% (national)</w:t>
            </w:r>
          </w:p>
        </w:tc>
      </w:tr>
      <w:tr>
        <w:trPr>
          <w:cantSplit/>
        </w:trPr>
        <w:tc>
          <w:tcPr>
            <w:tcW w:type="dxa" w:w="2232"/>
            <w:vAlign w:val="top"/>
          </w:tcPr>
          <w:p>
            <w:pPr>
              <w:spacing w:after="40" w:before="0" w:line="259" w:lineRule="auto"/>
            </w:pPr>
            <w:r>
              <w:rPr>
                <w:rFonts w:ascii="Calibri" w:hAnsi="Calibri"/>
                <w:b/>
                <w:i w:val="0"/>
                <w:color w:val="212121"/>
                <w:sz w:val="19"/>
              </w:rPr>
              <w:t>Atherogenic dyslipidemia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Central obesity raises triglycerides and lowers HDL, producing small dense LDL and high cardiovascular risk.</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 (NAFLD/MASLD)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Very common in obese Indians; community ultrasound prevalence reached about 65% and central obesity is an independent predictor.</w:t>
            </w:r>
          </w:p>
          <w:p>
            <w:pPr>
              <w:spacing w:after="40" w:before="0" w:line="259" w:lineRule="auto"/>
            </w:pPr>
            <w:r>
              <w:rPr>
                <w:rFonts w:ascii="Calibri" w:hAnsi="Calibri"/>
                <w:b/>
                <w:i w:val="0"/>
                <w:color w:val="212121"/>
                <w:sz w:val="19"/>
              </w:rPr>
              <w:t>Up to ~65%</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Upper-airway and abdominal fat drive OSA; prevalence in Indian adults is about 11% overall and higher in obese men (about 13%).</w:t>
            </w:r>
          </w:p>
          <w:p>
            <w:pPr>
              <w:spacing w:after="40" w:before="0" w:line="259" w:lineRule="auto"/>
            </w:pPr>
            <w:r>
              <w:rPr>
                <w:rFonts w:ascii="Calibri" w:hAnsi="Calibri"/>
                <w:b/>
                <w:i w:val="0"/>
                <w:color w:val="212121"/>
                <w:sz w:val="19"/>
              </w:rPr>
              <w:t>~11% adults (13% men)</w:t>
            </w:r>
          </w:p>
        </w:tc>
      </w:tr>
      <w:tr>
        <w:trPr>
          <w:cantSplit/>
        </w:trPr>
        <w:tc>
          <w:tcPr>
            <w:tcW w:type="dxa" w:w="2232"/>
            <w:vAlign w:val="top"/>
          </w:tcPr>
          <w:p>
            <w:pPr>
              <w:spacing w:after="40" w:before="0" w:line="259" w:lineRule="auto"/>
            </w:pPr>
            <w:r>
              <w:rPr>
                <w:rFonts w:ascii="Calibri" w:hAnsi="Calibri"/>
                <w:b/>
                <w:i w:val="0"/>
                <w:color w:val="212121"/>
                <w:sz w:val="19"/>
              </w:rPr>
              <w:t>Osteoarthritis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Mechanical joint overloading plus inflammatory adipokines accelerate knee and hip osteoarthritis.</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Insulin resistance links obesity with PCOS, menstrual irregularity and subfertility in young women.</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Both a secondary cause of and frequent comorbidity with obesity; warrants TSH screening.</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Bidirectional relationship through inflammatory, behavioural and weight-stigma pathways.</w:t>
            </w:r>
          </w:p>
        </w:tc>
      </w:tr>
      <w:tr>
        <w:trPr>
          <w:cantSplit/>
        </w:trPr>
        <w:tc>
          <w:tcPr>
            <w:tcW w:type="dxa" w:w="2232"/>
            <w:vAlign w:val="top"/>
          </w:tcPr>
          <w:p>
            <w:pPr>
              <w:spacing w:after="40" w:before="0" w:line="259" w:lineRule="auto"/>
            </w:pPr>
            <w:r>
              <w:rPr>
                <w:rFonts w:ascii="Calibri" w:hAnsi="Calibri"/>
                <w:b/>
                <w:i w:val="0"/>
                <w:color w:val="212121"/>
                <w:sz w:val="19"/>
              </w:rPr>
              <w:t>Gallstones and GERD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Obesity increases cholesterol gallstones and, via raised intra-abdominal pressure, gastro-oesophageal reflux.</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Asian-Indian cut-offs - overweight from BMI 23 and obesity from 25 kg/m2 - and self-monitor weight and waist circumference (target waist &lt; 90 cm men, &lt; 80 cm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thin-fat phenotype: normal weight does not guarantee low body fat, so watch waist size and metabolic screening even at a normal BMI.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obesity as a disease that drives diabetes, heart disease, fatty liver and sleep apnoea, and seek screening for these.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sugar-sweetened beverages, deep-fried and bakery items, refined grains and ultra-processed snacks, and control portion sizes.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goals - a gradual 5-10% weight loss meaningfully improves blood sugar, blood pressure and lipids - and seek medical or, where indicated, pharmacological or bariatric-surgical help for severe obesity.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normal-weight-obese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 or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office workers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150-300 minutes/week of moderate aerobic activity (brisk walking, cycling, swimming), building up gradually.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2-3 days/week to preserve muscle and improve insulin sensitivity - important given the low muscle mass of the Indian phenotype.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every 30-60 minutes and take post-meal walks to reduce glucose and fat storage.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everyday movement - steps, stairs, active commuting, household work - aiming towards 7,000-10,000 steps/day.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Target gradual weight loss of 0.5-1 kg/week and a sustained 5-10% reduction, focusing on shrinking waist circumference.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 or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Homemakers and students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Create a modest calorie deficit (about 500 kcal/day) with a balanced, portion-controlled diet rather than crash dieting.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refined grains (white rice, maida) with whole grains and millets (ragi, jowar, bajra) and fill half the plate with non-starchy vegetables.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sugar-sweetened beverages, sweets, deep-fried and ultra-processed snacks and repeatedly reheated frying oils.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(pulses, dairy, eggs, lean meat/fish) to preserve muscle during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unsaturated cooking oils in moderation, add fibre (25-40 g/day) from pulses, vegetables, whole fruit and nuts, and prefer home-cooked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mindful eating - eat slowly, avoid eating while on screens, and control late-night and portion-driven overeating.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Fast-food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 or fatty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refined-carb diets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on a consistent schedule to support appetite regulation and weight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screen time and heavy or fried meals late at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obstructive sleep apnoea (snoring, daytime sleepiness) in obese individuals and treat it, as it worsens metabolic risk and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shift-work sleep disruption with planned rest and light exposure where possible.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Short sleepers and 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 with daytime sleepiness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start smoking to control weight - smoking promotes central/visceral fat and insulin resistance despite lower average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When quitting, pre-empt modest weight gain with increased activity and a fibre-rich, portion-controlled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approved pharmacotherapy (nicotine replacement, approved medicines) to quit successfully.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adds cardiometabolic risk on top of obesity.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and 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quitting tobacco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smokers with metabolic syndrome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 it adds about 7 kcal/g of easily stored energy and promotes abdominal fat and fatty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if there is fatty liver disease, high triglycerides or a weight-loss goal.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Beware calorie-dense mixers and frequent social drinking, which quietly add to daily energy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rely on any presumed benefit of alcohol to justify regular drinking.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and 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 with fatty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metabolic syndrome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emotional and stress-related eating with awareness strategies, structured meals and healthier coping outlets.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stress through relaxation, yoga, breathing exercises or counselling to limit cortisol-driven fat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both drive and result from 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weight stigma and set compassionate, sustainable goals to support long-term behaviour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behavioural therapy or structured weight-management programmes for lasting results.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Emotional/stress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depression or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professionals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after weight regain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mji.in/lessons-learnt-from-the-icmrindiab-study/" TargetMode="External"/><Relationship Id="rId10" Type="http://schemas.openxmlformats.org/officeDocument/2006/relationships/hyperlink" Target="https://link.springer.com/article/10.1186/s12889-025-21635-5" TargetMode="External"/><Relationship Id="rId11" Type="http://schemas.openxmlformats.org/officeDocument/2006/relationships/hyperlink" Target="https://pmc.ncbi.nlm.nih.gov/articles/PMC10363491/" TargetMode="External"/><Relationship Id="rId12" Type="http://schemas.openxmlformats.org/officeDocument/2006/relationships/hyperlink" Target="https://nams-annals.in/npr/nams-task-force-report-on-obesity-and-lifestyle-diseases-in-india/" TargetMode="External"/><Relationship Id="rId13" Type="http://schemas.openxmlformats.org/officeDocument/2006/relationships/hyperlink" Target="https://link.springer.com/article/10.1186/1479-5868-11-26" TargetMode="External"/><Relationship Id="rId14" Type="http://schemas.openxmlformats.org/officeDocument/2006/relationships/hyperlink" Target="https://pmc.ncbi.nlm.nih.gov/articles/PMC2398753/" TargetMode="External"/><Relationship Id="rId15" Type="http://schemas.openxmlformats.org/officeDocument/2006/relationships/hyperlink" Target="https://www.who.int/news-room/fact-sheets/detail/obesity-and-overweight" TargetMode="External"/><Relationship Id="rId16" Type="http://schemas.openxmlformats.org/officeDocument/2006/relationships/hyperlink" Target="https://www.cmcendovellore.org/pub/2025/revised-definition-of-obesity-in-asian-indians-living-in-india.pdf" TargetMode="External"/><Relationship Id="rId17" Type="http://schemas.openxmlformats.org/officeDocument/2006/relationships/hyperlink" Target="https://www.ncbi.nlm.nih.gov/books/NBK568563/" TargetMode="External"/><Relationship Id="rId18" Type="http://schemas.openxmlformats.org/officeDocument/2006/relationships/hyperlink" Target="https://ijmr.org.in/high-prevalence-of-metabolic-obesity-in-india-the-icmr-indiab-national-study-icmr-indiab-23/" TargetMode="External"/><Relationship Id="rId19" Type="http://schemas.openxmlformats.org/officeDocument/2006/relationships/hyperlink" Target="https://journals.plos.org/plosone/article?id=10.1371%2Fjournal.pone.0263768" TargetMode="External"/><Relationship Id="rId20" Type="http://schemas.openxmlformats.org/officeDocument/2006/relationships/hyperlink" Target="https://pubmed.ncbi.nlm.nih.gov/375173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