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Congenital Hypothyroidism</w:t>
      </w:r>
    </w:p>
    <w:p>
      <w:pPr>
        <w:spacing w:before="0" w:after="160"/>
      </w:pPr>
      <w:r>
        <w:rPr>
          <w:rFonts w:ascii="Calibri" w:hAnsi="Calibri"/>
          <w:b/>
          <w:i w:val="0"/>
          <w:color w:val="212121"/>
          <w:sz w:val="22"/>
        </w:rPr>
        <w:t xml:space="preserve">AKA </w:t>
      </w:r>
      <w:r>
        <w:rPr>
          <w:rFonts w:ascii="Calibri" w:hAnsi="Calibri"/>
          <w:b w:val="0"/>
          <w:i w:val="0"/>
          <w:color w:val="212121"/>
          <w:sz w:val="22"/>
        </w:rPr>
        <w:t>i.e., CH, Neonatal hypothyroidism, Cretinism (severe untreated form), Congenital thyroid hormone deficiency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Congenital hypothyroidism (CH) is a deficiency of thyroid hormone present from birth, caused most often by failure of the thyroid gland to develop normally (thyroid dysgenesis) or by an inherited defect in thyroid hormone synthesis (dyshormonogenesis), and less commonly by pituitary/hypothalamic failure or maternal and environmental factors. Because thyroid hormone is essential for brain growth and myelination in the first two to three years of life, untreated CH is the most common preventable cause of intellectual disability. Early detection through newborn screening and prompt levothyroxine replacement allow normal neurodevelopment, which makes CH one of the highest-yield conditions in preventive paediatrics.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congenital hypothyroidism affects roughly 1 in every 1,000–1,700 newborns — the best national estimate is about 72 cases per 100,000 live births, or 1 in 1,388 (95% CI 1 in 1,166 to 1 in 1,714), translating to an estimated 14,000–20,730 affected babies each year. This is notably higher than the Western figure of 1 in 2,000–4,000, and regional Indian pilot studies range from 1 in 500 to 1 in 3,400. Yet India still has no universal newborn screening programme — globally only about 30% of newborns are screened — so a large share of Indian cases are detected late or missed entirely (the 'screening gap').</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 is diagnosed by newborn screening followed by confirmatory thyroid function testing; the diagnosis rests on demonstrating an elevated TSH with a low (or inappropriately normal) free T4, using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Newborn screening: an elevated whole-blood TSH on a heel-prick dried-blood spot taken at 48–72 hours of life, or a cord-blood TSH at delivery, above the programme cut-off (commonly ≥ 20 mIU/L; some programmes use 20–25 mIU/L for cord blood);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Confirmatory venous testing: serum TSH ≥ 20 mIU/L with a low free T4 confirms primary CH; a serum TSH of 6–20 mIU/L is borderline and requires free T4 measurement and repeat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Central (secondary) CH: a low free T4 with a low or inappropriately normal TSH points to pituitary/hypothalamic disease and warrants evaluation of other pituitary hormones;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Aetiological work-up (does not delay treatment): thyroid ultrasound plus technetium-99m or iodine-123 scintigraphy to distinguish dysgenesis (agenesis, ectopia, hypoplasia) from dyshormonogenesis, serum thyroglobulin, and maternal TSH-receptor / anti-thyroid antibodies where transient CH is suspected;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Knee/foot X-ray showing absent distal femoral and proximal tibial epiphyses indicates intrauterine hypothyroidism and helps gauge severity.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Congenital hypothyroidism is classified along two axes — by permanence and by the level of the defect:</w:t>
      </w:r>
    </w:p>
    <w:p>
      <w:pPr>
        <w:spacing w:before="0" w:after="80"/>
      </w:pPr>
      <w:r>
        <w:rPr>
          <w:rFonts w:ascii="Calibri" w:hAnsi="Calibri"/>
          <w:b w:val="0"/>
          <w:i w:val="0"/>
          <w:color w:val="212121"/>
          <w:sz w:val="21"/>
        </w:rPr>
        <w:t>(1) Permanent primary CH — a lifelong defect of the thyroid gland itself. It includes thyroid dysgenesis (agenesis/athyreosis, ectopic gland, or hypoplasia), which is sporadic and the commonest cause in Western populations, and dyshormonogenesis, an autosomal-recessive defect in hormone synthesis (genes such as TPO, DUOX2, DUOXA2, TG, SLC5A5/NIS, SLC26A4/pendrin, IYD) that is the commonest cause in India owing to high consanguinity;</w:t>
      </w:r>
    </w:p>
    <w:p>
      <w:pPr>
        <w:spacing w:before="0" w:after="80"/>
      </w:pPr>
      <w:r>
        <w:rPr>
          <w:rFonts w:ascii="Calibri" w:hAnsi="Calibri"/>
          <w:b w:val="0"/>
          <w:i w:val="0"/>
          <w:color w:val="212121"/>
          <w:sz w:val="21"/>
        </w:rPr>
        <w:t>(2) Central (secondary/tertiary) CH — deficient TSH or TRH from pituitary or hypothalamic disease, usually with additional pituitary hormone deficiencies (e.g., septo-optic dysplasia, congenital hypopituitarism); TSH-based screening can miss it;</w:t>
      </w:r>
    </w:p>
    <w:p>
      <w:pPr>
        <w:spacing w:before="0" w:after="80"/>
      </w:pPr>
      <w:r>
        <w:rPr>
          <w:rFonts w:ascii="Calibri" w:hAnsi="Calibri"/>
          <w:b w:val="0"/>
          <w:i w:val="0"/>
          <w:color w:val="212121"/>
          <w:sz w:val="21"/>
        </w:rPr>
        <w:t>(3) Peripheral CH — rare defects of thyroid hormone transport, metabolism or resistance (e.g., MCT8 transporter defect, thyroid hormone resistance);</w:t>
      </w:r>
    </w:p>
    <w:p>
      <w:pPr>
        <w:spacing w:before="0" w:after="80"/>
      </w:pPr>
      <w:r>
        <w:rPr>
          <w:rFonts w:ascii="Calibri" w:hAnsi="Calibri"/>
          <w:b w:val="0"/>
          <w:i w:val="0"/>
          <w:color w:val="212121"/>
          <w:sz w:val="21"/>
        </w:rPr>
        <w:t>(4) Transient CH — temporary deficiency that recovers over weeks to months, caused by maternal antithyroid drugs, transplacental TSH-receptor blocking antibodies, iodine deficiency or iodine excess (e.g., povidone-iodine antiseptics), prematurity, or heterozygous DUOX2 variants; it is disproportionately common in India and in preterm infants and still requires treatment until resolution is confirmed.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Thyroid dysgenesis: Failure of normal thyroid development (athyreosis, ectopic sublingual gland, hypoplasia); mostly sporadic, accounts for the majority of CH in the West, with a minority linked to genes PAX8, NKX2-1, FOXE1 and TSHR.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Dyshormonogenesis: Autosomal-recessive inborn defects in thyroid hormone synthesis (TPO, DUOX2, TG, NIS, pendrin, IYD); the leading cause in India — the ICMR screening project attributed 47% of Indian CH to dyshormonogenesis versus agenesis 20% and ectopia 12%.</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Consanguinity: High rates of consanguineous marriage in parts of India strongly increase autosomal-recessive dyshormonogenesis; parental consanguinity was found in 35.5% of Indian CH cases in one cohort.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Iodine imbalance: Maternal iodine deficiency (still endemic in sub-Himalayan and hilly belts) impairs fetal hormone synthesis, while iodine excess (Wolff–Chaikoff effect from povidone-iodine, kelp or over-supplementation) can cause transient CH.</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Maternal / transplacental factors: Maternal Graves disease with TSH-receptor blocking antibodies, maternal antithyroid drugs (carbimazole, methimazole, propylthiouracil) and maternal thyroid disease can transiently suppress the fetal/neonatal thyroid.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Central hypothyroidism: Congenital pituitary or hypothalamic disease (TSH/TRH deficiency), often part of multiple pituitary hormone deficiency or midline defects such as septo-optic dysplasia.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Prematurity: Immaturity of the hypothalamic–pituitary–thyroid axis and delayed TSH rise make preterm and low-birth-weight infants prone to transient hypothyroidism that initial screening may miss.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and young infants</w:t>
            </w:r>
          </w:p>
        </w:tc>
        <w:tc>
          <w:tcPr>
            <w:tcW w:type="dxa" w:w="4276"/>
            <w:vAlign w:val="top"/>
          </w:tcPr>
          <w:p>
            <w:pPr>
              <w:spacing w:after="60" w:line="259" w:lineRule="auto"/>
            </w:pPr>
            <w:r>
              <w:rPr>
                <w:rFonts w:ascii="Calibri" w:hAnsi="Calibri"/>
                <w:b w:val="0"/>
                <w:i w:val="0"/>
                <w:color w:val="212121"/>
                <w:sz w:val="19"/>
              </w:rPr>
              <w:t>Thyroid hormone is critical for brain myelination in the first 2–3 years, so the newborn period is the window in which detection and treatment prevent irreversible damage. Every week of delay beyond 2 weeks of age erodes the developmental benefit.</w:t>
            </w:r>
          </w:p>
          <w:p>
            <w:pPr>
              <w:spacing w:after="40" w:before="60" w:line="259" w:lineRule="auto"/>
            </w:pPr>
            <w:r>
              <w:rPr>
                <w:rFonts w:ascii="Calibri" w:hAnsi="Calibri"/>
                <w:b w:val="0"/>
                <w:i w:val="0"/>
                <w:color w:val="212121"/>
                <w:sz w:val="19"/>
              </w:rPr>
              <w:t>Without screening, detection is dangerously late: in one Indian cohort only 43.5% of CH cases presented in the neonatal period (&lt;1 month), and in unscreened settings the median age at diagnosis is around 1.6 months.</w:t>
            </w:r>
          </w:p>
          <w:p>
            <w:pPr>
              <w:spacing w:after="40" w:line="252" w:lineRule="auto"/>
            </w:pPr>
            <w:hyperlink r:id="rId9">
              <w:r>
                <w:rPr>
                  <w:rFonts w:ascii="Calibri" w:hAnsi="Calibri" w:cs="Calibri"/>
                  <w:sz w:val="18"/>
                  <w:color w:val="1155CC"/>
                  <w:u w:val="single"/>
                </w:rPr>
                <w:t xml:space="preserve">pmc.ncbi.nlm.nih.gov — IJEM aetiology of CH in India</w:t>
              </w:r>
            </w:hyperlink>
          </w:p>
          <w:p>
            <w:pPr>
              <w:spacing w:before="60" w:after="40"/>
            </w:pPr>
            <w:r>
              <w:rPr>
                <w:rFonts w:ascii="Calibri" w:hAnsi="Calibri"/>
                <w:b w:val="0"/>
                <w:i w:val="0"/>
                <w:color w:val="5A5A5A"/>
                <w:sz w:val="18"/>
              </w:rPr>
              <w:t>#newborn  #brainDevelopment  #earlydetection  #screeningwindow  #neurodevelopment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age / parity</w:t>
            </w:r>
          </w:p>
        </w:tc>
        <w:tc>
          <w:tcPr>
            <w:tcW w:type="dxa" w:w="2160"/>
            <w:vAlign w:val="top"/>
          </w:tcPr>
          <w:p>
            <w:pPr>
              <w:spacing w:after="40" w:before="0" w:line="259" w:lineRule="auto"/>
            </w:pPr>
            <w:r>
              <w:rPr>
                <w:rFonts w:ascii="Calibri" w:hAnsi="Calibri"/>
                <w:b w:val="0"/>
                <w:i w:val="0"/>
                <w:color w:val="212121"/>
                <w:sz w:val="19"/>
              </w:rPr>
              <w:t>Infants of older or very young mothers, multiple births</w:t>
            </w:r>
          </w:p>
        </w:tc>
        <w:tc>
          <w:tcPr>
            <w:tcW w:type="dxa" w:w="4276"/>
            <w:vAlign w:val="top"/>
          </w:tcPr>
          <w:p>
            <w:pPr>
              <w:spacing w:after="60" w:line="259" w:lineRule="auto"/>
            </w:pPr>
            <w:r>
              <w:rPr>
                <w:rFonts w:ascii="Calibri" w:hAnsi="Calibri"/>
                <w:b w:val="0"/>
                <w:i w:val="0"/>
                <w:color w:val="212121"/>
                <w:sz w:val="19"/>
              </w:rPr>
              <w:t>Screening data worldwide show a modestly higher CH detection rate at the extremes of maternal age and in twins/multiple births, reflecting placental and perinatal thyroid stress; this remains a weaker, less consistent factor than genetic and iodine causes.</w:t>
            </w:r>
          </w:p>
          <w:p>
            <w:pPr>
              <w:spacing w:after="40" w:before="60" w:line="259" w:lineRule="auto"/>
            </w:pPr>
            <w:r>
              <w:rPr>
                <w:rFonts w:ascii="Calibri" w:hAnsi="Calibri"/>
                <w:b w:val="0"/>
                <w:i w:val="0"/>
                <w:color w:val="212121"/>
                <w:sz w:val="19"/>
              </w:rPr>
              <w:t>A general clinical association; maternal age and multiple gestation are recognised but minor modifiers of neonatal TSH, and no India-specific magnitude is established.</w:t>
            </w:r>
          </w:p>
          <w:p>
            <w:pPr>
              <w:spacing w:before="60" w:after="40"/>
            </w:pPr>
            <w:r>
              <w:rPr>
                <w:rFonts w:ascii="Calibri" w:hAnsi="Calibri"/>
                <w:b w:val="0"/>
                <w:i w:val="0"/>
                <w:color w:val="5A5A5A"/>
                <w:sz w:val="18"/>
              </w:rPr>
              <w:t>#maternalage  #twins  #perinatal  #neonatalTSH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infants</w:t>
            </w:r>
          </w:p>
        </w:tc>
        <w:tc>
          <w:tcPr>
            <w:tcW w:type="dxa" w:w="4276"/>
            <w:vAlign w:val="top"/>
          </w:tcPr>
          <w:p>
            <w:pPr>
              <w:spacing w:after="60" w:line="259" w:lineRule="auto"/>
            </w:pPr>
            <w:r>
              <w:rPr>
                <w:rFonts w:ascii="Calibri" w:hAnsi="Calibri"/>
                <w:b w:val="0"/>
                <w:i w:val="0"/>
                <w:color w:val="212121"/>
                <w:sz w:val="19"/>
              </w:rPr>
              <w:t>Thyroid dysgenesis (the dominant cause in the West) shows an approximately 2:1 female predominance. In India, because autosomal-recessive dyshormonogenesis (equal sex ratio) predominates, the overall sex ratio is closer to 1:1.</w:t>
            </w:r>
          </w:p>
          <w:p>
            <w:pPr>
              <w:spacing w:after="40" w:before="60" w:line="259" w:lineRule="auto"/>
            </w:pPr>
            <w:r>
              <w:rPr>
                <w:rFonts w:ascii="Calibri" w:hAnsi="Calibri"/>
                <w:b w:val="0"/>
                <w:i w:val="0"/>
                <w:color w:val="212121"/>
                <w:sz w:val="19"/>
              </w:rPr>
              <w:t>An Indian imaging cohort reported an essentially equal male-to-female ratio of 1.1:1, contrasting with the classic female predominance seen where dysgenesis dominates.</w:t>
            </w:r>
          </w:p>
          <w:p>
            <w:pPr>
              <w:spacing w:after="40" w:line="252" w:lineRule="auto"/>
            </w:pPr>
            <w:hyperlink r:id="rId9">
              <w:r>
                <w:rPr>
                  <w:rFonts w:ascii="Calibri" w:hAnsi="Calibri" w:cs="Calibri"/>
                  <w:sz w:val="18"/>
                  <w:color w:val="1155CC"/>
                  <w:u w:val="single"/>
                </w:rPr>
                <w:t xml:space="preserve">pmc.ncbi.nlm.nih.gov — IJEM CH sex ratio (India)</w:t>
              </w:r>
            </w:hyperlink>
          </w:p>
          <w:p>
            <w:pPr>
              <w:spacing w:before="60" w:after="40"/>
            </w:pPr>
            <w:r>
              <w:rPr>
                <w:rFonts w:ascii="Calibri" w:hAnsi="Calibri"/>
                <w:b w:val="0"/>
                <w:i w:val="0"/>
                <w:color w:val="5A5A5A"/>
                <w:sz w:val="18"/>
              </w:rPr>
              <w:t>#femaleinfants  #dysgenesis  #dyshormonogenesis  #sexratio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rural families</w:t>
            </w:r>
          </w:p>
        </w:tc>
        <w:tc>
          <w:tcPr>
            <w:tcW w:type="dxa" w:w="4276"/>
            <w:vAlign w:val="top"/>
          </w:tcPr>
          <w:p>
            <w:pPr>
              <w:spacing w:after="60" w:line="259" w:lineRule="auto"/>
            </w:pPr>
            <w:r>
              <w:rPr>
                <w:rFonts w:ascii="Calibri" w:hAnsi="Calibri"/>
                <w:b w:val="0"/>
                <w:i w:val="0"/>
                <w:color w:val="212121"/>
                <w:sz w:val="19"/>
              </w:rPr>
              <w:t>Poor and rural families are least likely to access newborn screening, more exposed to iodine deficiency, and more likely to have home or under-resourced deliveries, so CH is detected late and the preventable disability it causes falls disproportionately on them.</w:t>
            </w:r>
          </w:p>
          <w:p>
            <w:pPr>
              <w:spacing w:after="40" w:before="60" w:line="259" w:lineRule="auto"/>
            </w:pPr>
            <w:r>
              <w:rPr>
                <w:rFonts w:ascii="Calibri" w:hAnsi="Calibri"/>
                <w:b w:val="0"/>
                <w:i w:val="0"/>
                <w:color w:val="212121"/>
                <w:sz w:val="19"/>
              </w:rPr>
              <w:t>In India screening is not universal; it is largely confined to selected larger hospitals and often self-funded by parents, leaving most low-income newborns unscreened.</w:t>
            </w:r>
          </w:p>
          <w:p>
            <w:pPr>
              <w:spacing w:after="40" w:line="252" w:lineRule="auto"/>
            </w:pPr>
            <w:hyperlink r:id="rId10">
              <w:r>
                <w:rPr>
                  <w:rFonts w:ascii="Calibri" w:hAnsi="Calibri" w:cs="Calibri"/>
                  <w:sz w:val="18"/>
                  <w:color w:val="1155CC"/>
                  <w:u w:val="single"/>
                </w:rPr>
                <w:t xml:space="preserve">pmc.ncbi.nlm.nih.gov — developing an Indian screening programme</w:t>
              </w:r>
            </w:hyperlink>
          </w:p>
          <w:p>
            <w:pPr>
              <w:spacing w:before="60" w:after="40"/>
            </w:pPr>
            <w:r>
              <w:rPr>
                <w:rFonts w:ascii="Calibri" w:hAnsi="Calibri"/>
                <w:b w:val="0"/>
                <w:i w:val="0"/>
                <w:color w:val="5A5A5A"/>
                <w:sz w:val="18"/>
              </w:rPr>
              <w:t>#healthequity  #ruralhealth  #screeninggap  #outofpocket  #preventabledisability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newborns (vs Western populations)</w:t>
            </w:r>
          </w:p>
        </w:tc>
        <w:tc>
          <w:tcPr>
            <w:tcW w:type="dxa" w:w="4276"/>
            <w:vAlign w:val="top"/>
          </w:tcPr>
          <w:p>
            <w:pPr>
              <w:spacing w:after="60" w:line="259" w:lineRule="auto"/>
            </w:pPr>
            <w:r>
              <w:rPr>
                <w:rFonts w:ascii="Calibri" w:hAnsi="Calibri"/>
                <w:b w:val="0"/>
                <w:i w:val="0"/>
                <w:color w:val="212121"/>
                <w:sz w:val="19"/>
              </w:rPr>
              <w:t>Indian infants carry a higher baseline CH incidence than Western populations, attributed to more consanguineous dyshormonogenesis, residual iodine deficiency and possibly wider institutional screening picking up milder cases.</w:t>
            </w:r>
          </w:p>
          <w:p>
            <w:pPr>
              <w:spacing w:after="40" w:before="60" w:line="259" w:lineRule="auto"/>
            </w:pPr>
            <w:r>
              <w:rPr>
                <w:rFonts w:ascii="Calibri" w:hAnsi="Calibri"/>
                <w:b w:val="0"/>
                <w:i w:val="0"/>
                <w:color w:val="212121"/>
                <w:sz w:val="19"/>
              </w:rPr>
              <w:t>India's incidence (~1 in 1,388; up to 1 in 500 regionally) is roughly double the Western rate of 1 in 2,000–3,000 live births.</w:t>
            </w:r>
          </w:p>
          <w:p>
            <w:pPr>
              <w:spacing w:after="40" w:line="252" w:lineRule="auto"/>
            </w:pPr>
            <w:hyperlink r:id="rId11">
              <w:r>
                <w:rPr>
                  <w:rFonts w:ascii="Calibri" w:hAnsi="Calibri" w:cs="Calibri"/>
                  <w:sz w:val="18"/>
                  <w:color w:val="1155CC"/>
                  <w:u w:val="single"/>
                </w:rPr>
                <w:t xml:space="preserve">pmc.ncbi.nlm.nih.gov — human &amp; economic cost of CH in India</w:t>
              </w:r>
            </w:hyperlink>
          </w:p>
          <w:p>
            <w:pPr>
              <w:spacing w:before="60" w:after="40"/>
            </w:pPr>
            <w:r>
              <w:rPr>
                <w:rFonts w:ascii="Calibri" w:hAnsi="Calibri"/>
                <w:b w:val="0"/>
                <w:i w:val="0"/>
                <w:color w:val="5A5A5A"/>
                <w:sz w:val="18"/>
              </w:rPr>
              <w:t>#Indiafirst  #higherincidence  #consanguinity  #DALY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Iodine-deficient belt</w:t>
            </w:r>
          </w:p>
        </w:tc>
        <w:tc>
          <w:tcPr>
            <w:tcW w:type="dxa" w:w="2160"/>
            <w:vAlign w:val="top"/>
          </w:tcPr>
          <w:p>
            <w:pPr>
              <w:spacing w:after="40" w:before="0" w:line="259" w:lineRule="auto"/>
            </w:pPr>
            <w:r>
              <w:rPr>
                <w:rFonts w:ascii="Calibri" w:hAnsi="Calibri"/>
                <w:b w:val="0"/>
                <w:i w:val="0"/>
                <w:color w:val="212121"/>
                <w:sz w:val="19"/>
              </w:rPr>
              <w:t>Sub-Himalayan and hilly regions (Kashmir, terai UP, NE hills)</w:t>
            </w:r>
          </w:p>
        </w:tc>
        <w:tc>
          <w:tcPr>
            <w:tcW w:type="dxa" w:w="4276"/>
            <w:vAlign w:val="top"/>
          </w:tcPr>
          <w:p>
            <w:pPr>
              <w:spacing w:after="60" w:line="259" w:lineRule="auto"/>
            </w:pPr>
            <w:r>
              <w:rPr>
                <w:rFonts w:ascii="Calibri" w:hAnsi="Calibri"/>
                <w:b w:val="0"/>
                <w:i w:val="0"/>
                <w:color w:val="212121"/>
                <w:sz w:val="19"/>
              </w:rPr>
              <w:t>Mountainous and sub-Himalayan soils are iodine-poor, so despite the national salt-iodisation programme, pockets of maternal iodine deficiency persist and can cause transient or permanent neonatal hypothyroidism and endemic goitre.</w:t>
            </w:r>
          </w:p>
          <w:p>
            <w:pPr>
              <w:spacing w:after="40" w:before="60" w:line="259" w:lineRule="auto"/>
            </w:pPr>
            <w:r>
              <w:rPr>
                <w:rFonts w:ascii="Calibri" w:hAnsi="Calibri"/>
                <w:b w:val="0"/>
                <w:i w:val="0"/>
                <w:color w:val="212121"/>
                <w:sz w:val="19"/>
              </w:rPr>
              <w:t>Iodine deficiency disorders remain a live public-health problem in Indian goitre-belt districts such as Kupwara, Kashmir, where school-survey goitre and low urinary iodine are still documented.</w:t>
            </w:r>
          </w:p>
          <w:p>
            <w:pPr>
              <w:spacing w:after="40" w:line="252" w:lineRule="auto"/>
            </w:pPr>
            <w:hyperlink r:id="rId12">
              <w:r>
                <w:rPr>
                  <w:rFonts w:ascii="Calibri" w:hAnsi="Calibri" w:cs="Calibri"/>
                  <w:sz w:val="18"/>
                  <w:color w:val="1155CC"/>
                  <w:u w:val="single"/>
                </w:rPr>
                <w:t xml:space="preserve">pmc.ncbi.nlm.nih.gov — goitre &amp; iodine deficiency, North Kashmir</w:t>
              </w:r>
            </w:hyperlink>
          </w:p>
          <w:p>
            <w:pPr>
              <w:spacing w:before="60" w:after="40"/>
            </w:pPr>
            <w:r>
              <w:rPr>
                <w:rFonts w:ascii="Calibri" w:hAnsi="Calibri"/>
                <w:b w:val="0"/>
                <w:i w:val="0"/>
                <w:color w:val="5A5A5A"/>
                <w:sz w:val="18"/>
              </w:rPr>
              <w:t>#iodinedeficiency  #goitrebelt  #subHimalayan  #Kashmir  #endemicgoitre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States without newborn screening</w:t>
            </w:r>
          </w:p>
        </w:tc>
        <w:tc>
          <w:tcPr>
            <w:tcW w:type="dxa" w:w="2160"/>
            <w:vAlign w:val="top"/>
          </w:tcPr>
          <w:p>
            <w:pPr>
              <w:spacing w:after="40" w:before="0" w:line="259" w:lineRule="auto"/>
            </w:pPr>
            <w:r>
              <w:rPr>
                <w:rFonts w:ascii="Calibri" w:hAnsi="Calibri"/>
                <w:b w:val="0"/>
                <w:i w:val="0"/>
                <w:color w:val="212121"/>
                <w:sz w:val="19"/>
              </w:rPr>
              <w:t>Most Indian states (outside pockets like Kerala, TN, Goa, Chandigarh)</w:t>
            </w:r>
          </w:p>
        </w:tc>
        <w:tc>
          <w:tcPr>
            <w:tcW w:type="dxa" w:w="4276"/>
            <w:vAlign w:val="top"/>
          </w:tcPr>
          <w:p>
            <w:pPr>
              <w:spacing w:after="60" w:line="259" w:lineRule="auto"/>
            </w:pPr>
            <w:r>
              <w:rPr>
                <w:rFonts w:ascii="Calibri" w:hAnsi="Calibri"/>
                <w:b w:val="0"/>
                <w:i w:val="0"/>
                <w:color w:val="212121"/>
                <w:sz w:val="19"/>
              </w:rPr>
              <w:t>Because there is no national mandate, the great majority of Indian districts do not routinely screen newborns for CH; only a few states/programmes and some hospitals do, so where a baby is born strongly determines whether CH is caught in time.</w:t>
            </w:r>
          </w:p>
          <w:p>
            <w:pPr>
              <w:spacing w:after="40" w:before="60" w:line="259" w:lineRule="auto"/>
            </w:pPr>
            <w:r>
              <w:rPr>
                <w:rFonts w:ascii="Calibri" w:hAnsi="Calibri"/>
                <w:b w:val="0"/>
                <w:i w:val="0"/>
                <w:color w:val="212121"/>
                <w:sz w:val="19"/>
              </w:rPr>
              <w:t>Fifty years after CH screening began, only 29.6% of newborns worldwide are screened, with Asia and Africa having very limited coverage.</w:t>
            </w:r>
          </w:p>
          <w:p>
            <w:pPr>
              <w:spacing w:after="40" w:line="252" w:lineRule="auto"/>
            </w:pPr>
            <w:hyperlink r:id="rId13">
              <w:r>
                <w:rPr>
                  <w:rFonts w:ascii="Calibri" w:hAnsi="Calibri" w:cs="Calibri"/>
                  <w:sz w:val="18"/>
                  <w:color w:val="1155CC"/>
                  <w:u w:val="single"/>
                </w:rPr>
                <w:t xml:space="preserve">ijns — global newborn screening coverage 29.6%</w:t>
              </w:r>
            </w:hyperlink>
          </w:p>
          <w:p>
            <w:pPr>
              <w:spacing w:before="60" w:after="40"/>
            </w:pPr>
            <w:r>
              <w:rPr>
                <w:rFonts w:ascii="Calibri" w:hAnsi="Calibri"/>
                <w:b w:val="0"/>
                <w:i w:val="0"/>
                <w:color w:val="5A5A5A"/>
                <w:sz w:val="18"/>
              </w:rPr>
              <w:t>#screeninggap  #nonationalNBS  #policygap  #coverage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Maternal tobacco use</w:t>
            </w:r>
          </w:p>
        </w:tc>
        <w:tc>
          <w:tcPr>
            <w:tcW w:type="dxa" w:w="2160"/>
            <w:vAlign w:val="top"/>
          </w:tcPr>
          <w:p>
            <w:pPr>
              <w:spacing w:after="40" w:before="0" w:line="259" w:lineRule="auto"/>
            </w:pPr>
            <w:r>
              <w:rPr>
                <w:rFonts w:ascii="Calibri" w:hAnsi="Calibri"/>
                <w:b w:val="0"/>
                <w:i w:val="0"/>
                <w:color w:val="212121"/>
                <w:sz w:val="19"/>
              </w:rPr>
              <w:t>Mothers who smoke or use smokeless tobacco</w:t>
            </w:r>
          </w:p>
        </w:tc>
        <w:tc>
          <w:tcPr>
            <w:tcW w:type="dxa" w:w="4276"/>
            <w:vAlign w:val="top"/>
          </w:tcPr>
          <w:p>
            <w:pPr>
              <w:spacing w:after="60" w:line="259" w:lineRule="auto"/>
            </w:pPr>
            <w:r>
              <w:rPr>
                <w:rFonts w:ascii="Calibri" w:hAnsi="Calibri"/>
                <w:b w:val="0"/>
                <w:i w:val="0"/>
                <w:color w:val="212121"/>
                <w:sz w:val="19"/>
              </w:rPr>
              <w:t>Tobacco contains thiocyanate, a goitrogen that crosses the placenta and can transiently impair fetal/neonatal thyroid hormone synthesis and raise neonatal TSH; smokeless tobacco use is common among Indian women and is often overlooked.</w:t>
            </w:r>
          </w:p>
          <w:p>
            <w:pPr>
              <w:spacing w:after="40" w:before="60" w:line="259" w:lineRule="auto"/>
            </w:pPr>
            <w:r>
              <w:rPr>
                <w:rFonts w:ascii="Calibri" w:hAnsi="Calibri"/>
                <w:b w:val="0"/>
                <w:i w:val="0"/>
                <w:color w:val="212121"/>
                <w:sz w:val="19"/>
              </w:rPr>
              <w:t>A recognised, modifiable maternal exposure; the effect is chiefly on transient neonatal thyroid dysfunction rather than permanent CH.</w:t>
            </w:r>
          </w:p>
          <w:p>
            <w:pPr>
              <w:spacing w:before="60" w:after="40"/>
            </w:pPr>
            <w:r>
              <w:rPr>
                <w:rFonts w:ascii="Calibri" w:hAnsi="Calibri"/>
                <w:b w:val="0"/>
                <w:i w:val="0"/>
                <w:color w:val="5A5A5A"/>
                <w:sz w:val="18"/>
              </w:rPr>
              <w:t>#maternalsmoking  #smokelesstobacco  #thiocyanate  #goitrogen  #pregnancy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obesity / metabolic health</w:t>
            </w:r>
          </w:p>
        </w:tc>
        <w:tc>
          <w:tcPr>
            <w:tcW w:type="dxa" w:w="2160"/>
            <w:vAlign w:val="top"/>
          </w:tcPr>
          <w:p>
            <w:pPr>
              <w:spacing w:after="40" w:before="0" w:line="259" w:lineRule="auto"/>
            </w:pPr>
            <w:r>
              <w:rPr>
                <w:rFonts w:ascii="Calibri" w:hAnsi="Calibri"/>
                <w:b w:val="0"/>
                <w:i w:val="0"/>
                <w:color w:val="212121"/>
                <w:sz w:val="19"/>
              </w:rPr>
              <w:t>Obese mothers, mothers with gestational metabolic disease</w:t>
            </w:r>
          </w:p>
        </w:tc>
        <w:tc>
          <w:tcPr>
            <w:tcW w:type="dxa" w:w="4276"/>
            <w:vAlign w:val="top"/>
          </w:tcPr>
          <w:p>
            <w:pPr>
              <w:spacing w:after="60" w:line="259" w:lineRule="auto"/>
            </w:pPr>
            <w:r>
              <w:rPr>
                <w:rFonts w:ascii="Calibri" w:hAnsi="Calibri"/>
                <w:b w:val="0"/>
                <w:i w:val="0"/>
                <w:color w:val="212121"/>
                <w:sz w:val="19"/>
              </w:rPr>
              <w:t>Maternal obesity is associated with higher neonatal TSH and a greater chance of a positive screen, reflecting altered maternal–fetal thyroid physiology and iodine handling.</w:t>
            </w:r>
          </w:p>
          <w:p>
            <w:pPr>
              <w:spacing w:after="40" w:before="60" w:line="259" w:lineRule="auto"/>
            </w:pPr>
            <w:r>
              <w:rPr>
                <w:rFonts w:ascii="Calibri" w:hAnsi="Calibri"/>
                <w:b w:val="0"/>
                <w:i w:val="0"/>
                <w:color w:val="212121"/>
                <w:sz w:val="19"/>
              </w:rPr>
              <w:t>A general clinical association observed in newborn-screening cohorts; magnitude is modest and no India-specific figure is established.</w:t>
            </w:r>
          </w:p>
          <w:p>
            <w:pPr>
              <w:spacing w:before="60" w:after="40"/>
            </w:pPr>
            <w:r>
              <w:rPr>
                <w:rFonts w:ascii="Calibri" w:hAnsi="Calibri"/>
                <w:b w:val="0"/>
                <w:i w:val="0"/>
                <w:color w:val="5A5A5A"/>
                <w:sz w:val="18"/>
              </w:rPr>
              <w:t>#maternalobesity  #neonatalTSH  #metabolic  #pregnancy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Maternal iodine deficiency</w:t>
            </w:r>
          </w:p>
        </w:tc>
        <w:tc>
          <w:tcPr>
            <w:tcW w:type="dxa" w:w="2160"/>
            <w:vAlign w:val="top"/>
          </w:tcPr>
          <w:p>
            <w:pPr>
              <w:spacing w:after="40" w:before="0" w:line="259" w:lineRule="auto"/>
            </w:pPr>
            <w:r>
              <w:rPr>
                <w:rFonts w:ascii="Calibri" w:hAnsi="Calibri"/>
                <w:b w:val="0"/>
                <w:i w:val="0"/>
                <w:color w:val="212121"/>
                <w:sz w:val="19"/>
              </w:rPr>
              <w:t>Mothers with iodine-poor diets / inadequate iodised salt</w:t>
            </w:r>
          </w:p>
        </w:tc>
        <w:tc>
          <w:tcPr>
            <w:tcW w:type="dxa" w:w="4276"/>
            <w:vAlign w:val="top"/>
          </w:tcPr>
          <w:p>
            <w:pPr>
              <w:spacing w:after="60" w:line="259" w:lineRule="auto"/>
            </w:pPr>
            <w:r>
              <w:rPr>
                <w:rFonts w:ascii="Calibri" w:hAnsi="Calibri"/>
                <w:b w:val="0"/>
                <w:i w:val="0"/>
                <w:color w:val="212121"/>
                <w:sz w:val="19"/>
              </w:rPr>
              <w:t>Iodine is the substrate for thyroid hormone; maternal deficiency in pregnancy and lactation limits fetal hormone production and is the most common preventable cause of congenital/neonatal hypothyroidism and impaired neurodevelopment worldwide.</w:t>
            </w:r>
          </w:p>
          <w:p>
            <w:pPr>
              <w:spacing w:after="40" w:before="60" w:line="259" w:lineRule="auto"/>
            </w:pPr>
            <w:r>
              <w:rPr>
                <w:rFonts w:ascii="Calibri" w:hAnsi="Calibri"/>
                <w:b w:val="0"/>
                <w:i w:val="0"/>
                <w:color w:val="212121"/>
                <w:sz w:val="19"/>
              </w:rPr>
              <w:t>Pregnancy and lactation raise iodine needs to about 250 µg/day; sustained maternal intake below requirements (urinary iodine &lt; 150 µg/L) signals deficiency.</w:t>
            </w:r>
          </w:p>
          <w:p>
            <w:pPr>
              <w:spacing w:after="40" w:line="252" w:lineRule="auto"/>
            </w:pPr>
            <w:hyperlink r:id="rId14">
              <w:r>
                <w:rPr>
                  <w:rFonts w:ascii="Calibri" w:hAnsi="Calibri" w:cs="Calibri"/>
                  <w:sz w:val="18"/>
                  <w:color w:val="1155CC"/>
                  <w:u w:val="single"/>
                </w:rPr>
                <w:t xml:space="preserve">nutrients — iodine in health and disease (review)</w:t>
              </w:r>
            </w:hyperlink>
          </w:p>
          <w:p>
            <w:pPr>
              <w:spacing w:before="60" w:after="40"/>
            </w:pPr>
            <w:r>
              <w:rPr>
                <w:rFonts w:ascii="Calibri" w:hAnsi="Calibri"/>
                <w:b w:val="0"/>
                <w:i w:val="0"/>
                <w:color w:val="5A5A5A"/>
                <w:sz w:val="18"/>
              </w:rPr>
              <w:t>#iodine  #maternalnutrition  #iodisedsalt  #neurodevelopment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goitrogen intake</w:t>
            </w:r>
          </w:p>
        </w:tc>
        <w:tc>
          <w:tcPr>
            <w:tcW w:type="dxa" w:w="2160"/>
            <w:vAlign w:val="top"/>
          </w:tcPr>
          <w:p>
            <w:pPr>
              <w:spacing w:after="40" w:before="0" w:line="259" w:lineRule="auto"/>
            </w:pPr>
            <w:r>
              <w:rPr>
                <w:rFonts w:ascii="Calibri" w:hAnsi="Calibri"/>
                <w:b w:val="0"/>
                <w:i w:val="0"/>
                <w:color w:val="212121"/>
                <w:sz w:val="19"/>
              </w:rPr>
              <w:t>High cassava/tapioca (Kerala), millet, soy and cruciferous diets</w:t>
            </w:r>
          </w:p>
        </w:tc>
        <w:tc>
          <w:tcPr>
            <w:tcW w:type="dxa" w:w="4276"/>
            <w:vAlign w:val="top"/>
          </w:tcPr>
          <w:p>
            <w:pPr>
              <w:spacing w:after="60" w:line="259" w:lineRule="auto"/>
            </w:pPr>
            <w:r>
              <w:rPr>
                <w:rFonts w:ascii="Calibri" w:hAnsi="Calibri"/>
                <w:b w:val="0"/>
                <w:i w:val="0"/>
                <w:color w:val="212121"/>
                <w:sz w:val="19"/>
              </w:rPr>
              <w:t>Goitrogens in cassava (cyanogenic thiocyanate), pearl millet (bajra), soy and large amounts of cruciferous vegetables can interfere with thyroid iodine uptake and hormone synthesis, aggravating deficiency when iodine intake is marginal.</w:t>
            </w:r>
          </w:p>
          <w:p>
            <w:pPr>
              <w:spacing w:after="40" w:before="60" w:line="259" w:lineRule="auto"/>
            </w:pPr>
            <w:r>
              <w:rPr>
                <w:rFonts w:ascii="Calibri" w:hAnsi="Calibri"/>
                <w:b w:val="0"/>
                <w:i w:val="0"/>
                <w:color w:val="212121"/>
                <w:sz w:val="19"/>
              </w:rPr>
              <w:t>A contributory dietary factor, most relevant where iodine intake is already low; effect is largely on transient neonatal dysfunction.</w:t>
            </w:r>
          </w:p>
          <w:p>
            <w:pPr>
              <w:spacing w:before="60" w:after="40"/>
            </w:pPr>
            <w:r>
              <w:rPr>
                <w:rFonts w:ascii="Calibri" w:hAnsi="Calibri"/>
                <w:b w:val="0"/>
                <w:i w:val="0"/>
                <w:color w:val="5A5A5A"/>
                <w:sz w:val="18"/>
              </w:rPr>
              <w:t>#goitrogens  #cassava  #millet  #soy  #dietaryrisk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 neonatal iodine excess</w:t>
            </w:r>
          </w:p>
        </w:tc>
        <w:tc>
          <w:tcPr>
            <w:tcW w:type="dxa" w:w="2160"/>
            <w:vAlign w:val="top"/>
          </w:tcPr>
          <w:p>
            <w:pPr>
              <w:spacing w:after="40" w:before="0" w:line="259" w:lineRule="auto"/>
            </w:pPr>
            <w:r>
              <w:rPr>
                <w:rFonts w:ascii="Calibri" w:hAnsi="Calibri"/>
                <w:b w:val="0"/>
                <w:i w:val="0"/>
                <w:color w:val="212121"/>
                <w:sz w:val="19"/>
              </w:rPr>
              <w:t>Povidone-iodine antiseptic exposure, kelp, over-supplementation</w:t>
            </w:r>
          </w:p>
        </w:tc>
        <w:tc>
          <w:tcPr>
            <w:tcW w:type="dxa" w:w="4276"/>
            <w:vAlign w:val="top"/>
          </w:tcPr>
          <w:p>
            <w:pPr>
              <w:spacing w:after="60" w:line="259" w:lineRule="auto"/>
            </w:pPr>
            <w:r>
              <w:rPr>
                <w:rFonts w:ascii="Calibri" w:hAnsi="Calibri"/>
                <w:b w:val="0"/>
                <w:i w:val="0"/>
                <w:color w:val="212121"/>
                <w:sz w:val="19"/>
              </w:rPr>
              <w:t>Excess iodine — classically from povidone-iodine skin/vaginal antiseptics at delivery, kelp or high-dose supplements — can acutely block hormone synthesis (Wolff–Chaikoff effect), especially in the immature neonatal and preterm thyroid, producing transient CH.</w:t>
            </w:r>
          </w:p>
          <w:p>
            <w:pPr>
              <w:spacing w:after="40" w:before="60" w:line="259" w:lineRule="auto"/>
            </w:pPr>
            <w:r>
              <w:rPr>
                <w:rFonts w:ascii="Calibri" w:hAnsi="Calibri"/>
                <w:b w:val="0"/>
                <w:i w:val="0"/>
                <w:color w:val="212121"/>
                <w:sz w:val="19"/>
              </w:rPr>
              <w:t>A well-recognised iatrogenic cause of transient CH; perinatal iodine antiseptic use should be minimised.</w:t>
            </w:r>
          </w:p>
          <w:p>
            <w:pPr>
              <w:spacing w:after="40" w:line="252" w:lineRule="auto"/>
            </w:pPr>
            <w:hyperlink r:id="rId15">
              <w:r>
                <w:rPr>
                  <w:rFonts w:ascii="Calibri" w:hAnsi="Calibri" w:cs="Calibri"/>
                  <w:sz w:val="18"/>
                  <w:color w:val="1155CC"/>
                  <w:u w:val="single"/>
                </w:rPr>
                <w:t xml:space="preserve">jcem — ESPE consensus guidelines on CH</w:t>
              </w:r>
            </w:hyperlink>
          </w:p>
          <w:p>
            <w:pPr>
              <w:spacing w:before="60" w:after="40"/>
            </w:pPr>
            <w:r>
              <w:rPr>
                <w:rFonts w:ascii="Calibri" w:hAnsi="Calibri"/>
                <w:b w:val="0"/>
                <w:i w:val="0"/>
                <w:color w:val="5A5A5A"/>
                <w:sz w:val="18"/>
              </w:rPr>
              <w:t>#iodineexcess  #povidoneiodine  #WolffChaikoff  #transientCH  #iatrogenic</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Children of consanguineous marriages</w:t>
            </w:r>
          </w:p>
        </w:tc>
        <w:tc>
          <w:tcPr>
            <w:tcW w:type="dxa" w:w="4276"/>
            <w:vAlign w:val="top"/>
          </w:tcPr>
          <w:p>
            <w:pPr>
              <w:spacing w:after="60" w:line="259" w:lineRule="auto"/>
            </w:pPr>
            <w:r>
              <w:rPr>
                <w:rFonts w:ascii="Calibri" w:hAnsi="Calibri"/>
                <w:b w:val="0"/>
                <w:i w:val="0"/>
                <w:color w:val="212121"/>
                <w:sz w:val="19"/>
              </w:rPr>
              <w:t>Consanguinity concentrates recessive alleles, markedly increasing autosomal-recessive dyshormonogenesis; this is the principal reason dyshormonogenesis, and overall CH, are commoner in India than in the West.</w:t>
            </w:r>
          </w:p>
          <w:p>
            <w:pPr>
              <w:spacing w:after="40" w:before="60" w:line="259" w:lineRule="auto"/>
            </w:pPr>
            <w:r>
              <w:rPr>
                <w:rFonts w:ascii="Calibri" w:hAnsi="Calibri"/>
                <w:b w:val="0"/>
                <w:i w:val="0"/>
                <w:color w:val="212121"/>
                <w:sz w:val="19"/>
              </w:rPr>
              <w:t>Parental consanguinity was significantly associated with CH, present in 35.5% of cases in an Indian cohort (p = 0.006).</w:t>
            </w:r>
          </w:p>
          <w:p>
            <w:pPr>
              <w:spacing w:after="40" w:line="252" w:lineRule="auto"/>
            </w:pPr>
            <w:hyperlink r:id="rId9">
              <w:r>
                <w:rPr>
                  <w:rFonts w:ascii="Calibri" w:hAnsi="Calibri" w:cs="Calibri"/>
                  <w:sz w:val="18"/>
                  <w:color w:val="1155CC"/>
                  <w:u w:val="single"/>
                </w:rPr>
                <w:t xml:space="preserve">pmc.ncbi.nlm.nih.gov — consanguinity &amp; CH in India</w:t>
              </w:r>
            </w:hyperlink>
          </w:p>
          <w:p>
            <w:pPr>
              <w:spacing w:before="60" w:after="40"/>
            </w:pPr>
            <w:r>
              <w:rPr>
                <w:rFonts w:ascii="Calibri" w:hAnsi="Calibri"/>
                <w:b w:val="0"/>
                <w:i w:val="0"/>
                <w:color w:val="5A5A5A"/>
                <w:sz w:val="18"/>
              </w:rPr>
              <w:t>#consanguinity  #autosomalrecessive  #dyshormonogenesis  #recurrencerisk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Sibling or first-degree relative with CH / hypothyroidism</w:t>
            </w:r>
          </w:p>
        </w:tc>
        <w:tc>
          <w:tcPr>
            <w:tcW w:type="dxa" w:w="4276"/>
            <w:vAlign w:val="top"/>
          </w:tcPr>
          <w:p>
            <w:pPr>
              <w:spacing w:after="60" w:line="259" w:lineRule="auto"/>
            </w:pPr>
            <w:r>
              <w:rPr>
                <w:rFonts w:ascii="Calibri" w:hAnsi="Calibri"/>
                <w:b w:val="0"/>
                <w:i w:val="0"/>
                <w:color w:val="212121"/>
                <w:sz w:val="19"/>
              </w:rPr>
              <w:t>A previously affected sibling implies a high recurrence risk (about 25% for autosomal-recessive dyshormonogenesis), and hypothyroidism in first-degree relatives clusters with neonatal CH, warranting close screening of subsequent babies.</w:t>
            </w:r>
          </w:p>
          <w:p>
            <w:pPr>
              <w:spacing w:after="40" w:before="60" w:line="259" w:lineRule="auto"/>
            </w:pPr>
            <w:r>
              <w:rPr>
                <w:rFonts w:ascii="Calibri" w:hAnsi="Calibri"/>
                <w:b w:val="0"/>
                <w:i w:val="0"/>
                <w:color w:val="212121"/>
                <w:sz w:val="19"/>
              </w:rPr>
              <w:t>Studies link a family history of hypothyroidism in first-degree relatives with increased CH in neonates, supporting cascade screening and genetic counselling.</w:t>
            </w:r>
          </w:p>
          <w:p>
            <w:pPr>
              <w:spacing w:after="40" w:line="252" w:lineRule="auto"/>
            </w:pPr>
            <w:hyperlink r:id="rId16">
              <w:r>
                <w:rPr>
                  <w:rFonts w:ascii="Calibri" w:hAnsi="Calibri" w:cs="Calibri"/>
                  <w:sz w:val="18"/>
                  <w:color w:val="1155CC"/>
                  <w:u w:val="single"/>
                </w:rPr>
                <w:t xml:space="preserve">pmc.ncbi.nlm.nih.gov — hypothyroidism in relatives of CH neonates</w:t>
              </w:r>
            </w:hyperlink>
          </w:p>
          <w:p>
            <w:pPr>
              <w:spacing w:before="60" w:after="40"/>
            </w:pPr>
            <w:r>
              <w:rPr>
                <w:rFonts w:ascii="Calibri" w:hAnsi="Calibri"/>
                <w:b w:val="0"/>
                <w:i w:val="0"/>
                <w:color w:val="5A5A5A"/>
                <w:sz w:val="18"/>
              </w:rPr>
              <w:t>#familyhistory  #recurrencerisk  #geneticcounselling  #cascadescreening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developmental / syndromic genes</w:t>
            </w:r>
          </w:p>
        </w:tc>
        <w:tc>
          <w:tcPr>
            <w:tcW w:type="dxa" w:w="2160"/>
            <w:vAlign w:val="top"/>
          </w:tcPr>
          <w:p>
            <w:pPr>
              <w:spacing w:after="40" w:before="0" w:line="259" w:lineRule="auto"/>
            </w:pPr>
            <w:r>
              <w:rPr>
                <w:rFonts w:ascii="Calibri" w:hAnsi="Calibri"/>
                <w:b w:val="0"/>
                <w:i w:val="0"/>
                <w:color w:val="212121"/>
                <w:sz w:val="19"/>
              </w:rPr>
              <w:t>Infants with PAX8, NKX2-1, FOXE1, TSHR, SLC26A4 variants or syndromes</w:t>
            </w:r>
          </w:p>
        </w:tc>
        <w:tc>
          <w:tcPr>
            <w:tcW w:type="dxa" w:w="4276"/>
            <w:vAlign w:val="top"/>
          </w:tcPr>
          <w:p>
            <w:pPr>
              <w:spacing w:after="60" w:line="259" w:lineRule="auto"/>
            </w:pPr>
            <w:r>
              <w:rPr>
                <w:rFonts w:ascii="Calibri" w:hAnsi="Calibri"/>
                <w:b w:val="0"/>
                <w:i w:val="0"/>
                <w:color w:val="212121"/>
                <w:sz w:val="19"/>
              </w:rPr>
              <w:t>Mutations in thyroid transcription and signalling genes cause dysgenesis, while pendrin (SLC26A4) causes Pendred syndrome (CH/goitre with sensorineural deafness); such monogenic and syndromic forms guide prognosis, associated anomalies and family counselling.</w:t>
            </w:r>
          </w:p>
          <w:p>
            <w:pPr>
              <w:spacing w:after="40" w:before="60" w:line="259" w:lineRule="auto"/>
            </w:pPr>
            <w:r>
              <w:rPr>
                <w:rFonts w:ascii="Calibri" w:hAnsi="Calibri"/>
                <w:b w:val="0"/>
                <w:i w:val="0"/>
                <w:color w:val="212121"/>
                <w:sz w:val="19"/>
              </w:rPr>
              <w:t>Monogenic causes are individually rare but increasingly identified, and syndromic forms (e.g., Pendred, Bamforth–Lazarus) carry extrathyroidal features that alter management.</w:t>
            </w:r>
          </w:p>
          <w:p>
            <w:pPr>
              <w:spacing w:after="40" w:line="252" w:lineRule="auto"/>
            </w:pPr>
            <w:hyperlink r:id="rId15">
              <w:r>
                <w:rPr>
                  <w:rFonts w:ascii="Calibri" w:hAnsi="Calibri" w:cs="Calibri"/>
                  <w:sz w:val="18"/>
                  <w:color w:val="1155CC"/>
                  <w:u w:val="single"/>
                </w:rPr>
                <w:t xml:space="preserve">jcem — ESPE consensus guidelines on CH</w:t>
              </w:r>
            </w:hyperlink>
          </w:p>
          <w:p>
            <w:pPr>
              <w:spacing w:before="60" w:after="40"/>
            </w:pPr>
            <w:r>
              <w:rPr>
                <w:rFonts w:ascii="Calibri" w:hAnsi="Calibri"/>
                <w:b w:val="0"/>
                <w:i w:val="0"/>
                <w:color w:val="5A5A5A"/>
                <w:sz w:val="18"/>
              </w:rPr>
              <w:t>#monogenic  #Pendred  #PAX8  #NKX21  #syndromicCH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Down syndrome (Trisomy 21)</w:t>
            </w:r>
          </w:p>
        </w:tc>
        <w:tc>
          <w:tcPr>
            <w:tcW w:type="dxa" w:w="2160"/>
            <w:vAlign w:val="top"/>
          </w:tcPr>
          <w:p>
            <w:pPr>
              <w:spacing w:after="40" w:before="0" w:line="259" w:lineRule="auto"/>
            </w:pPr>
            <w:r>
              <w:rPr>
                <w:rFonts w:ascii="Calibri" w:hAnsi="Calibri"/>
                <w:b w:val="0"/>
                <w:i w:val="0"/>
                <w:color w:val="212121"/>
                <w:sz w:val="19"/>
              </w:rPr>
              <w:t>Infants with Down syndrome</w:t>
            </w:r>
          </w:p>
        </w:tc>
        <w:tc>
          <w:tcPr>
            <w:tcW w:type="dxa" w:w="4276"/>
            <w:vAlign w:val="top"/>
          </w:tcPr>
          <w:p>
            <w:pPr>
              <w:spacing w:after="60" w:line="259" w:lineRule="auto"/>
            </w:pPr>
            <w:r>
              <w:rPr>
                <w:rFonts w:ascii="Calibri" w:hAnsi="Calibri"/>
                <w:b w:val="0"/>
                <w:i w:val="0"/>
                <w:color w:val="212121"/>
                <w:sz w:val="19"/>
              </w:rPr>
              <w:t>Trisomy 21 carries an intrinsically higher risk of congenital and acquired thyroid dysfunction, so every infant with Down syndrome needs thyroid screening at birth and periodically thereafter.</w:t>
            </w:r>
          </w:p>
          <w:p>
            <w:pPr>
              <w:spacing w:after="40" w:before="60" w:line="259" w:lineRule="auto"/>
            </w:pPr>
            <w:r>
              <w:rPr>
                <w:rFonts w:ascii="Calibri" w:hAnsi="Calibri"/>
                <w:b w:val="0"/>
                <w:i w:val="0"/>
                <w:color w:val="212121"/>
                <w:sz w:val="19"/>
              </w:rPr>
              <w:t>The reported prevalence of thyroid disorders in children with trisomy 21 ranges widely from about 4% to 40%.</w:t>
            </w:r>
          </w:p>
          <w:p>
            <w:pPr>
              <w:spacing w:after="40" w:line="252" w:lineRule="auto"/>
            </w:pPr>
            <w:hyperlink r:id="rId17">
              <w:r>
                <w:rPr>
                  <w:rFonts w:ascii="Calibri" w:hAnsi="Calibri" w:cs="Calibri"/>
                  <w:sz w:val="18"/>
                  <w:color w:val="1155CC"/>
                  <w:u w:val="single"/>
                </w:rPr>
                <w:t xml:space="preserve">bmc pediatrics — thyroid dysfunction in trisomy 21</w:t>
              </w:r>
            </w:hyperlink>
          </w:p>
          <w:p>
            <w:pPr>
              <w:spacing w:before="60" w:after="40"/>
            </w:pPr>
            <w:r>
              <w:rPr>
                <w:rFonts w:ascii="Calibri" w:hAnsi="Calibri"/>
                <w:b w:val="0"/>
                <w:i w:val="0"/>
                <w:color w:val="5A5A5A"/>
                <w:sz w:val="18"/>
              </w:rPr>
              <w:t>#DownSyndrome  #trisomy21  #thyroidscreening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 low birth weight</w:t>
            </w:r>
          </w:p>
        </w:tc>
        <w:tc>
          <w:tcPr>
            <w:tcW w:type="dxa" w:w="2160"/>
            <w:vAlign w:val="top"/>
          </w:tcPr>
          <w:p>
            <w:pPr>
              <w:spacing w:after="40" w:before="0" w:line="259" w:lineRule="auto"/>
            </w:pPr>
            <w:r>
              <w:rPr>
                <w:rFonts w:ascii="Calibri" w:hAnsi="Calibri"/>
                <w:b w:val="0"/>
                <w:i w:val="0"/>
                <w:color w:val="212121"/>
                <w:sz w:val="19"/>
              </w:rPr>
              <w:t>Preterm and low-birth-weight neonates</w:t>
            </w:r>
          </w:p>
        </w:tc>
        <w:tc>
          <w:tcPr>
            <w:tcW w:type="dxa" w:w="4276"/>
            <w:vAlign w:val="top"/>
          </w:tcPr>
          <w:p>
            <w:pPr>
              <w:spacing w:after="60" w:line="259" w:lineRule="auto"/>
            </w:pPr>
            <w:r>
              <w:rPr>
                <w:rFonts w:ascii="Calibri" w:hAnsi="Calibri"/>
                <w:b w:val="0"/>
                <w:i w:val="0"/>
                <w:color w:val="212121"/>
                <w:sz w:val="19"/>
              </w:rPr>
              <w:t>An immature hypothalamic–pituitary–thyroid axis and delayed TSH rise mean preterm/LBW infants frequently have transient hypothyroidism that a single early screen can miss, so guidelines mandate repeat testing.</w:t>
            </w:r>
          </w:p>
          <w:p>
            <w:pPr>
              <w:spacing w:after="40" w:before="60" w:line="259" w:lineRule="auto"/>
            </w:pPr>
            <w:r>
              <w:rPr>
                <w:rFonts w:ascii="Calibri" w:hAnsi="Calibri"/>
                <w:b w:val="0"/>
                <w:i w:val="0"/>
                <w:color w:val="212121"/>
                <w:sz w:val="19"/>
              </w:rPr>
              <w:t>An Indian study found CH in about 1 in 77 preterm babies, with half of confirmed cases due to permanent defects and half to maternal antibody; repeat/term retesting caught cases the first screen missed.</w:t>
            </w:r>
          </w:p>
          <w:p>
            <w:pPr>
              <w:spacing w:after="40" w:line="252" w:lineRule="auto"/>
            </w:pPr>
            <w:hyperlink r:id="rId18">
              <w:r>
                <w:rPr>
                  <w:rFonts w:ascii="Calibri" w:hAnsi="Calibri" w:cs="Calibri"/>
                  <w:sz w:val="18"/>
                  <w:color w:val="1155CC"/>
                  <w:u w:val="single"/>
                </w:rPr>
                <w:t xml:space="preserve">pubmed — CH in Indian preterm babies (1 in 77)</w:t>
              </w:r>
            </w:hyperlink>
          </w:p>
          <w:p>
            <w:pPr>
              <w:spacing w:before="60" w:after="40"/>
            </w:pPr>
            <w:r>
              <w:rPr>
                <w:rFonts w:ascii="Calibri" w:hAnsi="Calibri"/>
                <w:b w:val="0"/>
                <w:i w:val="0"/>
                <w:color w:val="5A5A5A"/>
                <w:sz w:val="18"/>
              </w:rPr>
              <w:t>#prematurity  #lowbirthweight  #delayedTSH  #repeatscreen  #NICU</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autoimmune / Graves disease &amp; antithyroid drugs</w:t>
            </w:r>
          </w:p>
        </w:tc>
        <w:tc>
          <w:tcPr>
            <w:tcW w:type="dxa" w:w="2160"/>
            <w:vAlign w:val="top"/>
          </w:tcPr>
          <w:p>
            <w:pPr>
              <w:spacing w:after="40" w:before="0" w:line="259" w:lineRule="auto"/>
            </w:pPr>
            <w:r>
              <w:rPr>
                <w:rFonts w:ascii="Calibri" w:hAnsi="Calibri"/>
                <w:b w:val="0"/>
                <w:i w:val="0"/>
                <w:color w:val="212121"/>
                <w:sz w:val="19"/>
              </w:rPr>
              <w:t>Infants of mothers with thyroid autoimmunity or on carbimazole/PTU</w:t>
            </w:r>
          </w:p>
        </w:tc>
        <w:tc>
          <w:tcPr>
            <w:tcW w:type="dxa" w:w="4276"/>
            <w:vAlign w:val="top"/>
          </w:tcPr>
          <w:p>
            <w:pPr>
              <w:spacing w:after="60" w:line="259" w:lineRule="auto"/>
            </w:pPr>
            <w:r>
              <w:rPr>
                <w:rFonts w:ascii="Calibri" w:hAnsi="Calibri"/>
                <w:b w:val="0"/>
                <w:i w:val="0"/>
                <w:color w:val="212121"/>
                <w:sz w:val="19"/>
              </w:rPr>
              <w:t>Transplacental TSH-receptor blocking antibodies and maternal antithyroid drugs (carbimazole, methimazole, propylthiouracil) can transiently suppress the neonatal thyroid, producing transient CH that resolves as the antibody or drug clears.</w:t>
            </w:r>
          </w:p>
          <w:p>
            <w:pPr>
              <w:spacing w:after="40" w:before="60" w:line="259" w:lineRule="auto"/>
            </w:pPr>
            <w:r>
              <w:rPr>
                <w:rFonts w:ascii="Calibri" w:hAnsi="Calibri"/>
                <w:b w:val="0"/>
                <w:i w:val="0"/>
                <w:color w:val="212121"/>
                <w:sz w:val="19"/>
              </w:rPr>
              <w:t>Maternal thyroid disease is a leading cause of transient CH; in the Indian preterm cohort maternal antibody accounted for 50% of confirmed cases.</w:t>
            </w:r>
          </w:p>
          <w:p>
            <w:pPr>
              <w:spacing w:after="40" w:line="252" w:lineRule="auto"/>
            </w:pPr>
            <w:hyperlink r:id="rId18">
              <w:r>
                <w:rPr>
                  <w:rFonts w:ascii="Calibri" w:hAnsi="Calibri" w:cs="Calibri"/>
                  <w:sz w:val="18"/>
                  <w:color w:val="1155CC"/>
                  <w:u w:val="single"/>
                </w:rPr>
                <w:t xml:space="preserve">pubmed — maternal antibody &amp; transient CH</w:t>
              </w:r>
            </w:hyperlink>
          </w:p>
          <w:p>
            <w:pPr>
              <w:spacing w:before="60" w:after="40"/>
            </w:pPr>
            <w:r>
              <w:rPr>
                <w:rFonts w:ascii="Calibri" w:hAnsi="Calibri"/>
                <w:b w:val="0"/>
                <w:i w:val="0"/>
                <w:color w:val="5A5A5A"/>
                <w:sz w:val="18"/>
              </w:rPr>
              <w:t>#maternalGraves  #blockingantibody  #antithyroiddrugs  #transientCH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Maternal physical activity is not an established determinant of congenital hypothyroidism; fetal thyroid development is governed by genetics, iodine status and maternal/placental factors rather than activity levels.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Maternal iodine intake is decisive: deficiency is the leading preventable cause of neonatal hypothyroidism worldwide, while goitrogens (cassava, millet, soy) and iodine excess further modulate fetal thyroid function. Pregnancy/lactation need ~250 µg iodine/day.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link between maternal sleep and congenital hypothyroidism; infants with CH are themselves excessively sleepy, but that is a symptom rather than a cause.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smoking and smokeless tobacco deliver thiocyanate, a goitrogen crossing the placenta, and are associated with altered neonatal thyroid function and transient neonatal hypothyroidism.</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linking maternal alcohol to congenital hypothyroidism is limited; alcohol is avoided in pregnancy chiefly for broader fetal-safety reasons.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causal link between maternal mental health and CH; however parental mental-health support is important once a lifelong diagnosis is made.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Drinking-water and salt are the main iodine sources; goitrogenic contaminants (perchlorate, nitrate, thiocyanate) in some groundwater can impair iodine uptake, so water/salt iodine status matters for fetal thyroid health.</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maternal caffeine intake and congenital hypothyroidism.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Perinatal use of iodine-containing antiseptics (povidone-iodine skin/cord/vaginal preparation) can transiently block the immature neonatal thyroid (Wolff–Chaikoff effect); non-iodine antiseptics are preferred around delivery and in neonates.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Identifiable provoking factors for transient CH include iodine excess (povidone-iodine), maternal antithyroid drugs, transplacental TSH-receptor blocking antibodies, iodine deficiency and prematurity — several are modifiable or predictable.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Newborn screening</w:t>
            </w:r>
          </w:p>
        </w:tc>
        <w:tc>
          <w:tcPr>
            <w:tcW w:type="dxa" w:w="1944"/>
            <w:vAlign w:val="top"/>
          </w:tcPr>
          <w:p>
            <w:pPr>
              <w:spacing w:after="40" w:before="0" w:line="259" w:lineRule="auto"/>
            </w:pPr>
            <w:r>
              <w:rPr>
                <w:rFonts w:ascii="Calibri" w:hAnsi="Calibri"/>
                <w:b w:val="0"/>
                <w:i w:val="0"/>
                <w:color w:val="212121"/>
                <w:sz w:val="19"/>
              </w:rPr>
              <w:t>Cord-blood TSH (at delivery)</w:t>
            </w:r>
          </w:p>
        </w:tc>
        <w:tc>
          <w:tcPr>
            <w:tcW w:type="dxa" w:w="1655"/>
            <w:vAlign w:val="top"/>
          </w:tcPr>
          <w:p>
            <w:pPr>
              <w:spacing w:after="40" w:before="0" w:line="259" w:lineRule="auto"/>
            </w:pPr>
            <w:r>
              <w:rPr>
                <w:rFonts w:ascii="Calibri" w:hAnsi="Calibri"/>
                <w:b w:val="0"/>
                <w:i w:val="0"/>
                <w:color w:val="212121"/>
                <w:sz w:val="19"/>
              </w:rPr>
              <w:t>All newborns (decentralised screening)</w:t>
            </w:r>
          </w:p>
        </w:tc>
        <w:tc>
          <w:tcPr>
            <w:tcW w:type="dxa" w:w="1512"/>
            <w:vAlign w:val="top"/>
          </w:tcPr>
          <w:p>
            <w:pPr>
              <w:spacing w:after="40" w:before="0" w:line="259" w:lineRule="auto"/>
            </w:pPr>
            <w:r>
              <w:rPr>
                <w:rFonts w:ascii="Calibri" w:hAnsi="Calibri"/>
                <w:b w:val="0"/>
                <w:i w:val="0"/>
                <w:color w:val="212121"/>
                <w:sz w:val="19"/>
              </w:rPr>
              <w:t>&lt; 20 mIU/L</w:t>
            </w:r>
          </w:p>
        </w:tc>
        <w:tc>
          <w:tcPr>
            <w:tcW w:type="dxa" w:w="1512"/>
            <w:vAlign w:val="top"/>
          </w:tcPr>
          <w:p>
            <w:pPr>
              <w:spacing w:after="40" w:before="0" w:line="259" w:lineRule="auto"/>
            </w:pPr>
            <w:r>
              <w:rPr>
                <w:rFonts w:ascii="Calibri" w:hAnsi="Calibri"/>
                <w:b w:val="0"/>
                <w:i w:val="0"/>
                <w:color w:val="212121"/>
                <w:sz w:val="19"/>
              </w:rPr>
              <w:t>≥ 20 mIU/L (recall for venous confirmation; some programmes use ≥ 25)</w:t>
            </w:r>
          </w:p>
        </w:tc>
        <w:tc>
          <w:tcPr>
            <w:tcW w:type="dxa" w:w="1468"/>
            <w:vAlign w:val="top"/>
          </w:tcPr>
          <w:p>
            <w:pPr>
              <w:spacing w:after="60" w:line="259" w:lineRule="auto"/>
            </w:pPr>
            <w:r>
              <w:rPr>
                <w:rFonts w:ascii="Calibri" w:hAnsi="Calibri"/>
                <w:b w:val="0"/>
                <w:i w:val="0"/>
                <w:color w:val="212121"/>
                <w:sz w:val="19"/>
              </w:rPr>
              <w:t>Practical first-tier screen for resource-limited Indian settings; result can be ready before discharge</w:t>
            </w:r>
          </w:p>
          <w:p>
            <w:pPr>
              <w:spacing w:after="40" w:line="252" w:lineRule="auto"/>
            </w:pPr>
            <w:hyperlink r:id="rId19">
              <w:r>
                <w:rPr>
                  <w:rFonts w:ascii="Calibri" w:hAnsi="Calibri" w:cs="Calibri"/>
                  <w:sz w:val="18"/>
                  <w:color w:val="1155CC"/>
                  <w:u w:val="single"/>
                </w:rPr>
                <w:t xml:space="preserve">https://pmc.ncbi.nlm.nih.gov/articles/PMC6063176/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Heel-prick (dried-blood-spot) TSH at 48–72 h</w:t>
            </w:r>
          </w:p>
        </w:tc>
        <w:tc>
          <w:tcPr>
            <w:tcW w:type="dxa" w:w="1655"/>
            <w:vAlign w:val="top"/>
          </w:tcPr>
          <w:p>
            <w:pPr>
              <w:spacing w:after="40" w:before="0" w:line="259" w:lineRule="auto"/>
            </w:pPr>
            <w:r>
              <w:rPr>
                <w:rFonts w:ascii="Calibri" w:hAnsi="Calibri"/>
                <w:b w:val="0"/>
                <w:i w:val="0"/>
                <w:color w:val="212121"/>
                <w:sz w:val="19"/>
              </w:rPr>
              <w:t>Term newborns</w:t>
            </w:r>
          </w:p>
        </w:tc>
        <w:tc>
          <w:tcPr>
            <w:tcW w:type="dxa" w:w="1512"/>
            <w:vAlign w:val="top"/>
          </w:tcPr>
          <w:p>
            <w:pPr>
              <w:spacing w:after="40" w:before="0" w:line="259" w:lineRule="auto"/>
            </w:pPr>
            <w:r>
              <w:rPr>
                <w:rFonts w:ascii="Calibri" w:hAnsi="Calibri"/>
                <w:b w:val="0"/>
                <w:i w:val="0"/>
                <w:color w:val="212121"/>
                <w:sz w:val="19"/>
              </w:rPr>
              <w:t>&lt; 20 mIU/L whole blood</w:t>
            </w:r>
          </w:p>
        </w:tc>
        <w:tc>
          <w:tcPr>
            <w:tcW w:type="dxa" w:w="1512"/>
            <w:vAlign w:val="top"/>
          </w:tcPr>
          <w:p>
            <w:pPr>
              <w:spacing w:after="40" w:before="0" w:line="259" w:lineRule="auto"/>
            </w:pPr>
            <w:r>
              <w:rPr>
                <w:rFonts w:ascii="Calibri" w:hAnsi="Calibri"/>
                <w:b w:val="0"/>
                <w:i w:val="0"/>
                <w:color w:val="212121"/>
                <w:sz w:val="19"/>
              </w:rPr>
              <w:t>≥ 20 mIU/L (confirm); very high ≥ 40 treat urgently</w:t>
            </w:r>
          </w:p>
        </w:tc>
        <w:tc>
          <w:tcPr>
            <w:tcW w:type="dxa" w:w="1468"/>
            <w:vAlign w:val="top"/>
          </w:tcPr>
          <w:p>
            <w:pPr>
              <w:spacing w:after="60" w:line="259" w:lineRule="auto"/>
            </w:pPr>
            <w:r>
              <w:rPr>
                <w:rFonts w:ascii="Calibri" w:hAnsi="Calibri"/>
                <w:b w:val="0"/>
                <w:i w:val="0"/>
                <w:color w:val="212121"/>
                <w:sz w:val="19"/>
              </w:rPr>
              <w:t>Standard filter-paper method; avoid the physiological TSH surge of the first 24 h</w:t>
            </w:r>
          </w:p>
          <w:p>
            <w:pPr>
              <w:spacing w:after="40" w:line="252" w:lineRule="auto"/>
            </w:pPr>
            <w:hyperlink r:id="rId20">
              <w:r>
                <w:rPr>
                  <w:rFonts w:ascii="Calibri" w:hAnsi="Calibri" w:cs="Calibri"/>
                  <w:sz w:val="18"/>
                  <w:color w:val="1155CC"/>
                  <w:u w:val="single"/>
                </w:rPr>
                <w:t xml:space="preserve">https://pmc.ncbi.nlm.nih.gov/articles/PMC8793950/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Confirmatory venous serum TSH</w:t>
            </w:r>
          </w:p>
        </w:tc>
        <w:tc>
          <w:tcPr>
            <w:tcW w:type="dxa" w:w="1655"/>
            <w:vAlign w:val="top"/>
          </w:tcPr>
          <w:p>
            <w:pPr>
              <w:spacing w:after="40" w:before="0" w:line="259" w:lineRule="auto"/>
            </w:pPr>
            <w:r>
              <w:rPr>
                <w:rFonts w:ascii="Calibri" w:hAnsi="Calibri"/>
                <w:b w:val="0"/>
                <w:i w:val="0"/>
                <w:color w:val="212121"/>
                <w:sz w:val="19"/>
              </w:rPr>
              <w:t>Screen-positive infants</w:t>
            </w:r>
          </w:p>
        </w:tc>
        <w:tc>
          <w:tcPr>
            <w:tcW w:type="dxa" w:w="1512"/>
            <w:vAlign w:val="top"/>
          </w:tcPr>
          <w:p>
            <w:pPr>
              <w:spacing w:after="40" w:before="0" w:line="259" w:lineRule="auto"/>
            </w:pPr>
            <w:r>
              <w:rPr>
                <w:rFonts w:ascii="Calibri" w:hAnsi="Calibri"/>
                <w:b w:val="0"/>
                <w:i w:val="0"/>
                <w:color w:val="212121"/>
                <w:sz w:val="19"/>
              </w:rPr>
              <w:t>Age-appropriate (falls to &lt; 10 mIU/L by day 5, &lt; 6–8 by 2 weeks)</w:t>
            </w:r>
          </w:p>
        </w:tc>
        <w:tc>
          <w:tcPr>
            <w:tcW w:type="dxa" w:w="1512"/>
            <w:vAlign w:val="top"/>
          </w:tcPr>
          <w:p>
            <w:pPr>
              <w:spacing w:after="40" w:before="0" w:line="259" w:lineRule="auto"/>
            </w:pPr>
            <w:r>
              <w:rPr>
                <w:rFonts w:ascii="Calibri" w:hAnsi="Calibri"/>
                <w:b w:val="0"/>
                <w:i w:val="0"/>
                <w:color w:val="212121"/>
                <w:sz w:val="19"/>
              </w:rPr>
              <w:t>≥ 20 mIU/L beyond 2 weeks (diagnostic); 6–20 borderline — repeat with free T4</w:t>
            </w:r>
          </w:p>
        </w:tc>
        <w:tc>
          <w:tcPr>
            <w:tcW w:type="dxa" w:w="1468"/>
            <w:vAlign w:val="top"/>
          </w:tcPr>
          <w:p>
            <w:pPr>
              <w:spacing w:after="60" w:line="259" w:lineRule="auto"/>
            </w:pPr>
            <w:r>
              <w:rPr>
                <w:rFonts w:ascii="Calibri" w:hAnsi="Calibri"/>
                <w:b w:val="0"/>
                <w:i w:val="0"/>
                <w:color w:val="212121"/>
                <w:sz w:val="19"/>
              </w:rPr>
              <w:t>Diagnosis needs paired TSH and free T4</w:t>
            </w:r>
          </w:p>
          <w:p>
            <w:pPr>
              <w:spacing w:after="40" w:line="252" w:lineRule="auto"/>
            </w:pPr>
            <w:hyperlink r:id="rId15">
              <w:r>
                <w:rPr>
                  <w:rFonts w:ascii="Calibri" w:hAnsi="Calibri" w:cs="Calibri"/>
                  <w:sz w:val="18"/>
                  <w:color w:val="1155CC"/>
                  <w:u w:val="single"/>
                </w:rPr>
                <w:t xml:space="preserve">https://pmc.ncbi.nlm.nih.gov/articles/PMC4207909/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 T4 (fT4)</w:t>
            </w:r>
          </w:p>
        </w:tc>
        <w:tc>
          <w:tcPr>
            <w:tcW w:type="dxa" w:w="1655"/>
            <w:vAlign w:val="top"/>
          </w:tcPr>
          <w:p>
            <w:pPr>
              <w:spacing w:after="40" w:before="0" w:line="259" w:lineRule="auto"/>
            </w:pPr>
            <w:r>
              <w:rPr>
                <w:rFonts w:ascii="Calibri" w:hAnsi="Calibri"/>
                <w:b w:val="0"/>
                <w:i w:val="0"/>
                <w:color w:val="212121"/>
                <w:sz w:val="19"/>
              </w:rPr>
              <w:t>Screen-positive / symptomatic infants</w:t>
            </w:r>
          </w:p>
        </w:tc>
        <w:tc>
          <w:tcPr>
            <w:tcW w:type="dxa" w:w="1512"/>
            <w:vAlign w:val="top"/>
          </w:tcPr>
          <w:p>
            <w:pPr>
              <w:spacing w:after="40" w:before="0" w:line="259" w:lineRule="auto"/>
            </w:pPr>
            <w:r>
              <w:rPr>
                <w:rFonts w:ascii="Calibri" w:hAnsi="Calibri"/>
                <w:b w:val="0"/>
                <w:i w:val="0"/>
                <w:color w:val="212121"/>
                <w:sz w:val="19"/>
              </w:rPr>
              <w:t>Age-specific neonatal range (high at birth, then declines)</w:t>
            </w:r>
          </w:p>
        </w:tc>
        <w:tc>
          <w:tcPr>
            <w:tcW w:type="dxa" w:w="1512"/>
            <w:vAlign w:val="top"/>
          </w:tcPr>
          <w:p>
            <w:pPr>
              <w:spacing w:after="40" w:before="0" w:line="259" w:lineRule="auto"/>
            </w:pPr>
            <w:r>
              <w:rPr>
                <w:rFonts w:ascii="Calibri" w:hAnsi="Calibri"/>
                <w:b w:val="0"/>
                <w:i w:val="0"/>
                <w:color w:val="212121"/>
                <w:sz w:val="19"/>
              </w:rPr>
              <w:t>Below age-specific reference (low fT4 with high TSH = primary CH; low fT4 with low/normal TSH = central CH)</w:t>
            </w:r>
          </w:p>
        </w:tc>
        <w:tc>
          <w:tcPr>
            <w:tcW w:type="dxa" w:w="1468"/>
            <w:vAlign w:val="top"/>
          </w:tcPr>
          <w:p>
            <w:pPr>
              <w:spacing w:after="60" w:line="259" w:lineRule="auto"/>
            </w:pPr>
            <w:r>
              <w:rPr>
                <w:rFonts w:ascii="Calibri" w:hAnsi="Calibri"/>
                <w:b w:val="0"/>
                <w:i w:val="0"/>
                <w:color w:val="212121"/>
                <w:sz w:val="19"/>
              </w:rPr>
              <w:t>Essential to detect central CH, which TSH screening misses</w:t>
            </w:r>
          </w:p>
          <w:p>
            <w:pPr>
              <w:spacing w:after="40" w:line="252" w:lineRule="auto"/>
            </w:pPr>
            <w:hyperlink r:id="rId15">
              <w:r>
                <w:rPr>
                  <w:rFonts w:ascii="Calibri" w:hAnsi="Calibri" w:cs="Calibri"/>
                  <w:sz w:val="18"/>
                  <w:color w:val="1155CC"/>
                  <w:u w:val="single"/>
                </w:rPr>
                <w:t xml:space="preserve">https://pmc.ncbi.nlm.nih.gov/articles/PMC4207909/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start of levothyroxine</w:t>
            </w:r>
          </w:p>
        </w:tc>
        <w:tc>
          <w:tcPr>
            <w:tcW w:type="dxa" w:w="1655"/>
            <w:vAlign w:val="top"/>
          </w:tcPr>
          <w:p>
            <w:pPr>
              <w:spacing w:after="40" w:before="0" w:line="259" w:lineRule="auto"/>
            </w:pPr>
            <w:r>
              <w:rPr>
                <w:rFonts w:ascii="Calibri" w:hAnsi="Calibri"/>
                <w:b w:val="0"/>
                <w:i w:val="0"/>
                <w:color w:val="212121"/>
                <w:sz w:val="19"/>
              </w:rPr>
              <w:t>Confirmed CH infants</w:t>
            </w:r>
          </w:p>
        </w:tc>
        <w:tc>
          <w:tcPr>
            <w:tcW w:type="dxa" w:w="1512"/>
            <w:vAlign w:val="top"/>
          </w:tcPr>
          <w:p>
            <w:pPr>
              <w:spacing w:after="40" w:before="0" w:line="259" w:lineRule="auto"/>
            </w:pPr>
            <w:r>
              <w:rPr>
                <w:rFonts w:ascii="Calibri" w:hAnsi="Calibri"/>
                <w:b w:val="0"/>
                <w:i w:val="0"/>
                <w:color w:val="212121"/>
                <w:sz w:val="19"/>
              </w:rPr>
              <w:t>Within the first 2 weeks of life</w:t>
            </w:r>
          </w:p>
        </w:tc>
        <w:tc>
          <w:tcPr>
            <w:tcW w:type="dxa" w:w="1512"/>
            <w:vAlign w:val="top"/>
          </w:tcPr>
          <w:p>
            <w:pPr>
              <w:spacing w:after="40" w:before="0" w:line="259" w:lineRule="auto"/>
            </w:pPr>
            <w:r>
              <w:rPr>
                <w:rFonts w:ascii="Calibri" w:hAnsi="Calibri"/>
                <w:b w:val="0"/>
                <w:i w:val="0"/>
                <w:color w:val="212121"/>
                <w:sz w:val="19"/>
              </w:rPr>
              <w:t>&gt; 2 weeks (delay worsens neurodevelopmental outcome)</w:t>
            </w:r>
          </w:p>
        </w:tc>
        <w:tc>
          <w:tcPr>
            <w:tcW w:type="dxa" w:w="1468"/>
            <w:vAlign w:val="top"/>
          </w:tcPr>
          <w:p>
            <w:pPr>
              <w:spacing w:after="60" w:line="259" w:lineRule="auto"/>
            </w:pPr>
            <w:r>
              <w:rPr>
                <w:rFonts w:ascii="Calibri" w:hAnsi="Calibri"/>
                <w:b w:val="0"/>
                <w:i w:val="0"/>
                <w:color w:val="212121"/>
                <w:sz w:val="19"/>
              </w:rPr>
              <w:t>Early, adequate treatment normalises IQ; delay is the main preventable harm</w:t>
            </w:r>
          </w:p>
          <w:p>
            <w:pPr>
              <w:spacing w:after="40" w:line="252" w:lineRule="auto"/>
            </w:pPr>
            <w:hyperlink r:id="rId15">
              <w:r>
                <w:rPr>
                  <w:rFonts w:ascii="Calibri" w:hAnsi="Calibri" w:cs="Calibri"/>
                  <w:sz w:val="18"/>
                  <w:color w:val="1155CC"/>
                  <w:u w:val="single"/>
                </w:rPr>
                <w:t xml:space="preserve">https://pmc.ncbi.nlm.nih.gov/articles/PMC4207909/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Initial levothyroxine dose</w:t>
            </w:r>
          </w:p>
        </w:tc>
        <w:tc>
          <w:tcPr>
            <w:tcW w:type="dxa" w:w="1655"/>
            <w:vAlign w:val="top"/>
          </w:tcPr>
          <w:p>
            <w:pPr>
              <w:spacing w:after="40" w:before="0" w:line="259" w:lineRule="auto"/>
            </w:pPr>
            <w:r>
              <w:rPr>
                <w:rFonts w:ascii="Calibri" w:hAnsi="Calibri"/>
                <w:b w:val="0"/>
                <w:i w:val="0"/>
                <w:color w:val="212121"/>
                <w:sz w:val="19"/>
              </w:rPr>
              <w:t>Confirmed CH infants</w:t>
            </w:r>
          </w:p>
        </w:tc>
        <w:tc>
          <w:tcPr>
            <w:tcW w:type="dxa" w:w="1512"/>
            <w:vAlign w:val="top"/>
          </w:tcPr>
          <w:p>
            <w:pPr>
              <w:spacing w:after="40" w:before="0" w:line="259" w:lineRule="auto"/>
            </w:pPr>
            <w:r>
              <w:rPr>
                <w:rFonts w:ascii="Calibri" w:hAnsi="Calibri"/>
                <w:b w:val="0"/>
                <w:i w:val="0"/>
                <w:color w:val="212121"/>
                <w:sz w:val="19"/>
              </w:rPr>
              <w:t>10–15 µg/kg/day orally, once daily</w:t>
            </w:r>
          </w:p>
        </w:tc>
        <w:tc>
          <w:tcPr>
            <w:tcW w:type="dxa" w:w="1512"/>
            <w:vAlign w:val="top"/>
          </w:tcPr>
          <w:p>
            <w:pPr>
              <w:spacing w:after="40" w:before="0" w:line="259" w:lineRule="auto"/>
            </w:pPr>
            <w:r>
              <w:rPr>
                <w:rFonts w:ascii="Calibri" w:hAnsi="Calibri"/>
                <w:b w:val="0"/>
                <w:i w:val="0"/>
                <w:color w:val="212121"/>
                <w:sz w:val="19"/>
              </w:rPr>
              <w:t>Under-dosing (fails to normalise fT4 within ~2 weeks / TSH within ~1 month)</w:t>
            </w:r>
          </w:p>
        </w:tc>
        <w:tc>
          <w:tcPr>
            <w:tcW w:type="dxa" w:w="1468"/>
            <w:vAlign w:val="top"/>
          </w:tcPr>
          <w:p>
            <w:pPr>
              <w:spacing w:after="60" w:line="259" w:lineRule="auto"/>
            </w:pPr>
            <w:r>
              <w:rPr>
                <w:rFonts w:ascii="Calibri" w:hAnsi="Calibri"/>
                <w:b w:val="0"/>
                <w:i w:val="0"/>
                <w:color w:val="212121"/>
                <w:sz w:val="19"/>
              </w:rPr>
              <w:t>Higher starting dose for severe (athyreotic) CH; crush tablet, avoid soy/iron/calcium co-administration</w:t>
            </w:r>
          </w:p>
          <w:p>
            <w:pPr>
              <w:spacing w:after="40" w:line="252" w:lineRule="auto"/>
            </w:pPr>
            <w:hyperlink r:id="rId15">
              <w:r>
                <w:rPr>
                  <w:rFonts w:ascii="Calibri" w:hAnsi="Calibri" w:cs="Calibri"/>
                  <w:sz w:val="18"/>
                  <w:color w:val="1155CC"/>
                  <w:u w:val="single"/>
                </w:rPr>
                <w:t xml:space="preserve">https://pmc.ncbi.nlm.nih.gov/articles/PMC4207909/</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Maternal urinary iodine concentration (pregnancy)</w:t>
            </w:r>
          </w:p>
        </w:tc>
        <w:tc>
          <w:tcPr>
            <w:tcW w:type="dxa" w:w="1655"/>
            <w:vAlign w:val="top"/>
          </w:tcPr>
          <w:p>
            <w:pPr>
              <w:spacing w:after="40" w:before="0" w:line="259" w:lineRule="auto"/>
            </w:pPr>
            <w:r>
              <w:rPr>
                <w:rFonts w:ascii="Calibri" w:hAnsi="Calibri"/>
                <w:b w:val="0"/>
                <w:i w:val="0"/>
                <w:color w:val="212121"/>
                <w:sz w:val="19"/>
              </w:rPr>
              <w:t>Pregnant / lactating women</w:t>
            </w:r>
          </w:p>
        </w:tc>
        <w:tc>
          <w:tcPr>
            <w:tcW w:type="dxa" w:w="1512"/>
            <w:vAlign w:val="top"/>
          </w:tcPr>
          <w:p>
            <w:pPr>
              <w:spacing w:after="40" w:before="0" w:line="259" w:lineRule="auto"/>
            </w:pPr>
            <w:r>
              <w:rPr>
                <w:rFonts w:ascii="Calibri" w:hAnsi="Calibri"/>
                <w:b w:val="0"/>
                <w:i w:val="0"/>
                <w:color w:val="212121"/>
                <w:sz w:val="19"/>
              </w:rPr>
              <w:t>150–249 µg/L (adequate in pregnancy)</w:t>
            </w:r>
          </w:p>
        </w:tc>
        <w:tc>
          <w:tcPr>
            <w:tcW w:type="dxa" w:w="1512"/>
            <w:vAlign w:val="top"/>
          </w:tcPr>
          <w:p>
            <w:pPr>
              <w:spacing w:after="40" w:before="0" w:line="259" w:lineRule="auto"/>
            </w:pPr>
            <w:r>
              <w:rPr>
                <w:rFonts w:ascii="Calibri" w:hAnsi="Calibri"/>
                <w:b w:val="0"/>
                <w:i w:val="0"/>
                <w:color w:val="212121"/>
                <w:sz w:val="19"/>
              </w:rPr>
              <w:t>&lt; 150 µg/L (deficient); persistently &gt; 500 µg/L (excess)</w:t>
            </w:r>
          </w:p>
        </w:tc>
        <w:tc>
          <w:tcPr>
            <w:tcW w:type="dxa" w:w="1468"/>
            <w:vAlign w:val="top"/>
          </w:tcPr>
          <w:p>
            <w:pPr>
              <w:spacing w:after="60" w:line="259" w:lineRule="auto"/>
            </w:pPr>
            <w:r>
              <w:rPr>
                <w:rFonts w:ascii="Calibri" w:hAnsi="Calibri"/>
                <w:b w:val="0"/>
                <w:i w:val="0"/>
                <w:color w:val="212121"/>
                <w:sz w:val="19"/>
              </w:rPr>
              <w:t>Population marker of iodine sufficiency; both deficiency and excess harm the fetal thyroid</w:t>
            </w:r>
          </w:p>
          <w:p>
            <w:pPr>
              <w:spacing w:after="40" w:line="252" w:lineRule="auto"/>
            </w:pPr>
            <w:hyperlink r:id="rId14">
              <w:r>
                <w:rPr>
                  <w:rFonts w:ascii="Calibri" w:hAnsi="Calibri" w:cs="Calibri"/>
                  <w:sz w:val="18"/>
                  <w:color w:val="1155CC"/>
                  <w:u w:val="single"/>
                </w:rPr>
                <w:t xml:space="preserve">https://pmc.ncbi.nlm.nih.gov/articles/PMC13119116/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Iodine intake in pregnancy/lactation</w:t>
            </w:r>
          </w:p>
        </w:tc>
        <w:tc>
          <w:tcPr>
            <w:tcW w:type="dxa" w:w="1655"/>
            <w:vAlign w:val="top"/>
          </w:tcPr>
          <w:p>
            <w:pPr>
              <w:spacing w:after="40" w:before="0" w:line="259" w:lineRule="auto"/>
            </w:pPr>
            <w:r>
              <w:rPr>
                <w:rFonts w:ascii="Calibri" w:hAnsi="Calibri"/>
                <w:b w:val="0"/>
                <w:i w:val="0"/>
                <w:color w:val="212121"/>
                <w:sz w:val="19"/>
              </w:rPr>
              <w:t>Expectant / nursing mothers</w:t>
            </w:r>
          </w:p>
        </w:tc>
        <w:tc>
          <w:tcPr>
            <w:tcW w:type="dxa" w:w="1512"/>
            <w:vAlign w:val="top"/>
          </w:tcPr>
          <w:p>
            <w:pPr>
              <w:spacing w:after="40" w:before="0" w:line="259" w:lineRule="auto"/>
            </w:pPr>
            <w:r>
              <w:rPr>
                <w:rFonts w:ascii="Calibri" w:hAnsi="Calibri"/>
                <w:b w:val="0"/>
                <w:i w:val="0"/>
                <w:color w:val="212121"/>
                <w:sz w:val="19"/>
              </w:rPr>
              <w:t>~250 µg/day</w:t>
            </w:r>
          </w:p>
        </w:tc>
        <w:tc>
          <w:tcPr>
            <w:tcW w:type="dxa" w:w="1512"/>
            <w:vAlign w:val="top"/>
          </w:tcPr>
          <w:p>
            <w:pPr>
              <w:spacing w:after="40" w:before="0" w:line="259" w:lineRule="auto"/>
            </w:pPr>
            <w:r>
              <w:rPr>
                <w:rFonts w:ascii="Calibri" w:hAnsi="Calibri"/>
                <w:b w:val="0"/>
                <w:i w:val="0"/>
                <w:color w:val="212121"/>
                <w:sz w:val="19"/>
              </w:rPr>
              <w:t>&lt; 150 µg/day sustained</w:t>
            </w:r>
          </w:p>
        </w:tc>
        <w:tc>
          <w:tcPr>
            <w:tcW w:type="dxa" w:w="1468"/>
            <w:vAlign w:val="top"/>
          </w:tcPr>
          <w:p>
            <w:pPr>
              <w:spacing w:after="60" w:line="259" w:lineRule="auto"/>
            </w:pPr>
            <w:r>
              <w:rPr>
                <w:rFonts w:ascii="Calibri" w:hAnsi="Calibri"/>
                <w:b w:val="0"/>
                <w:i w:val="0"/>
                <w:color w:val="212121"/>
                <w:sz w:val="19"/>
              </w:rPr>
              <w:t>Use adequately iodised salt; iodine-containing antenatal supplement where intake is low</w:t>
            </w:r>
          </w:p>
          <w:p>
            <w:pPr>
              <w:spacing w:after="40" w:line="252" w:lineRule="auto"/>
            </w:pPr>
            <w:hyperlink r:id="rId14">
              <w:r>
                <w:rPr>
                  <w:rFonts w:ascii="Calibri" w:hAnsi="Calibri" w:cs="Calibri"/>
                  <w:sz w:val="18"/>
                  <w:color w:val="1155CC"/>
                  <w:u w:val="single"/>
                </w:rPr>
                <w:t xml:space="preserve">https://pmc.ncbi.nlm.nih.gov/articles/PMC13119116/</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Household salt iodine content</w:t>
            </w:r>
          </w:p>
        </w:tc>
        <w:tc>
          <w:tcPr>
            <w:tcW w:type="dxa" w:w="1655"/>
            <w:vAlign w:val="top"/>
          </w:tcPr>
          <w:p>
            <w:pPr>
              <w:spacing w:after="40" w:before="0" w:line="259" w:lineRule="auto"/>
            </w:pPr>
            <w:r>
              <w:rPr>
                <w:rFonts w:ascii="Calibri" w:hAnsi="Calibri"/>
                <w:b w:val="0"/>
                <w:i w:val="0"/>
                <w:color w:val="212121"/>
                <w:sz w:val="19"/>
              </w:rPr>
              <w:t>All households (esp. goitre-belt)</w:t>
            </w:r>
          </w:p>
        </w:tc>
        <w:tc>
          <w:tcPr>
            <w:tcW w:type="dxa" w:w="1512"/>
            <w:vAlign w:val="top"/>
          </w:tcPr>
          <w:p>
            <w:pPr>
              <w:spacing w:after="40" w:before="0" w:line="259" w:lineRule="auto"/>
            </w:pPr>
            <w:r>
              <w:rPr>
                <w:rFonts w:ascii="Calibri" w:hAnsi="Calibri"/>
                <w:b w:val="0"/>
                <w:i w:val="0"/>
                <w:color w:val="212121"/>
                <w:sz w:val="19"/>
              </w:rPr>
              <w:t>≥ 15 ppm iodine at consumer level</w:t>
            </w:r>
          </w:p>
        </w:tc>
        <w:tc>
          <w:tcPr>
            <w:tcW w:type="dxa" w:w="1512"/>
            <w:vAlign w:val="top"/>
          </w:tcPr>
          <w:p>
            <w:pPr>
              <w:spacing w:after="40" w:before="0" w:line="259" w:lineRule="auto"/>
            </w:pPr>
            <w:r>
              <w:rPr>
                <w:rFonts w:ascii="Calibri" w:hAnsi="Calibri"/>
                <w:b w:val="0"/>
                <w:i w:val="0"/>
                <w:color w:val="212121"/>
                <w:sz w:val="19"/>
              </w:rPr>
              <w:t>&lt; 15 ppm (inadequately iodised)</w:t>
            </w:r>
          </w:p>
        </w:tc>
        <w:tc>
          <w:tcPr>
            <w:tcW w:type="dxa" w:w="1468"/>
            <w:vAlign w:val="top"/>
          </w:tcPr>
          <w:p>
            <w:pPr>
              <w:spacing w:after="60" w:line="259" w:lineRule="auto"/>
            </w:pPr>
            <w:r>
              <w:rPr>
                <w:rFonts w:ascii="Calibri" w:hAnsi="Calibri"/>
                <w:b w:val="0"/>
                <w:i w:val="0"/>
                <w:color w:val="212121"/>
                <w:sz w:val="19"/>
              </w:rPr>
              <w:t>India's Universal Salt Iodisation target; low household salt iodine flags deficiency risk</w:t>
            </w:r>
          </w:p>
          <w:p>
            <w:pPr>
              <w:spacing w:after="40" w:line="252" w:lineRule="auto"/>
            </w:pPr>
            <w:hyperlink r:id="rId12">
              <w:r>
                <w:rPr>
                  <w:rFonts w:ascii="Calibri" w:hAnsi="Calibri" w:cs="Calibri"/>
                  <w:sz w:val="18"/>
                  <w:color w:val="1155CC"/>
                  <w:u w:val="single"/>
                </w:rPr>
                <w:t xml:space="preserve">https://pmc.ncbi.nlm.nih.gov/articles/PMC11922358/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Maternal tobacco use (smoked or smokeless)</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Zero tobacco</w:t>
            </w:r>
          </w:p>
        </w:tc>
        <w:tc>
          <w:tcPr>
            <w:tcW w:type="dxa" w:w="1512"/>
            <w:vAlign w:val="top"/>
          </w:tcPr>
          <w:p>
            <w:pPr>
              <w:spacing w:after="40" w:before="0" w:line="259" w:lineRule="auto"/>
            </w:pPr>
            <w:r>
              <w:rPr>
                <w:rFonts w:ascii="Calibri" w:hAnsi="Calibri"/>
                <w:b w:val="0"/>
                <w:i w:val="0"/>
                <w:color w:val="212121"/>
                <w:sz w:val="19"/>
              </w:rPr>
              <w:t>Any smoking or smokeless-tobacco use</w:t>
            </w:r>
          </w:p>
        </w:tc>
        <w:tc>
          <w:tcPr>
            <w:tcW w:type="dxa" w:w="1468"/>
            <w:vAlign w:val="top"/>
          </w:tcPr>
          <w:p>
            <w:pPr>
              <w:spacing w:after="60" w:line="259" w:lineRule="auto"/>
            </w:pPr>
            <w:r>
              <w:rPr>
                <w:rFonts w:ascii="Calibri" w:hAnsi="Calibri"/>
                <w:b w:val="0"/>
                <w:i w:val="0"/>
                <w:color w:val="212121"/>
                <w:sz w:val="19"/>
              </w:rPr>
              <w:t>Thiocyanate is a placental goitrogen linked to neonatal thyroid dysfunction</w:t>
            </w:r>
          </w:p>
          <w:p>
            <w:pPr>
              <w:spacing w:after="40" w:line="252" w:lineRule="auto"/>
            </w:pPr>
            <w:hyperlink r:id="rId14">
              <w:r>
                <w:rPr>
                  <w:rFonts w:ascii="Calibri" w:hAnsi="Calibri" w:cs="Calibri"/>
                  <w:sz w:val="18"/>
                  <w:color w:val="1155CC"/>
                  <w:u w:val="single"/>
                </w:rPr>
                <w:t xml:space="preserve">https://pmc.ncbi.nlm.nih.gov/articles/PMC13119116/</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Perinatal iodine-antiseptic exposure</w:t>
            </w:r>
          </w:p>
        </w:tc>
        <w:tc>
          <w:tcPr>
            <w:tcW w:type="dxa" w:w="1655"/>
            <w:vAlign w:val="top"/>
          </w:tcPr>
          <w:p>
            <w:pPr>
              <w:spacing w:after="40" w:before="0" w:line="259" w:lineRule="auto"/>
            </w:pPr>
            <w:r>
              <w:rPr>
                <w:rFonts w:ascii="Calibri" w:hAnsi="Calibri"/>
                <w:b w:val="0"/>
                <w:i w:val="0"/>
                <w:color w:val="212121"/>
                <w:sz w:val="19"/>
              </w:rPr>
              <w:t>Mother at delivery &amp; neonate</w:t>
            </w:r>
          </w:p>
        </w:tc>
        <w:tc>
          <w:tcPr>
            <w:tcW w:type="dxa" w:w="1512"/>
            <w:vAlign w:val="top"/>
          </w:tcPr>
          <w:p>
            <w:pPr>
              <w:spacing w:after="40" w:before="0" w:line="259" w:lineRule="auto"/>
            </w:pPr>
            <w:r>
              <w:rPr>
                <w:rFonts w:ascii="Calibri" w:hAnsi="Calibri"/>
                <w:b w:val="0"/>
                <w:i w:val="0"/>
                <w:color w:val="212121"/>
                <w:sz w:val="19"/>
              </w:rPr>
              <w:t>Avoid iodine antiseptics; use chlorhexidine/alcohol</w:t>
            </w:r>
          </w:p>
        </w:tc>
        <w:tc>
          <w:tcPr>
            <w:tcW w:type="dxa" w:w="1512"/>
            <w:vAlign w:val="top"/>
          </w:tcPr>
          <w:p>
            <w:pPr>
              <w:spacing w:after="40" w:before="0" w:line="259" w:lineRule="auto"/>
            </w:pPr>
            <w:r>
              <w:rPr>
                <w:rFonts w:ascii="Calibri" w:hAnsi="Calibri"/>
                <w:b w:val="0"/>
                <w:i w:val="0"/>
                <w:color w:val="212121"/>
                <w:sz w:val="19"/>
              </w:rPr>
              <w:t>Povidone-iodine skin/cord/vaginal use</w:t>
            </w:r>
          </w:p>
        </w:tc>
        <w:tc>
          <w:tcPr>
            <w:tcW w:type="dxa" w:w="1468"/>
            <w:vAlign w:val="top"/>
          </w:tcPr>
          <w:p>
            <w:pPr>
              <w:spacing w:after="60" w:line="259" w:lineRule="auto"/>
            </w:pPr>
            <w:r>
              <w:rPr>
                <w:rFonts w:ascii="Calibri" w:hAnsi="Calibri"/>
                <w:b w:val="0"/>
                <w:i w:val="0"/>
                <w:color w:val="212121"/>
                <w:sz w:val="19"/>
              </w:rPr>
              <w:t>Iodine load can cause transient neonatal hypothyroidism, especially in preterm infants</w:t>
            </w:r>
          </w:p>
          <w:p>
            <w:pPr>
              <w:spacing w:after="40" w:line="252" w:lineRule="auto"/>
            </w:pPr>
            <w:hyperlink r:id="rId15">
              <w:r>
                <w:rPr>
                  <w:rFonts w:ascii="Calibri" w:hAnsi="Calibri" w:cs="Calibri"/>
                  <w:sz w:val="18"/>
                  <w:color w:val="1155CC"/>
                  <w:u w:val="single"/>
                </w:rPr>
                <w:t xml:space="preserve">https://pmc.ncbi.nlm.nih.gov/articles/PMC4207909/</w:t>
              </w:r>
            </w:hyperlink>
          </w:p>
        </w:tc>
      </w:tr>
      <w:tr>
        <w:trPr>
          <w:cantSplit/>
        </w:trPr>
        <w:tc>
          <w:tcPr>
            <w:tcW w:type="dxa" w:w="1512"/>
            <w:vAlign w:val="center"/>
          </w:tcPr>
          <w:p>
            <w:pPr>
              <w:spacing w:after="40"/>
            </w:pPr>
            <w:r>
              <w:rPr>
                <w:rFonts w:ascii="Calibri" w:hAnsi="Calibri"/>
                <w:b w:val="0"/>
                <w:i w:val="0"/>
                <w:color w:val="212121"/>
                <w:sz w:val="19"/>
              </w:rPr>
              <w:t>Newborn screening</w:t>
            </w:r>
          </w:p>
        </w:tc>
        <w:tc>
          <w:tcPr>
            <w:tcW w:type="dxa" w:w="1944"/>
            <w:vAlign w:val="top"/>
          </w:tcPr>
          <w:p>
            <w:pPr>
              <w:spacing w:after="40" w:before="0" w:line="259" w:lineRule="auto"/>
            </w:pPr>
            <w:r>
              <w:rPr>
                <w:rFonts w:ascii="Calibri" w:hAnsi="Calibri"/>
                <w:b w:val="0"/>
                <w:i w:val="0"/>
                <w:color w:val="212121"/>
                <w:sz w:val="19"/>
              </w:rPr>
              <w:t>Gestational age / birth weight (retest rule)</w:t>
            </w:r>
          </w:p>
        </w:tc>
        <w:tc>
          <w:tcPr>
            <w:tcW w:type="dxa" w:w="1655"/>
            <w:vAlign w:val="top"/>
          </w:tcPr>
          <w:p>
            <w:pPr>
              <w:spacing w:after="40" w:before="0" w:line="259" w:lineRule="auto"/>
            </w:pPr>
            <w:r>
              <w:rPr>
                <w:rFonts w:ascii="Calibri" w:hAnsi="Calibri"/>
                <w:b w:val="0"/>
                <w:i w:val="0"/>
                <w:color w:val="212121"/>
                <w:sz w:val="19"/>
              </w:rPr>
              <w:t>Preterm &amp; low-birth-weight neonates</w:t>
            </w:r>
          </w:p>
        </w:tc>
        <w:tc>
          <w:tcPr>
            <w:tcW w:type="dxa" w:w="1512"/>
            <w:vAlign w:val="top"/>
          </w:tcPr>
          <w:p>
            <w:pPr>
              <w:spacing w:after="40" w:before="0" w:line="259" w:lineRule="auto"/>
            </w:pPr>
            <w:r>
              <w:rPr>
                <w:rFonts w:ascii="Calibri" w:hAnsi="Calibri"/>
                <w:b w:val="0"/>
                <w:i w:val="0"/>
                <w:color w:val="212121"/>
                <w:sz w:val="19"/>
              </w:rPr>
              <w:t>Term ≥ 37 weeks, birth weight ≥ 2.5 kg</w:t>
            </w:r>
          </w:p>
        </w:tc>
        <w:tc>
          <w:tcPr>
            <w:tcW w:type="dxa" w:w="1512"/>
            <w:vAlign w:val="top"/>
          </w:tcPr>
          <w:p>
            <w:pPr>
              <w:spacing w:after="40" w:before="0" w:line="259" w:lineRule="auto"/>
            </w:pPr>
            <w:r>
              <w:rPr>
                <w:rFonts w:ascii="Calibri" w:hAnsi="Calibri"/>
                <w:b w:val="0"/>
                <w:i w:val="0"/>
                <w:color w:val="212121"/>
                <w:sz w:val="19"/>
              </w:rPr>
              <w:t>&lt; 37 weeks or &lt; 2.5 kg (schedule repeat screen ~2–4 weeks / at term-equivalent)</w:t>
            </w:r>
          </w:p>
        </w:tc>
        <w:tc>
          <w:tcPr>
            <w:tcW w:type="dxa" w:w="1468"/>
            <w:vAlign w:val="top"/>
          </w:tcPr>
          <w:p>
            <w:pPr>
              <w:spacing w:after="60" w:line="259" w:lineRule="auto"/>
            </w:pPr>
            <w:r>
              <w:rPr>
                <w:rFonts w:ascii="Calibri" w:hAnsi="Calibri"/>
                <w:b w:val="0"/>
                <w:i w:val="0"/>
                <w:color w:val="212121"/>
                <w:sz w:val="19"/>
              </w:rPr>
              <w:t>Delayed TSH rise means a single early screen can miss preterm CH</w:t>
            </w:r>
          </w:p>
          <w:p>
            <w:pPr>
              <w:spacing w:after="40" w:line="252" w:lineRule="auto"/>
            </w:pPr>
            <w:hyperlink r:id="rId21">
              <w:r>
                <w:rPr>
                  <w:rFonts w:ascii="Calibri" w:hAnsi="Calibri" w:cs="Calibri"/>
                  <w:sz w:val="18"/>
                  <w:color w:val="1155CC"/>
                  <w:u w:val="single"/>
                </w:rPr>
                <w:t xml:space="preserve">https://pmc.ncbi.nlm.nih.gov/articles/PMC6449615/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Screening (biochemical)</w:t>
            </w:r>
          </w:p>
        </w:tc>
        <w:tc>
          <w:tcPr>
            <w:tcW w:type="dxa" w:w="1036"/>
            <w:vAlign w:val="top"/>
          </w:tcPr>
          <w:p>
            <w:pPr>
              <w:spacing w:after="40" w:before="0" w:line="259" w:lineRule="auto"/>
            </w:pPr>
            <w:r>
              <w:rPr>
                <w:rFonts w:ascii="Calibri" w:hAnsi="Calibri"/>
                <w:b w:val="0"/>
                <w:i w:val="0"/>
                <w:color w:val="212121"/>
                <w:sz w:val="16"/>
              </w:rPr>
              <w:t>Cord-blood TSH</w:t>
            </w:r>
          </w:p>
        </w:tc>
        <w:tc>
          <w:tcPr>
            <w:tcW w:type="dxa" w:w="892"/>
            <w:vAlign w:val="top"/>
          </w:tcPr>
          <w:p>
            <w:pPr>
              <w:spacing w:after="40" w:before="0" w:line="259" w:lineRule="auto"/>
            </w:pPr>
            <w:r>
              <w:rPr>
                <w:rFonts w:ascii="Calibri" w:hAnsi="Calibri"/>
                <w:b w:val="0"/>
                <w:i w:val="0"/>
                <w:color w:val="212121"/>
                <w:sz w:val="16"/>
              </w:rPr>
              <w:t>Thyroid screen</w:t>
            </w:r>
          </w:p>
        </w:tc>
        <w:tc>
          <w:tcPr>
            <w:tcW w:type="dxa" w:w="950"/>
            <w:vAlign w:val="top"/>
          </w:tcPr>
          <w:p>
            <w:pPr>
              <w:spacing w:after="40" w:before="0" w:line="259" w:lineRule="auto"/>
            </w:pPr>
            <w:r>
              <w:rPr>
                <w:rFonts w:ascii="Calibri" w:hAnsi="Calibri"/>
                <w:b w:val="0"/>
                <w:i w:val="0"/>
                <w:color w:val="212121"/>
                <w:sz w:val="16"/>
              </w:rPr>
              <w:t>&lt; 20 mIU/L</w:t>
            </w:r>
          </w:p>
        </w:tc>
        <w:tc>
          <w:tcPr>
            <w:tcW w:type="dxa" w:w="950"/>
            <w:vAlign w:val="top"/>
          </w:tcPr>
          <w:p>
            <w:pPr>
              <w:spacing w:after="40" w:before="0" w:line="259" w:lineRule="auto"/>
            </w:pPr>
            <w:r>
              <w:rPr>
                <w:rFonts w:ascii="Calibri" w:hAnsi="Calibri"/>
                <w:b w:val="0"/>
                <w:i w:val="0"/>
                <w:color w:val="212121"/>
                <w:sz w:val="16"/>
              </w:rPr>
              <w:t>≥ 20 mIU/L (recall)</w:t>
            </w:r>
          </w:p>
        </w:tc>
        <w:tc>
          <w:tcPr>
            <w:tcW w:type="dxa" w:w="1036"/>
            <w:vAlign w:val="top"/>
          </w:tcPr>
          <w:p>
            <w:pPr>
              <w:spacing w:after="40" w:before="0" w:line="259" w:lineRule="auto"/>
            </w:pPr>
            <w:r>
              <w:rPr>
                <w:rFonts w:ascii="Calibri" w:hAnsi="Calibri"/>
                <w:b w:val="0"/>
                <w:i w:val="0"/>
                <w:color w:val="212121"/>
                <w:sz w:val="16"/>
              </w:rPr>
              <w:t>First-tier screen at delivery; elevated value triggers venous confirmation</w:t>
            </w:r>
          </w:p>
        </w:tc>
        <w:tc>
          <w:tcPr>
            <w:tcW w:type="dxa" w:w="1036"/>
            <w:vAlign w:val="top"/>
          </w:tcPr>
          <w:p>
            <w:pPr>
              <w:spacing w:after="40" w:before="0" w:line="259" w:lineRule="auto"/>
            </w:pPr>
            <w:r>
              <w:rPr>
                <w:rFonts w:ascii="Calibri" w:hAnsi="Calibri"/>
                <w:b w:val="0"/>
                <w:i w:val="0"/>
                <w:color w:val="212121"/>
                <w:sz w:val="16"/>
              </w:rPr>
              <w:t>All newborns, especially in decentralised/limited-resource settings</w:t>
            </w:r>
          </w:p>
        </w:tc>
        <w:tc>
          <w:tcPr>
            <w:tcW w:type="dxa" w:w="720"/>
            <w:vAlign w:val="top"/>
          </w:tcPr>
          <w:p>
            <w:pPr>
              <w:spacing w:after="40" w:before="0" w:line="259" w:lineRule="auto"/>
            </w:pPr>
            <w:r>
              <w:rPr>
                <w:rFonts w:ascii="Calibri" w:hAnsi="Calibri"/>
                <w:b w:val="0"/>
                <w:i w:val="0"/>
                <w:color w:val="212121"/>
                <w:sz w:val="16"/>
              </w:rPr>
              <w:t>Newborn screening;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Result available before discharge; recall rate ~5% at ≥ 20 cut-off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Screening (biochemical)</w:t>
            </w:r>
          </w:p>
        </w:tc>
        <w:tc>
          <w:tcPr>
            <w:tcW w:type="dxa" w:w="1036"/>
            <w:vAlign w:val="top"/>
          </w:tcPr>
          <w:p>
            <w:pPr>
              <w:spacing w:after="40" w:before="0" w:line="259" w:lineRule="auto"/>
            </w:pPr>
            <w:r>
              <w:rPr>
                <w:rFonts w:ascii="Calibri" w:hAnsi="Calibri"/>
                <w:b w:val="0"/>
                <w:i w:val="0"/>
                <w:color w:val="212121"/>
                <w:sz w:val="16"/>
              </w:rPr>
              <w:t>Heel-prick (DBS) TSH at 48–72 h</w:t>
            </w:r>
          </w:p>
        </w:tc>
        <w:tc>
          <w:tcPr>
            <w:tcW w:type="dxa" w:w="892"/>
            <w:vAlign w:val="top"/>
          </w:tcPr>
          <w:p>
            <w:pPr>
              <w:spacing w:after="40" w:before="0" w:line="259" w:lineRule="auto"/>
            </w:pPr>
            <w:r>
              <w:rPr>
                <w:rFonts w:ascii="Calibri" w:hAnsi="Calibri"/>
                <w:b w:val="0"/>
                <w:i w:val="0"/>
                <w:color w:val="212121"/>
                <w:sz w:val="16"/>
              </w:rPr>
              <w:t>Thyroid screen</w:t>
            </w:r>
          </w:p>
        </w:tc>
        <w:tc>
          <w:tcPr>
            <w:tcW w:type="dxa" w:w="950"/>
            <w:vAlign w:val="top"/>
          </w:tcPr>
          <w:p>
            <w:pPr>
              <w:spacing w:after="40" w:before="0" w:line="259" w:lineRule="auto"/>
            </w:pPr>
            <w:r>
              <w:rPr>
                <w:rFonts w:ascii="Calibri" w:hAnsi="Calibri"/>
                <w:b w:val="0"/>
                <w:i w:val="0"/>
                <w:color w:val="212121"/>
                <w:sz w:val="16"/>
              </w:rPr>
              <w:t>&lt; 20 mIU/L whole blood</w:t>
            </w:r>
          </w:p>
        </w:tc>
        <w:tc>
          <w:tcPr>
            <w:tcW w:type="dxa" w:w="950"/>
            <w:vAlign w:val="top"/>
          </w:tcPr>
          <w:p>
            <w:pPr>
              <w:spacing w:after="40" w:before="0" w:line="259" w:lineRule="auto"/>
            </w:pPr>
            <w:r>
              <w:rPr>
                <w:rFonts w:ascii="Calibri" w:hAnsi="Calibri"/>
                <w:b w:val="0"/>
                <w:i w:val="0"/>
                <w:color w:val="212121"/>
                <w:sz w:val="16"/>
              </w:rPr>
              <w:t>≥ 20 mIU/L</w:t>
            </w:r>
          </w:p>
        </w:tc>
        <w:tc>
          <w:tcPr>
            <w:tcW w:type="dxa" w:w="1036"/>
            <w:vAlign w:val="top"/>
          </w:tcPr>
          <w:p>
            <w:pPr>
              <w:spacing w:after="40" w:before="0" w:line="259" w:lineRule="auto"/>
            </w:pPr>
            <w:r>
              <w:rPr>
                <w:rFonts w:ascii="Calibri" w:hAnsi="Calibri"/>
                <w:b w:val="0"/>
                <w:i w:val="0"/>
                <w:color w:val="212121"/>
                <w:sz w:val="16"/>
              </w:rPr>
              <w:t>Standard newborn screening; avoids the physiological first-day TSH surge</w:t>
            </w:r>
          </w:p>
        </w:tc>
        <w:tc>
          <w:tcPr>
            <w:tcW w:type="dxa" w:w="1036"/>
            <w:vAlign w:val="top"/>
          </w:tcPr>
          <w:p>
            <w:pPr>
              <w:spacing w:after="40" w:before="0" w:line="259" w:lineRule="auto"/>
            </w:pPr>
            <w:r>
              <w:rPr>
                <w:rFonts w:ascii="Calibri" w:hAnsi="Calibri"/>
                <w:b w:val="0"/>
                <w:i w:val="0"/>
                <w:color w:val="212121"/>
                <w:sz w:val="16"/>
              </w:rPr>
              <w:t>Term newborns; repeat in preterm/LBW</w:t>
            </w:r>
          </w:p>
        </w:tc>
        <w:tc>
          <w:tcPr>
            <w:tcW w:type="dxa" w:w="720"/>
            <w:vAlign w:val="top"/>
          </w:tcPr>
          <w:p>
            <w:pPr>
              <w:spacing w:after="40" w:before="0" w:line="259" w:lineRule="auto"/>
            </w:pPr>
            <w:r>
              <w:rPr>
                <w:rFonts w:ascii="Calibri" w:hAnsi="Calibri"/>
                <w:b w:val="0"/>
                <w:i w:val="0"/>
                <w:color w:val="212121"/>
                <w:sz w:val="16"/>
              </w:rPr>
              <w:t>Newborn screening</w:t>
            </w:r>
          </w:p>
        </w:tc>
        <w:tc>
          <w:tcPr>
            <w:tcW w:type="dxa" w:w="720"/>
            <w:vAlign w:val="top"/>
          </w:tcPr>
          <w:p>
            <w:pPr>
              <w:spacing w:after="40" w:before="0" w:line="259" w:lineRule="auto"/>
            </w:pPr>
            <w:r>
              <w:rPr>
                <w:rFonts w:ascii="Calibri" w:hAnsi="Calibri"/>
                <w:b w:val="0"/>
                <w:i w:val="0"/>
                <w:color w:val="212121"/>
                <w:sz w:val="16"/>
              </w:rPr>
              <w:t>Gold standard (screening)</w:t>
            </w:r>
          </w:p>
        </w:tc>
        <w:tc>
          <w:tcPr>
            <w:tcW w:type="dxa" w:w="720"/>
            <w:vAlign w:val="top"/>
          </w:tcPr>
          <w:p>
            <w:pPr>
              <w:spacing w:after="40" w:before="0" w:line="259" w:lineRule="auto"/>
            </w:pPr>
            <w:r>
              <w:rPr>
                <w:rFonts w:ascii="Calibri" w:hAnsi="Calibri"/>
                <w:b w:val="0"/>
                <w:i w:val="0"/>
                <w:color w:val="212121"/>
                <w:sz w:val="16"/>
              </w:rPr>
              <w:t>Timing 48–72 h reduces false positives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(confirmatory)</w:t>
            </w:r>
          </w:p>
        </w:tc>
        <w:tc>
          <w:tcPr>
            <w:tcW w:type="dxa" w:w="1036"/>
            <w:vAlign w:val="top"/>
          </w:tcPr>
          <w:p>
            <w:pPr>
              <w:spacing w:after="40" w:before="0" w:line="259" w:lineRule="auto"/>
            </w:pPr>
            <w:r>
              <w:rPr>
                <w:rFonts w:ascii="Calibri" w:hAnsi="Calibri"/>
                <w:b w:val="0"/>
                <w:i w:val="0"/>
                <w:color w:val="212121"/>
                <w:sz w:val="16"/>
              </w:rPr>
              <w:t>Serum TSH (venous)</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Age-specific (&lt; 6–8 mIU/L by 2 weeks)</w:t>
            </w:r>
          </w:p>
        </w:tc>
        <w:tc>
          <w:tcPr>
            <w:tcW w:type="dxa" w:w="950"/>
            <w:vAlign w:val="top"/>
          </w:tcPr>
          <w:p>
            <w:pPr>
              <w:spacing w:after="40" w:before="0" w:line="259" w:lineRule="auto"/>
            </w:pPr>
            <w:r>
              <w:rPr>
                <w:rFonts w:ascii="Calibri" w:hAnsi="Calibri"/>
                <w:b w:val="0"/>
                <w:i w:val="0"/>
                <w:color w:val="212121"/>
                <w:sz w:val="16"/>
              </w:rPr>
              <w:t>≥ 20 mIU/L beyond 2 weeks (6–20 borderline)</w:t>
            </w:r>
          </w:p>
        </w:tc>
        <w:tc>
          <w:tcPr>
            <w:tcW w:type="dxa" w:w="1036"/>
            <w:vAlign w:val="top"/>
          </w:tcPr>
          <w:p>
            <w:pPr>
              <w:spacing w:after="40" w:before="0" w:line="259" w:lineRule="auto"/>
            </w:pPr>
            <w:r>
              <w:rPr>
                <w:rFonts w:ascii="Calibri" w:hAnsi="Calibri"/>
                <w:b w:val="0"/>
                <w:i w:val="0"/>
                <w:color w:val="212121"/>
                <w:sz w:val="16"/>
              </w:rPr>
              <w:t>Confirms primary CH when paired with low free T4</w:t>
            </w:r>
          </w:p>
        </w:tc>
        <w:tc>
          <w:tcPr>
            <w:tcW w:type="dxa" w:w="1036"/>
            <w:vAlign w:val="top"/>
          </w:tcPr>
          <w:p>
            <w:pPr>
              <w:spacing w:after="40" w:before="0" w:line="259" w:lineRule="auto"/>
            </w:pPr>
            <w:r>
              <w:rPr>
                <w:rFonts w:ascii="Calibri" w:hAnsi="Calibri"/>
                <w:b w:val="0"/>
                <w:i w:val="0"/>
                <w:color w:val="212121"/>
                <w:sz w:val="16"/>
              </w:rPr>
              <w:t>Screen-positive infants</w:t>
            </w:r>
          </w:p>
        </w:tc>
        <w:tc>
          <w:tcPr>
            <w:tcW w:type="dxa" w:w="720"/>
            <w:vAlign w:val="top"/>
          </w:tcPr>
          <w:p>
            <w:pPr>
              <w:spacing w:after="40" w:before="0" w:line="259" w:lineRule="auto"/>
            </w:pPr>
            <w:r>
              <w:rPr>
                <w:rFonts w:ascii="Calibri" w:hAnsi="Calibri"/>
                <w:b w:val="0"/>
                <w:i w:val="0"/>
                <w:color w:val="212121"/>
                <w:sz w:val="16"/>
              </w:rPr>
              <w:t>Newborn screening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interpret with free T4 and against neonatal reference ranges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(confirmatory)</w:t>
            </w:r>
          </w:p>
        </w:tc>
        <w:tc>
          <w:tcPr>
            <w:tcW w:type="dxa" w:w="1036"/>
            <w:vAlign w:val="top"/>
          </w:tcPr>
          <w:p>
            <w:pPr>
              <w:spacing w:after="40" w:before="0" w:line="259" w:lineRule="auto"/>
            </w:pPr>
            <w:r>
              <w:rPr>
                <w:rFonts w:ascii="Calibri" w:hAnsi="Calibri"/>
                <w:b w:val="0"/>
                <w:i w:val="0"/>
                <w:color w:val="212121"/>
                <w:sz w:val="16"/>
              </w:rPr>
              <w:t>Free T4 (fT4)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Age-specific neonatal range</w:t>
            </w:r>
          </w:p>
        </w:tc>
        <w:tc>
          <w:tcPr>
            <w:tcW w:type="dxa" w:w="950"/>
            <w:vAlign w:val="top"/>
          </w:tcPr>
          <w:p>
            <w:pPr>
              <w:spacing w:after="40" w:before="0" w:line="259" w:lineRule="auto"/>
            </w:pPr>
            <w:r>
              <w:rPr>
                <w:rFonts w:ascii="Calibri" w:hAnsi="Calibri"/>
                <w:b w:val="0"/>
                <w:i w:val="0"/>
                <w:color w:val="212121"/>
                <w:sz w:val="16"/>
              </w:rPr>
              <w:t>Low fT4</w:t>
            </w:r>
          </w:p>
        </w:tc>
        <w:tc>
          <w:tcPr>
            <w:tcW w:type="dxa" w:w="1036"/>
            <w:vAlign w:val="top"/>
          </w:tcPr>
          <w:p>
            <w:pPr>
              <w:spacing w:after="40" w:before="0" w:line="259" w:lineRule="auto"/>
            </w:pPr>
            <w:r>
              <w:rPr>
                <w:rFonts w:ascii="Calibri" w:hAnsi="Calibri"/>
                <w:b w:val="0"/>
                <w:i w:val="0"/>
                <w:color w:val="212121"/>
                <w:sz w:val="16"/>
              </w:rPr>
              <w:t>Low fT4 + high TSH = primary CH; low fT4 + low/normal TSH = central CH</w:t>
            </w:r>
          </w:p>
        </w:tc>
        <w:tc>
          <w:tcPr>
            <w:tcW w:type="dxa" w:w="1036"/>
            <w:vAlign w:val="top"/>
          </w:tcPr>
          <w:p>
            <w:pPr>
              <w:spacing w:after="40" w:before="0" w:line="259" w:lineRule="auto"/>
            </w:pPr>
            <w:r>
              <w:rPr>
                <w:rFonts w:ascii="Calibri" w:hAnsi="Calibri"/>
                <w:b w:val="0"/>
                <w:i w:val="0"/>
                <w:color w:val="212121"/>
                <w:sz w:val="16"/>
              </w:rPr>
              <w:t>Screen-positive and symptomatic infants</w:t>
            </w:r>
          </w:p>
        </w:tc>
        <w:tc>
          <w:tcPr>
            <w:tcW w:type="dxa" w:w="720"/>
            <w:vAlign w:val="top"/>
          </w:tcPr>
          <w:p>
            <w:pPr>
              <w:spacing w:after="40" w:before="0" w:line="259" w:lineRule="auto"/>
            </w:pPr>
            <w:r>
              <w:rPr>
                <w:rFonts w:ascii="Calibri" w:hAnsi="Calibri"/>
                <w:b w:val="0"/>
                <w:i w:val="0"/>
                <w:color w:val="212121"/>
                <w:sz w:val="16"/>
              </w:rPr>
              <w:t>Newborn screening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to detecting central CH missed by TSH-only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Age-specific neonatal range</w:t>
            </w:r>
          </w:p>
        </w:tc>
        <w:tc>
          <w:tcPr>
            <w:tcW w:type="dxa" w:w="950"/>
            <w:vAlign w:val="top"/>
          </w:tcPr>
          <w:p>
            <w:pPr>
              <w:spacing w:after="40" w:before="0" w:line="259" w:lineRule="auto"/>
            </w:pPr>
            <w:r>
              <w:rPr>
                <w:rFonts w:ascii="Calibri" w:hAnsi="Calibri"/>
                <w:b w:val="0"/>
                <w:i w:val="0"/>
                <w:color w:val="212121"/>
                <w:sz w:val="16"/>
              </w:rPr>
              <w:t>Low</w:t>
            </w:r>
          </w:p>
        </w:tc>
        <w:tc>
          <w:tcPr>
            <w:tcW w:type="dxa" w:w="1036"/>
            <w:vAlign w:val="top"/>
          </w:tcPr>
          <w:p>
            <w:pPr>
              <w:spacing w:after="40" w:before="0" w:line="259" w:lineRule="auto"/>
            </w:pPr>
            <w:r>
              <w:rPr>
                <w:rFonts w:ascii="Calibri" w:hAnsi="Calibri"/>
                <w:b w:val="0"/>
                <w:i w:val="0"/>
                <w:color w:val="212121"/>
                <w:sz w:val="16"/>
              </w:rPr>
              <w:t>Supports severity assessment; low in overt CH</w:t>
            </w:r>
          </w:p>
        </w:tc>
        <w:tc>
          <w:tcPr>
            <w:tcW w:type="dxa" w:w="1036"/>
            <w:vAlign w:val="top"/>
          </w:tcPr>
          <w:p>
            <w:pPr>
              <w:spacing w:after="40" w:before="0" w:line="259" w:lineRule="auto"/>
            </w:pPr>
            <w:r>
              <w:rPr>
                <w:rFonts w:ascii="Calibri" w:hAnsi="Calibri"/>
                <w:b w:val="0"/>
                <w:i w:val="0"/>
                <w:color w:val="212121"/>
                <w:sz w:val="16"/>
              </w:rPr>
              <w:t>Confirmed CH infants</w:t>
            </w:r>
          </w:p>
        </w:tc>
        <w:tc>
          <w:tcPr>
            <w:tcW w:type="dxa" w:w="720"/>
            <w:vAlign w:val="top"/>
          </w:tcPr>
          <w:p>
            <w:pPr>
              <w:spacing w:after="40" w:before="0" w:line="259" w:lineRule="auto"/>
            </w:pPr>
            <w:r>
              <w:rPr>
                <w:rFonts w:ascii="Calibri" w:hAnsi="Calibri"/>
                <w:b w:val="0"/>
                <w:i w:val="0"/>
                <w:color w:val="212121"/>
                <w:sz w:val="16"/>
              </w:rPr>
              <w:t>Newborn screening</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Affected by TBG status; interpret with fT4</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(aetiology)</w:t>
            </w:r>
          </w:p>
        </w:tc>
        <w:tc>
          <w:tcPr>
            <w:tcW w:type="dxa" w:w="1036"/>
            <w:vAlign w:val="top"/>
          </w:tcPr>
          <w:p>
            <w:pPr>
              <w:spacing w:after="40" w:before="0" w:line="259" w:lineRule="auto"/>
            </w:pPr>
            <w:r>
              <w:rPr>
                <w:rFonts w:ascii="Calibri" w:hAnsi="Calibri"/>
                <w:b w:val="0"/>
                <w:i w:val="0"/>
                <w:color w:val="212121"/>
                <w:sz w:val="16"/>
              </w:rPr>
              <w:t>Serum thyroglobulin</w:t>
            </w:r>
          </w:p>
        </w:tc>
        <w:tc>
          <w:tcPr>
            <w:tcW w:type="dxa" w:w="892"/>
            <w:vAlign w:val="top"/>
          </w:tcPr>
          <w:p>
            <w:pPr>
              <w:spacing w:after="40" w:before="0" w:line="259" w:lineRule="auto"/>
            </w:pPr>
            <w:r>
              <w:rPr>
                <w:rFonts w:ascii="Calibri" w:hAnsi="Calibri"/>
                <w:b w:val="0"/>
                <w:i w:val="0"/>
                <w:color w:val="212121"/>
                <w:sz w:val="16"/>
              </w:rPr>
              <w:t>Aetiological work-up</w:t>
            </w:r>
          </w:p>
        </w:tc>
        <w:tc>
          <w:tcPr>
            <w:tcW w:type="dxa" w:w="950"/>
            <w:vAlign w:val="top"/>
          </w:tcPr>
          <w:p>
            <w:pPr>
              <w:spacing w:after="40" w:before="0" w:line="259" w:lineRule="auto"/>
            </w:pPr>
            <w:r>
              <w:rPr>
                <w:rFonts w:ascii="Calibri" w:hAnsi="Calibri"/>
                <w:b w:val="0"/>
                <w:i w:val="0"/>
                <w:color w:val="212121"/>
                <w:sz w:val="16"/>
              </w:rPr>
              <w:t>Detectable / age-appropriate</w:t>
            </w:r>
          </w:p>
        </w:tc>
        <w:tc>
          <w:tcPr>
            <w:tcW w:type="dxa" w:w="950"/>
            <w:vAlign w:val="top"/>
          </w:tcPr>
          <w:p>
            <w:pPr>
              <w:spacing w:after="40" w:before="0" w:line="259" w:lineRule="auto"/>
            </w:pPr>
            <w:r>
              <w:rPr>
                <w:rFonts w:ascii="Calibri" w:hAnsi="Calibri"/>
                <w:b w:val="0"/>
                <w:i w:val="0"/>
                <w:color w:val="212121"/>
                <w:sz w:val="16"/>
              </w:rPr>
              <w:t>Undetectable (agenesis) or high (dyshormonogenesis with gland-in-situ)</w:t>
            </w:r>
          </w:p>
        </w:tc>
        <w:tc>
          <w:tcPr>
            <w:tcW w:type="dxa" w:w="1036"/>
            <w:vAlign w:val="top"/>
          </w:tcPr>
          <w:p>
            <w:pPr>
              <w:spacing w:after="40" w:before="0" w:line="259" w:lineRule="auto"/>
            </w:pPr>
            <w:r>
              <w:rPr>
                <w:rFonts w:ascii="Calibri" w:hAnsi="Calibri"/>
                <w:b w:val="0"/>
                <w:i w:val="0"/>
                <w:color w:val="212121"/>
                <w:sz w:val="16"/>
              </w:rPr>
              <w:t>Helps distinguish thyroid agenesis from dyshormonogenesis</w:t>
            </w:r>
          </w:p>
        </w:tc>
        <w:tc>
          <w:tcPr>
            <w:tcW w:type="dxa" w:w="1036"/>
            <w:vAlign w:val="top"/>
          </w:tcPr>
          <w:p>
            <w:pPr>
              <w:spacing w:after="40" w:before="0" w:line="259" w:lineRule="auto"/>
            </w:pPr>
            <w:r>
              <w:rPr>
                <w:rFonts w:ascii="Calibri" w:hAnsi="Calibri"/>
                <w:b w:val="0"/>
                <w:i w:val="0"/>
                <w:color w:val="212121"/>
                <w:sz w:val="16"/>
              </w:rPr>
              <w:t>Confirmed CH undergoing aetiology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Does not delay starting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Maternal/neonatal TSH-receptor &amp; anti-TPO antibodies</w:t>
            </w:r>
          </w:p>
        </w:tc>
        <w:tc>
          <w:tcPr>
            <w:tcW w:type="dxa" w:w="892"/>
            <w:vAlign w:val="top"/>
          </w:tcPr>
          <w:p>
            <w:pPr>
              <w:spacing w:after="40" w:before="0" w:line="259" w:lineRule="auto"/>
            </w:pPr>
            <w:r>
              <w:rPr>
                <w:rFonts w:ascii="Calibri" w:hAnsi="Calibri"/>
                <w:b w:val="0"/>
                <w:i w:val="0"/>
                <w:color w:val="212121"/>
                <w:sz w:val="16"/>
              </w:rPr>
              <w:t>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TSH-receptor blocking antibody</w:t>
            </w:r>
          </w:p>
        </w:tc>
        <w:tc>
          <w:tcPr>
            <w:tcW w:type="dxa" w:w="1036"/>
            <w:vAlign w:val="top"/>
          </w:tcPr>
          <w:p>
            <w:pPr>
              <w:spacing w:after="40" w:before="0" w:line="259" w:lineRule="auto"/>
            </w:pPr>
            <w:r>
              <w:rPr>
                <w:rFonts w:ascii="Calibri" w:hAnsi="Calibri"/>
                <w:b w:val="0"/>
                <w:i w:val="0"/>
                <w:color w:val="212121"/>
                <w:sz w:val="16"/>
              </w:rPr>
              <w:t>Indicates transient CH from transplacental antibodies</w:t>
            </w:r>
          </w:p>
        </w:tc>
        <w:tc>
          <w:tcPr>
            <w:tcW w:type="dxa" w:w="1036"/>
            <w:vAlign w:val="top"/>
          </w:tcPr>
          <w:p>
            <w:pPr>
              <w:spacing w:after="40" w:before="0" w:line="259" w:lineRule="auto"/>
            </w:pPr>
            <w:r>
              <w:rPr>
                <w:rFonts w:ascii="Calibri" w:hAnsi="Calibri"/>
                <w:b w:val="0"/>
                <w:i w:val="0"/>
                <w:color w:val="212121"/>
                <w:sz w:val="16"/>
              </w:rPr>
              <w:t>Infants of mothers with autoimmune thyroid disease/Graves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Predicts transient course; re-evaluate off therapy later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Nutritional / biochemical</w:t>
            </w:r>
          </w:p>
        </w:tc>
        <w:tc>
          <w:tcPr>
            <w:tcW w:type="dxa" w:w="1036"/>
            <w:vAlign w:val="top"/>
          </w:tcPr>
          <w:p>
            <w:pPr>
              <w:spacing w:after="40" w:before="0" w:line="259" w:lineRule="auto"/>
            </w:pPr>
            <w:r>
              <w:rPr>
                <w:rFonts w:ascii="Calibri" w:hAnsi="Calibri"/>
                <w:b w:val="0"/>
                <w:i w:val="0"/>
                <w:color w:val="212121"/>
                <w:sz w:val="16"/>
              </w:rPr>
              <w:t>Urinary iodine (maternal / neonatal)</w:t>
            </w:r>
          </w:p>
        </w:tc>
        <w:tc>
          <w:tcPr>
            <w:tcW w:type="dxa" w:w="892"/>
            <w:vAlign w:val="top"/>
          </w:tcPr>
          <w:p>
            <w:pPr>
              <w:spacing w:after="40" w:before="0" w:line="259" w:lineRule="auto"/>
            </w:pPr>
            <w:r>
              <w:rPr>
                <w:rFonts w:ascii="Calibri" w:hAnsi="Calibri"/>
                <w:b w:val="0"/>
                <w:i w:val="0"/>
                <w:color w:val="212121"/>
                <w:sz w:val="16"/>
              </w:rPr>
              <w:t>Iodine status</w:t>
            </w:r>
          </w:p>
        </w:tc>
        <w:tc>
          <w:tcPr>
            <w:tcW w:type="dxa" w:w="950"/>
            <w:vAlign w:val="top"/>
          </w:tcPr>
          <w:p>
            <w:pPr>
              <w:spacing w:after="40" w:before="0" w:line="259" w:lineRule="auto"/>
            </w:pPr>
            <w:r>
              <w:rPr>
                <w:rFonts w:ascii="Calibri" w:hAnsi="Calibri"/>
                <w:b w:val="0"/>
                <w:i w:val="0"/>
                <w:color w:val="212121"/>
                <w:sz w:val="16"/>
              </w:rPr>
              <w:t>Pregnancy 150–249 µg/L</w:t>
            </w:r>
          </w:p>
        </w:tc>
        <w:tc>
          <w:tcPr>
            <w:tcW w:type="dxa" w:w="950"/>
            <w:vAlign w:val="top"/>
          </w:tcPr>
          <w:p>
            <w:pPr>
              <w:spacing w:after="40" w:before="0" w:line="259" w:lineRule="auto"/>
            </w:pPr>
            <w:r>
              <w:rPr>
                <w:rFonts w:ascii="Calibri" w:hAnsi="Calibri"/>
                <w:b w:val="0"/>
                <w:i w:val="0"/>
                <w:color w:val="212121"/>
                <w:sz w:val="16"/>
              </w:rPr>
              <w:t>&lt; 150 µg/L (deficiency) or markedly high (excess)</w:t>
            </w:r>
          </w:p>
        </w:tc>
        <w:tc>
          <w:tcPr>
            <w:tcW w:type="dxa" w:w="1036"/>
            <w:vAlign w:val="top"/>
          </w:tcPr>
          <w:p>
            <w:pPr>
              <w:spacing w:after="40" w:before="0" w:line="259" w:lineRule="auto"/>
            </w:pPr>
            <w:r>
              <w:rPr>
                <w:rFonts w:ascii="Calibri" w:hAnsi="Calibri"/>
                <w:b w:val="0"/>
                <w:i w:val="0"/>
                <w:color w:val="212121"/>
                <w:sz w:val="16"/>
              </w:rPr>
              <w:t>Identifies iodine-related transient CH and guides prevention</w:t>
            </w:r>
          </w:p>
        </w:tc>
        <w:tc>
          <w:tcPr>
            <w:tcW w:type="dxa" w:w="1036"/>
            <w:vAlign w:val="top"/>
          </w:tcPr>
          <w:p>
            <w:pPr>
              <w:spacing w:after="40" w:before="0" w:line="259" w:lineRule="auto"/>
            </w:pPr>
            <w:r>
              <w:rPr>
                <w:rFonts w:ascii="Calibri" w:hAnsi="Calibri"/>
                <w:b w:val="0"/>
                <w:i w:val="0"/>
                <w:color w:val="212121"/>
                <w:sz w:val="16"/>
              </w:rPr>
              <w:t>Goitre-belt populations; iodine-exposed neonates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Preventive/Aetiological</w:t>
            </w:r>
          </w:p>
        </w:tc>
        <w:tc>
          <w:tcPr>
            <w:tcW w:type="dxa" w:w="720"/>
            <w:vAlign w:val="top"/>
          </w:tcPr>
          <w:p>
            <w:pPr>
              <w:spacing w:after="40" w:before="0" w:line="259" w:lineRule="auto"/>
            </w:pPr>
            <w:r>
              <w:rPr>
                <w:rFonts w:ascii="Calibri" w:hAnsi="Calibri"/>
                <w:b w:val="0"/>
                <w:i w:val="0"/>
                <w:color w:val="212121"/>
                <w:sz w:val="16"/>
              </w:rPr>
              <w:t>Population and individual iodine marker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Antenatal &amp; birth history</w:t>
            </w:r>
          </w:p>
        </w:tc>
        <w:tc>
          <w:tcPr>
            <w:tcW w:type="dxa" w:w="979"/>
            <w:vAlign w:val="top"/>
          </w:tcPr>
          <w:p>
            <w:pPr>
              <w:spacing w:after="40" w:before="0" w:line="259" w:lineRule="auto"/>
            </w:pPr>
            <w:r>
              <w:rPr>
                <w:rFonts w:ascii="Calibri" w:hAnsi="Calibri"/>
                <w:b w:val="0"/>
                <w:i w:val="0"/>
                <w:color w:val="212121"/>
                <w:sz w:val="16"/>
              </w:rPr>
              <w:t>Maternal thyroid disease, antithyroid drugs, iodine exposure, gestation, delivery iodine antiseptics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Flags transient CH causes and prematurity risk</w:t>
            </w:r>
          </w:p>
        </w:tc>
        <w:tc>
          <w:tcPr>
            <w:tcW w:type="dxa" w:w="1036"/>
            <w:vAlign w:val="top"/>
          </w:tcPr>
          <w:p>
            <w:pPr>
              <w:spacing w:after="40" w:before="0" w:line="259" w:lineRule="auto"/>
            </w:pPr>
            <w:r>
              <w:rPr>
                <w:rFonts w:ascii="Calibri" w:hAnsi="Calibri"/>
                <w:b w:val="0"/>
                <w:i w:val="0"/>
                <w:color w:val="212121"/>
                <w:sz w:val="16"/>
              </w:rPr>
              <w:t>All screen-positive infants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need for antibody/iodine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consanguinity</w:t>
            </w:r>
          </w:p>
        </w:tc>
        <w:tc>
          <w:tcPr>
            <w:tcW w:type="dxa" w:w="979"/>
            <w:vAlign w:val="top"/>
          </w:tcPr>
          <w:p>
            <w:pPr>
              <w:spacing w:after="40" w:before="0" w:line="259" w:lineRule="auto"/>
            </w:pPr>
            <w:r>
              <w:rPr>
                <w:rFonts w:ascii="Calibri" w:hAnsi="Calibri"/>
                <w:b w:val="0"/>
                <w:i w:val="0"/>
                <w:color w:val="212121"/>
                <w:sz w:val="16"/>
              </w:rPr>
              <w:t>Sibling with CH, first-degree hypothyroidism, consanguineous marriage</w:t>
            </w:r>
          </w:p>
        </w:tc>
        <w:tc>
          <w:tcPr>
            <w:tcW w:type="dxa" w:w="950"/>
            <w:vAlign w:val="top"/>
          </w:tcPr>
          <w:p>
            <w:pPr>
              <w:spacing w:after="40" w:before="0" w:line="259" w:lineRule="auto"/>
            </w:pPr>
            <w:r>
              <w:rPr>
                <w:rFonts w:ascii="Calibri" w:hAnsi="Calibri"/>
                <w:b w:val="0"/>
                <w:i w:val="0"/>
                <w:color w:val="212121"/>
                <w:sz w:val="16"/>
              </w:rPr>
              <w:t>No family history / non-consanguineous</w:t>
            </w:r>
          </w:p>
        </w:tc>
        <w:tc>
          <w:tcPr>
            <w:tcW w:type="dxa" w:w="950"/>
            <w:vAlign w:val="top"/>
          </w:tcPr>
          <w:p>
            <w:pPr>
              <w:spacing w:after="40" w:before="0" w:line="259" w:lineRule="auto"/>
            </w:pPr>
            <w:r>
              <w:rPr>
                <w:rFonts w:ascii="Calibri" w:hAnsi="Calibri"/>
                <w:b w:val="0"/>
                <w:i w:val="0"/>
                <w:color w:val="212121"/>
                <w:sz w:val="16"/>
              </w:rPr>
              <w:t>≥ 1 affected relative or consanguinity</w:t>
            </w:r>
          </w:p>
        </w:tc>
        <w:tc>
          <w:tcPr>
            <w:tcW w:type="dxa" w:w="1036"/>
            <w:vAlign w:val="top"/>
          </w:tcPr>
          <w:p>
            <w:pPr>
              <w:spacing w:after="40" w:before="0" w:line="259" w:lineRule="auto"/>
            </w:pPr>
            <w:r>
              <w:rPr>
                <w:rFonts w:ascii="Calibri" w:hAnsi="Calibri"/>
                <w:b w:val="0"/>
                <w:i w:val="0"/>
                <w:color w:val="212121"/>
                <w:sz w:val="16"/>
              </w:rPr>
              <w:t>Raises recurrence risk (autosomal-recessive dyshormonogenesis)</w:t>
            </w:r>
          </w:p>
        </w:tc>
        <w:tc>
          <w:tcPr>
            <w:tcW w:type="dxa" w:w="1036"/>
            <w:vAlign w:val="top"/>
          </w:tcPr>
          <w:p>
            <w:pPr>
              <w:spacing w:after="40" w:before="0" w:line="259" w:lineRule="auto"/>
            </w:pPr>
            <w:r>
              <w:rPr>
                <w:rFonts w:ascii="Calibri" w:hAnsi="Calibri"/>
                <w:b w:val="0"/>
                <w:i w:val="0"/>
                <w:color w:val="212121"/>
                <w:sz w:val="16"/>
              </w:rPr>
              <w:t>Consanguineous families; siblings of index case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Basis for genetic counselling and cascade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complaints</w:t>
            </w:r>
          </w:p>
        </w:tc>
        <w:tc>
          <w:tcPr>
            <w:tcW w:type="dxa" w:w="979"/>
            <w:vAlign w:val="top"/>
          </w:tcPr>
          <w:p>
            <w:pPr>
              <w:spacing w:after="40" w:before="0" w:line="259" w:lineRule="auto"/>
            </w:pPr>
            <w:r>
              <w:rPr>
                <w:rFonts w:ascii="Calibri" w:hAnsi="Calibri"/>
                <w:b w:val="0"/>
                <w:i w:val="0"/>
                <w:color w:val="212121"/>
                <w:sz w:val="16"/>
              </w:rPr>
              <w:t>Prolonged jaundice, poor feeding, lethargy, constipation, hoarse cry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Suggests neonatal hypothyroidism (often subtle/absent early)</w:t>
            </w:r>
          </w:p>
        </w:tc>
        <w:tc>
          <w:tcPr>
            <w:tcW w:type="dxa" w:w="1036"/>
            <w:vAlign w:val="top"/>
          </w:tcPr>
          <w:p>
            <w:pPr>
              <w:spacing w:after="40" w:before="0" w:line="259" w:lineRule="auto"/>
            </w:pPr>
            <w:r>
              <w:rPr>
                <w:rFonts w:ascii="Calibri" w:hAnsi="Calibri"/>
                <w:b w:val="0"/>
                <w:i w:val="0"/>
                <w:color w:val="212121"/>
                <w:sz w:val="16"/>
              </w:rPr>
              <w:t>Neonates and infants</w:t>
            </w:r>
          </w:p>
        </w:tc>
        <w:tc>
          <w:tcPr>
            <w:tcW w:type="dxa" w:w="720"/>
            <w:vAlign w:val="top"/>
          </w:tcPr>
          <w:p>
            <w:pPr>
              <w:spacing w:after="40" w:before="0" w:line="259" w:lineRule="auto"/>
            </w:pPr>
            <w:r>
              <w:rPr>
                <w:rFonts w:ascii="Calibri" w:hAnsi="Calibri"/>
                <w:b w:val="0"/>
                <w:i w:val="0"/>
                <w:color w:val="212121"/>
                <w:sz w:val="16"/>
              </w:rPr>
              <w:t>Sleep;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Clinical signs appear late — hence the value of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neonatal examination</w:t>
            </w:r>
          </w:p>
        </w:tc>
        <w:tc>
          <w:tcPr>
            <w:tcW w:type="dxa" w:w="979"/>
            <w:vAlign w:val="top"/>
          </w:tcPr>
          <w:p>
            <w:pPr>
              <w:spacing w:after="40" w:before="0" w:line="259" w:lineRule="auto"/>
            </w:pPr>
            <w:r>
              <w:rPr>
                <w:rFonts w:ascii="Calibri" w:hAnsi="Calibri"/>
                <w:b w:val="0"/>
                <w:i w:val="0"/>
                <w:color w:val="212121"/>
                <w:sz w:val="16"/>
              </w:rPr>
              <w:t>Large posterior fontanelle, macroglossia, umbilical hernia, hypotonia, dry/mottled skin, coarse facies</w:t>
            </w:r>
          </w:p>
        </w:tc>
        <w:tc>
          <w:tcPr>
            <w:tcW w:type="dxa" w:w="950"/>
            <w:vAlign w:val="top"/>
          </w:tcPr>
          <w:p>
            <w:pPr>
              <w:spacing w:after="40" w:before="0" w:line="259" w:lineRule="auto"/>
            </w:pPr>
            <w:r>
              <w:rPr>
                <w:rFonts w:ascii="Calibri" w:hAnsi="Calibri"/>
                <w:b w:val="0"/>
                <w:i w:val="0"/>
                <w:color w:val="212121"/>
                <w:sz w:val="16"/>
              </w:rPr>
              <w:t>Normal newborn exam</w:t>
            </w:r>
          </w:p>
        </w:tc>
        <w:tc>
          <w:tcPr>
            <w:tcW w:type="dxa" w:w="950"/>
            <w:vAlign w:val="top"/>
          </w:tcPr>
          <w:p>
            <w:pPr>
              <w:spacing w:after="40" w:before="0" w:line="259" w:lineRule="auto"/>
            </w:pPr>
            <w:r>
              <w:rPr>
                <w:rFonts w:ascii="Calibri" w:hAnsi="Calibri"/>
                <w:b w:val="0"/>
                <w:i w:val="0"/>
                <w:color w:val="212121"/>
                <w:sz w:val="16"/>
              </w:rPr>
              <w:t>Any hypothyroid feature</w:t>
            </w:r>
          </w:p>
        </w:tc>
        <w:tc>
          <w:tcPr>
            <w:tcW w:type="dxa" w:w="1036"/>
            <w:vAlign w:val="top"/>
          </w:tcPr>
          <w:p>
            <w:pPr>
              <w:spacing w:after="40" w:before="0" w:line="259" w:lineRule="auto"/>
            </w:pPr>
            <w:r>
              <w:rPr>
                <w:rFonts w:ascii="Calibri" w:hAnsi="Calibri"/>
                <w:b w:val="0"/>
                <w:i w:val="0"/>
                <w:color w:val="212121"/>
                <w:sz w:val="16"/>
              </w:rPr>
              <w:t>Physical stigmata of untreated CH</w:t>
            </w:r>
          </w:p>
        </w:tc>
        <w:tc>
          <w:tcPr>
            <w:tcW w:type="dxa" w:w="1036"/>
            <w:vAlign w:val="top"/>
          </w:tcPr>
          <w:p>
            <w:pPr>
              <w:spacing w:after="40" w:before="0" w:line="259" w:lineRule="auto"/>
            </w:pPr>
            <w:r>
              <w:rPr>
                <w:rFonts w:ascii="Calibri" w:hAnsi="Calibri"/>
                <w:b w:val="0"/>
                <w:i w:val="0"/>
                <w:color w:val="212121"/>
                <w:sz w:val="16"/>
              </w:rPr>
              <w:t>Neonates with positive screen or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(supportive)</w:t>
            </w:r>
          </w:p>
        </w:tc>
        <w:tc>
          <w:tcPr>
            <w:tcW w:type="dxa" w:w="720"/>
            <w:vAlign w:val="top"/>
          </w:tcPr>
          <w:p>
            <w:pPr>
              <w:spacing w:after="40" w:before="0" w:line="259" w:lineRule="auto"/>
            </w:pPr>
            <w:r>
              <w:rPr>
                <w:rFonts w:ascii="Calibri" w:hAnsi="Calibri"/>
                <w:b w:val="0"/>
                <w:i w:val="0"/>
                <w:color w:val="212121"/>
                <w:sz w:val="16"/>
              </w:rPr>
              <w:t>Many term infants look normal at birth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Thyroid palpation</w:t>
            </w:r>
          </w:p>
        </w:tc>
        <w:tc>
          <w:tcPr>
            <w:tcW w:type="dxa" w:w="979"/>
            <w:vAlign w:val="top"/>
          </w:tcPr>
          <w:p>
            <w:pPr>
              <w:spacing w:after="40" w:before="0" w:line="259" w:lineRule="auto"/>
            </w:pPr>
            <w:r>
              <w:rPr>
                <w:rFonts w:ascii="Calibri" w:hAnsi="Calibri"/>
                <w:b w:val="0"/>
                <w:i w:val="0"/>
                <w:color w:val="212121"/>
                <w:sz w:val="16"/>
              </w:rPr>
              <w:t>Goitre / palpable neck swelling</w:t>
            </w:r>
          </w:p>
        </w:tc>
        <w:tc>
          <w:tcPr>
            <w:tcW w:type="dxa" w:w="950"/>
            <w:vAlign w:val="top"/>
          </w:tcPr>
          <w:p>
            <w:pPr>
              <w:spacing w:after="40" w:before="0" w:line="259" w:lineRule="auto"/>
            </w:pPr>
            <w:r>
              <w:rPr>
                <w:rFonts w:ascii="Calibri" w:hAnsi="Calibri"/>
                <w:b w:val="0"/>
                <w:i w:val="0"/>
                <w:color w:val="212121"/>
                <w:sz w:val="16"/>
              </w:rPr>
              <w:t>No goitre</w:t>
            </w:r>
          </w:p>
        </w:tc>
        <w:tc>
          <w:tcPr>
            <w:tcW w:type="dxa" w:w="950"/>
            <w:vAlign w:val="top"/>
          </w:tcPr>
          <w:p>
            <w:pPr>
              <w:spacing w:after="40" w:before="0" w:line="259" w:lineRule="auto"/>
            </w:pPr>
            <w:r>
              <w:rPr>
                <w:rFonts w:ascii="Calibri" w:hAnsi="Calibri"/>
                <w:b w:val="0"/>
                <w:i w:val="0"/>
                <w:color w:val="212121"/>
                <w:sz w:val="16"/>
              </w:rPr>
              <w:t>Goitre present</w:t>
            </w:r>
          </w:p>
        </w:tc>
        <w:tc>
          <w:tcPr>
            <w:tcW w:type="dxa" w:w="1036"/>
            <w:vAlign w:val="top"/>
          </w:tcPr>
          <w:p>
            <w:pPr>
              <w:spacing w:after="40" w:before="0" w:line="259" w:lineRule="auto"/>
            </w:pPr>
            <w:r>
              <w:rPr>
                <w:rFonts w:ascii="Calibri" w:hAnsi="Calibri"/>
                <w:b w:val="0"/>
                <w:i w:val="0"/>
                <w:color w:val="212121"/>
                <w:sz w:val="16"/>
              </w:rPr>
              <w:t>Goitre suggests dyshormonogenesis or iodine-related CH (gland-in-situ)</w:t>
            </w:r>
          </w:p>
        </w:tc>
        <w:tc>
          <w:tcPr>
            <w:tcW w:type="dxa" w:w="1036"/>
            <w:vAlign w:val="top"/>
          </w:tcPr>
          <w:p>
            <w:pPr>
              <w:spacing w:after="40" w:before="0" w:line="259" w:lineRule="auto"/>
            </w:pPr>
            <w:r>
              <w:rPr>
                <w:rFonts w:ascii="Calibri" w:hAnsi="Calibri"/>
                <w:b w:val="0"/>
                <w:i w:val="0"/>
                <w:color w:val="212121"/>
                <w:sz w:val="16"/>
              </w:rPr>
              <w:t>Dyshormonogenesis, iodine deficiency/excess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Absent in agenesis/ectopia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 / growth</w:t>
            </w:r>
          </w:p>
        </w:tc>
        <w:tc>
          <w:tcPr>
            <w:tcW w:type="dxa" w:w="950"/>
            <w:vAlign w:val="top"/>
          </w:tcPr>
          <w:p>
            <w:pPr>
              <w:spacing w:after="40" w:before="0" w:line="259" w:lineRule="auto"/>
            </w:pPr>
            <w:r>
              <w:rPr>
                <w:rFonts w:ascii="Calibri" w:hAnsi="Calibri"/>
                <w:b w:val="0"/>
                <w:i w:val="0"/>
                <w:color w:val="212121"/>
                <w:sz w:val="16"/>
              </w:rPr>
              <w:t>Growth &amp; development monitoring</w:t>
            </w:r>
          </w:p>
        </w:tc>
        <w:tc>
          <w:tcPr>
            <w:tcW w:type="dxa" w:w="979"/>
            <w:vAlign w:val="top"/>
          </w:tcPr>
          <w:p>
            <w:pPr>
              <w:spacing w:after="40" w:before="0" w:line="259" w:lineRule="auto"/>
            </w:pPr>
            <w:r>
              <w:rPr>
                <w:rFonts w:ascii="Calibri" w:hAnsi="Calibri"/>
                <w:b w:val="0"/>
                <w:i w:val="0"/>
                <w:color w:val="212121"/>
                <w:sz w:val="16"/>
              </w:rPr>
              <w:t>Length, weight, head circumference, developmental milestones</w:t>
            </w:r>
          </w:p>
        </w:tc>
        <w:tc>
          <w:tcPr>
            <w:tcW w:type="dxa" w:w="950"/>
            <w:vAlign w:val="top"/>
          </w:tcPr>
          <w:p>
            <w:pPr>
              <w:spacing w:after="40" w:before="0" w:line="259" w:lineRule="auto"/>
            </w:pPr>
            <w:r>
              <w:rPr>
                <w:rFonts w:ascii="Calibri" w:hAnsi="Calibri"/>
                <w:b w:val="0"/>
                <w:i w:val="0"/>
                <w:color w:val="212121"/>
                <w:sz w:val="16"/>
              </w:rPr>
              <w:t>On-track growth &amp; milestones</w:t>
            </w:r>
          </w:p>
        </w:tc>
        <w:tc>
          <w:tcPr>
            <w:tcW w:type="dxa" w:w="950"/>
            <w:vAlign w:val="top"/>
          </w:tcPr>
          <w:p>
            <w:pPr>
              <w:spacing w:after="40" w:before="0" w:line="259" w:lineRule="auto"/>
            </w:pPr>
            <w:r>
              <w:rPr>
                <w:rFonts w:ascii="Calibri" w:hAnsi="Calibri"/>
                <w:b w:val="0"/>
                <w:i w:val="0"/>
                <w:color w:val="212121"/>
                <w:sz w:val="16"/>
              </w:rPr>
              <w:t>Growth faltering / delayed milestones</w:t>
            </w:r>
          </w:p>
        </w:tc>
        <w:tc>
          <w:tcPr>
            <w:tcW w:type="dxa" w:w="1036"/>
            <w:vAlign w:val="top"/>
          </w:tcPr>
          <w:p>
            <w:pPr>
              <w:spacing w:after="40" w:before="0" w:line="259" w:lineRule="auto"/>
            </w:pPr>
            <w:r>
              <w:rPr>
                <w:rFonts w:ascii="Calibri" w:hAnsi="Calibri"/>
                <w:b w:val="0"/>
                <w:i w:val="0"/>
                <w:color w:val="212121"/>
                <w:sz w:val="16"/>
              </w:rPr>
              <w:t>Untreated or under-treated CH causes growth and developmental delay</w:t>
            </w:r>
          </w:p>
        </w:tc>
        <w:tc>
          <w:tcPr>
            <w:tcW w:type="dxa" w:w="1036"/>
            <w:vAlign w:val="top"/>
          </w:tcPr>
          <w:p>
            <w:pPr>
              <w:spacing w:after="40" w:before="0" w:line="259" w:lineRule="auto"/>
            </w:pPr>
            <w:r>
              <w:rPr>
                <w:rFonts w:ascii="Calibri" w:hAnsi="Calibri"/>
                <w:b w:val="0"/>
                <w:i w:val="0"/>
                <w:color w:val="212121"/>
                <w:sz w:val="16"/>
              </w:rPr>
              <w:t>Infants on follow-up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Serial plotting; catch delayed milestones early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Imaging (aetiology)</w:t>
            </w:r>
          </w:p>
        </w:tc>
        <w:tc>
          <w:tcPr>
            <w:tcW w:type="dxa" w:w="950"/>
            <w:vAlign w:val="top"/>
          </w:tcPr>
          <w:p>
            <w:pPr>
              <w:spacing w:after="40" w:before="0" w:line="259" w:lineRule="auto"/>
            </w:pPr>
            <w:r>
              <w:rPr>
                <w:rFonts w:ascii="Calibri" w:hAnsi="Calibri"/>
                <w:b w:val="0"/>
                <w:i w:val="0"/>
                <w:color w:val="212121"/>
                <w:sz w:val="16"/>
              </w:rPr>
              <w:t>Thyroid ultrasound + Tc-99m/I-123 scintigraphy</w:t>
            </w:r>
          </w:p>
        </w:tc>
        <w:tc>
          <w:tcPr>
            <w:tcW w:type="dxa" w:w="979"/>
            <w:vAlign w:val="top"/>
          </w:tcPr>
          <w:p>
            <w:pPr>
              <w:spacing w:after="40" w:before="0" w:line="259" w:lineRule="auto"/>
            </w:pPr>
            <w:r>
              <w:rPr>
                <w:rFonts w:ascii="Calibri" w:hAnsi="Calibri"/>
                <w:b w:val="0"/>
                <w:i w:val="0"/>
                <w:color w:val="212121"/>
                <w:sz w:val="16"/>
              </w:rPr>
              <w:t>Gland presence, size, location &amp; uptake</w:t>
            </w:r>
          </w:p>
        </w:tc>
        <w:tc>
          <w:tcPr>
            <w:tcW w:type="dxa" w:w="950"/>
            <w:vAlign w:val="top"/>
          </w:tcPr>
          <w:p>
            <w:pPr>
              <w:spacing w:after="40" w:before="0" w:line="259" w:lineRule="auto"/>
            </w:pPr>
            <w:r>
              <w:rPr>
                <w:rFonts w:ascii="Calibri" w:hAnsi="Calibri"/>
                <w:b w:val="0"/>
                <w:i w:val="0"/>
                <w:color w:val="212121"/>
                <w:sz w:val="16"/>
              </w:rPr>
              <w:t>Normal eutopic gland with normal uptake</w:t>
            </w:r>
          </w:p>
        </w:tc>
        <w:tc>
          <w:tcPr>
            <w:tcW w:type="dxa" w:w="950"/>
            <w:vAlign w:val="top"/>
          </w:tcPr>
          <w:p>
            <w:pPr>
              <w:spacing w:after="40" w:before="0" w:line="259" w:lineRule="auto"/>
            </w:pPr>
            <w:r>
              <w:rPr>
                <w:rFonts w:ascii="Calibri" w:hAnsi="Calibri"/>
                <w:b w:val="0"/>
                <w:i w:val="0"/>
                <w:color w:val="212121"/>
                <w:sz w:val="16"/>
              </w:rPr>
              <w:t>Absent/ectopic/hypoplastic gland, or normal/avid uptake with gland-in-situ (dyshormonogenesis)</w:t>
            </w:r>
          </w:p>
        </w:tc>
        <w:tc>
          <w:tcPr>
            <w:tcW w:type="dxa" w:w="1036"/>
            <w:vAlign w:val="top"/>
          </w:tcPr>
          <w:p>
            <w:pPr>
              <w:spacing w:after="40" w:before="0" w:line="259" w:lineRule="auto"/>
            </w:pPr>
            <w:r>
              <w:rPr>
                <w:rFonts w:ascii="Calibri" w:hAnsi="Calibri"/>
                <w:b w:val="0"/>
                <w:i w:val="0"/>
                <w:color w:val="212121"/>
                <w:sz w:val="16"/>
              </w:rPr>
              <w:t>Defines specific aetiology; complementary modalities</w:t>
            </w:r>
          </w:p>
        </w:tc>
        <w:tc>
          <w:tcPr>
            <w:tcW w:type="dxa" w:w="1036"/>
            <w:vAlign w:val="top"/>
          </w:tcPr>
          <w:p>
            <w:pPr>
              <w:spacing w:after="40" w:before="0" w:line="259" w:lineRule="auto"/>
            </w:pPr>
            <w:r>
              <w:rPr>
                <w:rFonts w:ascii="Calibri" w:hAnsi="Calibri"/>
                <w:b w:val="0"/>
                <w:i w:val="0"/>
                <w:color w:val="212121"/>
                <w:sz w:val="16"/>
              </w:rPr>
              <w:t>Confirmed CH for aetiology work-up</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Does not delay levothyroxine; knee X-ray adds severity/bone-age data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neonatal jaundice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Jaundice persisting beyond 2 weeks is a classic early clue, due to slowed hepatic bilirubin conjugation.</w:t>
            </w:r>
          </w:p>
        </w:tc>
      </w:tr>
      <w:tr>
        <w:trPr>
          <w:cantSplit/>
        </w:trPr>
        <w:tc>
          <w:tcPr>
            <w:tcW w:type="dxa" w:w="2304"/>
            <w:vAlign w:val="top"/>
          </w:tcPr>
          <w:p>
            <w:pPr>
              <w:spacing w:after="40" w:before="0" w:line="259" w:lineRule="auto"/>
            </w:pPr>
            <w:r>
              <w:rPr>
                <w:rFonts w:ascii="Calibri" w:hAnsi="Calibri"/>
                <w:b/>
                <w:i w:val="0"/>
                <w:color w:val="212121"/>
                <w:sz w:val="19"/>
              </w:rPr>
              <w:t>Poor feeding /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vigour and sluggish feeding from low metabolic rate.</w:t>
            </w:r>
          </w:p>
        </w:tc>
      </w:tr>
      <w:tr>
        <w:trPr>
          <w:cantSplit/>
        </w:trPr>
        <w:tc>
          <w:tcPr>
            <w:tcW w:type="dxa" w:w="2304"/>
            <w:vAlign w:val="top"/>
          </w:tcPr>
          <w:p>
            <w:pPr>
              <w:spacing w:after="40" w:before="0" w:line="259" w:lineRule="auto"/>
            </w:pPr>
            <w:r>
              <w:rPr>
                <w:rFonts w:ascii="Calibri" w:hAnsi="Calibri"/>
                <w:b/>
                <w:i w:val="0"/>
                <w:color w:val="212121"/>
                <w:sz w:val="19"/>
              </w:rPr>
              <w:t>Excessive sleepiness / decreased 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quiet, 'good' baby who sleeps excessively and cries little.</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Slowed gut motility from thyroid hormone deficiency.</w:t>
            </w:r>
          </w:p>
        </w:tc>
      </w:tr>
      <w:tr>
        <w:trPr>
          <w:cantSplit/>
        </w:trPr>
        <w:tc>
          <w:tcPr>
            <w:tcW w:type="dxa" w:w="2304"/>
            <w:vAlign w:val="top"/>
          </w:tcPr>
          <w:p>
            <w:pPr>
              <w:spacing w:after="40" w:before="0" w:line="259" w:lineRule="auto"/>
            </w:pPr>
            <w:r>
              <w:rPr>
                <w:rFonts w:ascii="Calibri" w:hAnsi="Calibri"/>
                <w:b/>
                <w:i w:val="0"/>
                <w:color w:val="212121"/>
                <w:sz w:val="19"/>
              </w:rPr>
              <w:t>Hoarse or weak cry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Myxoedematous infiltration of the larynx and soft tissues.</w:t>
            </w:r>
          </w:p>
        </w:tc>
      </w:tr>
      <w:tr>
        <w:trPr>
          <w:cantSplit/>
        </w:trPr>
        <w:tc>
          <w:tcPr>
            <w:tcW w:type="dxa" w:w="2304"/>
            <w:vAlign w:val="top"/>
          </w:tcPr>
          <w:p>
            <w:pPr>
              <w:spacing w:after="40" w:before="0" w:line="259" w:lineRule="auto"/>
            </w:pPr>
            <w:r>
              <w:rPr>
                <w:rFonts w:ascii="Calibri" w:hAnsi="Calibri"/>
                <w:b/>
                <w:i w:val="0"/>
                <w:color w:val="212121"/>
                <w:sz w:val="19"/>
              </w:rPr>
              <w:t>Feeding difficulty / poor suck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Hypotonia and macroglossia impair effective suckling and weight gain.</w:t>
            </w:r>
          </w:p>
        </w:tc>
      </w:tr>
      <w:tr>
        <w:trPr>
          <w:cantSplit/>
        </w:trPr>
        <w:tc>
          <w:tcPr>
            <w:tcW w:type="dxa" w:w="2304"/>
            <w:vAlign w:val="top"/>
          </w:tcPr>
          <w:p>
            <w:pPr>
              <w:spacing w:after="40" w:before="0" w:line="259" w:lineRule="auto"/>
            </w:pPr>
            <w:r>
              <w:rPr>
                <w:rFonts w:ascii="Calibri" w:hAnsi="Calibri"/>
                <w:b/>
                <w:i w:val="0"/>
                <w:color w:val="212121"/>
                <w:sz w:val="19"/>
              </w:rPr>
              <w:t>Prolonged / poor weight gain, failure to thrive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metabolic rate and feeding problems slow growth.</w:t>
            </w:r>
          </w:p>
        </w:tc>
      </w:tr>
      <w:tr>
        <w:trPr>
          <w:cantSplit/>
        </w:trPr>
        <w:tc>
          <w:tcPr>
            <w:tcW w:type="dxa" w:w="2304"/>
            <w:vAlign w:val="top"/>
          </w:tcPr>
          <w:p>
            <w:pPr>
              <w:spacing w:after="40" w:before="0" w:line="259" w:lineRule="auto"/>
            </w:pPr>
            <w:r>
              <w:rPr>
                <w:rFonts w:ascii="Calibri" w:hAnsi="Calibri"/>
                <w:b/>
                <w:i w:val="0"/>
                <w:color w:val="212121"/>
                <w:sz w:val="19"/>
              </w:rPr>
              <w:t>Cold, mottled or dry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thermogenesis and peripheral perfusion; skin feels cool and dry.</w:t>
            </w:r>
          </w:p>
        </w:tc>
      </w:tr>
      <w:tr>
        <w:trPr>
          <w:cantSplit/>
        </w:trPr>
        <w:tc>
          <w:tcPr>
            <w:tcW w:type="dxa" w:w="2304"/>
            <w:vAlign w:val="top"/>
          </w:tcPr>
          <w:p>
            <w:pPr>
              <w:spacing w:after="40" w:before="0" w:line="259" w:lineRule="auto"/>
            </w:pPr>
            <w:r>
              <w:rPr>
                <w:rFonts w:ascii="Calibri" w:hAnsi="Calibri"/>
                <w:b/>
                <w:i w:val="0"/>
                <w:color w:val="212121"/>
                <w:sz w:val="19"/>
              </w:rPr>
              <w:t>Abdominal distension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Hypotonia, constipation and often an associated umbilical hernia.</w:t>
            </w:r>
          </w:p>
        </w:tc>
      </w:tr>
      <w:tr>
        <w:trPr>
          <w:cantSplit/>
        </w:trPr>
        <w:tc>
          <w:tcPr>
            <w:tcW w:type="dxa" w:w="2304"/>
            <w:vAlign w:val="top"/>
          </w:tcPr>
          <w:p>
            <w:pPr>
              <w:spacing w:after="40" w:before="0" w:line="259" w:lineRule="auto"/>
            </w:pPr>
            <w:r>
              <w:rPr>
                <w:rFonts w:ascii="Calibri" w:hAnsi="Calibri"/>
                <w:b/>
                <w:i w:val="0"/>
                <w:color w:val="212121"/>
                <w:sz w:val="19"/>
              </w:rPr>
              <w:t>Delayed developmental milestones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Emerges over months if treatment is delayed — the harm CH screening exists to prevent.</w:t>
            </w:r>
          </w:p>
        </w:tc>
      </w:tr>
      <w:tr>
        <w:trPr>
          <w:cantSplit/>
        </w:trPr>
        <w:tc>
          <w:tcPr>
            <w:tcW w:type="dxa" w:w="2304"/>
            <w:vAlign w:val="top"/>
          </w:tcPr>
          <w:p>
            <w:pPr>
              <w:spacing w:after="40" w:before="0" w:line="259" w:lineRule="auto"/>
            </w:pPr>
            <w:r>
              <w:rPr>
                <w:rFonts w:ascii="Calibri" w:hAnsi="Calibri"/>
                <w:b/>
                <w:i w:val="0"/>
                <w:color w:val="212121"/>
                <w:sz w:val="19"/>
              </w:rPr>
              <w:t>Respiratory difficulty / noisy breathing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Large tongue and myxoedema can obstruct the airway in severe cases.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Large posterior fontanelle (&gt; 5 mm) with open sutures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Delayed skeletal maturation; a readily checked neonatal sign.</w:t>
            </w:r>
          </w:p>
        </w:tc>
      </w:tr>
      <w:tr>
        <w:trPr>
          <w:cantSplit/>
        </w:trPr>
        <w:tc>
          <w:tcPr>
            <w:tcW w:type="dxa" w:w="3456"/>
            <w:vAlign w:val="top"/>
          </w:tcPr>
          <w:p>
            <w:pPr>
              <w:spacing w:after="40" w:before="0" w:line="259" w:lineRule="auto"/>
            </w:pPr>
            <w:r>
              <w:rPr>
                <w:rFonts w:ascii="Calibri" w:hAnsi="Calibri"/>
                <w:b/>
                <w:i w:val="0"/>
                <w:color w:val="212121"/>
                <w:sz w:val="19"/>
              </w:rPr>
              <w:t>Macroglossia (large, protruding tongue)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Myxoedematous enlargement of the tongue.</w:t>
            </w:r>
          </w:p>
        </w:tc>
      </w:tr>
      <w:tr>
        <w:trPr>
          <w:cantSplit/>
        </w:trPr>
        <w:tc>
          <w:tcPr>
            <w:tcW w:type="dxa" w:w="3456"/>
            <w:vAlign w:val="top"/>
          </w:tcPr>
          <w:p>
            <w:pPr>
              <w:spacing w:after="40" w:before="0" w:line="259" w:lineRule="auto"/>
            </w:pPr>
            <w:r>
              <w:rPr>
                <w:rFonts w:ascii="Calibri" w:hAnsi="Calibri"/>
                <w:b/>
                <w:i w:val="0"/>
                <w:color w:val="212121"/>
                <w:sz w:val="19"/>
              </w:rPr>
              <w:t>Umbilical hernia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Abdominal wall hypotonia; frequently accompanies CH.</w:t>
            </w:r>
          </w:p>
        </w:tc>
      </w:tr>
      <w:tr>
        <w:trPr>
          <w:cantSplit/>
        </w:trPr>
        <w:tc>
          <w:tcPr>
            <w:tcW w:type="dxa" w:w="3456"/>
            <w:vAlign w:val="top"/>
          </w:tcPr>
          <w:p>
            <w:pPr>
              <w:spacing w:after="40" w:before="0" w:line="259" w:lineRule="auto"/>
            </w:pPr>
            <w:r>
              <w:rPr>
                <w:rFonts w:ascii="Calibri" w:hAnsi="Calibri"/>
                <w:b/>
                <w:i w:val="0"/>
                <w:color w:val="212121"/>
                <w:sz w:val="19"/>
              </w:rPr>
              <w:t>Hypotonia (floppy infant)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muscle tone and sluggish reflexes.</w:t>
            </w:r>
          </w:p>
        </w:tc>
      </w:tr>
      <w:tr>
        <w:trPr>
          <w:cantSplit/>
        </w:trPr>
        <w:tc>
          <w:tcPr>
            <w:tcW w:type="dxa" w:w="3456"/>
            <w:vAlign w:val="top"/>
          </w:tcPr>
          <w:p>
            <w:pPr>
              <w:spacing w:after="40" w:before="0" w:line="259" w:lineRule="auto"/>
            </w:pPr>
            <w:r>
              <w:rPr>
                <w:rFonts w:ascii="Calibri" w:hAnsi="Calibri"/>
                <w:b/>
                <w:i w:val="0"/>
                <w:color w:val="212121"/>
                <w:sz w:val="19"/>
              </w:rPr>
              <w:t>Prolonged jaundice with dry, cool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Combined hyperbilirubinaemia and reduced thermogenesis.</w:t>
            </w:r>
          </w:p>
        </w:tc>
      </w:tr>
      <w:tr>
        <w:trPr>
          <w:cantSplit/>
        </w:trPr>
        <w:tc>
          <w:tcPr>
            <w:tcW w:type="dxa" w:w="3456"/>
            <w:vAlign w:val="top"/>
          </w:tcPr>
          <w:p>
            <w:pPr>
              <w:spacing w:after="40" w:before="0" w:line="259" w:lineRule="auto"/>
            </w:pPr>
            <w:r>
              <w:rPr>
                <w:rFonts w:ascii="Calibri" w:hAnsi="Calibri"/>
                <w:b/>
                <w:i w:val="0"/>
                <w:color w:val="212121"/>
                <w:sz w:val="19"/>
              </w:rPr>
              <w:t>Coarse facial features / puffy (myxoedematous) face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Periorbital puffiness, depressed nasal bridge, coarse features in severe untreated CH.</w:t>
            </w:r>
          </w:p>
        </w:tc>
      </w:tr>
      <w:tr>
        <w:trPr>
          <w:cantSplit/>
        </w:trPr>
        <w:tc>
          <w:tcPr>
            <w:tcW w:type="dxa" w:w="3456"/>
            <w:vAlign w:val="top"/>
          </w:tcPr>
          <w:p>
            <w:pPr>
              <w:spacing w:after="40" w:before="0" w:line="259" w:lineRule="auto"/>
            </w:pPr>
            <w:r>
              <w:rPr>
                <w:rFonts w:ascii="Calibri" w:hAnsi="Calibri"/>
                <w:b/>
                <w:i w:val="0"/>
                <w:color w:val="212121"/>
                <w:sz w:val="19"/>
              </w:rPr>
              <w:t>Goitre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thyroid enlargement suggesting dyshormonogenesis or iodine-related CH (gland-in-situ).</w:t>
            </w:r>
          </w:p>
        </w:tc>
      </w:tr>
      <w:tr>
        <w:trPr>
          <w:cantSplit/>
        </w:trPr>
        <w:tc>
          <w:tcPr>
            <w:tcW w:type="dxa" w:w="3456"/>
            <w:vAlign w:val="top"/>
          </w:tcPr>
          <w:p>
            <w:pPr>
              <w:spacing w:after="40" w:before="0" w:line="259" w:lineRule="auto"/>
            </w:pPr>
            <w:r>
              <w:rPr>
                <w:rFonts w:ascii="Calibri" w:hAnsi="Calibri"/>
                <w:b/>
                <w:i w:val="0"/>
                <w:color w:val="212121"/>
                <w:sz w:val="19"/>
              </w:rPr>
              <w:t>Hypothermia / cool peripheries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Low basal metabolic rate reduces heat production.</w:t>
            </w:r>
          </w:p>
        </w:tc>
      </w:tr>
      <w:tr>
        <w:trPr>
          <w:cantSplit/>
        </w:trPr>
        <w:tc>
          <w:tcPr>
            <w:tcW w:type="dxa" w:w="3456"/>
            <w:vAlign w:val="top"/>
          </w:tcPr>
          <w:p>
            <w:pPr>
              <w:spacing w:after="40" w:before="0" w:line="259" w:lineRule="auto"/>
            </w:pPr>
            <w:r>
              <w:rPr>
                <w:rFonts w:ascii="Calibri" w:hAnsi="Calibri"/>
                <w:b/>
                <w:i w:val="0"/>
                <w:color w:val="212121"/>
                <w:sz w:val="19"/>
              </w:rPr>
              <w:t>Bradycardia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Slow heart rate from reduced metabolic drive.</w:t>
            </w:r>
          </w:p>
        </w:tc>
      </w:tr>
      <w:tr>
        <w:trPr>
          <w:cantSplit/>
        </w:trPr>
        <w:tc>
          <w:tcPr>
            <w:tcW w:type="dxa" w:w="3456"/>
            <w:vAlign w:val="top"/>
          </w:tcPr>
          <w:p>
            <w:pPr>
              <w:spacing w:after="40" w:before="0" w:line="259" w:lineRule="auto"/>
            </w:pPr>
            <w:r>
              <w:rPr>
                <w:rFonts w:ascii="Calibri" w:hAnsi="Calibri"/>
                <w:b/>
                <w:i w:val="0"/>
                <w:color w:val="212121"/>
                <w:sz w:val="19"/>
              </w:rPr>
              <w:t>Delayed bone age (absent distal femoral &amp; proximal tibial epiphyses on knee X-ray)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Radiological marker of intrauterine hypothyroidism and severity.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myelination and brain development beginning in the neonatal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jaundice, hypothermia and feeding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compromise from macroglossia/myxoedema in severe cases</w:t>
            </w:r>
          </w:p>
        </w:tc>
        <w:tc>
          <w:tcPr>
            <w:tcW w:type="dxa" w:w="2980"/>
            <w:vAlign w:val="top"/>
          </w:tcPr>
          <w:p>
            <w:pPr>
              <w:spacing w:after="40" w:before="0" w:line="259" w:lineRule="auto"/>
            </w:pPr>
            <w:r>
              <w:rPr>
                <w:rFonts w:ascii="Calibri" w:hAnsi="Calibri"/>
                <w:b w:val="0"/>
                <w:i w:val="0"/>
                <w:color w:val="212121"/>
                <w:sz w:val="19"/>
              </w:rPr>
              <w:t>Direct early effects of neonatal thyroid hormone deficiency, most critically on the developing brain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Intellectual disability and low IQ (dose-related to delay in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failure / short stature and delayed bone maturation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Motor delay, hypotonia and delayed milestones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Sensorineural hearing loss (notably in Pendred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puberty and, later, poor school performance</w:t>
            </w:r>
          </w:p>
        </w:tc>
        <w:tc>
          <w:tcPr>
            <w:tcW w:type="dxa" w:w="2980"/>
            <w:vAlign w:val="top"/>
          </w:tcPr>
          <w:p>
            <w:pPr>
              <w:spacing w:after="40" w:before="0" w:line="259" w:lineRule="auto"/>
            </w:pPr>
            <w:r>
              <w:rPr>
                <w:rFonts w:ascii="Calibri" w:hAnsi="Calibri"/>
                <w:b w:val="0"/>
                <w:i w:val="0"/>
                <w:color w:val="212121"/>
                <w:sz w:val="19"/>
              </w:rPr>
              <w:t>Consequences of untreated or late/inadequately treated chronic hypothyroidism during the critical developmental window</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irreversible intellectual disability (cretinism)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Deaf-mutism and spastic neuromotor disability in severe endemic/untreated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short stature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dependence and lost educational/occupational potential</w:t>
            </w:r>
          </w:p>
        </w:tc>
        <w:tc>
          <w:tcPr>
            <w:tcW w:type="dxa" w:w="2980"/>
            <w:vAlign w:val="top"/>
          </w:tcPr>
          <w:p>
            <w:pPr>
              <w:spacing w:after="40" w:before="0" w:line="259" w:lineRule="auto"/>
            </w:pPr>
            <w:r>
              <w:rPr>
                <w:rFonts w:ascii="Calibri" w:hAnsi="Calibri"/>
                <w:b w:val="0"/>
                <w:i w:val="0"/>
                <w:color w:val="212121"/>
                <w:sz w:val="19"/>
              </w:rPr>
              <w:t>Irreversible, disabling outcomes of severe untreated CH — almost entirely preventable by timely screening and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Maternal hypothyroidism in pregnancy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Very common in Indian pregnancies (pooled prevalence ~17%: subclinical 15%, overt 3%); maternal autoimmune blocking antibodies can cause transient neonatal CH, and both share iodine-deficiency roots, so antenatal thyroid screening is important.</w:t>
            </w:r>
          </w:p>
          <w:p>
            <w:pPr>
              <w:spacing w:after="40" w:before="0" w:line="259" w:lineRule="auto"/>
            </w:pPr>
            <w:r>
              <w:rPr>
                <w:rFonts w:ascii="Calibri" w:hAnsi="Calibri"/>
                <w:b/>
                <w:i w:val="0"/>
                <w:color w:val="212121"/>
                <w:sz w:val="19"/>
              </w:rPr>
              <w:t>~17%</w:t>
            </w:r>
          </w:p>
        </w:tc>
      </w:tr>
      <w:tr>
        <w:trPr>
          <w:cantSplit/>
        </w:trPr>
        <w:tc>
          <w:tcPr>
            <w:tcW w:type="dxa" w:w="2232"/>
            <w:vAlign w:val="top"/>
          </w:tcPr>
          <w:p>
            <w:pPr>
              <w:spacing w:after="40" w:before="0" w:line="259" w:lineRule="auto"/>
            </w:pPr>
            <w:r>
              <w:rPr>
                <w:rFonts w:ascii="Calibri" w:hAnsi="Calibri"/>
                <w:b/>
                <w:i w:val="0"/>
                <w:color w:val="212121"/>
                <w:sz w:val="19"/>
              </w:rPr>
              <w:t>Down syndrome (Trisomy 21)</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Trisomy 21 markedly raises the risk of congenital and acquired thyroid disease, mandating thyroid screening at birth and periodically thereafter.</w:t>
            </w:r>
          </w:p>
          <w:p>
            <w:pPr>
              <w:spacing w:after="40" w:before="0" w:line="259" w:lineRule="auto"/>
            </w:pPr>
            <w:r>
              <w:rPr>
                <w:rFonts w:ascii="Calibri" w:hAnsi="Calibri"/>
                <w:b/>
                <w:i w:val="0"/>
                <w:color w:val="212121"/>
                <w:sz w:val="19"/>
              </w:rPr>
              <w:t>4–40% thyroid dysfunction</w:t>
            </w:r>
          </w:p>
        </w:tc>
      </w:tr>
      <w:tr>
        <w:trPr>
          <w:cantSplit/>
        </w:trPr>
        <w:tc>
          <w:tcPr>
            <w:tcW w:type="dxa" w:w="2232"/>
            <w:vAlign w:val="top"/>
          </w:tcPr>
          <w:p>
            <w:pPr>
              <w:spacing w:after="40" w:before="0" w:line="259" w:lineRule="auto"/>
            </w:pPr>
            <w:r>
              <w:rPr>
                <w:rFonts w:ascii="Calibri" w:hAnsi="Calibri"/>
                <w:b/>
                <w:i w:val="0"/>
                <w:color w:val="212121"/>
                <w:sz w:val="19"/>
              </w:rPr>
              <w:t>Iodine deficiency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Maternal iodine deficiency is a leading preventable cause of neonatal/congenital hypothyroidism and endemic goitre, persisting in Indian sub-Himalayan belts despite salt iodisation.</w:t>
            </w:r>
          </w:p>
        </w:tc>
      </w:tr>
      <w:tr>
        <w:trPr>
          <w:cantSplit/>
        </w:trPr>
        <w:tc>
          <w:tcPr>
            <w:tcW w:type="dxa" w:w="2232"/>
            <w:vAlign w:val="top"/>
          </w:tcPr>
          <w:p>
            <w:pPr>
              <w:spacing w:after="40" w:before="0" w:line="259" w:lineRule="auto"/>
            </w:pPr>
            <w:r>
              <w:rPr>
                <w:rFonts w:ascii="Calibri" w:hAnsi="Calibri"/>
                <w:b/>
                <w:i w:val="0"/>
                <w:color w:val="212121"/>
                <w:sz w:val="19"/>
              </w:rPr>
              <w:t>Prematurity / low birth weight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Immature thyroid axis and delayed TSH rise cause frequent transient hypothyroidism; a single early screen may miss it, so repeat testing is required.</w:t>
            </w:r>
          </w:p>
          <w:p>
            <w:pPr>
              <w:spacing w:after="40" w:before="0" w:line="259" w:lineRule="auto"/>
            </w:pPr>
            <w:r>
              <w:rPr>
                <w:rFonts w:ascii="Calibri" w:hAnsi="Calibri"/>
                <w:b/>
                <w:i w:val="0"/>
                <w:color w:val="212121"/>
                <w:sz w:val="19"/>
              </w:rPr>
              <w:t>CH ~1 in 77 preterm</w:t>
            </w:r>
          </w:p>
        </w:tc>
      </w:tr>
      <w:tr>
        <w:trPr>
          <w:cantSplit/>
        </w:trPr>
        <w:tc>
          <w:tcPr>
            <w:tcW w:type="dxa" w:w="2232"/>
            <w:vAlign w:val="top"/>
          </w:tcPr>
          <w:p>
            <w:pPr>
              <w:spacing w:after="40" w:before="0" w:line="259" w:lineRule="auto"/>
            </w:pPr>
            <w:r>
              <w:rPr>
                <w:rFonts w:ascii="Calibri" w:hAnsi="Calibri"/>
                <w:b/>
                <w:i w:val="0"/>
                <w:color w:val="212121"/>
                <w:sz w:val="19"/>
              </w:rPr>
              <w:t>Maternal Graves disease &amp; antithyroid drug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Transplacental TSH-receptor blocking antibodies and antithyroid drugs (carbimazole, methimazole, PTU) transiently suppress the neonatal thyroid; treating the mother directly affects the newborn.</w:t>
            </w:r>
          </w:p>
        </w:tc>
      </w:tr>
      <w:tr>
        <w:trPr>
          <w:cantSplit/>
        </w:trPr>
        <w:tc>
          <w:tcPr>
            <w:tcW w:type="dxa" w:w="2232"/>
            <w:vAlign w:val="top"/>
          </w:tcPr>
          <w:p>
            <w:pPr>
              <w:spacing w:after="40" w:before="0" w:line="259" w:lineRule="auto"/>
            </w:pPr>
            <w:r>
              <w:rPr>
                <w:rFonts w:ascii="Calibri" w:hAnsi="Calibri"/>
                <w:b/>
                <w:i w:val="0"/>
                <w:color w:val="212121"/>
                <w:sz w:val="19"/>
              </w:rPr>
              <w:t>Sensorineural hearing loss / Pendred syndrome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Untreated CH itself impairs hearing and language, while pendrin (SLC26A4) defects cause combined CH/goitre with deafness — a shared genetic mechanism.</w:t>
            </w:r>
          </w:p>
        </w:tc>
      </w:tr>
      <w:tr>
        <w:trPr>
          <w:cantSplit/>
        </w:trPr>
        <w:tc>
          <w:tcPr>
            <w:tcW w:type="dxa" w:w="2232"/>
            <w:vAlign w:val="top"/>
          </w:tcPr>
          <w:p>
            <w:pPr>
              <w:spacing w:after="40" w:before="0" w:line="259" w:lineRule="auto"/>
            </w:pPr>
            <w:r>
              <w:rPr>
                <w:rFonts w:ascii="Calibri" w:hAnsi="Calibri"/>
                <w:b/>
                <w:i w:val="0"/>
                <w:color w:val="212121"/>
                <w:sz w:val="19"/>
              </w:rPr>
              <w:t>Other congenital anomalies (cardiac, cleft palate, renal)</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Infants with CH have a higher rate of associated congenital malformations, so a positive screen should prompt broader examination.</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Thyroid hormone deficiency reduces erythropoiesis and, with feeding difficulty, contributes to anaemia that improves with replacement.</w:t>
            </w:r>
          </w:p>
        </w:tc>
      </w:tr>
      <w:tr>
        <w:trPr>
          <w:cantSplit/>
        </w:trPr>
        <w:tc>
          <w:tcPr>
            <w:tcW w:type="dxa" w:w="2232"/>
            <w:vAlign w:val="top"/>
          </w:tcPr>
          <w:p>
            <w:pPr>
              <w:spacing w:after="40" w:before="0" w:line="259" w:lineRule="auto"/>
            </w:pPr>
            <w:r>
              <w:rPr>
                <w:rFonts w:ascii="Calibri" w:hAnsi="Calibri"/>
                <w:b/>
                <w:i w:val="0"/>
                <w:color w:val="212121"/>
                <w:sz w:val="19"/>
              </w:rPr>
              <w:t>Central hypopituitarism / septo-optic dysplasia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CH usually coexists with other pituitary hormone deficiencies and midline defects, altering diagnosis (fT4-based) and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every newborn is screened for congenital hypothyroidism — by cord-blood TSH at delivery or a heel-prick at 48–72 hours — even where no formal programme 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(jaundice beyond 2 weeks, poor feeding, excessive sleepiness, constipation, hoarse cry) and seek testing promptly; visible signs appear 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CH is the most common preventable cause of intellectual disability and that treatment started within the first 2 weeks allows normal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adequately iodised salt (≥ 15 ppm) and take iodine as advised in pregnancy and lactation (~250 µg/day).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consanguineous families or those with a previously affected child, seek genetic counselling and make sure the next baby is screened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iodine-containing antiseptics (povidone-iodine) around delivery and on newborns unless specifically indicated.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expectant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low-income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Consanguineous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Goitre-belt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preterm/Down-syndrome infants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iodised salt in the household and store it dry and covered to limit iodine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Meet increased pregnancy/lactation iodine needs (~250 µg/day), including an iodine-containing supplement where dietary intake is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natural iodine sources (dairy, eggs, fish/seafood where eaten) in the maternal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over-restrict or over-supplement iodine — both deficiency and excess harm the fetal thyroid.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cassava (tapioca), pearl millet or large amounts of soy/cruciferous vegetables are staples, ensure iodine intake is adequate to offset goitrogens.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Goitre-belt / iodine-deficient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Vegetarian/vegan mothers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levothyroxine once daily on an empty stomach; crush the tablet in a little water or breast milk — do not use soy formula at the same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Separate levothyroxine from iron, calcium and high-fibre/soy feeds, which reduce its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breastfeeding; it supports growth and provides some iodine.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steady, consistent dosing and attend regular TSH/fT4 monitoring to keep levels in target.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stop levothyroxine abruptly; in transient CH, any trial off treatment must be supervised after age 3.</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confirmed 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managing daily dosing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on soy formula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 on iron/calcium</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smoked and smokeless (khaini, gutka, zarda) — before and during pregnancy; thiocyanate is a placental goitrogen.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at home and work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about and address partner/household tobacco use, common in Indian homes.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early in pregnancy for best fetal thyroid and overall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tobacco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pregnancy for overall fetal safety.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any alcohol use with the antenatal team so broader risks can be addressed.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treated, support age-appropriate motor development with tummy time, play and gentle stimulation.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any delay is noted, arrange early physiotherapy/occupational therapy and developmental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routine well-baby visits so growth and milestones are tracked and therapy started promptly if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Treated infants with 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delayed milestones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 on follow-up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Because untreated CH babies are excessively sleepy, wake them for regular feeds until treatment takes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euthyroid on levothyroxine, expect normal sleep–wake and feeding patterns; report persistent lethargy.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Track feeding and alertness as simple markers of adequate treatment between blood tests.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Neonates with CH before treatment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on early levothyroxine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and reassure parents that, with early treatment, children with CH develop normally — reducing anxiety and improving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mothers for thyroid dysfunction and postpartum mood, which often coexist and affect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families to support groups and developmental services, especially for syndromic or delayed-diagnosis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lifelong, uninterrupted treatment and follow-up to sustain good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Parents/caregivers of CH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Mothers with thyroid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late-diagnosed children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1774417/" TargetMode="External"/><Relationship Id="rId10" Type="http://schemas.openxmlformats.org/officeDocument/2006/relationships/hyperlink" Target="https://pmc.ncbi.nlm.nih.gov/articles/PMC5813450/" TargetMode="External"/><Relationship Id="rId11" Type="http://schemas.openxmlformats.org/officeDocument/2006/relationships/hyperlink" Target="https://pmc.ncbi.nlm.nih.gov/articles/PMC9110855/" TargetMode="External"/><Relationship Id="rId12" Type="http://schemas.openxmlformats.org/officeDocument/2006/relationships/hyperlink" Target="https://pmc.ncbi.nlm.nih.gov/articles/PMC11922358/" TargetMode="External"/><Relationship Id="rId13" Type="http://schemas.openxmlformats.org/officeDocument/2006/relationships/hyperlink" Target="https://pmc.ncbi.nlm.nih.gov/articles/PMC12641720/" TargetMode="External"/><Relationship Id="rId14" Type="http://schemas.openxmlformats.org/officeDocument/2006/relationships/hyperlink" Target="https://pmc.ncbi.nlm.nih.gov/articles/PMC13119116/" TargetMode="External"/><Relationship Id="rId15" Type="http://schemas.openxmlformats.org/officeDocument/2006/relationships/hyperlink" Target="https://pmc.ncbi.nlm.nih.gov/articles/PMC4207909/" TargetMode="External"/><Relationship Id="rId16" Type="http://schemas.openxmlformats.org/officeDocument/2006/relationships/hyperlink" Target="https://pmc.ncbi.nlm.nih.gov/articles/PMC10580186/" TargetMode="External"/><Relationship Id="rId17" Type="http://schemas.openxmlformats.org/officeDocument/2006/relationships/hyperlink" Target="https://pmc.ncbi.nlm.nih.gov/articles/PMC13141321/" TargetMode="External"/><Relationship Id="rId18" Type="http://schemas.openxmlformats.org/officeDocument/2006/relationships/hyperlink" Target="https://pubmed.ncbi.nlm.nih.gov/34514765/" TargetMode="External"/><Relationship Id="rId19" Type="http://schemas.openxmlformats.org/officeDocument/2006/relationships/hyperlink" Target="https://pmc.ncbi.nlm.nih.gov/articles/PMC6063176/" TargetMode="External"/><Relationship Id="rId20" Type="http://schemas.openxmlformats.org/officeDocument/2006/relationships/hyperlink" Target="https://pmc.ncbi.nlm.nih.gov/articles/PMC8793950/" TargetMode="External"/><Relationship Id="rId21" Type="http://schemas.openxmlformats.org/officeDocument/2006/relationships/hyperlink" Target="https://pmc.ncbi.nlm.nih.gov/articles/PMC6449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