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Osteoporosis</w:t>
      </w:r>
    </w:p>
    <w:p>
      <w:pPr>
        <w:spacing w:before="0" w:after="160"/>
      </w:pPr>
      <w:r>
        <w:rPr>
          <w:rFonts w:ascii="Calibri" w:hAnsi="Calibri"/>
          <w:b/>
          <w:i w:val="0"/>
          <w:color w:val="212121"/>
          <w:sz w:val="22"/>
        </w:rPr>
        <w:t xml:space="preserve">AKA </w:t>
      </w:r>
      <w:r>
        <w:rPr>
          <w:rFonts w:ascii="Calibri" w:hAnsi="Calibri"/>
          <w:b w:val="0"/>
          <w:i w:val="0"/>
          <w:color w:val="212121"/>
          <w:sz w:val="22"/>
        </w:rPr>
        <w:t>i.e., Porous bone disease, Brittle bone disease, Low bone mass / low bone mineral density (BMD), Postmenopausal osteoporosis (Type I), Senile / age-related osteoporosis (Type II), “Silent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Osteoporosis is a chronic, progressive skeletal disorder characterised by low bone mass and micro-architectural deterioration of bone tissue, leading to increased bone fragility and a consequent rise in fracture risk. It develops when the normal coupling of bone remodelling is disturbed and osteoclastic bone resorption outpaces osteoblastic bone formation, so that more bone is broken down than is replaced. Operationally, in postmenopausal women and men aged 50 and over it is defined by a bone mineral density (BMD) T-score of ≤ −2.5 on dual-energy X-ray absorptiometry (DXA), or by the occurrence of a low-trauma (fragility) fracture of the hip or spine irrespective of BMD. Because it is typically asymptomatic until the first fracture, it is often called a ‘silent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Osteoporosis is a large, rising and heavily under-diagnosed problem in India, where it tends to appear one to two decades earlier than in Western populations because of lower peak bone mass, chronically low dietary calcium and widespread vitamin D deficiency. In community studies of low-income Indian women aged 30–60 years, roughly 52% had osteopenia and about 29% had frank osteoporosis, largely attributed to inadequate nutrition. Around a quarter to a third of postmenopausal Indian women are estimated to be osteoporotic, and the burden climbs steeply with age and years since menopause. Globally about 1 in 3 women and 1 in 5 men over the age of 50 will sustain an osteoporotic (fragility) fracture in their remaining lifetime. Because bone loss is silent until a fracture occurs, the great majority of Indian cases are never screened for and remain untreated until they present with a hip, spine or wrist fracture.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Osteoporosis is diagnosed by bone densitometry, by the occurrence of a fragility fracture, or by a combination of clinical risk assessment and investigations to exclude secondary causes.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Central dual-energy X-ray absorptiometry (DXA) of the lumbar spine (L1–L4) and hip (femoral neck and total hip) is the reference standard; in postmenopausal women and men ≥ 50 years a T-score ≤ −2.5 SD defines osteoporosis, −1.0 to −2.5 defines osteopenia (low bone mass), and ≥ −1.0 is normal;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(established) osteoporosis is a T-score ≤ −2.5 together with one or more fragility fractures;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clinical diagnosis of osteoporosis can be made — regardless of BMD — in an older adult who sustains a low-trauma (fragility) fracture of the hip or a vertebra (a fracture from a fall from standing height or less);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premenopausal women, men under 50 and children the Z-score (age- and sex-matched) is used; a Z-score ≤ −2.0 is ‘below the expected range for age’ and requires a secondary cause or fragility fracture to diagnose osteoporosis;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Fracture-risk estimation with the FRAX® tool (10-year probability of major osteoporotic and hip fracture), vertebral fracture assessment (VFA) or lateral spine X-ray to detect silent vertebral fractures, and a metabolic work-up (serum calcium, 25-hydroxyvitamin D, PTH, renal function, TSH and, in men, testosterone) to exclude secondary osteoporosis.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Osteoporosis is classified by whether an underlying cause is identifiable (primary vs secondary), and, for primary disease, by the dominant mechanism and age of onset:</w:t>
      </w:r>
    </w:p>
    <w:p>
      <w:pPr>
        <w:spacing w:before="0" w:after="80"/>
      </w:pPr>
      <w:r>
        <w:rPr>
          <w:rFonts w:ascii="Calibri" w:hAnsi="Calibri"/>
          <w:b w:val="0"/>
          <w:i w:val="0"/>
          <w:color w:val="212121"/>
          <w:sz w:val="21"/>
        </w:rPr>
        <w:t>(1) Primary osteoporosis – Type I (postmenopausal) osteoporosis results from oestrogen withdrawal after menopause, drives a high-turnover, predominantly trabecular bone loss, and typically presents in women aged about 50–65 with vertebral (crush) and distal forearm (Colles) fractures;</w:t>
      </w:r>
    </w:p>
    <w:p>
      <w:pPr>
        <w:spacing w:before="0" w:after="80"/>
      </w:pPr>
      <w:r>
        <w:rPr>
          <w:rFonts w:ascii="Calibri" w:hAnsi="Calibri"/>
          <w:b w:val="0"/>
          <w:i w:val="0"/>
          <w:color w:val="212121"/>
          <w:sz w:val="21"/>
        </w:rPr>
        <w:t>(2) Primary osteoporosis – Type II (senile / age-related) osteoporosis affects both sexes from around the seventh decade, involves proportionate loss of cortical and trabecular bone from ageing, declining osteoblast function, calcium malabsorption and secondary hyperparathyroidism, and characteristically causes hip and vertebral fractures;</w:t>
      </w:r>
    </w:p>
    <w:p>
      <w:pPr>
        <w:spacing w:before="0" w:after="80"/>
      </w:pPr>
      <w:r>
        <w:rPr>
          <w:rFonts w:ascii="Calibri" w:hAnsi="Calibri"/>
          <w:b w:val="0"/>
          <w:i w:val="0"/>
          <w:color w:val="212121"/>
          <w:sz w:val="21"/>
        </w:rPr>
        <w:t>(3) Secondary osteoporosis – bone loss caused by an identifiable disease or drug, the commonest being long-term glucocorticoid therapy, followed by hypogonadism, thyrotoxicosis, primary hyperparathyroidism, chronic kidney disease, malabsorption (e.g., coeliac disease), rheumatoid arthritis, multiple myeloma and drugs such as aromatase inhibitors, androgen-deprivation therapy, anticonvulsants and proton-pump inhibitors;</w:t>
      </w:r>
    </w:p>
    <w:p>
      <w:pPr>
        <w:spacing w:before="0" w:after="80"/>
      </w:pPr>
      <w:r>
        <w:rPr>
          <w:rFonts w:ascii="Calibri" w:hAnsi="Calibri"/>
          <w:b w:val="0"/>
          <w:i w:val="0"/>
          <w:color w:val="212121"/>
          <w:sz w:val="21"/>
        </w:rPr>
        <w:t>(4) Idiopathic osteoporosis – uncommon forms without an identifiable cause, including idiopathic juvenile osteoporosis and idiopathic osteoporosis of young adults and premenopausal women. Severity is further graded as low bone mass (osteopenia), osteoporosis, and severe (established) osteoporosis when a fragility fracture is present.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Oestrogen deficiency (menopause): Loss of oestrogen removes its restraint on the RANKL pathway, increasing osteoclast number and activity and accelerating bone resorption — the dominant cause of Type I osteoporosis and of the rapid bone loss in the first 5–10 years after menopause.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Progressive decline in osteoblast function, reduced intestinal calcium absorption, lower renal 1,25-dihydroxyvitamin D and compensatory secondary hyperparathyroidism drive continued cortical and trabecular loss in later life.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Low peak bone mass: Genetics, low childhood and adolescent calcium intake, undernutrition and physical inactivity leave a smaller skeletal reserve — a major contributor to the earlier onset of osteoporosis in Indians.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Calcium and vitamin D deficiency: Endemic in India, impairing bone mineralisation and provoking secondary hyperparathyroidism that increases bone turnover and loss.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Glucocorticoids and other drugs: Corticosteroids suppress osteoblasts and increase resorption (the commonest secondary cause); aromatase inhibitors, androgen-deprivation therapy, anticonvulsants, thyroxine over-replacement and proton-pump inhibitors also lower BMD.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Endocrine and systemic disease: Hypogonadism, thyrotoxicosis, primary hyperparathyroidism, Cushing’s syndrome, diabetes, chronic kidney disease and malabsorption accelerate bone loss.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Lifestyle factors: Physical inactivity, low body weight, smoking and excess alcohol each reduce bone mass and raise fracture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(peri-/early-postmenopausal women ~50–65; men from ~50)</w:t>
            </w:r>
          </w:p>
        </w:tc>
        <w:tc>
          <w:tcPr>
            <w:tcW w:type="dxa" w:w="4276"/>
            <w:vAlign w:val="top"/>
          </w:tcPr>
          <w:p>
            <w:pPr>
              <w:spacing w:after="60" w:line="259" w:lineRule="auto"/>
            </w:pPr>
            <w:r>
              <w:rPr>
                <w:rFonts w:ascii="Calibri" w:hAnsi="Calibri"/>
                <w:b w:val="0"/>
                <w:i w:val="0"/>
                <w:color w:val="212121"/>
                <w:sz w:val="19"/>
              </w:rPr>
              <w:t>Bone mass peaks in the late twenties and then declines; in women the fall accelerates sharply around menopause as oestrogen is withdrawn, so clinically important bone loss and the first fragility fractures often begin in the fifties and sixties.</w:t>
            </w:r>
          </w:p>
          <w:p>
            <w:pPr>
              <w:spacing w:after="40" w:before="60" w:line="259" w:lineRule="auto"/>
            </w:pPr>
            <w:r>
              <w:rPr>
                <w:rFonts w:ascii="Calibri" w:hAnsi="Calibri"/>
                <w:b w:val="0"/>
                <w:i w:val="0"/>
                <w:color w:val="212121"/>
                <w:sz w:val="19"/>
              </w:rPr>
              <w:t>About 1 in 3 women and 1 in 5 men over the age of 50 will suffer an osteoporotic (fragility) fracture in their remaining lifetime; using WHO criteria osteoporosis affects ~21.2% of women and ~6.3% of men aged over 50 globally.</w:t>
            </w:r>
          </w:p>
          <w:p>
            <w:pPr>
              <w:spacing w:after="40" w:line="252" w:lineRule="auto"/>
            </w:pPr>
            <w:hyperlink r:id="rId9">
              <w:r>
                <w:rPr>
                  <w:rFonts w:ascii="Calibri" w:hAnsi="Calibri" w:cs="Calibri"/>
                  <w:sz w:val="18"/>
                  <w:color w:val="1155CC"/>
                  <w:u w:val="single"/>
                </w:rPr>
                <w:t xml:space="preserve">osteoporosis.foundation — epidemiology of osteoporosis &amp; fragility fractures</w:t>
              </w:r>
            </w:hyperlink>
          </w:p>
          <w:p>
            <w:pPr>
              <w:spacing w:before="60" w:after="40"/>
            </w:pPr>
            <w:r>
              <w:rPr>
                <w:rFonts w:ascii="Calibri" w:hAnsi="Calibri"/>
                <w:b w:val="0"/>
                <w:i w:val="0"/>
                <w:color w:val="5A5A5A"/>
                <w:sz w:val="18"/>
              </w:rPr>
              <w:t>#osteoporosis  #menopause  #bonemass  #fragilityfracture  #midlife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65–70 years)</w:t>
            </w:r>
          </w:p>
        </w:tc>
        <w:tc>
          <w:tcPr>
            <w:tcW w:type="dxa" w:w="4276"/>
            <w:vAlign w:val="top"/>
          </w:tcPr>
          <w:p>
            <w:pPr>
              <w:spacing w:after="60" w:line="259" w:lineRule="auto"/>
            </w:pPr>
            <w:r>
              <w:rPr>
                <w:rFonts w:ascii="Calibri" w:hAnsi="Calibri"/>
                <w:b w:val="0"/>
                <w:i w:val="0"/>
                <w:color w:val="212121"/>
                <w:sz w:val="19"/>
              </w:rPr>
              <w:t>Age-related (Type II) bone loss, poorer calcium absorption, low vitamin D, secondary hyperparathyroidism and an increased tendency to fall make the elderly the highest-risk group, especially for hip fracture.</w:t>
            </w:r>
          </w:p>
          <w:p>
            <w:pPr>
              <w:spacing w:after="40" w:before="60" w:line="259" w:lineRule="auto"/>
            </w:pPr>
            <w:r>
              <w:rPr>
                <w:rFonts w:ascii="Calibri" w:hAnsi="Calibri"/>
                <w:b w:val="0"/>
                <w:i w:val="0"/>
                <w:color w:val="212121"/>
                <w:sz w:val="19"/>
              </w:rPr>
              <w:t>Around 75% of fractures due to osteoporosis occur in people aged 65 and over.</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#ageing  #hipfracture  #senile  #falls  #secondaryhyperparathyroidism</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(especially postmenopausal)</w:t>
            </w:r>
          </w:p>
        </w:tc>
        <w:tc>
          <w:tcPr>
            <w:tcW w:type="dxa" w:w="4276"/>
            <w:vAlign w:val="top"/>
          </w:tcPr>
          <w:p>
            <w:pPr>
              <w:spacing w:after="60" w:line="259" w:lineRule="auto"/>
            </w:pPr>
            <w:r>
              <w:rPr>
                <w:rFonts w:ascii="Calibri" w:hAnsi="Calibri"/>
                <w:b w:val="0"/>
                <w:i w:val="0"/>
                <w:color w:val="212121"/>
                <w:sz w:val="19"/>
              </w:rPr>
              <w:t>Women have a smaller peak bone mass and undergo rapid oestrogen-dependent bone loss after menopause, so osteoporosis is several times more common in women than men; early or surgical menopause magnifies the risk.</w:t>
            </w:r>
          </w:p>
          <w:p>
            <w:pPr>
              <w:spacing w:after="40" w:before="60" w:line="259" w:lineRule="auto"/>
            </w:pPr>
            <w:r>
              <w:rPr>
                <w:rFonts w:ascii="Calibri" w:hAnsi="Calibri"/>
                <w:b w:val="0"/>
                <w:i w:val="0"/>
                <w:color w:val="212121"/>
                <w:sz w:val="19"/>
              </w:rPr>
              <w:t>Osteoporosis affects roughly 1 in 3 women over 50; among US adults with osteoporosis more than 80% are women, and about three-quarters of hip fractures occur in women.</w:t>
            </w:r>
          </w:p>
          <w:p>
            <w:pPr>
              <w:spacing w:after="40" w:line="252" w:lineRule="auto"/>
            </w:pPr>
            <w:hyperlink r:id="rId9">
              <w:r>
                <w:rPr>
                  <w:rFonts w:ascii="Calibri" w:hAnsi="Calibri" w:cs="Calibri"/>
                  <w:sz w:val="18"/>
                  <w:color w:val="1155CC"/>
                  <w:u w:val="single"/>
                </w:rPr>
                <w:t xml:space="preserve">osteoporosis.foundation — epidemiology of osteoporosis &amp; fragility fractures</w:t>
              </w:r>
            </w:hyperlink>
          </w:p>
          <w:p>
            <w:pPr>
              <w:spacing w:before="60" w:after="40"/>
            </w:pPr>
            <w:r>
              <w:rPr>
                <w:rFonts w:ascii="Calibri" w:hAnsi="Calibri"/>
                <w:b w:val="0"/>
                <w:i w:val="0"/>
                <w:color w:val="5A5A5A"/>
                <w:sz w:val="18"/>
              </w:rPr>
              <w:t>#postmenopausal  #oestrogen  #womenshealth  #earlymenopause  #TypeI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(senile &amp; hypogonadal men)</w:t>
            </w:r>
          </w:p>
        </w:tc>
        <w:tc>
          <w:tcPr>
            <w:tcW w:type="dxa" w:w="4276"/>
            <w:vAlign w:val="top"/>
          </w:tcPr>
          <w:p>
            <w:pPr>
              <w:spacing w:after="60" w:line="259" w:lineRule="auto"/>
            </w:pPr>
            <w:r>
              <w:rPr>
                <w:rFonts w:ascii="Calibri" w:hAnsi="Calibri"/>
                <w:b w:val="0"/>
                <w:i w:val="0"/>
                <w:color w:val="212121"/>
                <w:sz w:val="19"/>
              </w:rPr>
              <w:t>Men are affected later and less often, but male osteoporosis is under-diagnosed; hypogonadism (low testosterone), glucocorticoids, alcohol and smoking are common drivers, and hip-fracture mortality is higher in men.</w:t>
            </w:r>
          </w:p>
          <w:p>
            <w:pPr>
              <w:spacing w:after="40" w:before="60" w:line="259" w:lineRule="auto"/>
            </w:pPr>
            <w:r>
              <w:rPr>
                <w:rFonts w:ascii="Calibri" w:hAnsi="Calibri"/>
                <w:b w:val="0"/>
                <w:i w:val="0"/>
                <w:color w:val="212121"/>
                <w:sz w:val="19"/>
              </w:rPr>
              <w:t>About 1 in 5 men over 50 will have an osteoporotic fracture, and up to 1 in 4 men aged 50+ will break a bone due to osteoporosis; ~6.3% of men over 50 are osteoporotic by WHO criteria.</w:t>
            </w:r>
          </w:p>
          <w:p>
            <w:pPr>
              <w:spacing w:after="40" w:line="252" w:lineRule="auto"/>
            </w:pPr>
            <w:hyperlink r:id="rId11">
              <w:r>
                <w:rPr>
                  <w:rFonts w:ascii="Calibri" w:hAnsi="Calibri" w:cs="Calibri"/>
                  <w:sz w:val="18"/>
                  <w:color w:val="1155CC"/>
                  <w:u w:val="single"/>
                </w:rPr>
                <w:t xml:space="preserve">bonehealthandosteoporosis.org — what is osteoporosis</w:t>
              </w:r>
            </w:hyperlink>
          </w:p>
          <w:p>
            <w:pPr>
              <w:spacing w:before="60" w:after="40"/>
            </w:pPr>
            <w:r>
              <w:rPr>
                <w:rFonts w:ascii="Calibri" w:hAnsi="Calibri"/>
                <w:b w:val="0"/>
                <w:i w:val="0"/>
                <w:color w:val="5A5A5A"/>
                <w:sz w:val="18"/>
              </w:rPr>
              <w:t>#malemosteoporosis  #hypogonadism  #underdiagnosed  #testosterone  #TypeII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undernourished Indian women</w:t>
            </w:r>
          </w:p>
        </w:tc>
        <w:tc>
          <w:tcPr>
            <w:tcW w:type="dxa" w:w="4276"/>
            <w:vAlign w:val="top"/>
          </w:tcPr>
          <w:p>
            <w:pPr>
              <w:spacing w:after="60" w:line="259" w:lineRule="auto"/>
            </w:pPr>
            <w:r>
              <w:rPr>
                <w:rFonts w:ascii="Calibri" w:hAnsi="Calibri"/>
                <w:b w:val="0"/>
                <w:i w:val="0"/>
                <w:color w:val="212121"/>
                <w:sz w:val="19"/>
              </w:rPr>
              <w:t>Chronic energy and protein-calcium undernutrition, low dietary calcium, multiple pregnancies with prolonged lactation and limited access to DXA leave poorer Indian women with strikingly low bone mass, often decades before old age.</w:t>
            </w:r>
          </w:p>
          <w:p>
            <w:pPr>
              <w:spacing w:after="40" w:before="60" w:line="259" w:lineRule="auto"/>
            </w:pPr>
            <w:r>
              <w:rPr>
                <w:rFonts w:ascii="Calibri" w:hAnsi="Calibri"/>
                <w:b w:val="0"/>
                <w:i w:val="0"/>
                <w:color w:val="212121"/>
                <w:sz w:val="19"/>
              </w:rPr>
              <w:t>Among low-income Indian women aged 30–60 years, about 52% had osteopenia and 29% had osteoporosis, attributed to inadequate nutrition.</w:t>
            </w:r>
          </w:p>
          <w:p>
            <w:pPr>
              <w:spacing w:after="40" w:line="252" w:lineRule="auto"/>
            </w:pPr>
            <w:hyperlink r:id="rId12">
              <w:r>
                <w:rPr>
                  <w:rFonts w:ascii="Calibri" w:hAnsi="Calibri" w:cs="Calibri"/>
                  <w:sz w:val="18"/>
                  <w:color w:val="1155CC"/>
                  <w:u w:val="single"/>
                </w:rPr>
                <w:t xml:space="preserve">osteoporosis.foundation — epidemiology (India data)</w:t>
              </w:r>
            </w:hyperlink>
          </w:p>
          <w:p>
            <w:pPr>
              <w:spacing w:before="60" w:after="40"/>
            </w:pPr>
            <w:r>
              <w:rPr>
                <w:rFonts w:ascii="Calibri" w:hAnsi="Calibri"/>
                <w:b w:val="0"/>
                <w:i w:val="0"/>
                <w:color w:val="5A5A5A"/>
                <w:sz w:val="18"/>
              </w:rPr>
              <w:t>#undernutrition  #lowcalcium  #India  #lactation  #healthinequity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populations</w:t>
            </w:r>
          </w:p>
        </w:tc>
        <w:tc>
          <w:tcPr>
            <w:tcW w:type="dxa" w:w="4276"/>
            <w:vAlign w:val="top"/>
          </w:tcPr>
          <w:p>
            <w:pPr>
              <w:spacing w:after="60" w:line="259" w:lineRule="auto"/>
            </w:pPr>
            <w:r>
              <w:rPr>
                <w:rFonts w:ascii="Calibri" w:hAnsi="Calibri"/>
                <w:b w:val="0"/>
                <w:i w:val="0"/>
                <w:color w:val="212121"/>
                <w:sz w:val="19"/>
              </w:rPr>
              <w:t>South Asians attain a lower peak bone mass and have smaller bone size, low dietary calcium and endemic vitamin D deficiency, so osteoporosis and fragility fractures tend to occur a decade or two earlier than in Western populations.</w:t>
            </w:r>
          </w:p>
          <w:p>
            <w:pPr>
              <w:spacing w:after="40" w:before="60" w:line="259" w:lineRule="auto"/>
            </w:pPr>
            <w:r>
              <w:rPr>
                <w:rFonts w:ascii="Calibri" w:hAnsi="Calibri"/>
                <w:b w:val="0"/>
                <w:i w:val="0"/>
                <w:color w:val="212121"/>
                <w:sz w:val="19"/>
              </w:rPr>
              <w:t>Asian populations show among the highest osteoporosis prevalence; in China ~50.1% of women and ~22.5% of men over 50 are osteoporotic, illustrating the heavy Asian burden.</w:t>
            </w:r>
          </w:p>
          <w:p>
            <w:pPr>
              <w:spacing w:after="40" w:line="252" w:lineRule="auto"/>
            </w:pPr>
            <w:hyperlink r:id="rId12">
              <w:r>
                <w:rPr>
                  <w:rFonts w:ascii="Calibri" w:hAnsi="Calibri" w:cs="Calibri"/>
                  <w:sz w:val="18"/>
                  <w:color w:val="1155CC"/>
                  <w:u w:val="single"/>
                </w:rPr>
                <w:t xml:space="preserve">osteoporosis.foundation — epidemiology (Asia data)</w:t>
              </w:r>
            </w:hyperlink>
          </w:p>
          <w:p>
            <w:pPr>
              <w:spacing w:before="60" w:after="40"/>
            </w:pPr>
            <w:r>
              <w:rPr>
                <w:rFonts w:ascii="Calibri" w:hAnsi="Calibri"/>
                <w:b w:val="0"/>
                <w:i w:val="0"/>
                <w:color w:val="5A5A5A"/>
                <w:sz w:val="18"/>
              </w:rPr>
              <w:t>#SouthAsian  #lowpeakbonemass  #earlyonset  #Indiafirst  #Asia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exposure / lifestyle</w:t>
            </w:r>
          </w:p>
        </w:tc>
        <w:tc>
          <w:tcPr>
            <w:tcW w:type="dxa" w:w="2160"/>
            <w:vAlign w:val="top"/>
          </w:tcPr>
          <w:p>
            <w:pPr>
              <w:spacing w:after="40" w:before="0" w:line="259" w:lineRule="auto"/>
            </w:pPr>
            <w:r>
              <w:rPr>
                <w:rFonts w:ascii="Calibri" w:hAnsi="Calibri"/>
                <w:b w:val="0"/>
                <w:i w:val="0"/>
                <w:color w:val="212121"/>
                <w:sz w:val="19"/>
              </w:rPr>
              <w:t>Indoor-living, veiled or heavily sun-avoidant, polluted-city dwellers</w:t>
            </w:r>
          </w:p>
        </w:tc>
        <w:tc>
          <w:tcPr>
            <w:tcW w:type="dxa" w:w="4276"/>
            <w:vAlign w:val="top"/>
          </w:tcPr>
          <w:p>
            <w:pPr>
              <w:spacing w:after="60" w:line="259" w:lineRule="auto"/>
            </w:pPr>
            <w:r>
              <w:rPr>
                <w:rFonts w:ascii="Calibri" w:hAnsi="Calibri"/>
                <w:b w:val="0"/>
                <w:i w:val="0"/>
                <w:color w:val="212121"/>
                <w:sz w:val="19"/>
              </w:rPr>
              <w:t>Despite abundant sunshine, cutaneous vitamin D synthesis in India is limited by skin pigmentation, concealing clothing, indoor occupations, air pollution and sun avoidance, producing widespread vitamin D deficiency that undermines bone mineralisation.</w:t>
            </w:r>
          </w:p>
          <w:p>
            <w:pPr>
              <w:spacing w:after="40" w:before="60" w:line="259" w:lineRule="auto"/>
            </w:pPr>
            <w:r>
              <w:rPr>
                <w:rFonts w:ascii="Calibri" w:hAnsi="Calibri"/>
                <w:b w:val="0"/>
                <w:i w:val="0"/>
                <w:color w:val="212121"/>
                <w:sz w:val="19"/>
              </w:rPr>
              <w:t>Vitamin D deficiency is a leading nutritional contributor to low bone mass in India and a recognised, modifiable osteoporosis risk factor.</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#vitaminD  #sunlight  #pollution  #indoorlifestyle  #pigmentation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Physically inactive &amp; immobilised adults</w:t>
            </w:r>
          </w:p>
        </w:tc>
        <w:tc>
          <w:tcPr>
            <w:tcW w:type="dxa" w:w="4276"/>
            <w:vAlign w:val="top"/>
          </w:tcPr>
          <w:p>
            <w:pPr>
              <w:spacing w:after="60" w:line="259" w:lineRule="auto"/>
            </w:pPr>
            <w:r>
              <w:rPr>
                <w:rFonts w:ascii="Calibri" w:hAnsi="Calibri"/>
                <w:b w:val="0"/>
                <w:i w:val="0"/>
                <w:color w:val="212121"/>
                <w:sz w:val="19"/>
              </w:rPr>
              <w:t>Bone is maintained by mechanical loading; physical inactivity, prolonged bed rest and immobilisation reduce osteoblastic bone formation and accelerate loss, while also weakening muscle and balance and increasing falls.</w:t>
            </w:r>
          </w:p>
          <w:p>
            <w:pPr>
              <w:spacing w:after="40" w:before="60" w:line="259" w:lineRule="auto"/>
            </w:pPr>
            <w:r>
              <w:rPr>
                <w:rFonts w:ascii="Calibri" w:hAnsi="Calibri"/>
                <w:b w:val="0"/>
                <w:i w:val="0"/>
                <w:color w:val="212121"/>
                <w:sz w:val="19"/>
              </w:rPr>
              <w:t>Physical inactivity is an established modifiable risk factor for low bone mass and fracture.</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#sedentary  #immobilisation  #weightbearing  #muscleloss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tobacco users</w:t>
            </w:r>
          </w:p>
        </w:tc>
        <w:tc>
          <w:tcPr>
            <w:tcW w:type="dxa" w:w="4276"/>
            <w:vAlign w:val="top"/>
          </w:tcPr>
          <w:p>
            <w:pPr>
              <w:spacing w:after="60" w:line="259" w:lineRule="auto"/>
            </w:pPr>
            <w:r>
              <w:rPr>
                <w:rFonts w:ascii="Calibri" w:hAnsi="Calibri"/>
                <w:b w:val="0"/>
                <w:i w:val="0"/>
                <w:color w:val="212121"/>
                <w:sz w:val="19"/>
              </w:rPr>
              <w:t>Tobacco is directly toxic to osteoblasts, lowers oestrogen levels, reduces calcium absorption and impairs fracture healing, so smokers have lower BMD and markedly higher hip-fracture risk.</w:t>
            </w:r>
          </w:p>
          <w:p>
            <w:pPr>
              <w:spacing w:after="40" w:before="60" w:line="259" w:lineRule="auto"/>
            </w:pPr>
            <w:r>
              <w:rPr>
                <w:rFonts w:ascii="Calibri" w:hAnsi="Calibri"/>
                <w:b w:val="0"/>
                <w:i w:val="0"/>
                <w:color w:val="212121"/>
                <w:sz w:val="19"/>
              </w:rPr>
              <w:t>Smoking nearly doubles the risk of hip fracture.</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#smoking  #tobacco  #osteoblast  #hipfracture  #lowestrogen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excess alcohol users</w:t>
            </w:r>
          </w:p>
        </w:tc>
        <w:tc>
          <w:tcPr>
            <w:tcW w:type="dxa" w:w="4276"/>
            <w:vAlign w:val="top"/>
          </w:tcPr>
          <w:p>
            <w:pPr>
              <w:spacing w:after="60" w:line="259" w:lineRule="auto"/>
            </w:pPr>
            <w:r>
              <w:rPr>
                <w:rFonts w:ascii="Calibri" w:hAnsi="Calibri"/>
                <w:b w:val="0"/>
                <w:i w:val="0"/>
                <w:color w:val="212121"/>
                <w:sz w:val="19"/>
              </w:rPr>
              <w:t>Chronic heavy alcohol suppresses osteoblast activity, disturbs calcium and vitamin D metabolism and hormones, and increases falls, all of which lower BMD and raise fracture risk.</w:t>
            </w:r>
          </w:p>
          <w:p>
            <w:pPr>
              <w:spacing w:after="40" w:before="60" w:line="259" w:lineRule="auto"/>
            </w:pPr>
            <w:r>
              <w:rPr>
                <w:rFonts w:ascii="Calibri" w:hAnsi="Calibri"/>
                <w:b w:val="0"/>
                <w:i w:val="0"/>
                <w:color w:val="212121"/>
                <w:sz w:val="19"/>
              </w:rPr>
              <w:t>Drinking more than 2 units of alcohol per day increases the risk of fracture.</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#alcohol  #osteoblast  #falls  #fracture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body weight / underweight</w:t>
            </w:r>
          </w:p>
        </w:tc>
        <w:tc>
          <w:tcPr>
            <w:tcW w:type="dxa" w:w="2160"/>
            <w:vAlign w:val="top"/>
          </w:tcPr>
          <w:p>
            <w:pPr>
              <w:spacing w:after="40" w:before="0" w:line="259" w:lineRule="auto"/>
            </w:pPr>
            <w:r>
              <w:rPr>
                <w:rFonts w:ascii="Calibri" w:hAnsi="Calibri"/>
                <w:b w:val="0"/>
                <w:i w:val="0"/>
                <w:color w:val="212121"/>
                <w:sz w:val="19"/>
              </w:rPr>
              <w:t>Thin, low-BMI adults and those with eating disorders</w:t>
            </w:r>
          </w:p>
        </w:tc>
        <w:tc>
          <w:tcPr>
            <w:tcW w:type="dxa" w:w="4276"/>
            <w:vAlign w:val="top"/>
          </w:tcPr>
          <w:p>
            <w:pPr>
              <w:spacing w:after="60" w:line="259" w:lineRule="auto"/>
            </w:pPr>
            <w:r>
              <w:rPr>
                <w:rFonts w:ascii="Calibri" w:hAnsi="Calibri"/>
                <w:b w:val="0"/>
                <w:i w:val="0"/>
                <w:color w:val="212121"/>
                <w:sz w:val="19"/>
              </w:rPr>
              <w:t>Low body weight means less mechanical loading, lower fat-derived oestrogen and poorer nutrient reserves; being underweight is a strong, independent risk factor, and eating disorders cause severe bone loss in the young.</w:t>
            </w:r>
          </w:p>
          <w:p>
            <w:pPr>
              <w:spacing w:after="40" w:before="60" w:line="259" w:lineRule="auto"/>
            </w:pPr>
            <w:r>
              <w:rPr>
                <w:rFonts w:ascii="Calibri" w:hAnsi="Calibri"/>
                <w:b w:val="0"/>
                <w:i w:val="0"/>
                <w:color w:val="212121"/>
                <w:sz w:val="19"/>
              </w:rPr>
              <w:t>A BMI below 19 kg/m² is a significant risk factor for osteoporosis and fracture.</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#underweight  #lowBMI  #eatingdisorder  #amenorrhoea  #lowmass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intake</w:t>
            </w:r>
          </w:p>
        </w:tc>
        <w:tc>
          <w:tcPr>
            <w:tcW w:type="dxa" w:w="2160"/>
            <w:vAlign w:val="top"/>
          </w:tcPr>
          <w:p>
            <w:pPr>
              <w:spacing w:after="40" w:before="0" w:line="259" w:lineRule="auto"/>
            </w:pPr>
            <w:r>
              <w:rPr>
                <w:rFonts w:ascii="Calibri" w:hAnsi="Calibri"/>
                <w:b w:val="0"/>
                <w:i w:val="0"/>
                <w:color w:val="212121"/>
                <w:sz w:val="19"/>
              </w:rPr>
              <w:t>Habitually low-calcium (often vegetarian, high-phytate) Indian diets</w:t>
            </w:r>
          </w:p>
        </w:tc>
        <w:tc>
          <w:tcPr>
            <w:tcW w:type="dxa" w:w="4276"/>
            <w:vAlign w:val="top"/>
          </w:tcPr>
          <w:p>
            <w:pPr>
              <w:spacing w:after="60" w:line="259" w:lineRule="auto"/>
            </w:pPr>
            <w:r>
              <w:rPr>
                <w:rFonts w:ascii="Calibri" w:hAnsi="Calibri"/>
                <w:b w:val="0"/>
                <w:i w:val="0"/>
                <w:color w:val="212121"/>
                <w:sz w:val="19"/>
              </w:rPr>
              <w:t>Average dietary calcium intake in India is far below recommended levels, and phytate- and oxalate-rich cereal-pulse diets further reduce calcium absorption, provoking secondary hyperparathyroidism and bone loss.</w:t>
            </w:r>
          </w:p>
          <w:p>
            <w:pPr>
              <w:spacing w:after="40" w:before="60" w:line="259" w:lineRule="auto"/>
            </w:pPr>
            <w:r>
              <w:rPr>
                <w:rFonts w:ascii="Calibri" w:hAnsi="Calibri"/>
                <w:b w:val="0"/>
                <w:i w:val="0"/>
                <w:color w:val="212121"/>
                <w:sz w:val="19"/>
              </w:rPr>
              <w:t>Low calcium and poor overall nutrition are core contributors to the high rates of osteopenia and osteoporosis reported in Indian women.</w:t>
            </w:r>
          </w:p>
          <w:p>
            <w:pPr>
              <w:spacing w:after="40" w:line="252" w:lineRule="auto"/>
            </w:pPr>
            <w:hyperlink r:id="rId12">
              <w:r>
                <w:rPr>
                  <w:rFonts w:ascii="Calibri" w:hAnsi="Calibri" w:cs="Calibri"/>
                  <w:sz w:val="18"/>
                  <w:color w:val="1155CC"/>
                  <w:u w:val="single"/>
                </w:rPr>
                <w:t xml:space="preserve">osteoporosis.foundation — epidemiology (India data)</w:t>
              </w:r>
            </w:hyperlink>
          </w:p>
          <w:p>
            <w:pPr>
              <w:spacing w:before="60" w:after="40"/>
            </w:pPr>
            <w:r>
              <w:rPr>
                <w:rFonts w:ascii="Calibri" w:hAnsi="Calibri"/>
                <w:b w:val="0"/>
                <w:i w:val="0"/>
                <w:color w:val="5A5A5A"/>
                <w:sz w:val="18"/>
              </w:rPr>
              <w:t>#calcium  #phytate  #vegetarian  #Indiandiet  #PTH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Vitamin-D-deficient adults and elderly</w:t>
            </w:r>
          </w:p>
        </w:tc>
        <w:tc>
          <w:tcPr>
            <w:tcW w:type="dxa" w:w="4276"/>
            <w:vAlign w:val="top"/>
          </w:tcPr>
          <w:p>
            <w:pPr>
              <w:spacing w:after="60" w:line="259" w:lineRule="auto"/>
            </w:pPr>
            <w:r>
              <w:rPr>
                <w:rFonts w:ascii="Calibri" w:hAnsi="Calibri"/>
                <w:b w:val="0"/>
                <w:i w:val="0"/>
                <w:color w:val="212121"/>
                <w:sz w:val="19"/>
              </w:rPr>
              <w:t>Vitamin D is required for intestinal calcium absorption; deficiency — highly prevalent across all ages in India — causes secondary hyperparathyroidism, increased bone resorption and, when severe, osteomalacia superimposed on osteoporosis.</w:t>
            </w:r>
          </w:p>
          <w:p>
            <w:pPr>
              <w:spacing w:after="40" w:before="60" w:line="259" w:lineRule="auto"/>
            </w:pPr>
            <w:r>
              <w:rPr>
                <w:rFonts w:ascii="Calibri" w:hAnsi="Calibri"/>
                <w:b w:val="0"/>
                <w:i w:val="0"/>
                <w:color w:val="212121"/>
                <w:sz w:val="19"/>
              </w:rPr>
              <w:t>Low vitamin D is one of the most common, correctable nutritional causes of low bone mass.</w:t>
            </w:r>
          </w:p>
          <w:p>
            <w:pPr>
              <w:spacing w:after="40" w:line="252" w:lineRule="auto"/>
            </w:pPr>
            <w:hyperlink r:id="rId13">
              <w:r>
                <w:rPr>
                  <w:rFonts w:ascii="Calibri" w:hAnsi="Calibri" w:cs="Calibri"/>
                  <w:sz w:val="18"/>
                  <w:color w:val="1155CC"/>
                  <w:u w:val="single"/>
                </w:rPr>
                <w:t xml:space="preserve">niams.nih.gov — osteoporosis</w:t>
              </w:r>
            </w:hyperlink>
          </w:p>
          <w:p>
            <w:pPr>
              <w:spacing w:before="60" w:after="40"/>
            </w:pPr>
            <w:r>
              <w:rPr>
                <w:rFonts w:ascii="Calibri" w:hAnsi="Calibri"/>
                <w:b w:val="0"/>
                <w:i w:val="0"/>
                <w:color w:val="5A5A5A"/>
                <w:sz w:val="18"/>
              </w:rPr>
              <w:t>#vitaminD  #calciumabsorption  #osteomalacia  #hyperparathyroidism  #deficiency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osteoporosis or hip fracture</w:t>
            </w:r>
          </w:p>
        </w:tc>
        <w:tc>
          <w:tcPr>
            <w:tcW w:type="dxa" w:w="4276"/>
            <w:vAlign w:val="top"/>
          </w:tcPr>
          <w:p>
            <w:pPr>
              <w:spacing w:after="60" w:line="259" w:lineRule="auto"/>
            </w:pPr>
            <w:r>
              <w:rPr>
                <w:rFonts w:ascii="Calibri" w:hAnsi="Calibri"/>
                <w:b w:val="0"/>
                <w:i w:val="0"/>
                <w:color w:val="212121"/>
                <w:sz w:val="19"/>
              </w:rPr>
              <w:t>BMD and bone geometry are strongly heritable; a parental history of osteoporosis or hip fracture is an independent risk factor and a component of FRAX fracture-risk scoring.</w:t>
            </w:r>
          </w:p>
          <w:p>
            <w:pPr>
              <w:spacing w:after="40" w:before="60" w:line="259" w:lineRule="auto"/>
            </w:pPr>
            <w:r>
              <w:rPr>
                <w:rFonts w:ascii="Calibri" w:hAnsi="Calibri"/>
                <w:b w:val="0"/>
                <w:i w:val="0"/>
                <w:color w:val="212121"/>
                <w:sz w:val="19"/>
              </w:rPr>
              <w:t>A family history of osteoporosis or of a parental hip fracture increases an individual’s own risk of osteoporosis and fracture.</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#familyhistory  #heritability  #FRAX  #parentalhipfracture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fragility fracture</w:t>
            </w:r>
          </w:p>
        </w:tc>
        <w:tc>
          <w:tcPr>
            <w:tcW w:type="dxa" w:w="2160"/>
            <w:vAlign w:val="top"/>
          </w:tcPr>
          <w:p>
            <w:pPr>
              <w:spacing w:after="40" w:before="0" w:line="259" w:lineRule="auto"/>
            </w:pPr>
            <w:r>
              <w:rPr>
                <w:rFonts w:ascii="Calibri" w:hAnsi="Calibri"/>
                <w:b w:val="0"/>
                <w:i w:val="0"/>
                <w:color w:val="212121"/>
                <w:sz w:val="19"/>
              </w:rPr>
              <w:t>Adults with a previous low-trauma fracture</w:t>
            </w:r>
          </w:p>
        </w:tc>
        <w:tc>
          <w:tcPr>
            <w:tcW w:type="dxa" w:w="4276"/>
            <w:vAlign w:val="top"/>
          </w:tcPr>
          <w:p>
            <w:pPr>
              <w:spacing w:after="60" w:line="259" w:lineRule="auto"/>
            </w:pPr>
            <w:r>
              <w:rPr>
                <w:rFonts w:ascii="Calibri" w:hAnsi="Calibri"/>
                <w:b w:val="0"/>
                <w:i w:val="0"/>
                <w:color w:val="212121"/>
                <w:sz w:val="19"/>
              </w:rPr>
              <w:t>A fracture sustained from a fall from standing height or less signals established bone fragility and is one of the strongest predictors of a further (‘cascade’) fracture, yet is frequently not acted upon.</w:t>
            </w:r>
          </w:p>
          <w:p>
            <w:pPr>
              <w:spacing w:after="40" w:before="60" w:line="259" w:lineRule="auto"/>
            </w:pPr>
            <w:r>
              <w:rPr>
                <w:rFonts w:ascii="Calibri" w:hAnsi="Calibri"/>
                <w:b w:val="0"/>
                <w:i w:val="0"/>
                <w:color w:val="212121"/>
                <w:sz w:val="19"/>
              </w:rPr>
              <w:t>Breaks resulting from minor falls indicate underlying bone weakness and predict future fractures.</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#priorfracture  #fracturecascade  #secondaryprevention  #fragility  #refracture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Glucocorticoid therapy / inflammatory disease</w:t>
            </w:r>
          </w:p>
        </w:tc>
        <w:tc>
          <w:tcPr>
            <w:tcW w:type="dxa" w:w="2160"/>
            <w:vAlign w:val="top"/>
          </w:tcPr>
          <w:p>
            <w:pPr>
              <w:spacing w:after="40" w:before="0" w:line="259" w:lineRule="auto"/>
            </w:pPr>
            <w:r>
              <w:rPr>
                <w:rFonts w:ascii="Calibri" w:hAnsi="Calibri"/>
                <w:b w:val="0"/>
                <w:i w:val="0"/>
                <w:color w:val="212121"/>
                <w:sz w:val="19"/>
              </w:rPr>
              <w:t>Patients on long-term oral steroids (RA, asthma, COPD, autoimmune disease)</w:t>
            </w:r>
          </w:p>
        </w:tc>
        <w:tc>
          <w:tcPr>
            <w:tcW w:type="dxa" w:w="4276"/>
            <w:vAlign w:val="top"/>
          </w:tcPr>
          <w:p>
            <w:pPr>
              <w:spacing w:after="60" w:line="259" w:lineRule="auto"/>
            </w:pPr>
            <w:r>
              <w:rPr>
                <w:rFonts w:ascii="Calibri" w:hAnsi="Calibri"/>
                <w:b w:val="0"/>
                <w:i w:val="0"/>
                <w:color w:val="212121"/>
                <w:sz w:val="19"/>
              </w:rPr>
              <w:t>Glucocorticoids suppress osteoblasts, increase bone resorption and reduce calcium absorption, causing rapid early bone loss; this is the commonest cause of secondary osteoporosis and warrants bone protection from the outset.</w:t>
            </w:r>
          </w:p>
          <w:p>
            <w:pPr>
              <w:spacing w:after="40" w:before="60" w:line="259" w:lineRule="auto"/>
            </w:pPr>
            <w:r>
              <w:rPr>
                <w:rFonts w:ascii="Calibri" w:hAnsi="Calibri"/>
                <w:b w:val="0"/>
                <w:i w:val="0"/>
                <w:color w:val="212121"/>
                <w:sz w:val="19"/>
              </w:rPr>
              <w:t>Taking a steroid such as prednisone at 5 mg or more per day for 3 months or longer is a recognised cause of steroid-induced osteoporosis.</w:t>
            </w:r>
          </w:p>
          <w:p>
            <w:pPr>
              <w:spacing w:after="40" w:line="252" w:lineRule="auto"/>
            </w:pPr>
            <w:hyperlink r:id="rId11">
              <w:r>
                <w:rPr>
                  <w:rFonts w:ascii="Calibri" w:hAnsi="Calibri" w:cs="Calibri"/>
                  <w:sz w:val="18"/>
                  <w:color w:val="1155CC"/>
                  <w:u w:val="single"/>
                </w:rPr>
                <w:t xml:space="preserve">bonehealthandosteoporosis.org — what is osteoporosis</w:t>
              </w:r>
            </w:hyperlink>
          </w:p>
          <w:p>
            <w:pPr>
              <w:spacing w:before="60" w:after="40"/>
            </w:pPr>
            <w:r>
              <w:rPr>
                <w:rFonts w:ascii="Calibri" w:hAnsi="Calibri"/>
                <w:b w:val="0"/>
                <w:i w:val="0"/>
                <w:color w:val="5A5A5A"/>
                <w:sz w:val="18"/>
              </w:rPr>
              <w:t>#glucocorticoids  #steroidinduced  #RA  #secondaryosteoporosis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Endocrine disease</w:t>
            </w:r>
          </w:p>
        </w:tc>
        <w:tc>
          <w:tcPr>
            <w:tcW w:type="dxa" w:w="2160"/>
            <w:vAlign w:val="top"/>
          </w:tcPr>
          <w:p>
            <w:pPr>
              <w:spacing w:after="40" w:before="0" w:line="259" w:lineRule="auto"/>
            </w:pPr>
            <w:r>
              <w:rPr>
                <w:rFonts w:ascii="Calibri" w:hAnsi="Calibri"/>
                <w:b w:val="0"/>
                <w:i w:val="0"/>
                <w:color w:val="212121"/>
                <w:sz w:val="19"/>
              </w:rPr>
              <w:t>Hyperthyroidism, primary hyperparathyroidism, hypogonadism, Cushing’s, diabetes</w:t>
            </w:r>
          </w:p>
        </w:tc>
        <w:tc>
          <w:tcPr>
            <w:tcW w:type="dxa" w:w="4276"/>
            <w:vAlign w:val="top"/>
          </w:tcPr>
          <w:p>
            <w:pPr>
              <w:spacing w:after="60" w:line="259" w:lineRule="auto"/>
            </w:pPr>
            <w:r>
              <w:rPr>
                <w:rFonts w:ascii="Calibri" w:hAnsi="Calibri"/>
                <w:b w:val="0"/>
                <w:i w:val="0"/>
                <w:color w:val="212121"/>
                <w:sz w:val="19"/>
              </w:rPr>
              <w:t>Endocrine disorders accelerate bone turnover or impair formation — excess thyroid hormone and PTH increase resorption, sex-hormone deficiency removes bone protection, and diabetes impairs bone quality — all increasing fracture risk.</w:t>
            </w:r>
          </w:p>
          <w:p>
            <w:pPr>
              <w:spacing w:after="40" w:before="60" w:line="259" w:lineRule="auto"/>
            </w:pPr>
            <w:r>
              <w:rPr>
                <w:rFonts w:ascii="Calibri" w:hAnsi="Calibri"/>
                <w:b w:val="0"/>
                <w:i w:val="0"/>
                <w:color w:val="212121"/>
                <w:sz w:val="19"/>
              </w:rPr>
              <w:t>Endocrine disorders (diabetes, hyperparathyroidism and other hormonal imbalances) are established secondary causes of osteoporosis.</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#hyperthyroidism  #hyperparathyroidism  #hypogonadism  #diabetes  #endocrine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&amp; chronic organ disease</w:t>
            </w:r>
          </w:p>
        </w:tc>
        <w:tc>
          <w:tcPr>
            <w:tcW w:type="dxa" w:w="2160"/>
            <w:vAlign w:val="top"/>
          </w:tcPr>
          <w:p>
            <w:pPr>
              <w:spacing w:after="40" w:before="0" w:line="259" w:lineRule="auto"/>
            </w:pPr>
            <w:r>
              <w:rPr>
                <w:rFonts w:ascii="Calibri" w:hAnsi="Calibri"/>
                <w:b w:val="0"/>
                <w:i w:val="0"/>
                <w:color w:val="212121"/>
                <w:sz w:val="19"/>
              </w:rPr>
              <w:t>Coeliac / IBD, chronic kidney disease, chronic liver disease, HIV</w:t>
            </w:r>
          </w:p>
        </w:tc>
        <w:tc>
          <w:tcPr>
            <w:tcW w:type="dxa" w:w="4276"/>
            <w:vAlign w:val="top"/>
          </w:tcPr>
          <w:p>
            <w:pPr>
              <w:spacing w:after="60" w:line="259" w:lineRule="auto"/>
            </w:pPr>
            <w:r>
              <w:rPr>
                <w:rFonts w:ascii="Calibri" w:hAnsi="Calibri"/>
                <w:b w:val="0"/>
                <w:i w:val="0"/>
                <w:color w:val="212121"/>
                <w:sz w:val="19"/>
              </w:rPr>
              <w:t>Malabsorption (coeliac disease, inflammatory bowel disease) impairs calcium and vitamin D uptake, while chronic kidney disease (renal osteodystrophy / CKD-MBD), liver disease and HIV disturb mineral metabolism and bone quality.</w:t>
            </w:r>
          </w:p>
          <w:p>
            <w:pPr>
              <w:spacing w:after="40" w:before="60" w:line="259" w:lineRule="auto"/>
            </w:pPr>
            <w:r>
              <w:rPr>
                <w:rFonts w:ascii="Calibri" w:hAnsi="Calibri"/>
                <w:b w:val="0"/>
                <w:i w:val="0"/>
                <w:color w:val="212121"/>
                <w:sz w:val="19"/>
              </w:rPr>
              <w:t>Gastrointestinal disease, chronic kidney disease and HIV/AIDS are recognised secondary causes of osteoporosis.</w:t>
            </w:r>
          </w:p>
          <w:p>
            <w:pPr>
              <w:spacing w:after="40" w:line="252" w:lineRule="auto"/>
            </w:pPr>
            <w:hyperlink r:id="rId10">
              <w:r>
                <w:rPr>
                  <w:rFonts w:ascii="Calibri" w:hAnsi="Calibri" w:cs="Calibri"/>
                  <w:sz w:val="18"/>
                  <w:color w:val="1155CC"/>
                  <w:u w:val="single"/>
                </w:rPr>
                <w:t xml:space="preserve">osteoporosis.foundation — risk factors</w:t>
              </w:r>
            </w:hyperlink>
          </w:p>
          <w:p>
            <w:pPr>
              <w:spacing w:before="60" w:after="40"/>
            </w:pPr>
            <w:r>
              <w:rPr>
                <w:rFonts w:ascii="Calibri" w:hAnsi="Calibri"/>
                <w:b w:val="0"/>
                <w:i w:val="0"/>
                <w:color w:val="5A5A5A"/>
                <w:sz w:val="18"/>
              </w:rPr>
              <w:t>#coeliac  #IBD  #CKD_MBD  #malabsorption  #HIV</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Mechanical loading is essential for bone maintenance: weight-bearing and progressive resistance exercise build and preserve BMD and, with balance training, reduce falls, whereas physical inactivity, bed rest and immobilisation cause rapid bone loss. Low body weight (BMI &lt; 19) and sarcopenia further raise fracture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calcium, vitamin D and protein are required for peak bone mass and its maintenance; habitually low calcium and endemic vitamin D deficiency — as in much of India — provoke secondary hyperparathyroidism and bone loss, while high salt, excess caffeine and phytate reduce calcium retention/absorption.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Emerging evidence links short sleep duration and poor sleep quality (and shift work) with lower BMD and higher fracture risk, but the association is weaker and less consistent than for nutrition and activity.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toxic to osteoblasts, lowers oestrogen, reduces calcium absorption and impairs fracture healing; it lowers BMD and nearly doubles the risk of hip fracture.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suppresses bone formation and disturbs calcium, vitamin D and hormone metabolism while increasing falls; intake above ~2 units/day increases fracture risk, though light intake has little effect.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is associated with lower BMD through raised cortisol, inactivity, poor nutrition and some antidepressants (SSRIs); eating disorders (anorexia nervosa) cause severe bone loss via low weight and amenorrhoea.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direct relationship between water intake and bone mineral density.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modestly increases urinary calcium loss and may slightly raise fracture risk when calcium intake is low, but the effect is small and offset by adequate calcium.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Personal hygiene is not an established determinant of bone mineral density or osteoporosis.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often modifiable provocations include long-term glucocorticoids, aromatase inhibitors, androgen-deprivation therapy, anticonvulsants, over-replacement of thyroxine and proton-pump inhibitors, early/surgical menopause, prolonged immobilisation, and any condition increasing falls.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Osteoporotic vertebral fractures produce kyphosis and height loss; conversely, poor posture and impaired balance increase falls and spinal loading, while posture, back-extensor and balance training reduce fall and vertebral-fracture risk (with avoidance of forward-flexion/loaded spinal flexion).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&lt; 19 kg/m² (underweight)</w:t>
            </w:r>
          </w:p>
        </w:tc>
        <w:tc>
          <w:tcPr>
            <w:tcW w:type="dxa" w:w="1468"/>
            <w:vAlign w:val="top"/>
          </w:tcPr>
          <w:p>
            <w:pPr>
              <w:spacing w:after="60" w:line="259" w:lineRule="auto"/>
            </w:pPr>
            <w:r>
              <w:rPr>
                <w:rFonts w:ascii="Calibri" w:hAnsi="Calibri"/>
                <w:b w:val="0"/>
                <w:i w:val="0"/>
                <w:color w:val="212121"/>
                <w:sz w:val="19"/>
              </w:rPr>
              <w:t>Low body weight reduces loading and oestrogen and is a strong fracture risk factor</w:t>
            </w:r>
          </w:p>
          <w:p>
            <w:pPr>
              <w:spacing w:after="40" w:line="252" w:lineRule="auto"/>
            </w:pPr>
            <w:hyperlink r:id="rId10">
              <w:r>
                <w:rPr>
                  <w:rFonts w:ascii="Calibri" w:hAnsi="Calibri" w:cs="Calibri"/>
                  <w:sz w:val="18"/>
                  <w:color w:val="1155CC"/>
                  <w:u w:val="single"/>
                </w:rPr>
                <w:t xml:space="preserve">https://www.osteoporosis.foundation/patients/about-osteoporosis/risk-factors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Weight-bearing + resistance activity</w:t>
            </w:r>
          </w:p>
        </w:tc>
        <w:tc>
          <w:tcPr>
            <w:tcW w:type="dxa" w:w="1655"/>
            <w:vAlign w:val="top"/>
          </w:tcPr>
          <w:p>
            <w:pPr>
              <w:spacing w:after="40" w:before="0" w:line="259" w:lineRule="auto"/>
            </w:pPr>
            <w:r>
              <w:rPr>
                <w:rFonts w:ascii="Calibri" w:hAnsi="Calibri"/>
                <w:b w:val="0"/>
                <w:i w:val="0"/>
                <w:color w:val="212121"/>
                <w:sz w:val="19"/>
              </w:rPr>
              <w:t>Adults, postmenopausal women, elderly</w:t>
            </w:r>
          </w:p>
        </w:tc>
        <w:tc>
          <w:tcPr>
            <w:tcW w:type="dxa" w:w="1512"/>
            <w:vAlign w:val="top"/>
          </w:tcPr>
          <w:p>
            <w:pPr>
              <w:spacing w:after="40" w:before="0" w:line="259" w:lineRule="auto"/>
            </w:pPr>
            <w:r>
              <w:rPr>
                <w:rFonts w:ascii="Calibri" w:hAnsi="Calibri"/>
                <w:b w:val="0"/>
                <w:i w:val="0"/>
                <w:color w:val="212121"/>
                <w:sz w:val="19"/>
              </w:rPr>
              <w:t>≥ 150 min/week weight-bearing + resistance 2–3 days/week + balance training</w:t>
            </w:r>
          </w:p>
        </w:tc>
        <w:tc>
          <w:tcPr>
            <w:tcW w:type="dxa" w:w="1512"/>
            <w:vAlign w:val="top"/>
          </w:tcPr>
          <w:p>
            <w:pPr>
              <w:spacing w:after="40" w:before="0" w:line="259" w:lineRule="auto"/>
            </w:pPr>
            <w:r>
              <w:rPr>
                <w:rFonts w:ascii="Calibri" w:hAnsi="Calibri"/>
                <w:b w:val="0"/>
                <w:i w:val="0"/>
                <w:color w:val="212121"/>
                <w:sz w:val="19"/>
              </w:rPr>
              <w:t>Largely sedentary / immobilised</w:t>
            </w:r>
          </w:p>
        </w:tc>
        <w:tc>
          <w:tcPr>
            <w:tcW w:type="dxa" w:w="1468"/>
            <w:vAlign w:val="top"/>
          </w:tcPr>
          <w:p>
            <w:pPr>
              <w:spacing w:after="40" w:before="0" w:line="259" w:lineRule="auto"/>
            </w:pPr>
            <w:r>
              <w:rPr>
                <w:rFonts w:ascii="Calibri" w:hAnsi="Calibri"/>
                <w:b w:val="0"/>
                <w:i w:val="0"/>
                <w:color w:val="212121"/>
                <w:sz w:val="19"/>
              </w:rPr>
              <w:t>Loading builds bone; balance work reduces falls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calcium intake</w:t>
            </w:r>
          </w:p>
        </w:tc>
        <w:tc>
          <w:tcPr>
            <w:tcW w:type="dxa" w:w="1655"/>
            <w:vAlign w:val="top"/>
          </w:tcPr>
          <w:p>
            <w:pPr>
              <w:spacing w:after="40" w:before="0" w:line="259" w:lineRule="auto"/>
            </w:pPr>
            <w:r>
              <w:rPr>
                <w:rFonts w:ascii="Calibri" w:hAnsi="Calibri"/>
                <w:b w:val="0"/>
                <w:i w:val="0"/>
                <w:color w:val="212121"/>
                <w:sz w:val="19"/>
              </w:rPr>
              <w:t>Adults; postmenopausal women &amp; elderly</w:t>
            </w:r>
          </w:p>
        </w:tc>
        <w:tc>
          <w:tcPr>
            <w:tcW w:type="dxa" w:w="1512"/>
            <w:vAlign w:val="top"/>
          </w:tcPr>
          <w:p>
            <w:pPr>
              <w:spacing w:after="40" w:before="0" w:line="259" w:lineRule="auto"/>
            </w:pPr>
            <w:r>
              <w:rPr>
                <w:rFonts w:ascii="Calibri" w:hAnsi="Calibri"/>
                <w:b w:val="0"/>
                <w:i w:val="0"/>
                <w:color w:val="212121"/>
                <w:sz w:val="19"/>
              </w:rPr>
              <w:t>~1000 mg/day (1200 mg/day if postmenopausal/elderly)</w:t>
            </w:r>
          </w:p>
        </w:tc>
        <w:tc>
          <w:tcPr>
            <w:tcW w:type="dxa" w:w="1512"/>
            <w:vAlign w:val="top"/>
          </w:tcPr>
          <w:p>
            <w:pPr>
              <w:spacing w:after="40" w:before="0" w:line="259" w:lineRule="auto"/>
            </w:pPr>
            <w:r>
              <w:rPr>
                <w:rFonts w:ascii="Calibri" w:hAnsi="Calibri"/>
                <w:b w:val="0"/>
                <w:i w:val="0"/>
                <w:color w:val="212121"/>
                <w:sz w:val="19"/>
              </w:rPr>
              <w:t>&lt; 600 mg/day (typical of many Indian diets)</w:t>
            </w:r>
          </w:p>
        </w:tc>
        <w:tc>
          <w:tcPr>
            <w:tcW w:type="dxa" w:w="1468"/>
            <w:vAlign w:val="top"/>
          </w:tcPr>
          <w:p>
            <w:pPr>
              <w:spacing w:after="40" w:before="0" w:line="259" w:lineRule="auto"/>
            </w:pPr>
            <w:r>
              <w:rPr>
                <w:rFonts w:ascii="Calibri" w:hAnsi="Calibri"/>
                <w:b w:val="0"/>
                <w:i w:val="0"/>
                <w:color w:val="212121"/>
                <w:sz w:val="19"/>
              </w:rPr>
              <w:t>Chronic low calcium drives secondary hyperparathyroidism and bone loss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Adults, elderly, sun-avoidant</w:t>
            </w:r>
          </w:p>
        </w:tc>
        <w:tc>
          <w:tcPr>
            <w:tcW w:type="dxa" w:w="1512"/>
            <w:vAlign w:val="top"/>
          </w:tcPr>
          <w:p>
            <w:pPr>
              <w:spacing w:after="40" w:before="0" w:line="259" w:lineRule="auto"/>
            </w:pPr>
            <w:r>
              <w:rPr>
                <w:rFonts w:ascii="Calibri" w:hAnsi="Calibri"/>
                <w:b w:val="0"/>
                <w:i w:val="0"/>
                <w:color w:val="212121"/>
                <w:sz w:val="19"/>
              </w:rPr>
              <w:t>≥ 30 ng/mL (≥ 75 nmol/L)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Deficiency impairs calcium absorption and mineralisation; very common in India</w:t>
            </w:r>
          </w:p>
          <w:p>
            <w:pPr>
              <w:spacing w:after="40" w:line="252" w:lineRule="auto"/>
            </w:pPr>
            <w:hyperlink r:id="rId13">
              <w:r>
                <w:rPr>
                  <w:rFonts w:ascii="Calibri" w:hAnsi="Calibri" w:cs="Calibri"/>
                  <w:sz w:val="18"/>
                  <w:color w:val="1155CC"/>
                  <w:u w:val="single"/>
                </w:rPr>
                <w:t xml:space="preserve">https://www.niams.nih.gov/health-topics/osteoporosis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intake</w:t>
            </w:r>
          </w:p>
        </w:tc>
        <w:tc>
          <w:tcPr>
            <w:tcW w:type="dxa" w:w="1655"/>
            <w:vAlign w:val="top"/>
          </w:tcPr>
          <w:p>
            <w:pPr>
              <w:spacing w:after="40" w:before="0" w:line="259" w:lineRule="auto"/>
            </w:pPr>
            <w:r>
              <w:rPr>
                <w:rFonts w:ascii="Calibri" w:hAnsi="Calibri"/>
                <w:b w:val="0"/>
                <w:i w:val="0"/>
                <w:color w:val="212121"/>
                <w:sz w:val="19"/>
              </w:rPr>
              <w:t>Elderly, frail, low-weight adults</w:t>
            </w:r>
          </w:p>
        </w:tc>
        <w:tc>
          <w:tcPr>
            <w:tcW w:type="dxa" w:w="1512"/>
            <w:vAlign w:val="top"/>
          </w:tcPr>
          <w:p>
            <w:pPr>
              <w:spacing w:after="40" w:before="0" w:line="259" w:lineRule="auto"/>
            </w:pPr>
            <w:r>
              <w:rPr>
                <w:rFonts w:ascii="Calibri" w:hAnsi="Calibri"/>
                <w:b w:val="0"/>
                <w:i w:val="0"/>
                <w:color w:val="212121"/>
                <w:sz w:val="19"/>
              </w:rPr>
              <w:t>~1.0–1.2 g/kg/day</w:t>
            </w:r>
          </w:p>
        </w:tc>
        <w:tc>
          <w:tcPr>
            <w:tcW w:type="dxa" w:w="1512"/>
            <w:vAlign w:val="top"/>
          </w:tcPr>
          <w:p>
            <w:pPr>
              <w:spacing w:after="40" w:before="0" w:line="259" w:lineRule="auto"/>
            </w:pPr>
            <w:r>
              <w:rPr>
                <w:rFonts w:ascii="Calibri" w:hAnsi="Calibri"/>
                <w:b w:val="0"/>
                <w:i w:val="0"/>
                <w:color w:val="212121"/>
                <w:sz w:val="19"/>
              </w:rPr>
              <w:t>&lt; 0.8 g/kg/day</w:t>
            </w:r>
          </w:p>
        </w:tc>
        <w:tc>
          <w:tcPr>
            <w:tcW w:type="dxa" w:w="1468"/>
            <w:vAlign w:val="top"/>
          </w:tcPr>
          <w:p>
            <w:pPr>
              <w:spacing w:after="40" w:before="0" w:line="259" w:lineRule="auto"/>
            </w:pPr>
            <w:r>
              <w:rPr>
                <w:rFonts w:ascii="Calibri" w:hAnsi="Calibri"/>
                <w:b w:val="0"/>
                <w:i w:val="0"/>
                <w:color w:val="212121"/>
                <w:sz w:val="19"/>
              </w:rPr>
              <w:t>Adequate protein supports bone matrix and muscle; low intake worsens frailty and fracture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use</w:t>
            </w:r>
          </w:p>
        </w:tc>
        <w:tc>
          <w:tcPr>
            <w:tcW w:type="dxa" w:w="1655"/>
            <w:vAlign w:val="top"/>
          </w:tcPr>
          <w:p>
            <w:pPr>
              <w:spacing w:after="40" w:before="0" w:line="259" w:lineRule="auto"/>
            </w:pPr>
            <w:r>
              <w:rPr>
                <w:rFonts w:ascii="Calibri" w:hAnsi="Calibri"/>
                <w:b w:val="0"/>
                <w:i w:val="0"/>
                <w:color w:val="212121"/>
                <w:sz w:val="19"/>
              </w:rPr>
              <w:t>Adults, postmenopausal women</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smoking / tobacco use</w:t>
            </w:r>
          </w:p>
        </w:tc>
        <w:tc>
          <w:tcPr>
            <w:tcW w:type="dxa" w:w="1468"/>
            <w:vAlign w:val="top"/>
          </w:tcPr>
          <w:p>
            <w:pPr>
              <w:spacing w:after="60" w:line="259" w:lineRule="auto"/>
            </w:pPr>
            <w:r>
              <w:rPr>
                <w:rFonts w:ascii="Calibri" w:hAnsi="Calibri"/>
                <w:b w:val="0"/>
                <w:i w:val="0"/>
                <w:color w:val="212121"/>
                <w:sz w:val="19"/>
              </w:rPr>
              <w:t>Smoking lowers BMD and nearly doubles hip-fracture risk</w:t>
            </w:r>
          </w:p>
          <w:p>
            <w:pPr>
              <w:spacing w:after="40" w:line="252" w:lineRule="auto"/>
            </w:pPr>
            <w:hyperlink r:id="rId10">
              <w:r>
                <w:rPr>
                  <w:rFonts w:ascii="Calibri" w:hAnsi="Calibri" w:cs="Calibri"/>
                  <w:sz w:val="18"/>
                  <w:color w:val="1155CC"/>
                  <w:u w:val="single"/>
                </w:rPr>
                <w:t xml:space="preserve">https://www.osteoporosis.foundation/patients/about-osteoporosis/risk-factors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 units/day (less is better)</w:t>
            </w:r>
          </w:p>
        </w:tc>
        <w:tc>
          <w:tcPr>
            <w:tcW w:type="dxa" w:w="1512"/>
            <w:vAlign w:val="top"/>
          </w:tcPr>
          <w:p>
            <w:pPr>
              <w:spacing w:after="40" w:before="0" w:line="259" w:lineRule="auto"/>
            </w:pPr>
            <w:r>
              <w:rPr>
                <w:rFonts w:ascii="Calibri" w:hAnsi="Calibri"/>
                <w:b w:val="0"/>
                <w:i w:val="0"/>
                <w:color w:val="212121"/>
                <w:sz w:val="19"/>
              </w:rPr>
              <w:t>&gt; 2 units/day</w:t>
            </w:r>
          </w:p>
        </w:tc>
        <w:tc>
          <w:tcPr>
            <w:tcW w:type="dxa" w:w="1468"/>
            <w:vAlign w:val="top"/>
          </w:tcPr>
          <w:p>
            <w:pPr>
              <w:spacing w:after="60" w:line="259" w:lineRule="auto"/>
            </w:pPr>
            <w:r>
              <w:rPr>
                <w:rFonts w:ascii="Calibri" w:hAnsi="Calibri"/>
                <w:b w:val="0"/>
                <w:i w:val="0"/>
                <w:color w:val="212121"/>
                <w:sz w:val="19"/>
              </w:rPr>
              <w:t>Heavy intake suppresses bone formation and increases falls and fractures</w:t>
            </w:r>
          </w:p>
          <w:p>
            <w:pPr>
              <w:spacing w:after="40" w:line="252" w:lineRule="auto"/>
            </w:pPr>
            <w:hyperlink r:id="rId10">
              <w:r>
                <w:rPr>
                  <w:rFonts w:ascii="Calibri" w:hAnsi="Calibri" w:cs="Calibri"/>
                  <w:sz w:val="18"/>
                  <w:color w:val="1155CC"/>
                  <w:u w:val="single"/>
                </w:rPr>
                <w:t xml:space="preserve">https://www.osteoporosis.foundation/patients/about-osteoporosis/risk-factors</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Adults with low calcium intake</w:t>
            </w:r>
          </w:p>
        </w:tc>
        <w:tc>
          <w:tcPr>
            <w:tcW w:type="dxa" w:w="1512"/>
            <w:vAlign w:val="top"/>
          </w:tcPr>
          <w:p>
            <w:pPr>
              <w:spacing w:after="40" w:before="0" w:line="259" w:lineRule="auto"/>
            </w:pPr>
            <w:r>
              <w:rPr>
                <w:rFonts w:ascii="Calibri" w:hAnsi="Calibri"/>
                <w:b w:val="0"/>
                <w:i w:val="0"/>
                <w:color w:val="212121"/>
                <w:sz w:val="19"/>
              </w:rPr>
              <w:t>≤ ~300 mg/day (≤ 3 cups coffee)</w:t>
            </w:r>
          </w:p>
        </w:tc>
        <w:tc>
          <w:tcPr>
            <w:tcW w:type="dxa" w:w="1512"/>
            <w:vAlign w:val="top"/>
          </w:tcPr>
          <w:p>
            <w:pPr>
              <w:spacing w:after="40" w:before="0" w:line="259" w:lineRule="auto"/>
            </w:pPr>
            <w:r>
              <w:rPr>
                <w:rFonts w:ascii="Calibri" w:hAnsi="Calibri"/>
                <w:b w:val="0"/>
                <w:i w:val="0"/>
                <w:color w:val="212121"/>
                <w:sz w:val="19"/>
              </w:rPr>
              <w:t>High intake with low dietary calcium</w:t>
            </w:r>
          </w:p>
        </w:tc>
        <w:tc>
          <w:tcPr>
            <w:tcW w:type="dxa" w:w="1468"/>
            <w:vAlign w:val="top"/>
          </w:tcPr>
          <w:p>
            <w:pPr>
              <w:spacing w:after="40" w:before="0" w:line="259" w:lineRule="auto"/>
            </w:pPr>
            <w:r>
              <w:rPr>
                <w:rFonts w:ascii="Calibri" w:hAnsi="Calibri"/>
                <w:b w:val="0"/>
                <w:i w:val="0"/>
                <w:color w:val="212121"/>
                <w:sz w:val="19"/>
              </w:rPr>
              <w:t>High caffeine increases urinary calcium loss; offset by adequate calcium</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DXA BMD T-score</w:t>
            </w:r>
          </w:p>
        </w:tc>
        <w:tc>
          <w:tcPr>
            <w:tcW w:type="dxa" w:w="1655"/>
            <w:vAlign w:val="top"/>
          </w:tcPr>
          <w:p>
            <w:pPr>
              <w:spacing w:after="40" w:before="0" w:line="259" w:lineRule="auto"/>
            </w:pPr>
            <w:r>
              <w:rPr>
                <w:rFonts w:ascii="Calibri" w:hAnsi="Calibri"/>
                <w:b w:val="0"/>
                <w:i w:val="0"/>
                <w:color w:val="212121"/>
                <w:sz w:val="19"/>
              </w:rPr>
              <w:t>Postmenopausal women, men ≥ 50</w:t>
            </w:r>
          </w:p>
        </w:tc>
        <w:tc>
          <w:tcPr>
            <w:tcW w:type="dxa" w:w="1512"/>
            <w:vAlign w:val="top"/>
          </w:tcPr>
          <w:p>
            <w:pPr>
              <w:spacing w:after="40" w:before="0" w:line="259" w:lineRule="auto"/>
            </w:pPr>
            <w:r>
              <w:rPr>
                <w:rFonts w:ascii="Calibri" w:hAnsi="Calibri"/>
                <w:b w:val="0"/>
                <w:i w:val="0"/>
                <w:color w:val="212121"/>
                <w:sz w:val="19"/>
              </w:rPr>
              <w:t>≥ −1.0</w:t>
            </w:r>
          </w:p>
        </w:tc>
        <w:tc>
          <w:tcPr>
            <w:tcW w:type="dxa" w:w="1512"/>
            <w:vAlign w:val="top"/>
          </w:tcPr>
          <w:p>
            <w:pPr>
              <w:spacing w:after="40" w:before="0" w:line="259" w:lineRule="auto"/>
            </w:pPr>
            <w:r>
              <w:rPr>
                <w:rFonts w:ascii="Calibri" w:hAnsi="Calibri"/>
                <w:b w:val="0"/>
                <w:i w:val="0"/>
                <w:color w:val="212121"/>
                <w:sz w:val="19"/>
              </w:rPr>
              <w:t>≤ −2.5 (osteoporosis); −1.0 to −2.5 (osteopenia)</w:t>
            </w:r>
          </w:p>
        </w:tc>
        <w:tc>
          <w:tcPr>
            <w:tcW w:type="dxa" w:w="1468"/>
            <w:vAlign w:val="top"/>
          </w:tcPr>
          <w:p>
            <w:pPr>
              <w:spacing w:after="60" w:line="259" w:lineRule="auto"/>
            </w:pPr>
            <w:r>
              <w:rPr>
                <w:rFonts w:ascii="Calibri" w:hAnsi="Calibri"/>
                <w:b w:val="0"/>
                <w:i w:val="0"/>
                <w:color w:val="212121"/>
                <w:sz w:val="19"/>
              </w:rPr>
              <w:t>Reference standard for diagnosis and monitoring</w:t>
            </w:r>
          </w:p>
          <w:p>
            <w:pPr>
              <w:spacing w:after="40" w:line="252" w:lineRule="auto"/>
            </w:pPr>
            <w:hyperlink r:id="rId14">
              <w:r>
                <w:rPr>
                  <w:rFonts w:ascii="Calibri" w:hAnsi="Calibri" w:cs="Calibri"/>
                  <w:sz w:val="18"/>
                  <w:color w:val="1155CC"/>
                  <w:u w:val="single"/>
                </w:rPr>
                <w:t xml:space="preserve">https://www.bonehealthandosteoporosis.org/patients/diagnosis/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FRAX® 10-year fracture probability</w:t>
            </w:r>
          </w:p>
        </w:tc>
        <w:tc>
          <w:tcPr>
            <w:tcW w:type="dxa" w:w="1655"/>
            <w:vAlign w:val="top"/>
          </w:tcPr>
          <w:p>
            <w:pPr>
              <w:spacing w:after="40" w:before="0" w:line="259" w:lineRule="auto"/>
            </w:pPr>
            <w:r>
              <w:rPr>
                <w:rFonts w:ascii="Calibri" w:hAnsi="Calibri"/>
                <w:b w:val="0"/>
                <w:i w:val="0"/>
                <w:color w:val="212121"/>
                <w:sz w:val="19"/>
              </w:rPr>
              <w:t>Adults ≥ 40 with risk factors</w:t>
            </w:r>
          </w:p>
        </w:tc>
        <w:tc>
          <w:tcPr>
            <w:tcW w:type="dxa" w:w="1512"/>
            <w:vAlign w:val="top"/>
          </w:tcPr>
          <w:p>
            <w:pPr>
              <w:spacing w:after="40" w:before="0" w:line="259" w:lineRule="auto"/>
            </w:pPr>
            <w:r>
              <w:rPr>
                <w:rFonts w:ascii="Calibri" w:hAnsi="Calibri"/>
                <w:b w:val="0"/>
                <w:i w:val="0"/>
                <w:color w:val="212121"/>
                <w:sz w:val="19"/>
              </w:rPr>
              <w:t>Below country intervention threshold</w:t>
            </w:r>
          </w:p>
        </w:tc>
        <w:tc>
          <w:tcPr>
            <w:tcW w:type="dxa" w:w="1512"/>
            <w:vAlign w:val="top"/>
          </w:tcPr>
          <w:p>
            <w:pPr>
              <w:spacing w:after="40" w:before="0" w:line="259" w:lineRule="auto"/>
            </w:pPr>
            <w:r>
              <w:rPr>
                <w:rFonts w:ascii="Calibri" w:hAnsi="Calibri"/>
                <w:b w:val="0"/>
                <w:i w:val="0"/>
                <w:color w:val="212121"/>
                <w:sz w:val="19"/>
              </w:rPr>
              <w:t>High major-osteoporotic or hip-fracture probability</w:t>
            </w:r>
          </w:p>
        </w:tc>
        <w:tc>
          <w:tcPr>
            <w:tcW w:type="dxa" w:w="1468"/>
            <w:vAlign w:val="top"/>
          </w:tcPr>
          <w:p>
            <w:pPr>
              <w:spacing w:after="60" w:line="259" w:lineRule="auto"/>
            </w:pPr>
            <w:r>
              <w:rPr>
                <w:rFonts w:ascii="Calibri" w:hAnsi="Calibri"/>
                <w:b w:val="0"/>
                <w:i w:val="0"/>
                <w:color w:val="212121"/>
                <w:sz w:val="19"/>
              </w:rPr>
              <w:t>Integrates clinical risk factors ± BMD to guide treatment</w:t>
            </w:r>
          </w:p>
          <w:p>
            <w:pPr>
              <w:spacing w:after="40" w:line="252" w:lineRule="auto"/>
            </w:pPr>
            <w:hyperlink r:id="rId14">
              <w:r>
                <w:rPr>
                  <w:rFonts w:ascii="Calibri" w:hAnsi="Calibri" w:cs="Calibri"/>
                  <w:sz w:val="18"/>
                  <w:color w:val="1155CC"/>
                  <w:u w:val="single"/>
                </w:rPr>
                <w:t xml:space="preserve">https://www.bonehealthandosteoporosis.org/patients/diagnosis/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densitometry</w:t>
            </w:r>
          </w:p>
        </w:tc>
        <w:tc>
          <w:tcPr>
            <w:tcW w:type="dxa" w:w="1036"/>
            <w:vAlign w:val="top"/>
          </w:tcPr>
          <w:p>
            <w:pPr>
              <w:spacing w:after="40" w:before="0" w:line="259" w:lineRule="auto"/>
            </w:pPr>
            <w:r>
              <w:rPr>
                <w:rFonts w:ascii="Calibri" w:hAnsi="Calibri"/>
                <w:b w:val="0"/>
                <w:i w:val="0"/>
                <w:color w:val="212121"/>
                <w:sz w:val="16"/>
              </w:rPr>
              <w:t>Bone mineral density (T-score / Z-score)</w:t>
            </w:r>
          </w:p>
        </w:tc>
        <w:tc>
          <w:tcPr>
            <w:tcW w:type="dxa" w:w="892"/>
            <w:vAlign w:val="top"/>
          </w:tcPr>
          <w:p>
            <w:pPr>
              <w:spacing w:after="40" w:before="0" w:line="259" w:lineRule="auto"/>
            </w:pPr>
            <w:r>
              <w:rPr>
                <w:rFonts w:ascii="Calibri" w:hAnsi="Calibri"/>
                <w:b w:val="0"/>
                <w:i w:val="0"/>
                <w:color w:val="212121"/>
                <w:sz w:val="16"/>
              </w:rPr>
              <w:t>Central DXA (spine &amp; hip)</w:t>
            </w:r>
          </w:p>
        </w:tc>
        <w:tc>
          <w:tcPr>
            <w:tcW w:type="dxa" w:w="950"/>
            <w:vAlign w:val="top"/>
          </w:tcPr>
          <w:p>
            <w:pPr>
              <w:spacing w:after="40" w:before="0" w:line="259" w:lineRule="auto"/>
            </w:pPr>
            <w:r>
              <w:rPr>
                <w:rFonts w:ascii="Calibri" w:hAnsi="Calibri"/>
                <w:b w:val="0"/>
                <w:i w:val="0"/>
                <w:color w:val="212121"/>
                <w:sz w:val="16"/>
              </w:rPr>
              <w:t>T-score ≥ −1.0</w:t>
            </w:r>
          </w:p>
        </w:tc>
        <w:tc>
          <w:tcPr>
            <w:tcW w:type="dxa" w:w="950"/>
            <w:vAlign w:val="top"/>
          </w:tcPr>
          <w:p>
            <w:pPr>
              <w:spacing w:after="40" w:before="0" w:line="259" w:lineRule="auto"/>
            </w:pPr>
            <w:r>
              <w:rPr>
                <w:rFonts w:ascii="Calibri" w:hAnsi="Calibri"/>
                <w:b w:val="0"/>
                <w:i w:val="0"/>
                <w:color w:val="212121"/>
                <w:sz w:val="16"/>
              </w:rPr>
              <w:t>≤ −2.5 (osteoporosis); −1.0 to −2.5 (osteopenia)</w:t>
            </w:r>
          </w:p>
        </w:tc>
        <w:tc>
          <w:tcPr>
            <w:tcW w:type="dxa" w:w="1036"/>
            <w:vAlign w:val="top"/>
          </w:tcPr>
          <w:p>
            <w:pPr>
              <w:spacing w:after="40" w:before="0" w:line="259" w:lineRule="auto"/>
            </w:pPr>
            <w:r>
              <w:rPr>
                <w:rFonts w:ascii="Calibri" w:hAnsi="Calibri"/>
                <w:b w:val="0"/>
                <w:i w:val="0"/>
                <w:color w:val="212121"/>
                <w:sz w:val="16"/>
              </w:rPr>
              <w:t>Reference standard for diagnosis, risk stratification and monitoring of therapy</w:t>
            </w:r>
          </w:p>
        </w:tc>
        <w:tc>
          <w:tcPr>
            <w:tcW w:type="dxa" w:w="1036"/>
            <w:vAlign w:val="top"/>
          </w:tcPr>
          <w:p>
            <w:pPr>
              <w:spacing w:after="40" w:before="0" w:line="259" w:lineRule="auto"/>
            </w:pPr>
            <w:r>
              <w:rPr>
                <w:rFonts w:ascii="Calibri" w:hAnsi="Calibri"/>
                <w:b w:val="0"/>
                <w:i w:val="0"/>
                <w:color w:val="212121"/>
                <w:sz w:val="16"/>
              </w:rPr>
              <w:t>Postmenopausal women, men ≥ 50, high-risk adults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Measure lumbar spine and hip; repeat on the same machine to track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status</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(deficiency); 20–30 (insufficiency)</w:t>
            </w:r>
          </w:p>
        </w:tc>
        <w:tc>
          <w:tcPr>
            <w:tcW w:type="dxa" w:w="1036"/>
            <w:vAlign w:val="top"/>
          </w:tcPr>
          <w:p>
            <w:pPr>
              <w:spacing w:after="40" w:before="0" w:line="259" w:lineRule="auto"/>
            </w:pPr>
            <w:r>
              <w:rPr>
                <w:rFonts w:ascii="Calibri" w:hAnsi="Calibri"/>
                <w:b w:val="0"/>
                <w:i w:val="0"/>
                <w:color w:val="212121"/>
                <w:sz w:val="16"/>
              </w:rPr>
              <w:t>Deficiency causes secondary hyperparathyroidism and impaired mineralisation; correct before/with therapy</w:t>
            </w:r>
          </w:p>
        </w:tc>
        <w:tc>
          <w:tcPr>
            <w:tcW w:type="dxa" w:w="1036"/>
            <w:vAlign w:val="top"/>
          </w:tcPr>
          <w:p>
            <w:pPr>
              <w:spacing w:after="40" w:before="0" w:line="259" w:lineRule="auto"/>
            </w:pPr>
            <w:r>
              <w:rPr>
                <w:rFonts w:ascii="Calibri" w:hAnsi="Calibri"/>
                <w:b w:val="0"/>
                <w:i w:val="0"/>
                <w:color w:val="212121"/>
                <w:sz w:val="16"/>
              </w:rPr>
              <w:t>Elderly, sun-avoidant, malabsorption, all Indians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Very high deficiency prevalence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(corrected) &amp; phosphate</w:t>
            </w:r>
          </w:p>
        </w:tc>
        <w:tc>
          <w:tcPr>
            <w:tcW w:type="dxa" w:w="892"/>
            <w:vAlign w:val="top"/>
          </w:tcPr>
          <w:p>
            <w:pPr>
              <w:spacing w:after="40" w:before="0" w:line="259" w:lineRule="auto"/>
            </w:pPr>
            <w:r>
              <w:rPr>
                <w:rFonts w:ascii="Calibri" w:hAnsi="Calibri"/>
                <w:b w:val="0"/>
                <w:i w:val="0"/>
                <w:color w:val="212121"/>
                <w:sz w:val="16"/>
              </w:rPr>
              <w:t>Bone mineral panel</w:t>
            </w:r>
          </w:p>
        </w:tc>
        <w:tc>
          <w:tcPr>
            <w:tcW w:type="dxa" w:w="950"/>
            <w:vAlign w:val="top"/>
          </w:tcPr>
          <w:p>
            <w:pPr>
              <w:spacing w:after="40" w:before="0" w:line="259" w:lineRule="auto"/>
            </w:pPr>
            <w:r>
              <w:rPr>
                <w:rFonts w:ascii="Calibri" w:hAnsi="Calibri"/>
                <w:b w:val="0"/>
                <w:i w:val="0"/>
                <w:color w:val="212121"/>
                <w:sz w:val="16"/>
              </w:rPr>
              <w:t>Ca ~8.5–10.5 mg/dL</w:t>
            </w:r>
          </w:p>
        </w:tc>
        <w:tc>
          <w:tcPr>
            <w:tcW w:type="dxa" w:w="950"/>
            <w:vAlign w:val="top"/>
          </w:tcPr>
          <w:p>
            <w:pPr>
              <w:spacing w:after="40" w:before="0" w:line="259" w:lineRule="auto"/>
            </w:pPr>
            <w:r>
              <w:rPr>
                <w:rFonts w:ascii="Calibri" w:hAnsi="Calibri"/>
                <w:b w:val="0"/>
                <w:i w:val="0"/>
                <w:color w:val="212121"/>
                <w:sz w:val="16"/>
              </w:rPr>
              <w:t>High (hyperparathyroidism, malignancy) or low (deficiency, malabsorption)</w:t>
            </w:r>
          </w:p>
        </w:tc>
        <w:tc>
          <w:tcPr>
            <w:tcW w:type="dxa" w:w="1036"/>
            <w:vAlign w:val="top"/>
          </w:tcPr>
          <w:p>
            <w:pPr>
              <w:spacing w:after="40" w:before="0" w:line="259" w:lineRule="auto"/>
            </w:pPr>
            <w:r>
              <w:rPr>
                <w:rFonts w:ascii="Calibri" w:hAnsi="Calibri"/>
                <w:b w:val="0"/>
                <w:i w:val="0"/>
                <w:color w:val="212121"/>
                <w:sz w:val="16"/>
              </w:rPr>
              <w:t>Screens for metabolic bone disease and secondary causes</w:t>
            </w:r>
          </w:p>
        </w:tc>
        <w:tc>
          <w:tcPr>
            <w:tcW w:type="dxa" w:w="1036"/>
            <w:vAlign w:val="top"/>
          </w:tcPr>
          <w:p>
            <w:pPr>
              <w:spacing w:after="40" w:before="0" w:line="259" w:lineRule="auto"/>
            </w:pPr>
            <w:r>
              <w:rPr>
                <w:rFonts w:ascii="Calibri" w:hAnsi="Calibri"/>
                <w:b w:val="0"/>
                <w:i w:val="0"/>
                <w:color w:val="212121"/>
                <w:sz w:val="16"/>
              </w:rPr>
              <w:t>All patients being worked 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 calcium for serum albumin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Parathyroid hormone (PTH)</w:t>
            </w:r>
          </w:p>
        </w:tc>
        <w:tc>
          <w:tcPr>
            <w:tcW w:type="dxa" w:w="892"/>
            <w:vAlign w:val="top"/>
          </w:tcPr>
          <w:p>
            <w:pPr>
              <w:spacing w:after="40" w:before="0" w:line="259" w:lineRule="auto"/>
            </w:pPr>
            <w:r>
              <w:rPr>
                <w:rFonts w:ascii="Calibri" w:hAnsi="Calibri"/>
                <w:b w:val="0"/>
                <w:i w:val="0"/>
                <w:color w:val="212121"/>
                <w:sz w:val="16"/>
              </w:rPr>
              <w:t>Endocrine screen</w:t>
            </w:r>
          </w:p>
        </w:tc>
        <w:tc>
          <w:tcPr>
            <w:tcW w:type="dxa" w:w="950"/>
            <w:vAlign w:val="top"/>
          </w:tcPr>
          <w:p>
            <w:pPr>
              <w:spacing w:after="40" w:before="0" w:line="259" w:lineRule="auto"/>
            </w:pPr>
            <w:r>
              <w:rPr>
                <w:rFonts w:ascii="Calibri" w:hAnsi="Calibri"/>
                <w:b w:val="0"/>
                <w:i w:val="0"/>
                <w:color w:val="212121"/>
                <w:sz w:val="16"/>
              </w:rPr>
              <w:t>~15–65 pg/mL</w:t>
            </w:r>
          </w:p>
        </w:tc>
        <w:tc>
          <w:tcPr>
            <w:tcW w:type="dxa" w:w="950"/>
            <w:vAlign w:val="top"/>
          </w:tcPr>
          <w:p>
            <w:pPr>
              <w:spacing w:after="40" w:before="0" w:line="259" w:lineRule="auto"/>
            </w:pPr>
            <w:r>
              <w:rPr>
                <w:rFonts w:ascii="Calibri" w:hAnsi="Calibri"/>
                <w:b w:val="0"/>
                <w:i w:val="0"/>
                <w:color w:val="212121"/>
                <w:sz w:val="16"/>
              </w:rPr>
              <w:t>High (primary or secondary hyperparathyroidism)</w:t>
            </w:r>
          </w:p>
        </w:tc>
        <w:tc>
          <w:tcPr>
            <w:tcW w:type="dxa" w:w="1036"/>
            <w:vAlign w:val="top"/>
          </w:tcPr>
          <w:p>
            <w:pPr>
              <w:spacing w:after="40" w:before="0" w:line="259" w:lineRule="auto"/>
            </w:pPr>
            <w:r>
              <w:rPr>
                <w:rFonts w:ascii="Calibri" w:hAnsi="Calibri"/>
                <w:b w:val="0"/>
                <w:i w:val="0"/>
                <w:color w:val="212121"/>
                <w:sz w:val="16"/>
              </w:rPr>
              <w:t>Distinguishes primary hyperparathyroidism from vitamin-D-driven secondary hyperparathyroidism</w:t>
            </w:r>
          </w:p>
        </w:tc>
        <w:tc>
          <w:tcPr>
            <w:tcW w:type="dxa" w:w="1036"/>
            <w:vAlign w:val="top"/>
          </w:tcPr>
          <w:p>
            <w:pPr>
              <w:spacing w:after="40" w:before="0" w:line="259" w:lineRule="auto"/>
            </w:pPr>
            <w:r>
              <w:rPr>
                <w:rFonts w:ascii="Calibri" w:hAnsi="Calibri"/>
                <w:b w:val="0"/>
                <w:i w:val="0"/>
                <w:color w:val="212121"/>
                <w:sz w:val="16"/>
              </w:rPr>
              <w:t>Hypercalcaemia, low vitamin D, CKD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Interpret with calcium and vitamin 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screen</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Low (thyrotoxicosis or thyroxine over-replacement)</w:t>
            </w:r>
          </w:p>
        </w:tc>
        <w:tc>
          <w:tcPr>
            <w:tcW w:type="dxa" w:w="1036"/>
            <w:vAlign w:val="top"/>
          </w:tcPr>
          <w:p>
            <w:pPr>
              <w:spacing w:after="40" w:before="0" w:line="259" w:lineRule="auto"/>
            </w:pPr>
            <w:r>
              <w:rPr>
                <w:rFonts w:ascii="Calibri" w:hAnsi="Calibri"/>
                <w:b w:val="0"/>
                <w:i w:val="0"/>
                <w:color w:val="212121"/>
                <w:sz w:val="16"/>
              </w:rPr>
              <w:t>Excess thyroid hormone increases bone turnover and loss</w:t>
            </w:r>
          </w:p>
        </w:tc>
        <w:tc>
          <w:tcPr>
            <w:tcW w:type="dxa" w:w="1036"/>
            <w:vAlign w:val="top"/>
          </w:tcPr>
          <w:p>
            <w:pPr>
              <w:spacing w:after="40" w:before="0" w:line="259" w:lineRule="auto"/>
            </w:pPr>
            <w:r>
              <w:rPr>
                <w:rFonts w:ascii="Calibri" w:hAnsi="Calibri"/>
                <w:b w:val="0"/>
                <w:i w:val="0"/>
                <w:color w:val="212121"/>
                <w:sz w:val="16"/>
              </w:rPr>
              <w:t>Older adults, thyroxine users, AF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Review levothyroxine dose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w:t>
            </w:r>
          </w:p>
        </w:tc>
        <w:tc>
          <w:tcPr>
            <w:tcW w:type="dxa" w:w="950"/>
            <w:vAlign w:val="top"/>
          </w:tcPr>
          <w:p>
            <w:pPr>
              <w:spacing w:after="40" w:before="0" w:line="259" w:lineRule="auto"/>
            </w:pPr>
            <w:r>
              <w:rPr>
                <w:rFonts w:ascii="Calibri" w:hAnsi="Calibri"/>
                <w:b w:val="0"/>
                <w:i w:val="0"/>
                <w:color w:val="212121"/>
                <w:sz w:val="16"/>
              </w:rPr>
              <w:t>eGFR ≥ 60 mL/min/1.73m²</w:t>
            </w:r>
          </w:p>
        </w:tc>
        <w:tc>
          <w:tcPr>
            <w:tcW w:type="dxa" w:w="950"/>
            <w:vAlign w:val="top"/>
          </w:tcPr>
          <w:p>
            <w:pPr>
              <w:spacing w:after="40" w:before="0" w:line="259" w:lineRule="auto"/>
            </w:pPr>
            <w:r>
              <w:rPr>
                <w:rFonts w:ascii="Calibri" w:hAnsi="Calibri"/>
                <w:b w:val="0"/>
                <w:i w:val="0"/>
                <w:color w:val="212121"/>
                <w:sz w:val="16"/>
              </w:rPr>
              <w:t>Reduced eGFR (CKD-MBD)</w:t>
            </w:r>
          </w:p>
        </w:tc>
        <w:tc>
          <w:tcPr>
            <w:tcW w:type="dxa" w:w="1036"/>
            <w:vAlign w:val="top"/>
          </w:tcPr>
          <w:p>
            <w:pPr>
              <w:spacing w:after="40" w:before="0" w:line="259" w:lineRule="auto"/>
            </w:pPr>
            <w:r>
              <w:rPr>
                <w:rFonts w:ascii="Calibri" w:hAnsi="Calibri"/>
                <w:b w:val="0"/>
                <w:i w:val="0"/>
                <w:color w:val="212121"/>
                <w:sz w:val="16"/>
              </w:rPr>
              <w:t>Chronic kidney disease disturbs calcium/phosphate/vitamin D and alters treatment choice</w:t>
            </w:r>
          </w:p>
        </w:tc>
        <w:tc>
          <w:tcPr>
            <w:tcW w:type="dxa" w:w="1036"/>
            <w:vAlign w:val="top"/>
          </w:tcPr>
          <w:p>
            <w:pPr>
              <w:spacing w:after="40" w:before="0" w:line="259" w:lineRule="auto"/>
            </w:pPr>
            <w:r>
              <w:rPr>
                <w:rFonts w:ascii="Calibri" w:hAnsi="Calibri"/>
                <w:b w:val="0"/>
                <w:i w:val="0"/>
                <w:color w:val="212121"/>
                <w:sz w:val="16"/>
              </w:rPr>
              <w:t>Elderly, diabetics, hypertensives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Guides bisphosphonate use/dosing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Alkaline phosphatase (± LFTs)</w:t>
            </w:r>
          </w:p>
        </w:tc>
        <w:tc>
          <w:tcPr>
            <w:tcW w:type="dxa" w:w="892"/>
            <w:vAlign w:val="top"/>
          </w:tcPr>
          <w:p>
            <w:pPr>
              <w:spacing w:after="40" w:before="0" w:line="259" w:lineRule="auto"/>
            </w:pPr>
            <w:r>
              <w:rPr>
                <w:rFonts w:ascii="Calibri" w:hAnsi="Calibri"/>
                <w:b w:val="0"/>
                <w:i w:val="0"/>
                <w:color w:val="212121"/>
                <w:sz w:val="16"/>
              </w:rPr>
              <w:t>Bone/liver enzyme</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High (osteomalacia, Paget disease, healing fracture, liver disease)</w:t>
            </w:r>
          </w:p>
        </w:tc>
        <w:tc>
          <w:tcPr>
            <w:tcW w:type="dxa" w:w="1036"/>
            <w:vAlign w:val="top"/>
          </w:tcPr>
          <w:p>
            <w:pPr>
              <w:spacing w:after="40" w:before="0" w:line="259" w:lineRule="auto"/>
            </w:pPr>
            <w:r>
              <w:rPr>
                <w:rFonts w:ascii="Calibri" w:hAnsi="Calibri"/>
                <w:b w:val="0"/>
                <w:i w:val="0"/>
                <w:color w:val="212121"/>
                <w:sz w:val="16"/>
              </w:rPr>
              <w:t>Raised ALP suggests osteomalacia or other metabolic bone disease</w:t>
            </w:r>
          </w:p>
        </w:tc>
        <w:tc>
          <w:tcPr>
            <w:tcW w:type="dxa" w:w="1036"/>
            <w:vAlign w:val="top"/>
          </w:tcPr>
          <w:p>
            <w:pPr>
              <w:spacing w:after="40" w:before="0" w:line="259" w:lineRule="auto"/>
            </w:pPr>
            <w:r>
              <w:rPr>
                <w:rFonts w:ascii="Calibri" w:hAnsi="Calibri"/>
                <w:b w:val="0"/>
                <w:i w:val="0"/>
                <w:color w:val="212121"/>
                <w:sz w:val="16"/>
              </w:rPr>
              <w:t>Low vitamin D, bone pain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Separate bone-specific ALP if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Bone turnover markers (CTX, P1NP)</w:t>
            </w:r>
          </w:p>
        </w:tc>
        <w:tc>
          <w:tcPr>
            <w:tcW w:type="dxa" w:w="892"/>
            <w:vAlign w:val="top"/>
          </w:tcPr>
          <w:p>
            <w:pPr>
              <w:spacing w:after="40" w:before="0" w:line="259" w:lineRule="auto"/>
            </w:pPr>
            <w:r>
              <w:rPr>
                <w:rFonts w:ascii="Calibri" w:hAnsi="Calibri"/>
                <w:b w:val="0"/>
                <w:i w:val="0"/>
                <w:color w:val="212121"/>
                <w:sz w:val="16"/>
              </w:rPr>
              <w:t>Resorption/formation markers</w:t>
            </w:r>
          </w:p>
        </w:tc>
        <w:tc>
          <w:tcPr>
            <w:tcW w:type="dxa" w:w="950"/>
            <w:vAlign w:val="top"/>
          </w:tcPr>
          <w:p>
            <w:pPr>
              <w:spacing w:after="40" w:before="0" w:line="259" w:lineRule="auto"/>
            </w:pPr>
            <w:r>
              <w:rPr>
                <w:rFonts w:ascii="Calibri" w:hAnsi="Calibri"/>
                <w:b w:val="0"/>
                <w:i w:val="0"/>
                <w:color w:val="212121"/>
                <w:sz w:val="16"/>
              </w:rPr>
              <w:t>Assay-specific</w:t>
            </w:r>
          </w:p>
        </w:tc>
        <w:tc>
          <w:tcPr>
            <w:tcW w:type="dxa" w:w="950"/>
            <w:vAlign w:val="top"/>
          </w:tcPr>
          <w:p>
            <w:pPr>
              <w:spacing w:after="40" w:before="0" w:line="259" w:lineRule="auto"/>
            </w:pPr>
            <w:r>
              <w:rPr>
                <w:rFonts w:ascii="Calibri" w:hAnsi="Calibri"/>
                <w:b w:val="0"/>
                <w:i w:val="0"/>
                <w:color w:val="212121"/>
                <w:sz w:val="16"/>
              </w:rPr>
              <w:t>High turnover; CTX falls on antiresorptive therapy</w:t>
            </w:r>
          </w:p>
        </w:tc>
        <w:tc>
          <w:tcPr>
            <w:tcW w:type="dxa" w:w="1036"/>
            <w:vAlign w:val="top"/>
          </w:tcPr>
          <w:p>
            <w:pPr>
              <w:spacing w:after="40" w:before="0" w:line="259" w:lineRule="auto"/>
            </w:pPr>
            <w:r>
              <w:rPr>
                <w:rFonts w:ascii="Calibri" w:hAnsi="Calibri"/>
                <w:b w:val="0"/>
                <w:i w:val="0"/>
                <w:color w:val="212121"/>
                <w:sz w:val="16"/>
              </w:rPr>
              <w:t>Used mainly to assess treatment response and adherence, not for diagnosis</w:t>
            </w:r>
          </w:p>
        </w:tc>
        <w:tc>
          <w:tcPr>
            <w:tcW w:type="dxa" w:w="1036"/>
            <w:vAlign w:val="top"/>
          </w:tcPr>
          <w:p>
            <w:pPr>
              <w:spacing w:after="40" w:before="0" w:line="259" w:lineRule="auto"/>
            </w:pPr>
            <w:r>
              <w:rPr>
                <w:rFonts w:ascii="Calibri" w:hAnsi="Calibri"/>
                <w:b w:val="0"/>
                <w:i w:val="0"/>
                <w:color w:val="212121"/>
                <w:sz w:val="16"/>
              </w:rPr>
              <w:t>Patients on therapy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Fasting morning sample; check on-treatment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Vertebral fracture assessment / spine X-ray</w:t>
            </w:r>
          </w:p>
        </w:tc>
        <w:tc>
          <w:tcPr>
            <w:tcW w:type="dxa" w:w="892"/>
            <w:vAlign w:val="top"/>
          </w:tcPr>
          <w:p>
            <w:pPr>
              <w:spacing w:after="40" w:before="0" w:line="259" w:lineRule="auto"/>
            </w:pPr>
            <w:r>
              <w:rPr>
                <w:rFonts w:ascii="Calibri" w:hAnsi="Calibri"/>
                <w:b w:val="0"/>
                <w:i w:val="0"/>
                <w:color w:val="212121"/>
                <w:sz w:val="16"/>
              </w:rPr>
              <w:t>VFA or lateral spine radiograph</w:t>
            </w:r>
          </w:p>
        </w:tc>
        <w:tc>
          <w:tcPr>
            <w:tcW w:type="dxa" w:w="950"/>
            <w:vAlign w:val="top"/>
          </w:tcPr>
          <w:p>
            <w:pPr>
              <w:spacing w:after="40" w:before="0" w:line="259" w:lineRule="auto"/>
            </w:pPr>
            <w:r>
              <w:rPr>
                <w:rFonts w:ascii="Calibri" w:hAnsi="Calibri"/>
                <w:b w:val="0"/>
                <w:i w:val="0"/>
                <w:color w:val="212121"/>
                <w:sz w:val="16"/>
              </w:rPr>
              <w:t>No vertebral deformity</w:t>
            </w:r>
          </w:p>
        </w:tc>
        <w:tc>
          <w:tcPr>
            <w:tcW w:type="dxa" w:w="950"/>
            <w:vAlign w:val="top"/>
          </w:tcPr>
          <w:p>
            <w:pPr>
              <w:spacing w:after="40" w:before="0" w:line="259" w:lineRule="auto"/>
            </w:pPr>
            <w:r>
              <w:rPr>
                <w:rFonts w:ascii="Calibri" w:hAnsi="Calibri"/>
                <w:b w:val="0"/>
                <w:i w:val="0"/>
                <w:color w:val="212121"/>
                <w:sz w:val="16"/>
              </w:rPr>
              <w:t>Vertebral compression fracture / ≥ 20–25% height loss</w:t>
            </w:r>
          </w:p>
        </w:tc>
        <w:tc>
          <w:tcPr>
            <w:tcW w:type="dxa" w:w="1036"/>
            <w:vAlign w:val="top"/>
          </w:tcPr>
          <w:p>
            <w:pPr>
              <w:spacing w:after="40" w:before="0" w:line="259" w:lineRule="auto"/>
            </w:pPr>
            <w:r>
              <w:rPr>
                <w:rFonts w:ascii="Calibri" w:hAnsi="Calibri"/>
                <w:b w:val="0"/>
                <w:i w:val="0"/>
                <w:color w:val="212121"/>
                <w:sz w:val="16"/>
              </w:rPr>
              <w:t>Detects silent vertebral fractures that upgrade risk and confirm osteoporosis</w:t>
            </w:r>
          </w:p>
        </w:tc>
        <w:tc>
          <w:tcPr>
            <w:tcW w:type="dxa" w:w="1036"/>
            <w:vAlign w:val="top"/>
          </w:tcPr>
          <w:p>
            <w:pPr>
              <w:spacing w:after="40" w:before="0" w:line="259" w:lineRule="auto"/>
            </w:pPr>
            <w:r>
              <w:rPr>
                <w:rFonts w:ascii="Calibri" w:hAnsi="Calibri"/>
                <w:b w:val="0"/>
                <w:i w:val="0"/>
                <w:color w:val="212121"/>
                <w:sz w:val="16"/>
              </w:rPr>
              <w:t>Height loss, back pain, kyphosis, T-score ≤ −2.5</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Many vertebral fractures are clinically silent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Fragility-fracture history</w:t>
            </w:r>
          </w:p>
        </w:tc>
        <w:tc>
          <w:tcPr>
            <w:tcW w:type="dxa" w:w="979"/>
            <w:vAlign w:val="top"/>
          </w:tcPr>
          <w:p>
            <w:pPr>
              <w:spacing w:after="40" w:before="0" w:line="259" w:lineRule="auto"/>
            </w:pPr>
            <w:r>
              <w:rPr>
                <w:rFonts w:ascii="Calibri" w:hAnsi="Calibri"/>
                <w:b w:val="0"/>
                <w:i w:val="0"/>
                <w:color w:val="212121"/>
                <w:sz w:val="16"/>
              </w:rPr>
              <w:t>Low-trauma fracture of hip, spine, wrist or humerus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fracture from a fall from standing height or less</w:t>
            </w:r>
          </w:p>
        </w:tc>
        <w:tc>
          <w:tcPr>
            <w:tcW w:type="dxa" w:w="1036"/>
            <w:vAlign w:val="top"/>
          </w:tcPr>
          <w:p>
            <w:pPr>
              <w:spacing w:after="40" w:before="0" w:line="259" w:lineRule="auto"/>
            </w:pPr>
            <w:r>
              <w:rPr>
                <w:rFonts w:ascii="Calibri" w:hAnsi="Calibri"/>
                <w:b w:val="0"/>
                <w:i w:val="0"/>
                <w:color w:val="212121"/>
                <w:sz w:val="16"/>
              </w:rPr>
              <w:t>A fragility fracture is diagnostic of osteoporosis regardless of BMD and strongly predicts further fractures</w:t>
            </w:r>
          </w:p>
        </w:tc>
        <w:tc>
          <w:tcPr>
            <w:tcW w:type="dxa" w:w="1036"/>
            <w:vAlign w:val="top"/>
          </w:tcPr>
          <w:p>
            <w:pPr>
              <w:spacing w:after="40" w:before="0" w:line="259" w:lineRule="auto"/>
            </w:pPr>
            <w:r>
              <w:rPr>
                <w:rFonts w:ascii="Calibri" w:hAnsi="Calibri"/>
                <w:b w:val="0"/>
                <w:i w:val="0"/>
                <w:color w:val="212121"/>
                <w:sz w:val="16"/>
              </w:rPr>
              <w:t>Older adults, postmenopausal women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Trigger for a fracture-liaison / secondary-prevention pathway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Height, kyphosis &amp; spine exam</w:t>
            </w:r>
          </w:p>
        </w:tc>
        <w:tc>
          <w:tcPr>
            <w:tcW w:type="dxa" w:w="979"/>
            <w:vAlign w:val="top"/>
          </w:tcPr>
          <w:p>
            <w:pPr>
              <w:spacing w:after="40" w:before="0" w:line="259" w:lineRule="auto"/>
            </w:pPr>
            <w:r>
              <w:rPr>
                <w:rFonts w:ascii="Calibri" w:hAnsi="Calibri"/>
                <w:b w:val="0"/>
                <w:i w:val="0"/>
                <w:color w:val="212121"/>
                <w:sz w:val="16"/>
              </w:rPr>
              <w:t>Historical height loss, wall–occiput &amp; rib–pelvis distance, thoracic kyphosis</w:t>
            </w:r>
          </w:p>
        </w:tc>
        <w:tc>
          <w:tcPr>
            <w:tcW w:type="dxa" w:w="950"/>
            <w:vAlign w:val="top"/>
          </w:tcPr>
          <w:p>
            <w:pPr>
              <w:spacing w:after="40" w:before="0" w:line="259" w:lineRule="auto"/>
            </w:pPr>
            <w:r>
              <w:rPr>
                <w:rFonts w:ascii="Calibri" w:hAnsi="Calibri"/>
                <w:b w:val="0"/>
                <w:i w:val="0"/>
                <w:color w:val="212121"/>
                <w:sz w:val="16"/>
              </w:rPr>
              <w:t>No significant height loss; normal curvature</w:t>
            </w:r>
          </w:p>
        </w:tc>
        <w:tc>
          <w:tcPr>
            <w:tcW w:type="dxa" w:w="950"/>
            <w:vAlign w:val="top"/>
          </w:tcPr>
          <w:p>
            <w:pPr>
              <w:spacing w:after="40" w:before="0" w:line="259" w:lineRule="auto"/>
            </w:pPr>
            <w:r>
              <w:rPr>
                <w:rFonts w:ascii="Calibri" w:hAnsi="Calibri"/>
                <w:b w:val="0"/>
                <w:i w:val="0"/>
                <w:color w:val="212121"/>
                <w:sz w:val="16"/>
              </w:rPr>
              <w:t>Height loss &gt; 4 cm, marked kyphosis, increased wall–occiput distance</w:t>
            </w:r>
          </w:p>
        </w:tc>
        <w:tc>
          <w:tcPr>
            <w:tcW w:type="dxa" w:w="1036"/>
            <w:vAlign w:val="top"/>
          </w:tcPr>
          <w:p>
            <w:pPr>
              <w:spacing w:after="40" w:before="0" w:line="259" w:lineRule="auto"/>
            </w:pPr>
            <w:r>
              <w:rPr>
                <w:rFonts w:ascii="Calibri" w:hAnsi="Calibri"/>
                <w:b w:val="0"/>
                <w:i w:val="0"/>
                <w:color w:val="212121"/>
                <w:sz w:val="16"/>
              </w:rPr>
              <w:t>Suggests underlying vertebral fractures</w:t>
            </w:r>
          </w:p>
        </w:tc>
        <w:tc>
          <w:tcPr>
            <w:tcW w:type="dxa" w:w="1036"/>
            <w:vAlign w:val="top"/>
          </w:tcPr>
          <w:p>
            <w:pPr>
              <w:spacing w:after="40" w:before="0" w:line="259" w:lineRule="auto"/>
            </w:pPr>
            <w:r>
              <w:rPr>
                <w:rFonts w:ascii="Calibri" w:hAnsi="Calibri"/>
                <w:b w:val="0"/>
                <w:i w:val="0"/>
                <w:color w:val="212121"/>
                <w:sz w:val="16"/>
              </w:rPr>
              <w:t>Elderly, postmenopausal women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Prompts spine imaging / VFA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menopausal history</w:t>
            </w:r>
          </w:p>
        </w:tc>
        <w:tc>
          <w:tcPr>
            <w:tcW w:type="dxa" w:w="979"/>
            <w:vAlign w:val="top"/>
          </w:tcPr>
          <w:p>
            <w:pPr>
              <w:spacing w:after="40" w:before="0" w:line="259" w:lineRule="auto"/>
            </w:pPr>
            <w:r>
              <w:rPr>
                <w:rFonts w:ascii="Calibri" w:hAnsi="Calibri"/>
                <w:b w:val="0"/>
                <w:i w:val="0"/>
                <w:color w:val="212121"/>
                <w:sz w:val="16"/>
              </w:rPr>
              <w:t>Age at menopause, early/surgical menopause, amenorrhoea</w:t>
            </w:r>
          </w:p>
        </w:tc>
        <w:tc>
          <w:tcPr>
            <w:tcW w:type="dxa" w:w="950"/>
            <w:vAlign w:val="top"/>
          </w:tcPr>
          <w:p>
            <w:pPr>
              <w:spacing w:after="40" w:before="0" w:line="259" w:lineRule="auto"/>
            </w:pPr>
            <w:r>
              <w:rPr>
                <w:rFonts w:ascii="Calibri" w:hAnsi="Calibri"/>
                <w:b w:val="0"/>
                <w:i w:val="0"/>
                <w:color w:val="212121"/>
                <w:sz w:val="16"/>
              </w:rPr>
              <w:t>Menopause ≥ ~45 yrs, regular prior menses</w:t>
            </w:r>
          </w:p>
        </w:tc>
        <w:tc>
          <w:tcPr>
            <w:tcW w:type="dxa" w:w="950"/>
            <w:vAlign w:val="top"/>
          </w:tcPr>
          <w:p>
            <w:pPr>
              <w:spacing w:after="40" w:before="0" w:line="259" w:lineRule="auto"/>
            </w:pPr>
            <w:r>
              <w:rPr>
                <w:rFonts w:ascii="Calibri" w:hAnsi="Calibri"/>
                <w:b w:val="0"/>
                <w:i w:val="0"/>
                <w:color w:val="212121"/>
                <w:sz w:val="16"/>
              </w:rPr>
              <w:t>Early (&lt; 45) or surgical menopause, prolonged amenorrhoea</w:t>
            </w:r>
          </w:p>
        </w:tc>
        <w:tc>
          <w:tcPr>
            <w:tcW w:type="dxa" w:w="1036"/>
            <w:vAlign w:val="top"/>
          </w:tcPr>
          <w:p>
            <w:pPr>
              <w:spacing w:after="40" w:before="0" w:line="259" w:lineRule="auto"/>
            </w:pPr>
            <w:r>
              <w:rPr>
                <w:rFonts w:ascii="Calibri" w:hAnsi="Calibri"/>
                <w:b w:val="0"/>
                <w:i w:val="0"/>
                <w:color w:val="212121"/>
                <w:sz w:val="16"/>
              </w:rPr>
              <w:t>Longer oestrogen deficiency increases bone loss</w:t>
            </w:r>
          </w:p>
        </w:tc>
        <w:tc>
          <w:tcPr>
            <w:tcW w:type="dxa" w:w="1036"/>
            <w:vAlign w:val="top"/>
          </w:tcPr>
          <w:p>
            <w:pPr>
              <w:spacing w:after="40" w:before="0" w:line="259" w:lineRule="auto"/>
            </w:pPr>
            <w:r>
              <w:rPr>
                <w:rFonts w:ascii="Calibri" w:hAnsi="Calibri"/>
                <w:b w:val="0"/>
                <w:i w:val="0"/>
                <w:color w:val="212121"/>
                <w:sz w:val="16"/>
              </w:rPr>
              <w:t>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Include lactation and parity in Indian women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glucocorticoid history</w:t>
            </w:r>
          </w:p>
        </w:tc>
        <w:tc>
          <w:tcPr>
            <w:tcW w:type="dxa" w:w="979"/>
            <w:vAlign w:val="top"/>
          </w:tcPr>
          <w:p>
            <w:pPr>
              <w:spacing w:after="40" w:before="0" w:line="259" w:lineRule="auto"/>
            </w:pPr>
            <w:r>
              <w:rPr>
                <w:rFonts w:ascii="Calibri" w:hAnsi="Calibri"/>
                <w:b w:val="0"/>
                <w:i w:val="0"/>
                <w:color w:val="212121"/>
                <w:sz w:val="16"/>
              </w:rPr>
              <w:t>Oral steroids, aromatase inhibitors, androgen-deprivation therapy, anticonvulsants, high-dose thyroxine, PPIs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long-term use</w:t>
            </w:r>
          </w:p>
        </w:tc>
        <w:tc>
          <w:tcPr>
            <w:tcW w:type="dxa" w:w="1036"/>
            <w:vAlign w:val="top"/>
          </w:tcPr>
          <w:p>
            <w:pPr>
              <w:spacing w:after="40" w:before="0" w:line="259" w:lineRule="auto"/>
            </w:pPr>
            <w:r>
              <w:rPr>
                <w:rFonts w:ascii="Calibri" w:hAnsi="Calibri"/>
                <w:b w:val="0"/>
                <w:i w:val="0"/>
                <w:color w:val="212121"/>
                <w:sz w:val="16"/>
              </w:rPr>
              <w:t>Identifies reversible secondary and drug-induced osteoporosis</w:t>
            </w:r>
          </w:p>
        </w:tc>
        <w:tc>
          <w:tcPr>
            <w:tcW w:type="dxa" w:w="1036"/>
            <w:vAlign w:val="top"/>
          </w:tcPr>
          <w:p>
            <w:pPr>
              <w:spacing w:after="40" w:before="0" w:line="259" w:lineRule="auto"/>
            </w:pPr>
            <w:r>
              <w:rPr>
                <w:rFonts w:ascii="Calibri" w:hAnsi="Calibri"/>
                <w:b w:val="0"/>
                <w:i w:val="0"/>
                <w:color w:val="212121"/>
                <w:sz w:val="16"/>
              </w:rPr>
              <w:t>RA/asthma/COPD, cancer, epilepsy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Steroids ≥ 5 mg/day for ≥ 3 months warrant bone protection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Parental osteoporosis or hip fracture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w:t>
            </w:r>
          </w:p>
        </w:tc>
        <w:tc>
          <w:tcPr>
            <w:tcW w:type="dxa" w:w="1036"/>
            <w:vAlign w:val="top"/>
          </w:tcPr>
          <w:p>
            <w:pPr>
              <w:spacing w:after="40" w:before="0" w:line="259" w:lineRule="auto"/>
            </w:pPr>
            <w:r>
              <w:rPr>
                <w:rFonts w:ascii="Calibri" w:hAnsi="Calibri"/>
                <w:b w:val="0"/>
                <w:i w:val="0"/>
                <w:color w:val="212121"/>
                <w:sz w:val="16"/>
              </w:rPr>
              <w:t>Independent risk factor and a FRAX input</w:t>
            </w:r>
          </w:p>
        </w:tc>
        <w:tc>
          <w:tcPr>
            <w:tcW w:type="dxa" w:w="1036"/>
            <w:vAlign w:val="top"/>
          </w:tcPr>
          <w:p>
            <w:pPr>
              <w:spacing w:after="40" w:before="0" w:line="259" w:lineRule="auto"/>
            </w:pPr>
            <w:r>
              <w:rPr>
                <w:rFonts w:ascii="Calibri" w:hAnsi="Calibri"/>
                <w:b w:val="0"/>
                <w:i w:val="0"/>
                <w:color w:val="212121"/>
                <w:sz w:val="16"/>
              </w:rPr>
              <w:t>Adults with affected first-degree relatives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parental hip fracture specifically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Fall-risk &amp; lifestyle assessment</w:t>
            </w:r>
          </w:p>
        </w:tc>
        <w:tc>
          <w:tcPr>
            <w:tcW w:type="dxa" w:w="979"/>
            <w:vAlign w:val="top"/>
          </w:tcPr>
          <w:p>
            <w:pPr>
              <w:spacing w:after="40" w:before="0" w:line="259" w:lineRule="auto"/>
            </w:pPr>
            <w:r>
              <w:rPr>
                <w:rFonts w:ascii="Calibri" w:hAnsi="Calibri"/>
                <w:b w:val="0"/>
                <w:i w:val="0"/>
                <w:color w:val="212121"/>
                <w:sz w:val="16"/>
              </w:rPr>
              <w:t>Falls in past year, balance/gait, vision, sedative/psychotropic use, smoking, alcohol, calcium &amp; sunlight</w:t>
            </w:r>
          </w:p>
        </w:tc>
        <w:tc>
          <w:tcPr>
            <w:tcW w:type="dxa" w:w="950"/>
            <w:vAlign w:val="top"/>
          </w:tcPr>
          <w:p>
            <w:pPr>
              <w:spacing w:after="40" w:before="0" w:line="259" w:lineRule="auto"/>
            </w:pPr>
            <w:r>
              <w:rPr>
                <w:rFonts w:ascii="Calibri" w:hAnsi="Calibri"/>
                <w:b w:val="0"/>
                <w:i w:val="0"/>
                <w:color w:val="212121"/>
                <w:sz w:val="16"/>
              </w:rPr>
              <w:t>No falls; good balance; healthy lifestyle</w:t>
            </w:r>
          </w:p>
        </w:tc>
        <w:tc>
          <w:tcPr>
            <w:tcW w:type="dxa" w:w="950"/>
            <w:vAlign w:val="top"/>
          </w:tcPr>
          <w:p>
            <w:pPr>
              <w:spacing w:after="40" w:before="0" w:line="259" w:lineRule="auto"/>
            </w:pPr>
            <w:r>
              <w:rPr>
                <w:rFonts w:ascii="Calibri" w:hAnsi="Calibri"/>
                <w:b w:val="0"/>
                <w:i w:val="0"/>
                <w:color w:val="212121"/>
                <w:sz w:val="16"/>
              </w:rPr>
              <w:t>Recurrent falls, poor balance, smoking, excess alcohol, low calcium/sun</w:t>
            </w:r>
          </w:p>
        </w:tc>
        <w:tc>
          <w:tcPr>
            <w:tcW w:type="dxa" w:w="1036"/>
            <w:vAlign w:val="top"/>
          </w:tcPr>
          <w:p>
            <w:pPr>
              <w:spacing w:after="40" w:before="0" w:line="259" w:lineRule="auto"/>
            </w:pPr>
            <w:r>
              <w:rPr>
                <w:rFonts w:ascii="Calibri" w:hAnsi="Calibri"/>
                <w:b w:val="0"/>
                <w:i w:val="0"/>
                <w:color w:val="212121"/>
                <w:sz w:val="16"/>
              </w:rPr>
              <w:t>Falls convert low BMD into fractures; lifestyle factors are modifiable</w:t>
            </w:r>
          </w:p>
        </w:tc>
        <w:tc>
          <w:tcPr>
            <w:tcW w:type="dxa" w:w="1036"/>
            <w:vAlign w:val="top"/>
          </w:tcPr>
          <w:p>
            <w:pPr>
              <w:spacing w:after="40" w:before="0" w:line="259" w:lineRule="auto"/>
            </w:pPr>
            <w:r>
              <w:rPr>
                <w:rFonts w:ascii="Calibri" w:hAnsi="Calibri"/>
                <w:b w:val="0"/>
                <w:i w:val="0"/>
                <w:color w:val="212121"/>
                <w:sz w:val="16"/>
              </w:rPr>
              <w:t>Elderly, frail</w:t>
            </w:r>
          </w:p>
        </w:tc>
        <w:tc>
          <w:tcPr>
            <w:tcW w:type="dxa" w:w="720"/>
            <w:vAlign w:val="top"/>
          </w:tcPr>
          <w:p>
            <w:pPr>
              <w:spacing w:after="40" w:before="0" w:line="259" w:lineRule="auto"/>
            </w:pPr>
            <w:r>
              <w:rPr>
                <w:rFonts w:ascii="Calibri" w:hAnsi="Calibri"/>
                <w:b w:val="0"/>
                <w:i w:val="0"/>
                <w:color w:val="212121"/>
                <w:sz w:val="16"/>
              </w:rPr>
              <w:t>Physical activity; Alcohol;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Combine bone and falls prevention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stratification</w:t>
            </w:r>
          </w:p>
        </w:tc>
        <w:tc>
          <w:tcPr>
            <w:tcW w:type="dxa" w:w="950"/>
            <w:vAlign w:val="top"/>
          </w:tcPr>
          <w:p>
            <w:pPr>
              <w:spacing w:after="40" w:before="0" w:line="259" w:lineRule="auto"/>
            </w:pPr>
            <w:r>
              <w:rPr>
                <w:rFonts w:ascii="Calibri" w:hAnsi="Calibri"/>
                <w:b w:val="0"/>
                <w:i w:val="0"/>
                <w:color w:val="212121"/>
                <w:sz w:val="16"/>
              </w:rPr>
              <w:t>FRAX® clinical risk assessment</w:t>
            </w:r>
          </w:p>
        </w:tc>
        <w:tc>
          <w:tcPr>
            <w:tcW w:type="dxa" w:w="979"/>
            <w:vAlign w:val="top"/>
          </w:tcPr>
          <w:p>
            <w:pPr>
              <w:spacing w:after="40" w:before="0" w:line="259" w:lineRule="auto"/>
            </w:pPr>
            <w:r>
              <w:rPr>
                <w:rFonts w:ascii="Calibri" w:hAnsi="Calibri"/>
                <w:b w:val="0"/>
                <w:i w:val="0"/>
                <w:color w:val="212121"/>
                <w:sz w:val="16"/>
              </w:rPr>
              <w:t>Age, sex, prior fracture, parental hip fracture, smoking, alcohol, steroids, RA, secondary osteoporosis ± BMD</w:t>
            </w:r>
          </w:p>
        </w:tc>
        <w:tc>
          <w:tcPr>
            <w:tcW w:type="dxa" w:w="950"/>
            <w:vAlign w:val="top"/>
          </w:tcPr>
          <w:p>
            <w:pPr>
              <w:spacing w:after="40" w:before="0" w:line="259" w:lineRule="auto"/>
            </w:pPr>
            <w:r>
              <w:rPr>
                <w:rFonts w:ascii="Calibri" w:hAnsi="Calibri"/>
                <w:b w:val="0"/>
                <w:i w:val="0"/>
                <w:color w:val="212121"/>
                <w:sz w:val="16"/>
              </w:rPr>
              <w:t>Low 10-year probability</w:t>
            </w:r>
          </w:p>
        </w:tc>
        <w:tc>
          <w:tcPr>
            <w:tcW w:type="dxa" w:w="950"/>
            <w:vAlign w:val="top"/>
          </w:tcPr>
          <w:p>
            <w:pPr>
              <w:spacing w:after="40" w:before="0" w:line="259" w:lineRule="auto"/>
            </w:pPr>
            <w:r>
              <w:rPr>
                <w:rFonts w:ascii="Calibri" w:hAnsi="Calibri"/>
                <w:b w:val="0"/>
                <w:i w:val="0"/>
                <w:color w:val="212121"/>
                <w:sz w:val="16"/>
              </w:rPr>
              <w:t>High major-osteoporotic/hip probability</w:t>
            </w:r>
          </w:p>
        </w:tc>
        <w:tc>
          <w:tcPr>
            <w:tcW w:type="dxa" w:w="1036"/>
            <w:vAlign w:val="top"/>
          </w:tcPr>
          <w:p>
            <w:pPr>
              <w:spacing w:after="40" w:before="0" w:line="259" w:lineRule="auto"/>
            </w:pPr>
            <w:r>
              <w:rPr>
                <w:rFonts w:ascii="Calibri" w:hAnsi="Calibri"/>
                <w:b w:val="0"/>
                <w:i w:val="0"/>
                <w:color w:val="212121"/>
                <w:sz w:val="16"/>
              </w:rPr>
              <w:t>Guides who needs treatment, with or without a DXA scan</w:t>
            </w:r>
          </w:p>
        </w:tc>
        <w:tc>
          <w:tcPr>
            <w:tcW w:type="dxa" w:w="1036"/>
            <w:vAlign w:val="top"/>
          </w:tcPr>
          <w:p>
            <w:pPr>
              <w:spacing w:after="40" w:before="0" w:line="259" w:lineRule="auto"/>
            </w:pPr>
            <w:r>
              <w:rPr>
                <w:rFonts w:ascii="Calibri" w:hAnsi="Calibri"/>
                <w:b w:val="0"/>
                <w:i w:val="0"/>
                <w:color w:val="212121"/>
                <w:sz w:val="16"/>
              </w:rPr>
              <w:t>Adults ≥ 40 with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Useful where DXA access is limited, as in much of India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(silent bone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Osteoporosis itself causes no symptoms until a fracture occurs — hence the ‘silent disease’.</w:t>
            </w:r>
          </w:p>
        </w:tc>
      </w:tr>
      <w:tr>
        <w:trPr>
          <w:cantSplit/>
        </w:trPr>
        <w:tc>
          <w:tcPr>
            <w:tcW w:type="dxa" w:w="2304"/>
            <w:vAlign w:val="top"/>
          </w:tcPr>
          <w:p>
            <w:pPr>
              <w:spacing w:after="40" w:before="0" w:line="259" w:lineRule="auto"/>
            </w:pPr>
            <w:r>
              <w:rPr>
                <w:rFonts w:ascii="Calibri" w:hAnsi="Calibri"/>
                <w:b/>
                <w:i w:val="0"/>
                <w:color w:val="212121"/>
                <w:sz w:val="19"/>
              </w:rPr>
              <w:t>Sudden, severe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onset from a vertebral compression fracture, often after minimal exertion such as bending or lifting.</w:t>
            </w:r>
          </w:p>
        </w:tc>
      </w:tr>
      <w:tr>
        <w:trPr>
          <w:cantSplit/>
        </w:trPr>
        <w:tc>
          <w:tcPr>
            <w:tcW w:type="dxa" w:w="2304"/>
            <w:vAlign w:val="top"/>
          </w:tcPr>
          <w:p>
            <w:pPr>
              <w:spacing w:after="40" w:before="0" w:line="259" w:lineRule="auto"/>
            </w:pPr>
            <w:r>
              <w:rPr>
                <w:rFonts w:ascii="Calibri" w:hAnsi="Calibri"/>
                <w:b/>
                <w:i w:val="0"/>
                <w:color w:val="212121"/>
                <w:sz w:val="19"/>
              </w:rPr>
              <w:t>Chronic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pain from healed or multiple vertebral fractures and altered spinal mechanics.</w:t>
            </w:r>
          </w:p>
        </w:tc>
      </w:tr>
      <w:tr>
        <w:trPr>
          <w:cantSplit/>
        </w:trPr>
        <w:tc>
          <w:tcPr>
            <w:tcW w:type="dxa" w:w="2304"/>
            <w:vAlign w:val="top"/>
          </w:tcPr>
          <w:p>
            <w:pPr>
              <w:spacing w:after="40" w:before="0" w:line="259" w:lineRule="auto"/>
            </w:pPr>
            <w:r>
              <w:rPr>
                <w:rFonts w:ascii="Calibri" w:hAnsi="Calibri"/>
                <w:b/>
                <w:i w:val="0"/>
                <w:color w:val="212121"/>
                <w:sz w:val="19"/>
              </w:rPr>
              <w:t>Loss of height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shortening (often several centimetres) from vertebral wedging and compression.</w:t>
            </w:r>
          </w:p>
        </w:tc>
      </w:tr>
      <w:tr>
        <w:trPr>
          <w:cantSplit/>
        </w:trPr>
        <w:tc>
          <w:tcPr>
            <w:tcW w:type="dxa" w:w="2304"/>
            <w:vAlign w:val="top"/>
          </w:tcPr>
          <w:p>
            <w:pPr>
              <w:spacing w:after="40" w:before="0" w:line="259" w:lineRule="auto"/>
            </w:pPr>
            <w:r>
              <w:rPr>
                <w:rFonts w:ascii="Calibri" w:hAnsi="Calibri"/>
                <w:b/>
                <w:i w:val="0"/>
                <w:color w:val="212121"/>
                <w:sz w:val="19"/>
              </w:rPr>
              <w:t>Stooped posture (kyphosis)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Forward curvature of the upper back (‘Dowager’s hump’) from multiple thoracic vertebral fractures.</w:t>
            </w:r>
          </w:p>
        </w:tc>
      </w:tr>
      <w:tr>
        <w:trPr>
          <w:cantSplit/>
        </w:trPr>
        <w:tc>
          <w:tcPr>
            <w:tcW w:type="dxa" w:w="2304"/>
            <w:vAlign w:val="top"/>
          </w:tcPr>
          <w:p>
            <w:pPr>
              <w:spacing w:after="40" w:before="0" w:line="259" w:lineRule="auto"/>
            </w:pPr>
            <w:r>
              <w:rPr>
                <w:rFonts w:ascii="Calibri" w:hAnsi="Calibri"/>
                <w:b/>
                <w:i w:val="0"/>
                <w:color w:val="212121"/>
                <w:sz w:val="19"/>
              </w:rPr>
              <w:t>Fracture after minor trauma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Low-trauma (fragility) fracture of hip, wrist, spine or shoulder from a simple fall or even normal activity.</w:t>
            </w:r>
          </w:p>
        </w:tc>
      </w:tr>
      <w:tr>
        <w:trPr>
          <w:cantSplit/>
        </w:trPr>
        <w:tc>
          <w:tcPr>
            <w:tcW w:type="dxa" w:w="2304"/>
            <w:vAlign w:val="top"/>
          </w:tcPr>
          <w:p>
            <w:pPr>
              <w:spacing w:after="40" w:before="0" w:line="259" w:lineRule="auto"/>
            </w:pPr>
            <w:r>
              <w:rPr>
                <w:rFonts w:ascii="Calibri" w:hAnsi="Calibri"/>
                <w:b/>
                <w:i w:val="0"/>
                <w:color w:val="212121"/>
                <w:sz w:val="19"/>
              </w:rPr>
              <w:t>Hip / groin pain and inability to bear weight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Following a fall, indicating a hip (proximal femur) fracture — a surgical emergency in the elderly.</w:t>
            </w:r>
          </w:p>
        </w:tc>
      </w:tr>
      <w:tr>
        <w:trPr>
          <w:cantSplit/>
        </w:trPr>
        <w:tc>
          <w:tcPr>
            <w:tcW w:type="dxa" w:w="2304"/>
            <w:vAlign w:val="top"/>
          </w:tcPr>
          <w:p>
            <w:pPr>
              <w:spacing w:after="40" w:before="0" w:line="259" w:lineRule="auto"/>
            </w:pPr>
            <w:r>
              <w:rPr>
                <w:rFonts w:ascii="Calibri" w:hAnsi="Calibri"/>
                <w:b/>
                <w:i w:val="0"/>
                <w:color w:val="212121"/>
                <w:sz w:val="19"/>
              </w:rPr>
              <w:t>Wrist pain and deformity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After a fall on the outstretched hand — a distal radius (Colles) fracture, often the first fragility fracture in women.</w:t>
            </w:r>
          </w:p>
        </w:tc>
      </w:tr>
      <w:tr>
        <w:trPr>
          <w:cantSplit/>
        </w:trPr>
        <w:tc>
          <w:tcPr>
            <w:tcW w:type="dxa" w:w="2304"/>
            <w:vAlign w:val="top"/>
          </w:tcPr>
          <w:p>
            <w:pPr>
              <w:spacing w:after="40" w:before="0" w:line="259" w:lineRule="auto"/>
            </w:pPr>
            <w:r>
              <w:rPr>
                <w:rFonts w:ascii="Calibri" w:hAnsi="Calibri"/>
                <w:b/>
                <w:i w:val="0"/>
                <w:color w:val="212121"/>
                <w:sz w:val="19"/>
              </w:rPr>
              <w:t>Reduced mobility and difficulty with daily activities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pain, deformity and fear of further fractures after an event.</w:t>
            </w:r>
          </w:p>
        </w:tc>
      </w:tr>
      <w:tr>
        <w:trPr>
          <w:cantSplit/>
        </w:trPr>
        <w:tc>
          <w:tcPr>
            <w:tcW w:type="dxa" w:w="2304"/>
            <w:vAlign w:val="top"/>
          </w:tcPr>
          <w:p>
            <w:pPr>
              <w:spacing w:after="40" w:before="0" w:line="259" w:lineRule="auto"/>
            </w:pPr>
            <w:r>
              <w:rPr>
                <w:rFonts w:ascii="Calibri" w:hAnsi="Calibri"/>
                <w:b/>
                <w:i w:val="0"/>
                <w:color w:val="212121"/>
                <w:sz w:val="19"/>
              </w:rPr>
              <w:t>Breathlessness / reduced exercise 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Severe thoracic kyphosis restricts chest expansion and lung capacity.</w:t>
            </w:r>
          </w:p>
        </w:tc>
      </w:tr>
      <w:tr>
        <w:trPr>
          <w:cantSplit/>
        </w:trPr>
        <w:tc>
          <w:tcPr>
            <w:tcW w:type="dxa" w:w="2304"/>
            <w:vAlign w:val="top"/>
          </w:tcPr>
          <w:p>
            <w:pPr>
              <w:spacing w:after="40" w:before="0" w:line="259" w:lineRule="auto"/>
            </w:pPr>
            <w:r>
              <w:rPr>
                <w:rFonts w:ascii="Calibri" w:hAnsi="Calibri"/>
                <w:b/>
                <w:i w:val="0"/>
                <w:color w:val="212121"/>
                <w:sz w:val="19"/>
              </w:rPr>
              <w:t>Early satiety / abdominal bloating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trunk height crowds the abdomen, causing a protuberant abdomen and reduced meal capacity.</w:t>
            </w:r>
          </w:p>
        </w:tc>
      </w:tr>
      <w:tr>
        <w:trPr>
          <w:cantSplit/>
        </w:trPr>
        <w:tc>
          <w:tcPr>
            <w:tcW w:type="dxa" w:w="2304"/>
            <w:vAlign w:val="top"/>
          </w:tcPr>
          <w:p>
            <w:pPr>
              <w:spacing w:after="40" w:before="0" w:line="259" w:lineRule="auto"/>
            </w:pPr>
            <w:r>
              <w:rPr>
                <w:rFonts w:ascii="Calibri" w:hAnsi="Calibri"/>
                <w:b/>
                <w:i w:val="0"/>
                <w:color w:val="212121"/>
                <w:sz w:val="19"/>
              </w:rPr>
              <w:t>Neck or interscapular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altered posture and muscular strain secondary to spinal deformity.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Thoracic kyphosis (‘Dowager’s hump’)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Exaggerated forward curvature of the upper spine from multiple vertebral compression fractures.</w:t>
            </w:r>
          </w:p>
        </w:tc>
      </w:tr>
      <w:tr>
        <w:trPr>
          <w:cantSplit/>
        </w:trPr>
        <w:tc>
          <w:tcPr>
            <w:tcW w:type="dxa" w:w="3456"/>
            <w:vAlign w:val="top"/>
          </w:tcPr>
          <w:p>
            <w:pPr>
              <w:spacing w:after="40" w:before="0" w:line="259" w:lineRule="auto"/>
            </w:pPr>
            <w:r>
              <w:rPr>
                <w:rFonts w:ascii="Calibri" w:hAnsi="Calibri"/>
                <w:b/>
                <w:i w:val="0"/>
                <w:color w:val="212121"/>
                <w:sz w:val="19"/>
              </w:rPr>
              <w:t>Documented height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&gt; 2–4 cm from peak adult height suggests vertebral fracture(s).</w:t>
            </w:r>
          </w:p>
        </w:tc>
      </w:tr>
      <w:tr>
        <w:trPr>
          <w:cantSplit/>
        </w:trPr>
        <w:tc>
          <w:tcPr>
            <w:tcW w:type="dxa" w:w="3456"/>
            <w:vAlign w:val="top"/>
          </w:tcPr>
          <w:p>
            <w:pPr>
              <w:spacing w:after="40" w:before="0" w:line="259" w:lineRule="auto"/>
            </w:pPr>
            <w:r>
              <w:rPr>
                <w:rFonts w:ascii="Calibri" w:hAnsi="Calibri"/>
                <w:b/>
                <w:i w:val="0"/>
                <w:color w:val="212121"/>
                <w:sz w:val="19"/>
              </w:rPr>
              <w:t>Increased wall–occiput distance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Inability to touch the back of the head to the wall when standing against it indicates thoracic kyphosis.</w:t>
            </w:r>
          </w:p>
        </w:tc>
      </w:tr>
      <w:tr>
        <w:trPr>
          <w:cantSplit/>
        </w:trPr>
        <w:tc>
          <w:tcPr>
            <w:tcW w:type="dxa" w:w="3456"/>
            <w:vAlign w:val="top"/>
          </w:tcPr>
          <w:p>
            <w:pPr>
              <w:spacing w:after="40" w:before="0" w:line="259" w:lineRule="auto"/>
            </w:pPr>
            <w:r>
              <w:rPr>
                <w:rFonts w:ascii="Calibri" w:hAnsi="Calibri"/>
                <w:b/>
                <w:i w:val="0"/>
                <w:color w:val="212121"/>
                <w:sz w:val="19"/>
              </w:rPr>
              <w:t>Reduced rib–pelvis distance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Fewer than two finger-breadths between the lowest rib and iliac crest suggests lumbar vertebral fractures.</w:t>
            </w:r>
          </w:p>
        </w:tc>
      </w:tr>
      <w:tr>
        <w:trPr>
          <w:cantSplit/>
        </w:trPr>
        <w:tc>
          <w:tcPr>
            <w:tcW w:type="dxa" w:w="3456"/>
            <w:vAlign w:val="top"/>
          </w:tcPr>
          <w:p>
            <w:pPr>
              <w:spacing w:after="40" w:before="0" w:line="259" w:lineRule="auto"/>
            </w:pPr>
            <w:r>
              <w:rPr>
                <w:rFonts w:ascii="Calibri" w:hAnsi="Calibri"/>
                <w:b/>
                <w:i w:val="0"/>
                <w:color w:val="212121"/>
                <w:sz w:val="19"/>
              </w:rPr>
              <w:t>Localised spinal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tenderness over the affected vertebra in an acute compression fracture.</w:t>
            </w:r>
          </w:p>
        </w:tc>
      </w:tr>
      <w:tr>
        <w:trPr>
          <w:cantSplit/>
        </w:trPr>
        <w:tc>
          <w:tcPr>
            <w:tcW w:type="dxa" w:w="3456"/>
            <w:vAlign w:val="top"/>
          </w:tcPr>
          <w:p>
            <w:pPr>
              <w:spacing w:after="40" w:before="0" w:line="259" w:lineRule="auto"/>
            </w:pPr>
            <w:r>
              <w:rPr>
                <w:rFonts w:ascii="Calibri" w:hAnsi="Calibri"/>
                <w:b/>
                <w:i w:val="0"/>
                <w:color w:val="212121"/>
                <w:sz w:val="19"/>
              </w:rPr>
              <w:t>Fragility fracture (clinical / radiographic)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low-trauma fracture of hip, spine, wrist or humerus — the defining clinical event of osteoporosis.</w:t>
            </w:r>
          </w:p>
        </w:tc>
      </w:tr>
      <w:tr>
        <w:trPr>
          <w:cantSplit/>
        </w:trPr>
        <w:tc>
          <w:tcPr>
            <w:tcW w:type="dxa" w:w="3456"/>
            <w:vAlign w:val="top"/>
          </w:tcPr>
          <w:p>
            <w:pPr>
              <w:spacing w:after="40" w:before="0" w:line="259" w:lineRule="auto"/>
            </w:pPr>
            <w:r>
              <w:rPr>
                <w:rFonts w:ascii="Calibri" w:hAnsi="Calibri"/>
                <w:b/>
                <w:i w:val="0"/>
                <w:color w:val="212121"/>
                <w:sz w:val="19"/>
              </w:rPr>
              <w:t>Shortened, externally rotated leg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Classic posture of a displaced hip fracture after a fall in an older adult.</w:t>
            </w:r>
          </w:p>
        </w:tc>
      </w:tr>
      <w:tr>
        <w:trPr>
          <w:cantSplit/>
        </w:trPr>
        <w:tc>
          <w:tcPr>
            <w:tcW w:type="dxa" w:w="3456"/>
            <w:vAlign w:val="top"/>
          </w:tcPr>
          <w:p>
            <w:pPr>
              <w:spacing w:after="40" w:before="0" w:line="259" w:lineRule="auto"/>
            </w:pPr>
            <w:r>
              <w:rPr>
                <w:rFonts w:ascii="Calibri" w:hAnsi="Calibri"/>
                <w:b/>
                <w:i w:val="0"/>
                <w:color w:val="212121"/>
                <w:sz w:val="19"/>
              </w:rPr>
              <w:t>Low body weight / low BMI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 body habitus is both a risk marker and a physical finding in many patients.</w:t>
            </w:r>
          </w:p>
        </w:tc>
      </w:tr>
      <w:tr>
        <w:trPr>
          <w:cantSplit/>
        </w:trPr>
        <w:tc>
          <w:tcPr>
            <w:tcW w:type="dxa" w:w="3456"/>
            <w:vAlign w:val="top"/>
          </w:tcPr>
          <w:p>
            <w:pPr>
              <w:spacing w:after="40" w:before="0" w:line="259" w:lineRule="auto"/>
            </w:pPr>
            <w:r>
              <w:rPr>
                <w:rFonts w:ascii="Calibri" w:hAnsi="Calibri"/>
                <w:b/>
                <w:i w:val="0"/>
                <w:color w:val="212121"/>
                <w:sz w:val="19"/>
              </w:rPr>
              <w:t>Protuberant abdomen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loss of trunk height and reduced thoraco-abdominal space in advanced spinal disease.</w:t>
            </w:r>
          </w:p>
        </w:tc>
      </w:tr>
      <w:tr>
        <w:trPr>
          <w:cantSplit/>
        </w:trPr>
        <w:tc>
          <w:tcPr>
            <w:tcW w:type="dxa" w:w="3456"/>
            <w:vAlign w:val="top"/>
          </w:tcPr>
          <w:p>
            <w:pPr>
              <w:spacing w:after="40" w:before="0" w:line="259" w:lineRule="auto"/>
            </w:pPr>
            <w:r>
              <w:rPr>
                <w:rFonts w:ascii="Calibri" w:hAnsi="Calibri"/>
                <w:b/>
                <w:i w:val="0"/>
                <w:color w:val="212121"/>
                <w:sz w:val="19"/>
              </w:rPr>
              <w:t>Antalgic / cautious gait and unsteadiness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pain, deformity and increased fall risk.</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Vertebral compression (crush) fractures — the commonest osteoporotic fracture, often silent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 (proximal femur) fractures — the most serious, usually requiring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forearm (Colles / wrist)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Other fragility fractures — proximal humerus, pelvis, ribs</w:t>
            </w:r>
          </w:p>
        </w:tc>
        <w:tc>
          <w:tcPr>
            <w:tcW w:type="dxa" w:w="2980"/>
            <w:vAlign w:val="top"/>
          </w:tcPr>
          <w:p>
            <w:pPr>
              <w:spacing w:after="40" w:before="0" w:line="259" w:lineRule="auto"/>
            </w:pPr>
            <w:r>
              <w:rPr>
                <w:rFonts w:ascii="Calibri" w:hAnsi="Calibri"/>
                <w:b w:val="0"/>
                <w:i w:val="0"/>
                <w:color w:val="212121"/>
                <w:sz w:val="19"/>
              </w:rPr>
              <w:t>Direct low-trauma fractures resulting from reduced bone strength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and chronic back pain and analgesic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kyphosis and measurable height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 lung impairment and reduced exercise tolerance from thoracic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abdominal capacity with early satiety, bloating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Immobility, deconditioning, muscle loss and fear of falling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Refracture / fracture cascade — a fragility fracture greatly increases the risk of the next</w:t>
            </w:r>
          </w:p>
        </w:tc>
        <w:tc>
          <w:tcPr>
            <w:tcW w:type="dxa" w:w="2980"/>
            <w:vAlign w:val="top"/>
          </w:tcPr>
          <w:p>
            <w:pPr>
              <w:spacing w:after="40" w:before="0" w:line="259" w:lineRule="auto"/>
            </w:pPr>
            <w:r>
              <w:rPr>
                <w:rFonts w:ascii="Calibri" w:hAnsi="Calibri"/>
                <w:b w:val="0"/>
                <w:i w:val="0"/>
                <w:color w:val="212121"/>
                <w:sz w:val="19"/>
              </w:rPr>
              <w:t>Consequences of fractures and spinal deformity on pain, function, respiration and future risk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 mortality after hip fracture — up to ~20% of older people die within one 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loss of independence and institutionalisation / long-term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prolonged immobility — pressure sores, venous thromboembolism,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syndrome, depression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Sustained loss of quality of life and mobility</w:t>
            </w:r>
          </w:p>
        </w:tc>
        <w:tc>
          <w:tcPr>
            <w:tcW w:type="dxa" w:w="2980"/>
            <w:vAlign w:val="top"/>
          </w:tcPr>
          <w:p>
            <w:pPr>
              <w:spacing w:after="40" w:before="0" w:line="259" w:lineRule="auto"/>
            </w:pPr>
            <w:r>
              <w:rPr>
                <w:rFonts w:ascii="Calibri" w:hAnsi="Calibri"/>
                <w:b w:val="0"/>
                <w:i w:val="0"/>
                <w:color w:val="212121"/>
                <w:sz w:val="19"/>
              </w:rPr>
              <w:t>Irreversible, disabling and life-threatening end-stage outcomes of major fragility fractures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Postmenopausal oestrogen deficiency / early menopause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Oestrogen withdrawal is the central driver of Type I osteoporosis; earlier or surgical menopause means longer deficiency and greater bone loss.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intestinal calcium absorption and causes secondary hyperparathyroidism, increasing bone resorption and, when severe, superimposing osteomalacia; correction is fundamental to treatment.</w:t>
            </w:r>
          </w:p>
          <w:p>
            <w:pPr>
              <w:spacing w:after="40" w:before="0" w:line="259" w:lineRule="auto"/>
            </w:pPr>
            <w:r>
              <w:rPr>
                <w:rFonts w:ascii="Calibri" w:hAnsi="Calibri"/>
                <w:b/>
                <w:i w:val="0"/>
                <w:color w:val="212121"/>
                <w:sz w:val="19"/>
              </w:rPr>
              <w:t>Highly prevalent across all ages in India</w:t>
            </w:r>
          </w:p>
        </w:tc>
      </w:tr>
      <w:tr>
        <w:trPr>
          <w:cantSplit/>
        </w:trPr>
        <w:tc>
          <w:tcPr>
            <w:tcW w:type="dxa" w:w="2232"/>
            <w:vAlign w:val="top"/>
          </w:tcPr>
          <w:p>
            <w:pPr>
              <w:spacing w:after="40" w:before="0" w:line="259" w:lineRule="auto"/>
            </w:pPr>
            <w:r>
              <w:rPr>
                <w:rFonts w:ascii="Calibri" w:hAnsi="Calibri"/>
                <w:b/>
                <w:i w:val="0"/>
                <w:color w:val="212121"/>
                <w:sz w:val="19"/>
              </w:rPr>
              <w:t>Male hypogonadism (low testosterone)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Testosterone (and its aromatisation to oestrogen) maintains male bone; deficiency lowers BMD and is a leading cause of osteoporosis in men.</w:t>
            </w:r>
          </w:p>
        </w:tc>
      </w:tr>
      <w:tr>
        <w:trPr>
          <w:cantSplit/>
        </w:trPr>
        <w:tc>
          <w:tcPr>
            <w:tcW w:type="dxa" w:w="2232"/>
            <w:vAlign w:val="top"/>
          </w:tcPr>
          <w:p>
            <w:pPr>
              <w:spacing w:after="40" w:before="0" w:line="259" w:lineRule="auto"/>
            </w:pPr>
            <w:r>
              <w:rPr>
                <w:rFonts w:ascii="Calibri" w:hAnsi="Calibri"/>
                <w:b/>
                <w:i w:val="0"/>
                <w:color w:val="212121"/>
                <w:sz w:val="19"/>
              </w:rPr>
              <w:t>Glucocorticoid therapy / Cushing’s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Steroid excess suppresses osteoblasts and increases resorption, causing rapid early bone loss — the commonest cause of secondary osteoporosis; steroid use mandates concurrent bone protection.</w:t>
            </w:r>
          </w:p>
        </w:tc>
      </w:tr>
      <w:tr>
        <w:trPr>
          <w:cantSplit/>
        </w:trPr>
        <w:tc>
          <w:tcPr>
            <w:tcW w:type="dxa" w:w="2232"/>
            <w:vAlign w:val="top"/>
          </w:tcPr>
          <w:p>
            <w:pPr>
              <w:spacing w:after="40" w:before="0" w:line="259" w:lineRule="auto"/>
            </w:pPr>
            <w:r>
              <w:rPr>
                <w:rFonts w:ascii="Calibri" w:hAnsi="Calibri"/>
                <w:b/>
                <w:i w:val="0"/>
                <w:color w:val="212121"/>
                <w:sz w:val="19"/>
              </w:rPr>
              <w:t>Rheumatoid arthritis &amp; other inflammatory diseases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immobility and frequent glucocorticoid use lower BMD, so osteoporosis commonly coexists and must be screened for and managed.</w:t>
            </w:r>
          </w:p>
        </w:tc>
      </w:tr>
      <w:tr>
        <w:trPr>
          <w:cantSplit/>
        </w:trPr>
        <w:tc>
          <w:tcPr>
            <w:tcW w:type="dxa" w:w="2232"/>
            <w:vAlign w:val="top"/>
          </w:tcPr>
          <w:p>
            <w:pPr>
              <w:spacing w:after="40" w:before="0" w:line="259" w:lineRule="auto"/>
            </w:pPr>
            <w:r>
              <w:rPr>
                <w:rFonts w:ascii="Calibri" w:hAnsi="Calibri"/>
                <w:b/>
                <w:i w:val="0"/>
                <w:color w:val="212121"/>
                <w:sz w:val="19"/>
              </w:rPr>
              <w:t>Thyrotoxicosis / thyroxine over-replacement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Excess thyroid hormone accelerates bone turnover and net loss; over-treated hypothyroidism is a modifiable, often overlooked cause.</w:t>
            </w:r>
          </w:p>
        </w:tc>
      </w:tr>
      <w:tr>
        <w:trPr>
          <w:cantSplit/>
        </w:trPr>
        <w:tc>
          <w:tcPr>
            <w:tcW w:type="dxa" w:w="2232"/>
            <w:vAlign w:val="top"/>
          </w:tcPr>
          <w:p>
            <w:pPr>
              <w:spacing w:after="40" w:before="0" w:line="259" w:lineRule="auto"/>
            </w:pPr>
            <w:r>
              <w:rPr>
                <w:rFonts w:ascii="Calibri" w:hAnsi="Calibri"/>
                <w:b/>
                <w:i w:val="0"/>
                <w:color w:val="212121"/>
                <w:sz w:val="19"/>
              </w:rPr>
              <w:t>Primary hyperparathyroidism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Excess PTH increases osteoclastic resorption and cortical bone loss; parathyroidectomy can improve BMD.</w:t>
            </w:r>
          </w:p>
        </w:tc>
      </w:tr>
      <w:tr>
        <w:trPr>
          <w:cantSplit/>
        </w:trPr>
        <w:tc>
          <w:tcPr>
            <w:tcW w:type="dxa" w:w="2232"/>
            <w:vAlign w:val="top"/>
          </w:tcPr>
          <w:p>
            <w:pPr>
              <w:spacing w:after="40" w:before="0" w:line="259" w:lineRule="auto"/>
            </w:pPr>
            <w:r>
              <w:rPr>
                <w:rFonts w:ascii="Calibri" w:hAnsi="Calibri"/>
                <w:b/>
                <w:i w:val="0"/>
                <w:color w:val="212121"/>
                <w:sz w:val="19"/>
              </w:rPr>
              <w:t>Chronic kidney disease (CKD-MBD)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Disordered calcium, phosphate, vitamin D and PTH metabolism produce renal bone disease that overlaps with and complicates the diagnosis and treatment of osteoporosis.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type 1 and type 2 diabetes are associated with increased fracture risk — despite normal or high BMD in type 2 — through impaired bone quality, falls and some glucose-lowering drugs.</w:t>
            </w:r>
          </w:p>
        </w:tc>
      </w:tr>
      <w:tr>
        <w:trPr>
          <w:cantSplit/>
        </w:trPr>
        <w:tc>
          <w:tcPr>
            <w:tcW w:type="dxa" w:w="2232"/>
            <w:vAlign w:val="top"/>
          </w:tcPr>
          <w:p>
            <w:pPr>
              <w:spacing w:after="40" w:before="0" w:line="259" w:lineRule="auto"/>
            </w:pPr>
            <w:r>
              <w:rPr>
                <w:rFonts w:ascii="Calibri" w:hAnsi="Calibri"/>
                <w:b/>
                <w:i w:val="0"/>
                <w:color w:val="212121"/>
                <w:sz w:val="19"/>
              </w:rPr>
              <w:t>Coeliac disease / malabsorption &amp; inflammatory bowel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Malabsorption of calcium and vitamin D and chronic inflammation lower BMD; osteoporosis may be the presenting problem of undiagnosed coeliac disease.</w:t>
            </w:r>
          </w:p>
        </w:tc>
      </w:tr>
      <w:tr>
        <w:trPr>
          <w:cantSplit/>
        </w:trPr>
        <w:tc>
          <w:tcPr>
            <w:tcW w:type="dxa" w:w="2232"/>
            <w:vAlign w:val="top"/>
          </w:tcPr>
          <w:p>
            <w:pPr>
              <w:spacing w:after="40" w:before="0" w:line="259" w:lineRule="auto"/>
            </w:pPr>
            <w:r>
              <w:rPr>
                <w:rFonts w:ascii="Calibri" w:hAnsi="Calibri"/>
                <w:b/>
                <w:i w:val="0"/>
                <w:color w:val="212121"/>
                <w:sz w:val="19"/>
              </w:rPr>
              <w:t>Sarcopenia / frailty (‘osteosarcopenia’)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muscle mass and strength coexists with bone loss and shares mechanisms; together they sharply increase falls and fractures and worsen outcomes.</w:t>
            </w:r>
          </w:p>
        </w:tc>
      </w:tr>
      <w:tr>
        <w:trPr>
          <w:cantSplit/>
        </w:trPr>
        <w:tc>
          <w:tcPr>
            <w:tcW w:type="dxa" w:w="2232"/>
            <w:vAlign w:val="top"/>
          </w:tcPr>
          <w:p>
            <w:pPr>
              <w:spacing w:after="40" w:before="0" w:line="259" w:lineRule="auto"/>
            </w:pPr>
            <w:r>
              <w:rPr>
                <w:rFonts w:ascii="Calibri" w:hAnsi="Calibri"/>
                <w:b/>
                <w:i w:val="0"/>
                <w:color w:val="212121"/>
                <w:sz w:val="19"/>
              </w:rPr>
              <w:t>Falls / recurrent falls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Falls are the immediate trigger that converts low bone mass into fractures, so fall prevention is integral to osteoporosis management.</w:t>
            </w:r>
          </w:p>
        </w:tc>
      </w:tr>
      <w:tr>
        <w:trPr>
          <w:cantSplit/>
        </w:trPr>
        <w:tc>
          <w:tcPr>
            <w:tcW w:type="dxa" w:w="2232"/>
            <w:vAlign w:val="top"/>
          </w:tcPr>
          <w:p>
            <w:pPr>
              <w:spacing w:after="40" w:before="0" w:line="259" w:lineRule="auto"/>
            </w:pPr>
            <w:r>
              <w:rPr>
                <w:rFonts w:ascii="Calibri" w:hAnsi="Calibri"/>
                <w:b/>
                <w:i w:val="0"/>
                <w:color w:val="212121"/>
                <w:sz w:val="19"/>
              </w:rPr>
              <w:t>Fragility fracture (prior fracture)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prior low-trauma fracture both results from osteoporosis and markedly predicts future fractures, defining a high-priority group for secondary prevention.</w:t>
            </w:r>
          </w:p>
          <w:p>
            <w:pPr>
              <w:spacing w:after="40" w:before="0" w:line="259" w:lineRule="auto"/>
            </w:pPr>
            <w:r>
              <w:rPr>
                <w:rFonts w:ascii="Calibri" w:hAnsi="Calibri"/>
                <w:b/>
                <w:i w:val="0"/>
                <w:color w:val="212121"/>
                <w:sz w:val="19"/>
              </w:rPr>
              <w:t>Strongest single predictor of the next fracture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Depression is associated with lower BMD via raised cortisol, inactivity, poor nutrition and some antidepressants, and fractures in turn worsen mood — a bidirectional link.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osteoporosis is a ‘silent disease’ with no symptoms until a bone breaks — so prevention and screening matter before any fracture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key risk factors — being an older or postmenopausal woman, early/surgical menopause, low body weight, family history of hip fracture, long-term steroids, smoking and heavy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height loss, a stooping upper back or a bone that breaks after a minor fall are warning signs that warrant a DXA scan and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peak bone mass early in life and protect it thereafter with adequate calcium, vitamin D, protein and regular weight-bearing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regular safe sun exposure and correct proven vitamin D and calcium deficiency, which are very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any fragility fracture, ask to be assessed and treated for osteoporosis to prevent the next one (secondary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environment fall-safe — good lighting, no loose rugs, grab-rails, and review vision and sedating medicines.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 prior fragility fracture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weight-bearing aerobic activity (brisk walking, stair climbing, dancing) on most days to load and maintain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progressive resistance / strength training 2–3 days per week to build muscle and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specific balance and posture training (e.g., tai chi, back-extensor strengthening) to reduce falls and vertebral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 per week of moderate activity, individualised to ability and fracture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high-impact, twisting or loaded forward-bending (spinal flexion) movements if vertebral fractures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active and mobilise early after any fracture to prevent deconditioning, guided by physiotherapy.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osteoporosis / osteopenia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a fragility fracture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adequate calcium (~1000–1200 mg/day) from milk, curd, paneer, ragi, sesame (til), green leafy vegetables and, where needed,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vitamin D through safe sunlight and, where deficient, supplementation — essential for calcium absorption and bone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enough good-quality protein (~1.0–1.2 g/kg/day) to support the bone matrix and muscle, particularly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fruits and vegetables and avoid very high salt, which increases urinary calcium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caffeine and carbonated soft drinks, especially when calcium intake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and avoid crash dieting, which lowers bone mass.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with low calcium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as very short or poor sleep has been linked with lower bone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particularly for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disorders and limit evening alcohol and caffeine, which also affect bone and fall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safe night-time lighting and a clear path to the bathroom to prevent nocturnal falls and fractures.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risk of night-time falls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which lowers bone density and nearly doubles hip-fracture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nicotine replacement or pharmacotherapy —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smokeless tobacco (khaini, gutka, zarda), which is common in India and harmful to overall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calcium, vitamin D and exercise for maximum bone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BMD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 limits (no more than ~2 units/day, less is better), since heavier intake increases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suppresses bone formation and increases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means of coping with chronic pain, and seek support to cut down if intake is heavy.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reduced alcohol with fall-prevention and good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or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at risk of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osteoporosis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is linked with lower bone density and reduced activity and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fear of falling and loss of confidence after a fracture, which can cause immobility and further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engagement, physical activity and, where needed, physiotherapy and pain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and sedating medicines that increase fall risk, balancing benefits and harms.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and provide counselling around independence and rehabilitation after major fractures.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after a fragility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socially isolated 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lifelong weight-bearing and muscle-strengthening activity from childhood to maximise peak bone mass and slow later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low body weight and sarcopenia from mid-life onward with strength training and adequate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sedentary time and prolonged immobilisation, which accelerate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training in older adults to prevent the falls that cause fractures.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(peak bone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Community-dwelling elderly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steoporosis.foundation/facts-statistics/epidemiology-of-osteoporosis-and-fragility-fractures" TargetMode="External"/><Relationship Id="rId10" Type="http://schemas.openxmlformats.org/officeDocument/2006/relationships/hyperlink" Target="https://www.osteoporosis.foundation/patients/about-osteoporosis/risk-factors" TargetMode="External"/><Relationship Id="rId11" Type="http://schemas.openxmlformats.org/officeDocument/2006/relationships/hyperlink" Target="https://www.bonehealthandosteoporosis.org/patients/what-is-osteoporosis/" TargetMode="External"/><Relationship Id="rId12" Type="http://schemas.openxmlformats.org/officeDocument/2006/relationships/hyperlink" Target="https://www.osteoporosis.foundation/health-professionals/about-osteoporosis/epidemiology" TargetMode="External"/><Relationship Id="rId13" Type="http://schemas.openxmlformats.org/officeDocument/2006/relationships/hyperlink" Target="https://www.niams.nih.gov/health-topics/osteoporosis" TargetMode="External"/><Relationship Id="rId14" Type="http://schemas.openxmlformats.org/officeDocument/2006/relationships/hyperlink" Target="https://www.bonehealthandosteoporosis.org/patients/diag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