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Vitamin B12 Deficiency</w:t>
      </w:r>
    </w:p>
    <w:p>
      <w:pPr>
        <w:spacing w:before="0" w:after="160"/>
      </w:pPr>
      <w:r>
        <w:rPr>
          <w:rFonts w:ascii="Calibri" w:hAnsi="Calibri"/>
          <w:b/>
          <w:i w:val="0"/>
          <w:color w:val="212121"/>
          <w:sz w:val="22"/>
        </w:rPr>
        <w:t xml:space="preserve">AKA </w:t>
      </w:r>
      <w:r>
        <w:rPr>
          <w:rFonts w:ascii="Calibri" w:hAnsi="Calibri"/>
          <w:b w:val="0"/>
          <w:i w:val="0"/>
          <w:color w:val="212121"/>
          <w:sz w:val="22"/>
        </w:rPr>
        <w:t>i.e., Cobalamin deficiency, Hypocobalaminaemia, Low B12; the classic haematological form is Megaloblastic (macrocytic) anaemia; the autoimmune malabsorptive form is Pernicious anaemia; spinal-cord involvement is Subacute combined degeneration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Vitamin B12 (cobalamin) deficiency is a common, often silent nutritional and haematological disorder defined by low body stores of cobalamin, a water-soluble vitamin obtained almost exclusively from animal-source foods and essential as a cofactor for DNA synthesis, red-cell formation and the maintenance of myelin in the nervous system. Because B12 is a cofactor for methionine synthase and methylmalonyl-CoA mutase, deficiency impairs one-carbon (methylation) metabolism and causes accumulation of homocysteine and methylmalonic acid. Clinically it spans a spectrum from asymptomatic biochemical deficiency, through megaloblastic (macrocytic) anaemia, to disabling neurological disease (subacute combined degeneration of the spinal cord, peripheral neuropathy and cognitive change) that can occur even without anaemia.</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Vitamin B12 deficiency is one of India's most common yet under-recognised micronutrient disorders, driven largely by a predominantly vegetarian diet, since cobalamin occurs almost only in animal foods. A recent meta-analysis of roughly 18,750 Indians pooled the prevalence of inadequate B12 at about 51% (95% CI 44-57%), rising to ~65% in vegetarians versus ~32% in non-vegetarians, and higher in women (~55%) and in pregnancy (~67%). Community data mirror this: 42.3% of rural adults aged 45 years and above (SANSCOG cohort) and 52-65% of adults in and around Pune were deficient (serum B12 &lt;200 pg/mL), while low maternal B12 reaches 60-74% in parts of rural western and northern India. Overt clinical deficiency is recognised in roughly 3-5% of the general population but 5-20% of those over 65 years, reflecting age-related malabsorption on top of low intake.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Vitamin B12 status is assessed primarily by measuring serum total cobalamin, supported by functional metabolic markers (methylmalonic acid and homocysteine) and by haematological and cause-defining tests. Because serum B12 is an imperfect marker, borderline results are confirmed with functional tests, and neurological deficiency can occur at low-normal levels. Widely used interpretive thresholds are: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 total vitamin B12 (cobalamin): deficiency &lt; 200 pg/mL (&lt; 148 pmol/L); borderline/low-normal 200-300 pg/mL, which warrants confirmatory testing; sufficiency &gt; 300 pg/mL;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Functional markers for borderline cases: raised serum methylmalonic acid (MMA) and raised total plasma homocysteine are early, sensitive indicators of tissue B12 deficiency - MMA is relatively specific, whereas homocysteine also rises with folate or vitamin B6 deficiency;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Holotranscobalamin (“active B12”) &lt; ~40 pmol/L supports deficiency and can be used as a first- or second-line test;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haematology: macrocytosis (MCV &gt; 100 fL), oval macrocytes and hypersegmented neutrophils (≥ 5 nuclear lobes) on peripheral smear, with anaemia in advanced cases; raised LDH and indirect bilirubin indicate ineffective erythropoiesis; severe deficiency can cause pancytopenia;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Cause-defining tests: anti-intrinsic-factor and anti-parietal-cell antibodies (pernicious anaemia), gastroscopy/serum gastrin for atrophic gastritis, and coexisting serum folate, ferritin and iron studies to detect combined deficiencies that may mask macrocytosis;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Diagnosis is confirmed by a low B12 with compatible clinical, biochemical or haematological features and a response to replacement; a normal serum B12 with clearly raised MMA/homocysteine still indicates functional deficiency.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Vitamin B12 deficiency can be described by its underlying mechanism, by clinical severity/stage, and by the sequence of biochemical markers:</w:t>
      </w:r>
    </w:p>
    <w:p>
      <w:pPr>
        <w:spacing w:before="0" w:after="80"/>
      </w:pPr>
      <w:r>
        <w:rPr>
          <w:rFonts w:ascii="Calibri" w:hAnsi="Calibri"/>
          <w:b w:val="0"/>
          <w:i w:val="0"/>
          <w:color w:val="212121"/>
          <w:sz w:val="21"/>
        </w:rPr>
        <w:t>(1) By mechanism - nutritional/dietary deficiency (inadequate intake from strict vegetarian or vegan diets, the dominant cause in India); malabsorptive deficiency (pernicious anaemia from autoimmune atrophic gastritis with loss of intrinsic factor; atrophic gastritis and Helicobacter pylori infection; gastrectomy or bariatric surgery; terminal-ileal disease such as Crohn's disease, ileal resection or tropical sprue; coeliac disease; fish-tapeworm and bacterial overgrowth); drug-induced deficiency (long-term metformin, chronic proton-pump inhibitors/H2-blockers, and nitrous oxide, which irreversibly oxidises cobalamin); and rare congenital forms (intrinsic-factor deficiency, Imerslund-Gräsbeck syndrome, transcobalamin II deficiency).</w:t>
      </w:r>
    </w:p>
    <w:p>
      <w:pPr>
        <w:spacing w:before="0" w:after="80"/>
      </w:pPr>
      <w:r>
        <w:rPr>
          <w:rFonts w:ascii="Calibri" w:hAnsi="Calibri"/>
          <w:b w:val="0"/>
          <w:i w:val="0"/>
          <w:color w:val="212121"/>
          <w:sz w:val="21"/>
        </w:rPr>
        <w:t>(2) By severity/stage - subclinical (biochemical) deficiency (low or low-normal B12 with raised MMA/homocysteine but no symptoms, by far the commonest form in India); overt haematological deficiency (megaloblastic/macrocytic anaemia, and in severe cases pancytopenia); and neurological/neuropsychiatric deficiency (subacute combined degeneration, peripheral neuropathy, cognitive and mood change), which characteristically can develop without anaemia.</w:t>
      </w:r>
    </w:p>
    <w:p>
      <w:pPr>
        <w:spacing w:before="0" w:after="80"/>
      </w:pPr>
      <w:r>
        <w:rPr>
          <w:rFonts w:ascii="Calibri" w:hAnsi="Calibri"/>
          <w:b w:val="0"/>
          <w:i w:val="0"/>
          <w:color w:val="212121"/>
          <w:sz w:val="21"/>
        </w:rPr>
        <w:t>(3) By biomarker sequence - depletion (low holotranscobalamin) progresses to deficient B12-dependent metabolism (rising MMA and homocysteine) and finally to clinical deficiency (anaemia and/or neurological signs), reflecting a continuum rather than a single cut-off value.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Inadequate dietary intake: Cobalamin is synthesised only by microbes and reaches humans almost exclusively through animal foods (meat, fish, eggs, milk and milk products); India's predominantly lacto-vegetarian and vegan diets are the leading cause of deficiency.</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Autoimmune pernicious anaemia: Antibodies against intrinsic factor and gastric parietal cells cause autoimmune atrophic gastritis with loss of intrinsic factor, preventing B12 absorption in the terminal ileum - the classic malabsorptive cause.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Malabsorption / gastrointestinal disease: Atrophic gastritis, H. pylori infection, gastrectomy or bariatric surgery, terminal-ileal disease (Crohn's, resection), coeliac disease, tropical sprue and small-bowel bacterial overgrowth impair the release or absorption of B12.</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Drug-induced: Long-term metformin (reduces calcium-dependent ileal B12 uptake), chronic proton-pump inhibitors and H2-blockers (reduce the gastric acid needed to free food-bound B12), and nitrous oxide (irreversibly oxidises cobalamin) precipitate or worsen deficiency.</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Increased requirement and reduced stores: Pregnancy, lactation, infancy (breastfed infants of deficient mothers) and rapid childhood growth raise demand and can exhaust limited hepatic stores.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Advancing age: Reduced gastric acid secretion and atrophic gastritis in older adults progressively impair absorption of protein-bound (food) B12 even when intake is adequate.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Working-age Indian adults are at high risk chiefly through diet: lifelong vegetarian eating with little dairy, low awareness and no routine screening allow subclinical deficiency to build silently while stores slowly fall.</w:t>
            </w:r>
          </w:p>
          <w:p>
            <w:pPr>
              <w:spacing w:after="40" w:before="60" w:line="259" w:lineRule="auto"/>
            </w:pPr>
            <w:r>
              <w:rPr>
                <w:rFonts w:ascii="Calibri" w:hAnsi="Calibri"/>
                <w:b w:val="0"/>
                <w:i w:val="0"/>
                <w:color w:val="212121"/>
                <w:sz w:val="19"/>
              </w:rPr>
              <w:t>An Indian meta-analysis found ~45% of adults had inadequate B12; around Pune, 52.2% of urban and 64.8% of rural adults were deficient (&lt;200 pg/mL).</w:t>
            </w:r>
          </w:p>
          <w:p>
            <w:pPr>
              <w:spacing w:after="40" w:line="252" w:lineRule="auto"/>
            </w:pPr>
            <w:hyperlink r:id="rId9">
              <w:r>
                <w:rPr>
                  <w:rFonts w:ascii="Calibri" w:hAnsi="Calibri" w:cs="Calibri"/>
                  <w:sz w:val="18"/>
                  <w:color w:val="1155CC"/>
                  <w:u w:val="single"/>
                </w:rPr>
                <w:t xml:space="preserve">pmc.ncbi.nlm.nih.gov — B12 &amp; vitamin D deficiency, Pune (urban/rural)</w:t>
              </w:r>
            </w:hyperlink>
          </w:p>
          <w:p>
            <w:pPr>
              <w:spacing w:before="60" w:after="40"/>
            </w:pPr>
            <w:r>
              <w:rPr>
                <w:rFonts w:ascii="Calibri" w:hAnsi="Calibri"/>
                <w:b w:val="0"/>
                <w:i w:val="0"/>
                <w:color w:val="5A5A5A"/>
                <w:sz w:val="18"/>
              </w:rPr>
              <w:t>#cobalamin  #vegetarian  #subclinical  #lowintake  #screening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Older adults absorb food-bound B12 poorly because of age-related gastric atrophy, hypochlorhydria, H. pylori and long-term acid-suppressing drugs; deficiency also mimics or worsens age-related fatigue, neuropathy and memory loss.</w:t>
            </w:r>
          </w:p>
          <w:p>
            <w:pPr>
              <w:spacing w:after="40" w:before="60" w:line="259" w:lineRule="auto"/>
            </w:pPr>
            <w:r>
              <w:rPr>
                <w:rFonts w:ascii="Calibri" w:hAnsi="Calibri"/>
                <w:b w:val="0"/>
                <w:i w:val="0"/>
                <w:color w:val="212121"/>
                <w:sz w:val="19"/>
              </w:rPr>
              <w:t>Overt clinical deficiency affects ~5-20% of people over 65; in the rural Indian SANSCOG cohort (age ≥ 45) 42.3% were B12 deficient (&lt;200 pg/mL).</w:t>
            </w:r>
          </w:p>
          <w:p>
            <w:pPr>
              <w:spacing w:after="40" w:line="252" w:lineRule="auto"/>
            </w:pPr>
            <w:hyperlink r:id="rId10">
              <w:r>
                <w:rPr>
                  <w:rFonts w:ascii="Calibri" w:hAnsi="Calibri" w:cs="Calibri"/>
                  <w:sz w:val="18"/>
                  <w:color w:val="1155CC"/>
                  <w:u w:val="single"/>
                </w:rPr>
                <w:t xml:space="preserve">frontiersin.org — SANSCOG: B12/D/folate in aging rural India</w:t>
              </w:r>
            </w:hyperlink>
          </w:p>
          <w:p>
            <w:pPr>
              <w:spacing w:before="60" w:after="40"/>
            </w:pPr>
            <w:r>
              <w:rPr>
                <w:rFonts w:ascii="Calibri" w:hAnsi="Calibri"/>
                <w:b w:val="0"/>
                <w:i w:val="0"/>
                <w:color w:val="5A5A5A"/>
                <w:sz w:val="18"/>
              </w:rPr>
              <w:t>#ageing  #atrophicgastritis  #malabsorption  #cognitive  #hypochlorhydria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Infants &amp; young children</w:t>
            </w:r>
          </w:p>
        </w:tc>
        <w:tc>
          <w:tcPr>
            <w:tcW w:type="dxa" w:w="4276"/>
            <w:vAlign w:val="top"/>
          </w:tcPr>
          <w:p>
            <w:pPr>
              <w:spacing w:after="60" w:line="259" w:lineRule="auto"/>
            </w:pPr>
            <w:r>
              <w:rPr>
                <w:rFonts w:ascii="Calibri" w:hAnsi="Calibri"/>
                <w:b w:val="0"/>
                <w:i w:val="0"/>
                <w:color w:val="212121"/>
                <w:sz w:val="19"/>
              </w:rPr>
              <w:t>Breastfed infants of vegetarian or B12-deficient mothers are born with low stores and receive little in milk, so deficiency can appear within months and threaten growth, development and neurological maturation.</w:t>
            </w:r>
          </w:p>
          <w:p>
            <w:pPr>
              <w:spacing w:after="40" w:before="60" w:line="259" w:lineRule="auto"/>
            </w:pPr>
            <w:r>
              <w:rPr>
                <w:rFonts w:ascii="Calibri" w:hAnsi="Calibri"/>
                <w:b w:val="0"/>
                <w:i w:val="0"/>
                <w:color w:val="212121"/>
                <w:sz w:val="19"/>
              </w:rPr>
              <w:t>Indian pooled data show the highest deficiency in infants (~61%); infants of vegan/deficient mothers can become deficient by 4-6 months of age.</w:t>
            </w:r>
          </w:p>
          <w:p>
            <w:pPr>
              <w:spacing w:after="40" w:line="252" w:lineRule="auto"/>
            </w:pPr>
            <w:hyperlink r:id="rId11">
              <w:r>
                <w:rPr>
                  <w:rFonts w:ascii="Calibri" w:hAnsi="Calibri" w:cs="Calibri"/>
                  <w:sz w:val="18"/>
                  <w:color w:val="1155CC"/>
                  <w:u w:val="single"/>
                </w:rPr>
                <w:t xml:space="preserve">healthcare-bulletin.co.uk — India B12 meta-analysis</w:t>
              </w:r>
            </w:hyperlink>
          </w:p>
          <w:p>
            <w:pPr>
              <w:spacing w:before="60" w:after="40"/>
            </w:pPr>
            <w:r>
              <w:rPr>
                <w:rFonts w:ascii="Calibri" w:hAnsi="Calibri"/>
                <w:b w:val="0"/>
                <w:i w:val="0"/>
                <w:color w:val="5A5A5A"/>
                <w:sz w:val="18"/>
              </w:rPr>
              <w:t>#infants  #breastfeeding  #maternalB12  #development  #neonatal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of reproductive age &amp; pregnancy</w:t>
            </w:r>
          </w:p>
        </w:tc>
        <w:tc>
          <w:tcPr>
            <w:tcW w:type="dxa" w:w="4276"/>
            <w:vAlign w:val="top"/>
          </w:tcPr>
          <w:p>
            <w:pPr>
              <w:spacing w:after="60" w:line="259" w:lineRule="auto"/>
            </w:pPr>
            <w:r>
              <w:rPr>
                <w:rFonts w:ascii="Calibri" w:hAnsi="Calibri"/>
                <w:b w:val="0"/>
                <w:i w:val="0"/>
                <w:color w:val="212121"/>
                <w:sz w:val="19"/>
              </w:rPr>
              <w:t>Higher physiological demand in menstruation, pregnancy and lactation, combined with often lower animal-food intake, raises deficiency risk; low maternal B12 also endangers the fetus and infant.</w:t>
            </w:r>
          </w:p>
          <w:p>
            <w:pPr>
              <w:spacing w:after="40" w:before="60" w:line="259" w:lineRule="auto"/>
            </w:pPr>
            <w:r>
              <w:rPr>
                <w:rFonts w:ascii="Calibri" w:hAnsi="Calibri"/>
                <w:b w:val="0"/>
                <w:i w:val="0"/>
                <w:color w:val="212121"/>
                <w:sz w:val="19"/>
              </w:rPr>
              <w:t>Pooled Indian prevalence was ~55% in women and ~67% in pregnancy; some Indian clinic cohorts conversely report higher rates in men who use alcohol/tobacco.</w:t>
            </w:r>
          </w:p>
          <w:p>
            <w:pPr>
              <w:spacing w:after="40" w:line="252" w:lineRule="auto"/>
            </w:pPr>
            <w:hyperlink r:id="rId11">
              <w:r>
                <w:rPr>
                  <w:rFonts w:ascii="Calibri" w:hAnsi="Calibri" w:cs="Calibri"/>
                  <w:sz w:val="18"/>
                  <w:color w:val="1155CC"/>
                  <w:u w:val="single"/>
                </w:rPr>
                <w:t xml:space="preserve">healthcare-bulletin.co.uk — India B12 meta-analysis (by sex/pregnancy)</w:t>
              </w:r>
            </w:hyperlink>
          </w:p>
          <w:p>
            <w:pPr>
              <w:spacing w:before="60" w:after="40"/>
            </w:pPr>
            <w:r>
              <w:rPr>
                <w:rFonts w:ascii="Calibri" w:hAnsi="Calibri"/>
                <w:b w:val="0"/>
                <w:i w:val="0"/>
                <w:color w:val="5A5A5A"/>
                <w:sz w:val="18"/>
              </w:rPr>
              <w:t>#women  #pregnancy  #lactation  #maternalhealth  #reproductive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food-insecure households</w:t>
            </w:r>
          </w:p>
        </w:tc>
        <w:tc>
          <w:tcPr>
            <w:tcW w:type="dxa" w:w="4276"/>
            <w:vAlign w:val="top"/>
          </w:tcPr>
          <w:p>
            <w:pPr>
              <w:spacing w:after="60" w:line="259" w:lineRule="auto"/>
            </w:pPr>
            <w:r>
              <w:rPr>
                <w:rFonts w:ascii="Calibri" w:hAnsi="Calibri"/>
                <w:b w:val="0"/>
                <w:i w:val="0"/>
                <w:color w:val="212121"/>
                <w:sz w:val="19"/>
              </w:rPr>
              <w:t>Animal-source foods (eggs, fish, meat, dairy) are relatively costly, so poverty and food insecurity lower B12 intake; there is also little B12 fortification of Indian staples.</w:t>
            </w:r>
          </w:p>
          <w:p>
            <w:pPr>
              <w:spacing w:after="40" w:before="60" w:line="259" w:lineRule="auto"/>
            </w:pPr>
            <w:r>
              <w:rPr>
                <w:rFonts w:ascii="Calibri" w:hAnsi="Calibri"/>
                <w:b w:val="0"/>
                <w:i w:val="0"/>
                <w:color w:val="212121"/>
                <w:sz w:val="19"/>
              </w:rPr>
              <w:t>Deficiency is consistently high across Indian community studies, with the largely plant-based, low-fortification food environment a key structural driver.</w:t>
            </w:r>
          </w:p>
          <w:p>
            <w:pPr>
              <w:spacing w:after="40" w:line="252" w:lineRule="auto"/>
            </w:pPr>
            <w:hyperlink r:id="rId11">
              <w:r>
                <w:rPr>
                  <w:rFonts w:ascii="Calibri" w:hAnsi="Calibri" w:cs="Calibri"/>
                  <w:sz w:val="18"/>
                  <w:color w:val="1155CC"/>
                  <w:u w:val="single"/>
                </w:rPr>
                <w:t xml:space="preserve">healthcare-bulletin.co.uk — India B12 meta-analysis</w:t>
              </w:r>
            </w:hyperlink>
          </w:p>
          <w:p>
            <w:pPr>
              <w:spacing w:before="60" w:after="40"/>
            </w:pPr>
            <w:r>
              <w:rPr>
                <w:rFonts w:ascii="Calibri" w:hAnsi="Calibri"/>
                <w:b w:val="0"/>
                <w:i w:val="0"/>
                <w:color w:val="5A5A5A"/>
                <w:sz w:val="18"/>
              </w:rPr>
              <w:t>#poverty  #foodinsecurity  #nofortification  #animalfoods  #accessgap</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 South Asian vegetarian-predominant population</w:t>
            </w:r>
          </w:p>
        </w:tc>
        <w:tc>
          <w:tcPr>
            <w:tcW w:type="dxa" w:w="4276"/>
            <w:vAlign w:val="top"/>
          </w:tcPr>
          <w:p>
            <w:pPr>
              <w:spacing w:after="60" w:line="259" w:lineRule="auto"/>
            </w:pPr>
            <w:r>
              <w:rPr>
                <w:rFonts w:ascii="Calibri" w:hAnsi="Calibri"/>
                <w:b w:val="0"/>
                <w:i w:val="0"/>
                <w:color w:val="212121"/>
                <w:sz w:val="19"/>
              </w:rPr>
              <w:t>A cultural, religious and economic predominance of vegetarian eating across India makes low dietary B12 a population-level exposure, unlike in largely meat-eating populations.</w:t>
            </w:r>
          </w:p>
          <w:p>
            <w:pPr>
              <w:spacing w:after="40" w:before="60" w:line="259" w:lineRule="auto"/>
            </w:pPr>
            <w:r>
              <w:rPr>
                <w:rFonts w:ascii="Calibri" w:hAnsi="Calibri"/>
                <w:b w:val="0"/>
                <w:i w:val="0"/>
                <w:color w:val="212121"/>
                <w:sz w:val="19"/>
              </w:rPr>
              <w:t>Pooled prevalence of inadequate B12 in Indians was ~51% (95% CI 44-57%) - ~65% in vegetarians versus ~32% in non-vegetarians.</w:t>
            </w:r>
          </w:p>
          <w:p>
            <w:pPr>
              <w:spacing w:after="40" w:line="252" w:lineRule="auto"/>
            </w:pPr>
            <w:hyperlink r:id="rId11">
              <w:r>
                <w:rPr>
                  <w:rFonts w:ascii="Calibri" w:hAnsi="Calibri" w:cs="Calibri"/>
                  <w:sz w:val="18"/>
                  <w:color w:val="1155CC"/>
                  <w:u w:val="single"/>
                </w:rPr>
                <w:t xml:space="preserve">healthcare-bulletin.co.uk — India B12 meta-analysis (veg vs non-veg)</w:t>
              </w:r>
            </w:hyperlink>
          </w:p>
          <w:p>
            <w:pPr>
              <w:spacing w:before="60" w:after="40"/>
            </w:pPr>
            <w:r>
              <w:rPr>
                <w:rFonts w:ascii="Calibri" w:hAnsi="Calibri"/>
                <w:b w:val="0"/>
                <w:i w:val="0"/>
                <w:color w:val="5A5A5A"/>
                <w:sz w:val="18"/>
              </w:rPr>
              <w:t>#SouthAsian  #vegetarian  #populationrisk  #dietculture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residence</w:t>
            </w:r>
          </w:p>
        </w:tc>
        <w:tc>
          <w:tcPr>
            <w:tcW w:type="dxa" w:w="2160"/>
            <w:vAlign w:val="top"/>
          </w:tcPr>
          <w:p>
            <w:pPr>
              <w:spacing w:after="40" w:before="0" w:line="259" w:lineRule="auto"/>
            </w:pPr>
            <w:r>
              <w:rPr>
                <w:rFonts w:ascii="Calibri" w:hAnsi="Calibri"/>
                <w:b w:val="0"/>
                <w:i w:val="0"/>
                <w:color w:val="212121"/>
                <w:sz w:val="19"/>
              </w:rPr>
              <w:t>Rural India</w:t>
            </w:r>
          </w:p>
        </w:tc>
        <w:tc>
          <w:tcPr>
            <w:tcW w:type="dxa" w:w="4276"/>
            <w:vAlign w:val="top"/>
          </w:tcPr>
          <w:p>
            <w:pPr>
              <w:spacing w:after="60" w:line="259" w:lineRule="auto"/>
            </w:pPr>
            <w:r>
              <w:rPr>
                <w:rFonts w:ascii="Calibri" w:hAnsi="Calibri"/>
                <w:b w:val="0"/>
                <w:i w:val="0"/>
                <w:color w:val="212121"/>
                <w:sz w:val="19"/>
              </w:rPr>
              <w:t>Rural diets are frequently cereal-based with limited and irregular animal-food intake, and screening or supplementation is scarce, so deficiency is often even higher than in cities.</w:t>
            </w:r>
          </w:p>
          <w:p>
            <w:pPr>
              <w:spacing w:after="40" w:before="60" w:line="259" w:lineRule="auto"/>
            </w:pPr>
            <w:r>
              <w:rPr>
                <w:rFonts w:ascii="Calibri" w:hAnsi="Calibri"/>
                <w:b w:val="0"/>
                <w:i w:val="0"/>
                <w:color w:val="212121"/>
                <w:sz w:val="19"/>
              </w:rPr>
              <w:t>Around Pune, rural adults had 64.8% deficiency versus 52.2% urban; the rural SANSCOG cohort (≥ 45 y) showed 42.3% deficiency.</w:t>
            </w:r>
          </w:p>
          <w:p>
            <w:pPr>
              <w:spacing w:after="40" w:line="252" w:lineRule="auto"/>
            </w:pPr>
            <w:hyperlink r:id="rId9">
              <w:r>
                <w:rPr>
                  <w:rFonts w:ascii="Calibri" w:hAnsi="Calibri" w:cs="Calibri"/>
                  <w:sz w:val="18"/>
                  <w:color w:val="1155CC"/>
                  <w:u w:val="single"/>
                </w:rPr>
                <w:t xml:space="preserve">pmc.ncbi.nlm.nih.gov — B12 deficiency urban vs rural, Pune</w:t>
              </w:r>
            </w:hyperlink>
          </w:p>
          <w:p>
            <w:pPr>
              <w:spacing w:before="60" w:after="40"/>
            </w:pPr>
            <w:r>
              <w:rPr>
                <w:rFonts w:ascii="Calibri" w:hAnsi="Calibri"/>
                <w:b w:val="0"/>
                <w:i w:val="0"/>
                <w:color w:val="5A5A5A"/>
                <w:sz w:val="18"/>
              </w:rPr>
              <w:t>#rural  #cerealdiet  #lowaccess  #deficiency  #India</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 heavy drinkers</w:t>
            </w:r>
          </w:p>
        </w:tc>
        <w:tc>
          <w:tcPr>
            <w:tcW w:type="dxa" w:w="4276"/>
            <w:vAlign w:val="top"/>
          </w:tcPr>
          <w:p>
            <w:pPr>
              <w:spacing w:after="60" w:line="259" w:lineRule="auto"/>
            </w:pPr>
            <w:r>
              <w:rPr>
                <w:rFonts w:ascii="Calibri" w:hAnsi="Calibri"/>
                <w:b w:val="0"/>
                <w:i w:val="0"/>
                <w:color w:val="212121"/>
                <w:sz w:val="19"/>
              </w:rPr>
              <w:t>Chronic alcohol use lowers B12 through poor dietary intake, alcohol-related gastritis and impaired gastrointestinal absorption and hepatic storage, and can produce functional deficiency despite measurable serum levels.</w:t>
            </w:r>
          </w:p>
          <w:p>
            <w:pPr>
              <w:spacing w:after="40" w:before="60" w:line="259" w:lineRule="auto"/>
            </w:pPr>
            <w:r>
              <w:rPr>
                <w:rFonts w:ascii="Calibri" w:hAnsi="Calibri"/>
                <w:b w:val="0"/>
                <w:i w:val="0"/>
                <w:color w:val="212121"/>
                <w:sz w:val="19"/>
              </w:rPr>
              <w:t>Functional B12 deficiency is a recognised finding in alcohol-related megaloblastic anaemia; heavy alcohol use is repeatedly linked to low B12 status.</w:t>
            </w:r>
          </w:p>
          <w:p>
            <w:pPr>
              <w:spacing w:before="60" w:after="40"/>
            </w:pPr>
            <w:r>
              <w:rPr>
                <w:rFonts w:ascii="Calibri" w:hAnsi="Calibri"/>
                <w:b w:val="0"/>
                <w:i w:val="0"/>
                <w:color w:val="5A5A5A"/>
                <w:sz w:val="18"/>
              </w:rPr>
              <w:t>#alcohol  #gastritis  #malabsorption  #functionaldeficiency  #liver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 / tobacco</w:t>
            </w:r>
          </w:p>
        </w:tc>
        <w:tc>
          <w:tcPr>
            <w:tcW w:type="dxa" w:w="2160"/>
            <w:vAlign w:val="top"/>
          </w:tcPr>
          <w:p>
            <w:pPr>
              <w:spacing w:after="40" w:before="0" w:line="259" w:lineRule="auto"/>
            </w:pPr>
            <w:r>
              <w:rPr>
                <w:rFonts w:ascii="Calibri" w:hAnsi="Calibri"/>
                <w:b w:val="0"/>
                <w:i w:val="0"/>
                <w:color w:val="212121"/>
                <w:sz w:val="19"/>
              </w:rPr>
              <w:t>Smokers &amp; smokeless-tobacco users</w:t>
            </w:r>
          </w:p>
        </w:tc>
        <w:tc>
          <w:tcPr>
            <w:tcW w:type="dxa" w:w="4276"/>
            <w:vAlign w:val="top"/>
          </w:tcPr>
          <w:p>
            <w:pPr>
              <w:spacing w:after="60" w:line="259" w:lineRule="auto"/>
            </w:pPr>
            <w:r>
              <w:rPr>
                <w:rFonts w:ascii="Calibri" w:hAnsi="Calibri"/>
                <w:b w:val="0"/>
                <w:i w:val="0"/>
                <w:color w:val="212121"/>
                <w:sz w:val="19"/>
              </w:rPr>
              <w:t>Tobacco and areca-nut use is associated with lower serum B12 in some cohorts (partly through cyanide-related cobalamin handling and poorer diet), acting as a weak, indirect contributor.</w:t>
            </w:r>
          </w:p>
          <w:p>
            <w:pPr>
              <w:spacing w:after="40" w:before="60" w:line="259" w:lineRule="auto"/>
            </w:pPr>
            <w:r>
              <w:rPr>
                <w:rFonts w:ascii="Calibri" w:hAnsi="Calibri"/>
                <w:b w:val="0"/>
                <w:i w:val="0"/>
                <w:color w:val="212121"/>
                <w:sz w:val="19"/>
              </w:rPr>
              <w:t>Indian clinic series of deficient patients include a substantial proportion of tobacco/alcohol users, though smoking is a minor contributor compared with diet.</w:t>
            </w:r>
          </w:p>
          <w:p>
            <w:pPr>
              <w:spacing w:before="60" w:after="40"/>
            </w:pPr>
            <w:r>
              <w:rPr>
                <w:rFonts w:ascii="Calibri" w:hAnsi="Calibri"/>
                <w:b w:val="0"/>
                <w:i w:val="0"/>
                <w:color w:val="5A5A5A"/>
                <w:sz w:val="18"/>
              </w:rPr>
              <w:t>#smoking  #tobacco  #arecanut  #cyanocobalamin  #lifestyle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Merge w:val="restart"/>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Strict vegetarians &amp; vegans</w:t>
            </w:r>
          </w:p>
        </w:tc>
        <w:tc>
          <w:tcPr>
            <w:tcW w:type="dxa" w:w="4276"/>
            <w:vAlign w:val="top"/>
          </w:tcPr>
          <w:p>
            <w:pPr>
              <w:spacing w:after="60" w:line="259" w:lineRule="auto"/>
            </w:pPr>
            <w:r>
              <w:rPr>
                <w:rFonts w:ascii="Calibri" w:hAnsi="Calibri"/>
                <w:b w:val="0"/>
                <w:i w:val="0"/>
                <w:color w:val="212121"/>
                <w:sz w:val="19"/>
              </w:rPr>
              <w:t>With no meat, fish or eggs - and, for vegans, no dairy - the diet supplies almost no cobalamin; without fortified foods or supplements, deficiency is near-inevitable over years.</w:t>
            </w:r>
          </w:p>
          <w:p>
            <w:pPr>
              <w:spacing w:after="40" w:before="60" w:line="259" w:lineRule="auto"/>
            </w:pPr>
            <w:r>
              <w:rPr>
                <w:rFonts w:ascii="Calibri" w:hAnsi="Calibri"/>
                <w:b w:val="0"/>
                <w:i w:val="0"/>
                <w:color w:val="212121"/>
                <w:sz w:val="19"/>
              </w:rPr>
              <w:t>Vegetarians had ~65% inadequate B12 in the Indian meta-analysis; near Pune, 76% of vegetarians were deficient versus 46% of mixed-diet eaters. A strict vegan diet for ~3 years typically causes deficiency.</w:t>
            </w:r>
          </w:p>
          <w:p>
            <w:pPr>
              <w:spacing w:after="40" w:line="252" w:lineRule="auto"/>
            </w:pPr>
            <w:hyperlink r:id="rId11">
              <w:r>
                <w:rPr>
                  <w:rFonts w:ascii="Calibri" w:hAnsi="Calibri" w:cs="Calibri"/>
                  <w:sz w:val="18"/>
                  <w:color w:val="1155CC"/>
                  <w:u w:val="single"/>
                </w:rPr>
                <w:t xml:space="preserve">healthcare-bulletin.co.uk — India B12 meta-analysis (vegetarian)</w:t>
              </w:r>
            </w:hyperlink>
          </w:p>
          <w:p>
            <w:pPr>
              <w:spacing w:before="60" w:after="40"/>
            </w:pPr>
            <w:r>
              <w:rPr>
                <w:rFonts w:ascii="Calibri" w:hAnsi="Calibri"/>
                <w:b w:val="0"/>
                <w:i w:val="0"/>
                <w:color w:val="5A5A5A"/>
                <w:sz w:val="18"/>
              </w:rPr>
              <w:t>#vegan  #vegetarian  #nodietaryB12  #supplement  #plantbased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Lacto-vegetarians (dairy-only animal source)</w:t>
            </w:r>
          </w:p>
        </w:tc>
        <w:tc>
          <w:tcPr>
            <w:tcW w:type="dxa" w:w="4276"/>
            <w:vAlign w:val="top"/>
          </w:tcPr>
          <w:p>
            <w:pPr>
              <w:spacing w:after="60" w:line="259" w:lineRule="auto"/>
            </w:pPr>
            <w:r>
              <w:rPr>
                <w:rFonts w:ascii="Calibri" w:hAnsi="Calibri"/>
                <w:b w:val="0"/>
                <w:i w:val="0"/>
                <w:color w:val="212121"/>
                <w:sz w:val="19"/>
              </w:rPr>
              <w:t>Milk and curd provide some B12, but typical Indian dairy portions and heat processing often fall short of requirements, so lacto-vegetarians remain at appreciable risk.</w:t>
            </w:r>
          </w:p>
          <w:p>
            <w:pPr>
              <w:spacing w:after="40" w:before="60" w:line="259" w:lineRule="auto"/>
            </w:pPr>
            <w:r>
              <w:rPr>
                <w:rFonts w:ascii="Calibri" w:hAnsi="Calibri"/>
                <w:b w:val="0"/>
                <w:i w:val="0"/>
                <w:color w:val="212121"/>
                <w:sz w:val="19"/>
              </w:rPr>
              <w:t>Even lacto-vegetarian Indians show high deficiency rates, reflecting insufficient dairy B12 relative to the ~2.2 µg/day requirement.</w:t>
            </w:r>
          </w:p>
          <w:p>
            <w:pPr>
              <w:spacing w:after="40" w:line="252" w:lineRule="auto"/>
            </w:pPr>
            <w:hyperlink r:id="rId12">
              <w:r>
                <w:rPr>
                  <w:rFonts w:ascii="Calibri" w:hAnsi="Calibri" w:cs="Calibri"/>
                  <w:sz w:val="18"/>
                  <w:color w:val="1155CC"/>
                  <w:u w:val="single"/>
                </w:rPr>
                <w:t xml:space="preserve">nin.res.in — ICMR-NIN 2020 nutrient requirements (RDA)</w:t>
              </w:r>
            </w:hyperlink>
          </w:p>
          <w:p>
            <w:pPr>
              <w:spacing w:before="60" w:after="40"/>
            </w:pPr>
            <w:r>
              <w:rPr>
                <w:rFonts w:ascii="Calibri" w:hAnsi="Calibri"/>
                <w:b w:val="0"/>
                <w:i w:val="0"/>
                <w:color w:val="5A5A5A"/>
                <w:sz w:val="18"/>
              </w:rPr>
              <w:t>#lactovegetarian  #dairy  #borderline  #RDA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Low animal-food / high tea intake</w:t>
            </w:r>
          </w:p>
        </w:tc>
        <w:tc>
          <w:tcPr>
            <w:tcW w:type="dxa" w:w="2160"/>
            <w:vAlign w:val="top"/>
          </w:tcPr>
          <w:p>
            <w:pPr>
              <w:spacing w:after="40" w:before="0" w:line="259" w:lineRule="auto"/>
            </w:pPr>
            <w:r>
              <w:rPr>
                <w:rFonts w:ascii="Calibri" w:hAnsi="Calibri"/>
                <w:b w:val="0"/>
                <w:i w:val="0"/>
                <w:color w:val="212121"/>
                <w:sz w:val="19"/>
              </w:rPr>
              <w:t>Cereal-heavy diets with frequent tea</w:t>
            </w:r>
          </w:p>
        </w:tc>
        <w:tc>
          <w:tcPr>
            <w:tcW w:type="dxa" w:w="4276"/>
            <w:vAlign w:val="top"/>
          </w:tcPr>
          <w:p>
            <w:pPr>
              <w:spacing w:after="60" w:line="259" w:lineRule="auto"/>
            </w:pPr>
            <w:r>
              <w:rPr>
                <w:rFonts w:ascii="Calibri" w:hAnsi="Calibri"/>
                <w:b w:val="0"/>
                <w:i w:val="0"/>
                <w:color w:val="212121"/>
                <w:sz w:val="19"/>
              </w:rPr>
              <w:t>Diets dominated by refined cereals with minimal animal foods, often accompanied by heavy milky-tea consumption, both signal and reinforce low B12 intake.</w:t>
            </w:r>
          </w:p>
          <w:p>
            <w:pPr>
              <w:spacing w:after="40" w:before="60" w:line="259" w:lineRule="auto"/>
            </w:pPr>
            <w:r>
              <w:rPr>
                <w:rFonts w:ascii="Calibri" w:hAnsi="Calibri"/>
                <w:b w:val="0"/>
                <w:i w:val="0"/>
                <w:color w:val="212121"/>
                <w:sz w:val="19"/>
              </w:rPr>
              <w:t>Low animal-source-food consumption is the principal modifiable driver of India's high population B12 deficiency.</w:t>
            </w:r>
          </w:p>
          <w:p>
            <w:pPr>
              <w:spacing w:after="40" w:line="252" w:lineRule="auto"/>
            </w:pPr>
            <w:hyperlink r:id="rId11">
              <w:r>
                <w:rPr>
                  <w:rFonts w:ascii="Calibri" w:hAnsi="Calibri" w:cs="Calibri"/>
                  <w:sz w:val="18"/>
                  <w:color w:val="1155CC"/>
                  <w:u w:val="single"/>
                </w:rPr>
                <w:t xml:space="preserve">healthcare-bulletin.co.uk — India B12 meta-analysis</w:t>
              </w:r>
            </w:hyperlink>
          </w:p>
          <w:p>
            <w:pPr>
              <w:spacing w:before="60" w:after="40"/>
            </w:pPr>
            <w:r>
              <w:rPr>
                <w:rFonts w:ascii="Calibri" w:hAnsi="Calibri"/>
                <w:b w:val="0"/>
                <w:i w:val="0"/>
                <w:color w:val="5A5A5A"/>
                <w:sz w:val="18"/>
              </w:rPr>
              <w:t>#cereals  #tea  #lowanimalfood  #dietpattern  #intake</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Autoimmune predisposition</w:t>
            </w:r>
          </w:p>
        </w:tc>
        <w:tc>
          <w:tcPr>
            <w:tcW w:type="dxa" w:w="2160"/>
            <w:vAlign w:val="top"/>
          </w:tcPr>
          <w:p>
            <w:pPr>
              <w:spacing w:after="40" w:before="0" w:line="259" w:lineRule="auto"/>
            </w:pPr>
            <w:r>
              <w:rPr>
                <w:rFonts w:ascii="Calibri" w:hAnsi="Calibri"/>
                <w:b w:val="0"/>
                <w:i w:val="0"/>
                <w:color w:val="212121"/>
                <w:sz w:val="19"/>
              </w:rPr>
              <w:t>Pernicious anaemia (intrinsic-factor &amp; parietal-cell antibodies)</w:t>
            </w:r>
          </w:p>
        </w:tc>
        <w:tc>
          <w:tcPr>
            <w:tcW w:type="dxa" w:w="4276"/>
            <w:vAlign w:val="top"/>
          </w:tcPr>
          <w:p>
            <w:pPr>
              <w:spacing w:after="60" w:line="259" w:lineRule="auto"/>
            </w:pPr>
            <w:r>
              <w:rPr>
                <w:rFonts w:ascii="Calibri" w:hAnsi="Calibri"/>
                <w:b w:val="0"/>
                <w:i w:val="0"/>
                <w:color w:val="212121"/>
                <w:sz w:val="19"/>
              </w:rPr>
              <w:t>An inherited tendency to organ-specific autoimmunity leads to atrophic gastritis with antibodies to intrinsic factor and parietal cells, blocking ileal B12 absorption; it clusters with other autoimmune diseases and in families.</w:t>
            </w:r>
          </w:p>
          <w:p>
            <w:pPr>
              <w:spacing w:after="40" w:before="60" w:line="259" w:lineRule="auto"/>
            </w:pPr>
            <w:r>
              <w:rPr>
                <w:rFonts w:ascii="Calibri" w:hAnsi="Calibri"/>
                <w:b w:val="0"/>
                <w:i w:val="0"/>
                <w:color w:val="212121"/>
                <w:sz w:val="19"/>
              </w:rPr>
              <w:t>Pernicious anaemia is the classic autoimmune malabsorptive cause of B12 deficiency and raises long-term gastric cancer risk.</w:t>
            </w:r>
          </w:p>
          <w:p>
            <w:pPr>
              <w:spacing w:after="40" w:line="252" w:lineRule="auto"/>
            </w:pPr>
            <w:hyperlink r:id="rId13">
              <w:r>
                <w:rPr>
                  <w:rFonts w:ascii="Calibri" w:hAnsi="Calibri" w:cs="Calibri"/>
                  <w:sz w:val="18"/>
                  <w:color w:val="1155CC"/>
                  <w:u w:val="single"/>
                </w:rPr>
                <w:t xml:space="preserve">ncbi.nlm.nih.gov — Vitamin B12 Deficiency (StatPearls)</w:t>
              </w:r>
            </w:hyperlink>
          </w:p>
          <w:p>
            <w:pPr>
              <w:spacing w:before="60" w:after="40"/>
            </w:pPr>
            <w:r>
              <w:rPr>
                <w:rFonts w:ascii="Calibri" w:hAnsi="Calibri"/>
                <w:b w:val="0"/>
                <w:i w:val="0"/>
                <w:color w:val="5A5A5A"/>
                <w:sz w:val="18"/>
              </w:rPr>
              <w:t>#perniciousanaemia  #autoimmune  #intrinsicfactor  #atrophicgastritis  #familial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Inherited transport/absorption defects</w:t>
            </w:r>
          </w:p>
        </w:tc>
        <w:tc>
          <w:tcPr>
            <w:tcW w:type="dxa" w:w="2160"/>
            <w:vAlign w:val="top"/>
          </w:tcPr>
          <w:p>
            <w:pPr>
              <w:spacing w:after="40" w:before="0" w:line="259" w:lineRule="auto"/>
            </w:pPr>
            <w:r>
              <w:rPr>
                <w:rFonts w:ascii="Calibri" w:hAnsi="Calibri"/>
                <w:b w:val="0"/>
                <w:i w:val="0"/>
                <w:color w:val="212121"/>
                <w:sz w:val="19"/>
              </w:rPr>
              <w:t>Congenital B12 malabsorption (Imerslund-Gräsbeck, transcobalamin II deficiency)</w:t>
            </w:r>
          </w:p>
        </w:tc>
        <w:tc>
          <w:tcPr>
            <w:tcW w:type="dxa" w:w="4276"/>
            <w:vAlign w:val="top"/>
          </w:tcPr>
          <w:p>
            <w:pPr>
              <w:spacing w:after="60" w:line="259" w:lineRule="auto"/>
            </w:pPr>
            <w:r>
              <w:rPr>
                <w:rFonts w:ascii="Calibri" w:hAnsi="Calibri"/>
                <w:b w:val="0"/>
                <w:i w:val="0"/>
                <w:color w:val="212121"/>
                <w:sz w:val="19"/>
              </w:rPr>
              <w:t>Rare inherited defects of intrinsic-factor production, ileal receptor function (Imerslund-Gräsbeck) or transcobalamin transport cause early-onset deficiency despite adequate intake.</w:t>
            </w:r>
          </w:p>
          <w:p>
            <w:pPr>
              <w:spacing w:after="40" w:before="60" w:line="259" w:lineRule="auto"/>
            </w:pPr>
            <w:r>
              <w:rPr>
                <w:rFonts w:ascii="Calibri" w:hAnsi="Calibri"/>
                <w:b w:val="0"/>
                <w:i w:val="0"/>
                <w:color w:val="212121"/>
                <w:sz w:val="19"/>
              </w:rPr>
              <w:t>These are uncommon but important causes of childhood/young-adult deficiency that are unresponsive to dietary change and need lifelong parenteral B12.</w:t>
            </w:r>
          </w:p>
          <w:p>
            <w:pPr>
              <w:spacing w:after="40" w:line="252" w:lineRule="auto"/>
            </w:pPr>
            <w:hyperlink r:id="rId13">
              <w:r>
                <w:rPr>
                  <w:rFonts w:ascii="Calibri" w:hAnsi="Calibri" w:cs="Calibri"/>
                  <w:sz w:val="18"/>
                  <w:color w:val="1155CC"/>
                  <w:u w:val="single"/>
                </w:rPr>
                <w:t xml:space="preserve">ncbi.nlm.nih.gov — Vitamin B12 Deficiency (StatPearls)</w:t>
              </w:r>
            </w:hyperlink>
          </w:p>
          <w:p>
            <w:pPr>
              <w:spacing w:before="60" w:after="40"/>
            </w:pPr>
            <w:r>
              <w:rPr>
                <w:rFonts w:ascii="Calibri" w:hAnsi="Calibri"/>
                <w:b w:val="0"/>
                <w:i w:val="0"/>
                <w:color w:val="5A5A5A"/>
                <w:sz w:val="18"/>
              </w:rPr>
              <w:t>#congenital  #ImerslundGrasbeck  #transcobalamin  #hereditary  #paediatric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Type 2 diabetes on metformin</w:t>
            </w:r>
          </w:p>
        </w:tc>
        <w:tc>
          <w:tcPr>
            <w:tcW w:type="dxa" w:w="2160"/>
            <w:vAlign w:val="top"/>
          </w:tcPr>
          <w:p>
            <w:pPr>
              <w:spacing w:after="40" w:before="0" w:line="259" w:lineRule="auto"/>
            </w:pPr>
            <w:r>
              <w:rPr>
                <w:rFonts w:ascii="Calibri" w:hAnsi="Calibri"/>
                <w:b w:val="0"/>
                <w:i w:val="0"/>
                <w:color w:val="212121"/>
                <w:sz w:val="19"/>
              </w:rPr>
              <w:t>Metformin-treated patients (esp. long duration / high dose)</w:t>
            </w:r>
          </w:p>
        </w:tc>
        <w:tc>
          <w:tcPr>
            <w:tcW w:type="dxa" w:w="4276"/>
            <w:vAlign w:val="top"/>
          </w:tcPr>
          <w:p>
            <w:pPr>
              <w:spacing w:after="60" w:line="259" w:lineRule="auto"/>
            </w:pPr>
            <w:r>
              <w:rPr>
                <w:rFonts w:ascii="Calibri" w:hAnsi="Calibri"/>
                <w:b w:val="0"/>
                <w:i w:val="0"/>
                <w:color w:val="212121"/>
                <w:sz w:val="19"/>
              </w:rPr>
              <w:t>Metformin reduces calcium-dependent absorption of the B12-intrinsic-factor complex in the terminal ileum; risk rises with higher dose and longer therapy, and resulting deficiency can mimic or aggravate diabetic neuropathy.</w:t>
            </w:r>
          </w:p>
          <w:p>
            <w:pPr>
              <w:spacing w:after="40" w:before="60" w:line="259" w:lineRule="auto"/>
            </w:pPr>
            <w:r>
              <w:rPr>
                <w:rFonts w:ascii="Calibri" w:hAnsi="Calibri"/>
                <w:b w:val="0"/>
                <w:i w:val="0"/>
                <w:color w:val="212121"/>
                <w:sz w:val="19"/>
              </w:rPr>
              <w:t>A meta-analysis found B12 deficiency in 23.16% of metformin users versus 17.4% of non-users (OR 2.95, 95% CI 2.18-4.00), driven by dose and duration.</w:t>
            </w:r>
          </w:p>
          <w:p>
            <w:pPr>
              <w:spacing w:after="40" w:line="252" w:lineRule="auto"/>
            </w:pPr>
            <w:hyperlink r:id="rId14">
              <w:r>
                <w:rPr>
                  <w:rFonts w:ascii="Calibri" w:hAnsi="Calibri" w:cs="Calibri"/>
                  <w:sz w:val="18"/>
                  <w:color w:val="1155CC"/>
                  <w:u w:val="single"/>
                </w:rPr>
                <w:t xml:space="preserve">cureus.com — metformin &amp; B12 deficiency meta-analysis</w:t>
              </w:r>
            </w:hyperlink>
          </w:p>
          <w:p>
            <w:pPr>
              <w:spacing w:before="60" w:after="40"/>
            </w:pPr>
            <w:r>
              <w:rPr>
                <w:rFonts w:ascii="Calibri" w:hAnsi="Calibri"/>
                <w:b w:val="0"/>
                <w:i w:val="0"/>
                <w:color w:val="5A5A5A"/>
                <w:sz w:val="18"/>
              </w:rPr>
              <w:t>#metformin  #type2diabetes  #neuropathy  #drugineduced  #monitoring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Hypothyroidism / autoimmune thyroid disease</w:t>
            </w:r>
          </w:p>
        </w:tc>
        <w:tc>
          <w:tcPr>
            <w:tcW w:type="dxa" w:w="2160"/>
            <w:vAlign w:val="top"/>
          </w:tcPr>
          <w:p>
            <w:pPr>
              <w:spacing w:after="40" w:before="0" w:line="259" w:lineRule="auto"/>
            </w:pPr>
            <w:r>
              <w:rPr>
                <w:rFonts w:ascii="Calibri" w:hAnsi="Calibri"/>
                <w:b w:val="0"/>
                <w:i w:val="0"/>
                <w:color w:val="212121"/>
                <w:sz w:val="19"/>
              </w:rPr>
              <w:t>Patients with overt or subclinical hypothyroidism</w:t>
            </w:r>
          </w:p>
        </w:tc>
        <w:tc>
          <w:tcPr>
            <w:tcW w:type="dxa" w:w="4276"/>
            <w:vAlign w:val="top"/>
          </w:tcPr>
          <w:p>
            <w:pPr>
              <w:spacing w:after="60" w:line="259" w:lineRule="auto"/>
            </w:pPr>
            <w:r>
              <w:rPr>
                <w:rFonts w:ascii="Calibri" w:hAnsi="Calibri"/>
                <w:b w:val="0"/>
                <w:i w:val="0"/>
                <w:color w:val="212121"/>
                <w:sz w:val="19"/>
              </w:rPr>
              <w:t>Autoimmune thyroid disease clusters with autoimmune atrophic gastritis and pernicious anaemia, so low or borderline B12 is common; overlapping fatigue and cognitive symptoms make it easy to miss.</w:t>
            </w:r>
          </w:p>
          <w:p>
            <w:pPr>
              <w:spacing w:after="40" w:before="60" w:line="259" w:lineRule="auto"/>
            </w:pPr>
            <w:r>
              <w:rPr>
                <w:rFonts w:ascii="Calibri" w:hAnsi="Calibri"/>
                <w:b w:val="0"/>
                <w:i w:val="0"/>
                <w:color w:val="212121"/>
                <w:sz w:val="19"/>
              </w:rPr>
              <w:t>In a hypothyroid cohort, B12 deficiency was found in 33.3% with overt and 47.9% with subclinical hypothyroidism; borderline-to-low B12 reached 68.9% and 85.4% respectively.</w:t>
            </w:r>
          </w:p>
          <w:p>
            <w:pPr>
              <w:spacing w:after="40" w:line="252" w:lineRule="auto"/>
            </w:pPr>
            <w:hyperlink r:id="rId15">
              <w:r>
                <w:rPr>
                  <w:rFonts w:ascii="Calibri" w:hAnsi="Calibri" w:cs="Calibri"/>
                  <w:sz w:val="18"/>
                  <w:color w:val="1155CC"/>
                  <w:u w:val="single"/>
                </w:rPr>
                <w:t xml:space="preserve">journals.sagepub.com — B12 in overt &amp; subclinical hypothyroidism</w:t>
              </w:r>
            </w:hyperlink>
          </w:p>
          <w:p>
            <w:pPr>
              <w:spacing w:before="60" w:after="40"/>
            </w:pPr>
            <w:r>
              <w:rPr>
                <w:rFonts w:ascii="Calibri" w:hAnsi="Calibri"/>
                <w:b w:val="0"/>
                <w:i w:val="0"/>
                <w:color w:val="5A5A5A"/>
                <w:sz w:val="18"/>
              </w:rPr>
              <w:t>#hypothyroidism  #autoimmune  #thyroid  #comorbidity  #fatigue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Long-term acid suppression</w:t>
            </w:r>
          </w:p>
        </w:tc>
        <w:tc>
          <w:tcPr>
            <w:tcW w:type="dxa" w:w="2160"/>
            <w:vAlign w:val="top"/>
          </w:tcPr>
          <w:p>
            <w:pPr>
              <w:spacing w:after="40" w:before="0" w:line="259" w:lineRule="auto"/>
            </w:pPr>
            <w:r>
              <w:rPr>
                <w:rFonts w:ascii="Calibri" w:hAnsi="Calibri"/>
                <w:b w:val="0"/>
                <w:i w:val="0"/>
                <w:color w:val="212121"/>
                <w:sz w:val="19"/>
              </w:rPr>
              <w:t>Chronic proton-pump-inhibitor / H2-blocker users</w:t>
            </w:r>
          </w:p>
        </w:tc>
        <w:tc>
          <w:tcPr>
            <w:tcW w:type="dxa" w:w="4276"/>
            <w:vAlign w:val="top"/>
          </w:tcPr>
          <w:p>
            <w:pPr>
              <w:spacing w:after="60" w:line="259" w:lineRule="auto"/>
            </w:pPr>
            <w:r>
              <w:rPr>
                <w:rFonts w:ascii="Calibri" w:hAnsi="Calibri"/>
                <w:b w:val="0"/>
                <w:i w:val="0"/>
                <w:color w:val="212121"/>
                <w:sz w:val="19"/>
              </w:rPr>
              <w:t>Gastric acid and pepsin are needed to release B12 from food proteins; long-term acid suppression impairs this step and, over years, lowers B12 - relevant given widespread over-the-counter use for dyspepsia.</w:t>
            </w:r>
          </w:p>
          <w:p>
            <w:pPr>
              <w:spacing w:after="40" w:before="60" w:line="259" w:lineRule="auto"/>
            </w:pPr>
            <w:r>
              <w:rPr>
                <w:rFonts w:ascii="Calibri" w:hAnsi="Calibri"/>
                <w:b w:val="0"/>
                <w:i w:val="0"/>
                <w:color w:val="212121"/>
                <w:sz w:val="19"/>
              </w:rPr>
              <w:t>In a north-Indian tertiary cohort, 27.7% of B12-deficient patients had used PPIs (18.2%) or H2-blockers (9.5%) for over a year.</w:t>
            </w:r>
          </w:p>
          <w:p>
            <w:pPr>
              <w:spacing w:after="40" w:line="252" w:lineRule="auto"/>
            </w:pPr>
            <w:hyperlink r:id="rId16">
              <w:r>
                <w:rPr>
                  <w:rFonts w:ascii="Calibri" w:hAnsi="Calibri" w:cs="Calibri"/>
                  <w:sz w:val="18"/>
                  <w:color w:val="1155CC"/>
                  <w:u w:val="single"/>
                </w:rPr>
                <w:t xml:space="preserve">pmc.ncbi.nlm.nih.gov — B12 deficiency, northern India tertiary care</w:t>
              </w:r>
            </w:hyperlink>
          </w:p>
          <w:p>
            <w:pPr>
              <w:spacing w:before="60" w:after="40"/>
            </w:pPr>
            <w:r>
              <w:rPr>
                <w:rFonts w:ascii="Calibri" w:hAnsi="Calibri"/>
                <w:b w:val="0"/>
                <w:i w:val="0"/>
                <w:color w:val="5A5A5A"/>
                <w:sz w:val="18"/>
              </w:rPr>
              <w:t>#PPI  #H2blocker  #hypochlorhydria  #dyspepsia  #drugineduced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Malabsorption / GI disease</w:t>
            </w:r>
          </w:p>
        </w:tc>
        <w:tc>
          <w:tcPr>
            <w:tcW w:type="dxa" w:w="2160"/>
            <w:vAlign w:val="top"/>
          </w:tcPr>
          <w:p>
            <w:pPr>
              <w:spacing w:after="40" w:before="0" w:line="259" w:lineRule="auto"/>
            </w:pPr>
            <w:r>
              <w:rPr>
                <w:rFonts w:ascii="Calibri" w:hAnsi="Calibri"/>
                <w:b w:val="0"/>
                <w:i w:val="0"/>
                <w:color w:val="212121"/>
                <w:sz w:val="19"/>
              </w:rPr>
              <w:t>Atrophic gastritis, H. pylori, coeliac, Crohn's, ileal resection, bariatric surgery</w:t>
            </w:r>
          </w:p>
        </w:tc>
        <w:tc>
          <w:tcPr>
            <w:tcW w:type="dxa" w:w="4276"/>
            <w:vAlign w:val="top"/>
          </w:tcPr>
          <w:p>
            <w:pPr>
              <w:spacing w:after="60" w:line="259" w:lineRule="auto"/>
            </w:pPr>
            <w:r>
              <w:rPr>
                <w:rFonts w:ascii="Calibri" w:hAnsi="Calibri"/>
                <w:b w:val="0"/>
                <w:i w:val="0"/>
                <w:color w:val="212121"/>
                <w:sz w:val="19"/>
              </w:rPr>
              <w:t>Any disease or surgery affecting the acid-secreting stomach, intrinsic factor or the terminal ileum blocks B12 absorption, causing deficiency despite adequate diet and requiring parenteral or high-dose replacement.</w:t>
            </w:r>
          </w:p>
          <w:p>
            <w:pPr>
              <w:spacing w:after="40" w:before="60" w:line="259" w:lineRule="auto"/>
            </w:pPr>
            <w:r>
              <w:rPr>
                <w:rFonts w:ascii="Calibri" w:hAnsi="Calibri"/>
                <w:b w:val="0"/>
                <w:i w:val="0"/>
                <w:color w:val="212121"/>
                <w:sz w:val="19"/>
              </w:rPr>
              <w:t>Malabsorptive and dyspeptic GI disorders accounted for a notable share of deficiency in Indian hospital cohorts (malabsorption ~10.5%, dyspepsia ~10%).</w:t>
            </w:r>
          </w:p>
          <w:p>
            <w:pPr>
              <w:spacing w:after="40" w:line="252" w:lineRule="auto"/>
            </w:pPr>
            <w:hyperlink r:id="rId16">
              <w:r>
                <w:rPr>
                  <w:rFonts w:ascii="Calibri" w:hAnsi="Calibri" w:cs="Calibri"/>
                  <w:sz w:val="18"/>
                  <w:color w:val="1155CC"/>
                  <w:u w:val="single"/>
                </w:rPr>
                <w:t xml:space="preserve">pmc.ncbi.nlm.nih.gov — B12 deficiency risk factors, northern India</w:t>
              </w:r>
            </w:hyperlink>
          </w:p>
          <w:p>
            <w:pPr>
              <w:spacing w:before="60" w:after="40"/>
            </w:pPr>
            <w:r>
              <w:rPr>
                <w:rFonts w:ascii="Calibri" w:hAnsi="Calibri"/>
                <w:b w:val="0"/>
                <w:i w:val="0"/>
                <w:color w:val="5A5A5A"/>
                <w:sz w:val="18"/>
              </w:rPr>
              <w:t>#malabsorption  #Hpylori  #coeliac  #Crohns  #bariatric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 &amp; lactation</w:t>
            </w:r>
          </w:p>
        </w:tc>
        <w:tc>
          <w:tcPr>
            <w:tcW w:type="dxa" w:w="2160"/>
            <w:vAlign w:val="top"/>
          </w:tcPr>
          <w:p>
            <w:pPr>
              <w:spacing w:after="40" w:before="0" w:line="259" w:lineRule="auto"/>
            </w:pPr>
            <w:r>
              <w:rPr>
                <w:rFonts w:ascii="Calibri" w:hAnsi="Calibri"/>
                <w:b w:val="0"/>
                <w:i w:val="0"/>
                <w:color w:val="212121"/>
                <w:sz w:val="19"/>
              </w:rPr>
              <w:t>Pregnant and breastfeeding women</w:t>
            </w:r>
          </w:p>
        </w:tc>
        <w:tc>
          <w:tcPr>
            <w:tcW w:type="dxa" w:w="4276"/>
            <w:vAlign w:val="top"/>
          </w:tcPr>
          <w:p>
            <w:pPr>
              <w:spacing w:after="60" w:line="259" w:lineRule="auto"/>
            </w:pPr>
            <w:r>
              <w:rPr>
                <w:rFonts w:ascii="Calibri" w:hAnsi="Calibri"/>
                <w:b w:val="0"/>
                <w:i w:val="0"/>
                <w:color w:val="212121"/>
                <w:sz w:val="19"/>
              </w:rPr>
              <w:t>Pregnancy increases B12 demand and dilutes maternal stores; deficiency raises risks of neural tube defects, low birth weight and impaired offspring development, and depletes infant stores through low breast-milk B12.</w:t>
            </w:r>
          </w:p>
          <w:p>
            <w:pPr>
              <w:spacing w:after="40" w:before="60" w:line="259" w:lineRule="auto"/>
            </w:pPr>
            <w:r>
              <w:rPr>
                <w:rFonts w:ascii="Calibri" w:hAnsi="Calibri"/>
                <w:b w:val="0"/>
                <w:i w:val="0"/>
                <w:color w:val="212121"/>
                <w:sz w:val="19"/>
              </w:rPr>
              <w:t>Low maternal B12 was found in 60-74% of women in parts of rural western/northern India, and low B12 was associated with higher gestational-diabetes risk (OR ~2.1).</w:t>
            </w:r>
          </w:p>
          <w:p>
            <w:pPr>
              <w:spacing w:after="40" w:line="252" w:lineRule="auto"/>
            </w:pPr>
            <w:hyperlink r:id="rId17">
              <w:r>
                <w:rPr>
                  <w:rFonts w:ascii="Calibri" w:hAnsi="Calibri" w:cs="Calibri"/>
                  <w:sz w:val="18"/>
                  <w:color w:val="1155CC"/>
                  <w:u w:val="single"/>
                </w:rPr>
                <w:t xml:space="preserve">frontiersin.org — maternal B12 &amp; pregnancy outcomes, India</w:t>
              </w:r>
            </w:hyperlink>
          </w:p>
          <w:p>
            <w:pPr>
              <w:spacing w:before="60" w:after="40"/>
            </w:pPr>
            <w:r>
              <w:rPr>
                <w:rFonts w:ascii="Calibri" w:hAnsi="Calibri"/>
                <w:b w:val="0"/>
                <w:i w:val="0"/>
                <w:color w:val="5A5A5A"/>
                <w:sz w:val="18"/>
              </w:rPr>
              <w:t>#pregnancy  #maternalB12  #neuraltubedefect  #lowbirthweight  #offspring</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Vitamin B12 status is governed by dietary intake and gastrointestinal absorption rather than physical activity; exercise does not raise B12, though correcting deficiency relieves the fatigue and exertional breathlessness that limit activity.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is by far the strongest determinant because cobalamin is obtained almost exclusively from animal-source foods; Indian vegetarians show ~65-76% deficiency versus ~32% in non-vegetarians, and strict vegan diets cause deficiency within a few years.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There is no established causal link with sleep duration; however B12 participates in melatonin/methylation pathways and deficiency-related neuropathy, restless legs and fatigue can disturb sleep, so the relationship is indirect.</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Tobacco and areca-nut use is associated with modestly lower serum B12 in some cohorts (via cyanide handling of cobalamin and poorer diet), but it is a weak, indirect contributor compared with diet and malabsorption.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heavy alcohol use lowers B12 through poor intake, gastritis and impaired absorption and storage, and functional B12 deficiency is described in alcohol-related megaloblastic anaemia.</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B12 is a cofactor for monoamine and myelin synthesis, so deficiency is linked with depression, irritability, cognitive impairment and rarely psychosis; low B12 is over-represented among depressed and demented patients in a largely bidirectional relationship.</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role: hydration does not influence B12 absorption or metabolism, and adequate water intake supports general health only.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weak; heavy tea/coffee intake mainly marks cereal-based, low-animal-food diets, and caffeine itself has negligible direct effect on B12 status.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Minimal direct effect; relevance is limited to fish-tapeworm (Diphyllobothrium) infestation and small-bowel bacterial overgrowth, which consume or divert B12 but are uncommon causes in India.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Iatrogenic and acquired triggers - long-term metformin, chronic proton-pump inhibitors/H2-blockers, nitrous oxide anaesthesia or recreational abuse, gastrectomy/bariatric surgery and strict lifelong vegetarianism - can precipitate or unmask deficiency.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vitamin B12 intake (µg/day)</w:t>
            </w:r>
          </w:p>
        </w:tc>
        <w:tc>
          <w:tcPr>
            <w:tcW w:type="dxa" w:w="1655"/>
            <w:vAlign w:val="top"/>
          </w:tcPr>
          <w:p>
            <w:pPr>
              <w:spacing w:after="40" w:before="0" w:line="259" w:lineRule="auto"/>
            </w:pPr>
            <w:r>
              <w:rPr>
                <w:rFonts w:ascii="Calibri" w:hAnsi="Calibri"/>
                <w:b w:val="0"/>
                <w:i w:val="0"/>
                <w:color w:val="212121"/>
                <w:sz w:val="19"/>
              </w:rPr>
              <w:t>All adults; vegetarians</w:t>
            </w:r>
          </w:p>
        </w:tc>
        <w:tc>
          <w:tcPr>
            <w:tcW w:type="dxa" w:w="1512"/>
            <w:vAlign w:val="top"/>
          </w:tcPr>
          <w:p>
            <w:pPr>
              <w:spacing w:after="40" w:before="0" w:line="259" w:lineRule="auto"/>
            </w:pPr>
            <w:r>
              <w:rPr>
                <w:rFonts w:ascii="Calibri" w:hAnsi="Calibri"/>
                <w:b w:val="0"/>
                <w:i w:val="0"/>
                <w:color w:val="212121"/>
                <w:sz w:val="19"/>
              </w:rPr>
              <w:t>≥ 2.2 µg/day (ICMR-NIN 2020 RDA; EAR 2 µg/day)</w:t>
            </w:r>
          </w:p>
        </w:tc>
        <w:tc>
          <w:tcPr>
            <w:tcW w:type="dxa" w:w="1512"/>
            <w:vAlign w:val="top"/>
          </w:tcPr>
          <w:p>
            <w:pPr>
              <w:spacing w:after="40" w:before="0" w:line="259" w:lineRule="auto"/>
            </w:pPr>
            <w:r>
              <w:rPr>
                <w:rFonts w:ascii="Calibri" w:hAnsi="Calibri"/>
                <w:b w:val="0"/>
                <w:i w:val="0"/>
                <w:color w:val="212121"/>
                <w:sz w:val="19"/>
              </w:rPr>
              <w:t>&lt; 2 µg/day; near-zero on strict vegan diets</w:t>
            </w:r>
          </w:p>
        </w:tc>
        <w:tc>
          <w:tcPr>
            <w:tcW w:type="dxa" w:w="1468"/>
            <w:vAlign w:val="top"/>
          </w:tcPr>
          <w:p>
            <w:pPr>
              <w:spacing w:after="60" w:line="259" w:lineRule="auto"/>
            </w:pPr>
            <w:r>
              <w:rPr>
                <w:rFonts w:ascii="Calibri" w:hAnsi="Calibri"/>
                <w:b w:val="0"/>
                <w:i w:val="0"/>
                <w:color w:val="212121"/>
                <w:sz w:val="19"/>
              </w:rPr>
              <w:t>Animal foods (meat, fish, egg, dairy) are the only reliable dietary source</w:t>
            </w:r>
          </w:p>
          <w:p>
            <w:pPr>
              <w:spacing w:after="40" w:line="252" w:lineRule="auto"/>
            </w:pPr>
            <w:hyperlink r:id="rId12">
              <w:r>
                <w:rPr>
                  <w:rFonts w:ascii="Calibri" w:hAnsi="Calibri" w:cs="Calibri"/>
                  <w:sz w:val="18"/>
                  <w:color w:val="1155CC"/>
                  <w:u w:val="single"/>
                </w:rPr>
                <w:t xml:space="preserve">https://www.nin.res.in/rdabook/brief_note.pdf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Animal-source food frequency</w:t>
            </w:r>
          </w:p>
        </w:tc>
        <w:tc>
          <w:tcPr>
            <w:tcW w:type="dxa" w:w="1655"/>
            <w:vAlign w:val="top"/>
          </w:tcPr>
          <w:p>
            <w:pPr>
              <w:spacing w:after="40" w:before="0" w:line="259" w:lineRule="auto"/>
            </w:pPr>
            <w:r>
              <w:rPr>
                <w:rFonts w:ascii="Calibri" w:hAnsi="Calibri"/>
                <w:b w:val="0"/>
                <w:i w:val="0"/>
                <w:color w:val="212121"/>
                <w:sz w:val="19"/>
              </w:rPr>
              <w:t>Vegetarians &amp; vegans</w:t>
            </w:r>
          </w:p>
        </w:tc>
        <w:tc>
          <w:tcPr>
            <w:tcW w:type="dxa" w:w="1512"/>
            <w:vAlign w:val="top"/>
          </w:tcPr>
          <w:p>
            <w:pPr>
              <w:spacing w:after="40" w:before="0" w:line="259" w:lineRule="auto"/>
            </w:pPr>
            <w:r>
              <w:rPr>
                <w:rFonts w:ascii="Calibri" w:hAnsi="Calibri"/>
                <w:b w:val="0"/>
                <w:i w:val="0"/>
                <w:color w:val="212121"/>
                <w:sz w:val="19"/>
              </w:rPr>
              <w:t>Regular dairy/egg intake (± fish/meat)</w:t>
            </w:r>
          </w:p>
        </w:tc>
        <w:tc>
          <w:tcPr>
            <w:tcW w:type="dxa" w:w="1512"/>
            <w:vAlign w:val="top"/>
          </w:tcPr>
          <w:p>
            <w:pPr>
              <w:spacing w:after="40" w:before="0" w:line="259" w:lineRule="auto"/>
            </w:pPr>
            <w:r>
              <w:rPr>
                <w:rFonts w:ascii="Calibri" w:hAnsi="Calibri"/>
                <w:b w:val="0"/>
                <w:i w:val="0"/>
                <w:color w:val="212121"/>
                <w:sz w:val="19"/>
              </w:rPr>
              <w:t>Strict plant-only diet without fortification or supplements</w:t>
            </w:r>
          </w:p>
        </w:tc>
        <w:tc>
          <w:tcPr>
            <w:tcW w:type="dxa" w:w="1468"/>
            <w:vAlign w:val="top"/>
          </w:tcPr>
          <w:p>
            <w:pPr>
              <w:spacing w:after="60" w:line="259" w:lineRule="auto"/>
            </w:pPr>
            <w:r>
              <w:rPr>
                <w:rFonts w:ascii="Calibri" w:hAnsi="Calibri"/>
                <w:b w:val="0"/>
                <w:i w:val="0"/>
                <w:color w:val="212121"/>
                <w:sz w:val="19"/>
              </w:rPr>
              <w:t>Strongly predicts deficiency risk in the Indian setting</w:t>
            </w:r>
          </w:p>
          <w:p>
            <w:pPr>
              <w:spacing w:after="40" w:line="252" w:lineRule="auto"/>
            </w:pPr>
            <w:hyperlink r:id="rId11">
              <w:r>
                <w:rPr>
                  <w:rFonts w:ascii="Calibri" w:hAnsi="Calibri" w:cs="Calibri"/>
                  <w:sz w:val="18"/>
                  <w:color w:val="1155CC"/>
                  <w:u w:val="single"/>
                </w:rPr>
                <w:t xml:space="preserve">https://healthcare-bulletin.co.uk/article/india-s-unseen-nutritional-emergency-a-meta-analysis-of-vitamin-b12-deficiency-3355/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total vitamin B12 (pg/mL)</w:t>
            </w:r>
          </w:p>
        </w:tc>
        <w:tc>
          <w:tcPr>
            <w:tcW w:type="dxa" w:w="1655"/>
            <w:vAlign w:val="top"/>
          </w:tcPr>
          <w:p>
            <w:pPr>
              <w:spacing w:after="40" w:before="0" w:line="259" w:lineRule="auto"/>
            </w:pPr>
            <w:r>
              <w:rPr>
                <w:rFonts w:ascii="Calibri" w:hAnsi="Calibri"/>
                <w:b w:val="0"/>
                <w:i w:val="0"/>
                <w:color w:val="212121"/>
                <w:sz w:val="19"/>
              </w:rPr>
              <w:t>All at-risk groups</w:t>
            </w:r>
          </w:p>
        </w:tc>
        <w:tc>
          <w:tcPr>
            <w:tcW w:type="dxa" w:w="1512"/>
            <w:vAlign w:val="top"/>
          </w:tcPr>
          <w:p>
            <w:pPr>
              <w:spacing w:after="40" w:before="0" w:line="259" w:lineRule="auto"/>
            </w:pPr>
            <w:r>
              <w:rPr>
                <w:rFonts w:ascii="Calibri" w:hAnsi="Calibri"/>
                <w:b w:val="0"/>
                <w:i w:val="0"/>
                <w:color w:val="212121"/>
                <w:sz w:val="19"/>
              </w:rPr>
              <w:t>&gt; 300 pg/mL</w:t>
            </w:r>
          </w:p>
        </w:tc>
        <w:tc>
          <w:tcPr>
            <w:tcW w:type="dxa" w:w="1512"/>
            <w:vAlign w:val="top"/>
          </w:tcPr>
          <w:p>
            <w:pPr>
              <w:spacing w:after="40" w:before="0" w:line="259" w:lineRule="auto"/>
            </w:pPr>
            <w:r>
              <w:rPr>
                <w:rFonts w:ascii="Calibri" w:hAnsi="Calibri"/>
                <w:b w:val="0"/>
                <w:i w:val="0"/>
                <w:color w:val="212121"/>
                <w:sz w:val="19"/>
              </w:rPr>
              <w:t>&lt; 200 pg/mL (deficient); 200-300 borderline</w:t>
            </w:r>
          </w:p>
        </w:tc>
        <w:tc>
          <w:tcPr>
            <w:tcW w:type="dxa" w:w="1468"/>
            <w:vAlign w:val="top"/>
          </w:tcPr>
          <w:p>
            <w:pPr>
              <w:spacing w:after="60" w:line="259" w:lineRule="auto"/>
            </w:pPr>
            <w:r>
              <w:rPr>
                <w:rFonts w:ascii="Calibri" w:hAnsi="Calibri"/>
                <w:b w:val="0"/>
                <w:i w:val="0"/>
                <w:color w:val="212121"/>
                <w:sz w:val="19"/>
              </w:rPr>
              <w:t>Screening test of choice; confirm borderline results with MMA</w:t>
            </w:r>
          </w:p>
          <w:p>
            <w:pPr>
              <w:spacing w:after="40" w:line="252" w:lineRule="auto"/>
            </w:pPr>
            <w:hyperlink r:id="rId18">
              <w:r>
                <w:rPr>
                  <w:rFonts w:ascii="Calibri" w:hAnsi="Calibri" w:cs="Calibri"/>
                  <w:sz w:val="18"/>
                  <w:color w:val="1155CC"/>
                  <w:u w:val="single"/>
                </w:rPr>
                <w:t xml:space="preserve">https://www.merckmanuals.com/professional/nutritional-disorders/vitamin-deficiency-dependency-and-toxicity/vitamin-b12-deficiency</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methylmalonic acid (µmol/L)</w:t>
            </w:r>
          </w:p>
        </w:tc>
        <w:tc>
          <w:tcPr>
            <w:tcW w:type="dxa" w:w="1655"/>
            <w:vAlign w:val="top"/>
          </w:tcPr>
          <w:p>
            <w:pPr>
              <w:spacing w:after="40" w:before="0" w:line="259" w:lineRule="auto"/>
            </w:pPr>
            <w:r>
              <w:rPr>
                <w:rFonts w:ascii="Calibri" w:hAnsi="Calibri"/>
                <w:b w:val="0"/>
                <w:i w:val="0"/>
                <w:color w:val="212121"/>
                <w:sz w:val="19"/>
              </w:rPr>
              <w:t>Borderline B12, elderly</w:t>
            </w:r>
          </w:p>
        </w:tc>
        <w:tc>
          <w:tcPr>
            <w:tcW w:type="dxa" w:w="1512"/>
            <w:vAlign w:val="top"/>
          </w:tcPr>
          <w:p>
            <w:pPr>
              <w:spacing w:after="40" w:before="0" w:line="259" w:lineRule="auto"/>
            </w:pPr>
            <w:r>
              <w:rPr>
                <w:rFonts w:ascii="Calibri" w:hAnsi="Calibri"/>
                <w:b w:val="0"/>
                <w:i w:val="0"/>
                <w:color w:val="212121"/>
                <w:sz w:val="19"/>
              </w:rPr>
              <w:t>&lt; 0.40 µmol/L</w:t>
            </w:r>
          </w:p>
        </w:tc>
        <w:tc>
          <w:tcPr>
            <w:tcW w:type="dxa" w:w="1512"/>
            <w:vAlign w:val="top"/>
          </w:tcPr>
          <w:p>
            <w:pPr>
              <w:spacing w:after="40" w:before="0" w:line="259" w:lineRule="auto"/>
            </w:pPr>
            <w:r>
              <w:rPr>
                <w:rFonts w:ascii="Calibri" w:hAnsi="Calibri"/>
                <w:b w:val="0"/>
                <w:i w:val="0"/>
                <w:color w:val="212121"/>
                <w:sz w:val="19"/>
              </w:rPr>
              <w:t>Elevated (&gt; ~0.40 µmol/L)</w:t>
            </w:r>
          </w:p>
        </w:tc>
        <w:tc>
          <w:tcPr>
            <w:tcW w:type="dxa" w:w="1468"/>
            <w:vAlign w:val="top"/>
          </w:tcPr>
          <w:p>
            <w:pPr>
              <w:spacing w:after="60" w:line="259" w:lineRule="auto"/>
            </w:pPr>
            <w:r>
              <w:rPr>
                <w:rFonts w:ascii="Calibri" w:hAnsi="Calibri"/>
                <w:b w:val="0"/>
                <w:i w:val="0"/>
                <w:color w:val="212121"/>
                <w:sz w:val="19"/>
              </w:rPr>
              <w:t>Relatively specific functional marker; rises early in tissue deficiency</w:t>
            </w:r>
          </w:p>
          <w:p>
            <w:pPr>
              <w:spacing w:after="40" w:line="252" w:lineRule="auto"/>
            </w:pPr>
            <w:hyperlink r:id="rId13">
              <w:r>
                <w:rPr>
                  <w:rFonts w:ascii="Calibri" w:hAnsi="Calibri" w:cs="Calibri"/>
                  <w:sz w:val="18"/>
                  <w:color w:val="1155CC"/>
                  <w:u w:val="single"/>
                </w:rPr>
                <w:t xml:space="preserve">https://www.ncbi.nlm.nih.gov/books/NBK441923/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Plasma total homocysteine (µmol/L)</w:t>
            </w:r>
          </w:p>
        </w:tc>
        <w:tc>
          <w:tcPr>
            <w:tcW w:type="dxa" w:w="1655"/>
            <w:vAlign w:val="top"/>
          </w:tcPr>
          <w:p>
            <w:pPr>
              <w:spacing w:after="40" w:before="0" w:line="259" w:lineRule="auto"/>
            </w:pPr>
            <w:r>
              <w:rPr>
                <w:rFonts w:ascii="Calibri" w:hAnsi="Calibri"/>
                <w:b w:val="0"/>
                <w:i w:val="0"/>
                <w:color w:val="212121"/>
                <w:sz w:val="19"/>
              </w:rPr>
              <w:t>Borderline B12</w:t>
            </w:r>
          </w:p>
        </w:tc>
        <w:tc>
          <w:tcPr>
            <w:tcW w:type="dxa" w:w="1512"/>
            <w:vAlign w:val="top"/>
          </w:tcPr>
          <w:p>
            <w:pPr>
              <w:spacing w:after="40" w:before="0" w:line="259" w:lineRule="auto"/>
            </w:pPr>
            <w:r>
              <w:rPr>
                <w:rFonts w:ascii="Calibri" w:hAnsi="Calibri"/>
                <w:b w:val="0"/>
                <w:i w:val="0"/>
                <w:color w:val="212121"/>
                <w:sz w:val="19"/>
              </w:rPr>
              <w:t>&lt; 15 µmol/L</w:t>
            </w:r>
          </w:p>
        </w:tc>
        <w:tc>
          <w:tcPr>
            <w:tcW w:type="dxa" w:w="1512"/>
            <w:vAlign w:val="top"/>
          </w:tcPr>
          <w:p>
            <w:pPr>
              <w:spacing w:after="40" w:before="0" w:line="259" w:lineRule="auto"/>
            </w:pPr>
            <w:r>
              <w:rPr>
                <w:rFonts w:ascii="Calibri" w:hAnsi="Calibri"/>
                <w:b w:val="0"/>
                <w:i w:val="0"/>
                <w:color w:val="212121"/>
                <w:sz w:val="19"/>
              </w:rPr>
              <w:t>&gt; 15 µmol/L</w:t>
            </w:r>
          </w:p>
        </w:tc>
        <w:tc>
          <w:tcPr>
            <w:tcW w:type="dxa" w:w="1468"/>
            <w:vAlign w:val="top"/>
          </w:tcPr>
          <w:p>
            <w:pPr>
              <w:spacing w:after="60" w:line="259" w:lineRule="auto"/>
            </w:pPr>
            <w:r>
              <w:rPr>
                <w:rFonts w:ascii="Calibri" w:hAnsi="Calibri"/>
                <w:b w:val="0"/>
                <w:i w:val="0"/>
                <w:color w:val="212121"/>
                <w:sz w:val="19"/>
              </w:rPr>
              <w:t>Sensitive but not specific (also rises with folate/B6 deficiency)</w:t>
            </w:r>
          </w:p>
          <w:p>
            <w:pPr>
              <w:spacing w:after="40" w:line="252" w:lineRule="auto"/>
            </w:pPr>
            <w:hyperlink r:id="rId13">
              <w:r>
                <w:rPr>
                  <w:rFonts w:ascii="Calibri" w:hAnsi="Calibri" w:cs="Calibri"/>
                  <w:sz w:val="18"/>
                  <w:color w:val="1155CC"/>
                  <w:u w:val="single"/>
                </w:rPr>
                <w:t xml:space="preserve">https://www.ncbi.nlm.nih.gov/books/NBK441923/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Holotranscobalamin (active B12, pmol/L)</w:t>
            </w:r>
          </w:p>
        </w:tc>
        <w:tc>
          <w:tcPr>
            <w:tcW w:type="dxa" w:w="1655"/>
            <w:vAlign w:val="top"/>
          </w:tcPr>
          <w:p>
            <w:pPr>
              <w:spacing w:after="40" w:before="0" w:line="259" w:lineRule="auto"/>
            </w:pPr>
            <w:r>
              <w:rPr>
                <w:rFonts w:ascii="Calibri" w:hAnsi="Calibri"/>
                <w:b w:val="0"/>
                <w:i w:val="0"/>
                <w:color w:val="212121"/>
                <w:sz w:val="19"/>
              </w:rPr>
              <w:t>Confirmatory testing</w:t>
            </w:r>
          </w:p>
        </w:tc>
        <w:tc>
          <w:tcPr>
            <w:tcW w:type="dxa" w:w="1512"/>
            <w:vAlign w:val="top"/>
          </w:tcPr>
          <w:p>
            <w:pPr>
              <w:spacing w:after="40" w:before="0" w:line="259" w:lineRule="auto"/>
            </w:pPr>
            <w:r>
              <w:rPr>
                <w:rFonts w:ascii="Calibri" w:hAnsi="Calibri"/>
                <w:b w:val="0"/>
                <w:i w:val="0"/>
                <w:color w:val="212121"/>
                <w:sz w:val="19"/>
              </w:rPr>
              <w:t>&gt; 40 pmol/L</w:t>
            </w:r>
          </w:p>
        </w:tc>
        <w:tc>
          <w:tcPr>
            <w:tcW w:type="dxa" w:w="1512"/>
            <w:vAlign w:val="top"/>
          </w:tcPr>
          <w:p>
            <w:pPr>
              <w:spacing w:after="40" w:before="0" w:line="259" w:lineRule="auto"/>
            </w:pPr>
            <w:r>
              <w:rPr>
                <w:rFonts w:ascii="Calibri" w:hAnsi="Calibri"/>
                <w:b w:val="0"/>
                <w:i w:val="0"/>
                <w:color w:val="212121"/>
                <w:sz w:val="19"/>
              </w:rPr>
              <w:t>&lt; ~35-40 pmol/L</w:t>
            </w:r>
          </w:p>
        </w:tc>
        <w:tc>
          <w:tcPr>
            <w:tcW w:type="dxa" w:w="1468"/>
            <w:vAlign w:val="top"/>
          </w:tcPr>
          <w:p>
            <w:pPr>
              <w:spacing w:after="60" w:line="259" w:lineRule="auto"/>
            </w:pPr>
            <w:r>
              <w:rPr>
                <w:rFonts w:ascii="Calibri" w:hAnsi="Calibri"/>
                <w:b w:val="0"/>
                <w:i w:val="0"/>
                <w:color w:val="212121"/>
                <w:sz w:val="19"/>
              </w:rPr>
              <w:t>Active fraction available to tissues; early marker of depletion</w:t>
            </w:r>
          </w:p>
          <w:p>
            <w:pPr>
              <w:spacing w:after="40" w:line="252" w:lineRule="auto"/>
            </w:pPr>
            <w:hyperlink r:id="rId18">
              <w:r>
                <w:rPr>
                  <w:rFonts w:ascii="Calibri" w:hAnsi="Calibri" w:cs="Calibri"/>
                  <w:sz w:val="18"/>
                  <w:color w:val="1155CC"/>
                  <w:u w:val="single"/>
                </w:rPr>
                <w:t xml:space="preserve">https://www.merckmanuals.com/professional/nutritional-disorders/vitamin-deficiency-dependency-and-toxicity/vitamin-b12-deficiency</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Mean corpuscular volume (fL)</w:t>
            </w:r>
          </w:p>
        </w:tc>
        <w:tc>
          <w:tcPr>
            <w:tcW w:type="dxa" w:w="1655"/>
            <w:vAlign w:val="top"/>
          </w:tcPr>
          <w:p>
            <w:pPr>
              <w:spacing w:after="40" w:before="0" w:line="259" w:lineRule="auto"/>
            </w:pPr>
            <w:r>
              <w:rPr>
                <w:rFonts w:ascii="Calibri" w:hAnsi="Calibri"/>
                <w:b w:val="0"/>
                <w:i w:val="0"/>
                <w:color w:val="212121"/>
                <w:sz w:val="19"/>
              </w:rPr>
              <w:t>Anaemic / symptomatic patients</w:t>
            </w:r>
          </w:p>
        </w:tc>
        <w:tc>
          <w:tcPr>
            <w:tcW w:type="dxa" w:w="1512"/>
            <w:vAlign w:val="top"/>
          </w:tcPr>
          <w:p>
            <w:pPr>
              <w:spacing w:after="40" w:before="0" w:line="259" w:lineRule="auto"/>
            </w:pPr>
            <w:r>
              <w:rPr>
                <w:rFonts w:ascii="Calibri" w:hAnsi="Calibri"/>
                <w:b w:val="0"/>
                <w:i w:val="0"/>
                <w:color w:val="212121"/>
                <w:sz w:val="19"/>
              </w:rPr>
              <w:t>80-100 fL</w:t>
            </w:r>
          </w:p>
        </w:tc>
        <w:tc>
          <w:tcPr>
            <w:tcW w:type="dxa" w:w="1512"/>
            <w:vAlign w:val="top"/>
          </w:tcPr>
          <w:p>
            <w:pPr>
              <w:spacing w:after="40" w:before="0" w:line="259" w:lineRule="auto"/>
            </w:pPr>
            <w:r>
              <w:rPr>
                <w:rFonts w:ascii="Calibri" w:hAnsi="Calibri"/>
                <w:b w:val="0"/>
                <w:i w:val="0"/>
                <w:color w:val="212121"/>
                <w:sz w:val="19"/>
              </w:rPr>
              <w:t>&gt; 100 fL (macrocytosis)</w:t>
            </w:r>
          </w:p>
        </w:tc>
        <w:tc>
          <w:tcPr>
            <w:tcW w:type="dxa" w:w="1468"/>
            <w:vAlign w:val="top"/>
          </w:tcPr>
          <w:p>
            <w:pPr>
              <w:spacing w:after="60" w:line="259" w:lineRule="auto"/>
            </w:pPr>
            <w:r>
              <w:rPr>
                <w:rFonts w:ascii="Calibri" w:hAnsi="Calibri"/>
                <w:b w:val="0"/>
                <w:i w:val="0"/>
                <w:color w:val="212121"/>
                <w:sz w:val="19"/>
              </w:rPr>
              <w:t>Macrocytosis may be masked by coexisting iron deficiency (dimorphic picture)</w:t>
            </w:r>
          </w:p>
          <w:p>
            <w:pPr>
              <w:spacing w:after="40" w:line="252" w:lineRule="auto"/>
            </w:pPr>
            <w:hyperlink r:id="rId16">
              <w:r>
                <w:rPr>
                  <w:rFonts w:ascii="Calibri" w:hAnsi="Calibri" w:cs="Calibri"/>
                  <w:sz w:val="18"/>
                  <w:color w:val="1155CC"/>
                  <w:u w:val="single"/>
                </w:rPr>
                <w:t xml:space="preserve">https://pmc.ncbi.nlm.nih.gov/articles/PMC9480660/</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(drinks/week)</w:t>
            </w:r>
          </w:p>
        </w:tc>
        <w:tc>
          <w:tcPr>
            <w:tcW w:type="dxa" w:w="1655"/>
            <w:vAlign w:val="top"/>
          </w:tcPr>
          <w:p>
            <w:pPr>
              <w:spacing w:after="40" w:before="0" w:line="259" w:lineRule="auto"/>
            </w:pPr>
            <w:r>
              <w:rPr>
                <w:rFonts w:ascii="Calibri" w:hAnsi="Calibri"/>
                <w:b w:val="0"/>
                <w:i w:val="0"/>
                <w:color w:val="212121"/>
                <w:sz w:val="19"/>
              </w:rPr>
              <w:t>Heavy/chronic drinkers</w:t>
            </w:r>
          </w:p>
        </w:tc>
        <w:tc>
          <w:tcPr>
            <w:tcW w:type="dxa" w:w="1512"/>
            <w:vAlign w:val="top"/>
          </w:tcPr>
          <w:p>
            <w:pPr>
              <w:spacing w:after="40" w:before="0" w:line="259" w:lineRule="auto"/>
            </w:pPr>
            <w:r>
              <w:rPr>
                <w:rFonts w:ascii="Calibri" w:hAnsi="Calibri"/>
                <w:b w:val="0"/>
                <w:i w:val="0"/>
                <w:color w:val="212121"/>
                <w:sz w:val="19"/>
              </w:rPr>
              <w:t>≤ 14 units/week (less is better)</w:t>
            </w:r>
          </w:p>
        </w:tc>
        <w:tc>
          <w:tcPr>
            <w:tcW w:type="dxa" w:w="1512"/>
            <w:vAlign w:val="top"/>
          </w:tcPr>
          <w:p>
            <w:pPr>
              <w:spacing w:after="40" w:before="0" w:line="259" w:lineRule="auto"/>
            </w:pPr>
            <w:r>
              <w:rPr>
                <w:rFonts w:ascii="Calibri" w:hAnsi="Calibri"/>
                <w:b w:val="0"/>
                <w:i w:val="0"/>
                <w:color w:val="212121"/>
                <w:sz w:val="19"/>
              </w:rPr>
              <w:t>Heavy or chronic use</w:t>
            </w:r>
          </w:p>
        </w:tc>
        <w:tc>
          <w:tcPr>
            <w:tcW w:type="dxa" w:w="1468"/>
            <w:vAlign w:val="top"/>
          </w:tcPr>
          <w:p>
            <w:pPr>
              <w:spacing w:after="40" w:before="0" w:line="259" w:lineRule="auto"/>
            </w:pPr>
            <w:r>
              <w:rPr>
                <w:rFonts w:ascii="Calibri" w:hAnsi="Calibri"/>
                <w:b w:val="0"/>
                <w:i w:val="0"/>
                <w:color w:val="212121"/>
                <w:sz w:val="19"/>
              </w:rPr>
              <w:t>Worsens intake, causes gastritis and impairs B12 absorption and storage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Metformin therapy (dose &amp; duration)</w:t>
            </w:r>
          </w:p>
        </w:tc>
        <w:tc>
          <w:tcPr>
            <w:tcW w:type="dxa" w:w="1655"/>
            <w:vAlign w:val="top"/>
          </w:tcPr>
          <w:p>
            <w:pPr>
              <w:spacing w:after="40" w:before="0" w:line="259" w:lineRule="auto"/>
            </w:pPr>
            <w:r>
              <w:rPr>
                <w:rFonts w:ascii="Calibri" w:hAnsi="Calibri"/>
                <w:b w:val="0"/>
                <w:i w:val="0"/>
                <w:color w:val="212121"/>
                <w:sz w:val="19"/>
              </w:rPr>
              <w:t>Type 2 diabetics on metformin</w:t>
            </w:r>
          </w:p>
        </w:tc>
        <w:tc>
          <w:tcPr>
            <w:tcW w:type="dxa" w:w="1512"/>
            <w:vAlign w:val="top"/>
          </w:tcPr>
          <w:p>
            <w:pPr>
              <w:spacing w:after="40" w:before="0" w:line="259" w:lineRule="auto"/>
            </w:pPr>
            <w:r>
              <w:rPr>
                <w:rFonts w:ascii="Calibri" w:hAnsi="Calibri"/>
                <w:b w:val="0"/>
                <w:i w:val="0"/>
                <w:color w:val="212121"/>
                <w:sz w:val="19"/>
              </w:rPr>
              <w:t>Periodic B12 monitoring on long-term therapy</w:t>
            </w:r>
          </w:p>
        </w:tc>
        <w:tc>
          <w:tcPr>
            <w:tcW w:type="dxa" w:w="1512"/>
            <w:vAlign w:val="top"/>
          </w:tcPr>
          <w:p>
            <w:pPr>
              <w:spacing w:after="40" w:before="0" w:line="259" w:lineRule="auto"/>
            </w:pPr>
            <w:r>
              <w:rPr>
                <w:rFonts w:ascii="Calibri" w:hAnsi="Calibri"/>
                <w:b w:val="0"/>
                <w:i w:val="0"/>
                <w:color w:val="212121"/>
                <w:sz w:val="19"/>
              </w:rPr>
              <w:t>Higher dose (&gt; ~2 g/day) or use &gt; 3-4 years</w:t>
            </w:r>
          </w:p>
        </w:tc>
        <w:tc>
          <w:tcPr>
            <w:tcW w:type="dxa" w:w="1468"/>
            <w:vAlign w:val="top"/>
          </w:tcPr>
          <w:p>
            <w:pPr>
              <w:spacing w:after="60" w:line="259" w:lineRule="auto"/>
            </w:pPr>
            <w:r>
              <w:rPr>
                <w:rFonts w:ascii="Calibri" w:hAnsi="Calibri"/>
                <w:b w:val="0"/>
                <w:i w:val="0"/>
                <w:color w:val="212121"/>
                <w:sz w:val="19"/>
              </w:rPr>
              <w:t>Deficiency ~2.95x more likely than in non-users; supplement if low</w:t>
            </w:r>
          </w:p>
          <w:p>
            <w:pPr>
              <w:spacing w:after="40" w:line="252" w:lineRule="auto"/>
            </w:pPr>
            <w:hyperlink r:id="rId14">
              <w:r>
                <w:rPr>
                  <w:rFonts w:ascii="Calibri" w:hAnsi="Calibri" w:cs="Calibri"/>
                  <w:sz w:val="18"/>
                  <w:color w:val="1155CC"/>
                  <w:u w:val="single"/>
                </w:rPr>
                <w:t xml:space="preserve">https://www.cureus.com/articles/127842-effect-of-metformin-on-vitamin-b12-deficiency-in-patients-with-type-2-diabetes-mellitus-and-factors-associated-with-it-a-meta-analysis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Long-term acid suppression (PPI/H2)</w:t>
            </w:r>
          </w:p>
        </w:tc>
        <w:tc>
          <w:tcPr>
            <w:tcW w:type="dxa" w:w="1655"/>
            <w:vAlign w:val="top"/>
          </w:tcPr>
          <w:p>
            <w:pPr>
              <w:spacing w:after="40" w:before="0" w:line="259" w:lineRule="auto"/>
            </w:pPr>
            <w:r>
              <w:rPr>
                <w:rFonts w:ascii="Calibri" w:hAnsi="Calibri"/>
                <w:b w:val="0"/>
                <w:i w:val="0"/>
                <w:color w:val="212121"/>
                <w:sz w:val="19"/>
              </w:rPr>
              <w:t>Chronic GERD/dyspepsia</w:t>
            </w:r>
          </w:p>
        </w:tc>
        <w:tc>
          <w:tcPr>
            <w:tcW w:type="dxa" w:w="1512"/>
            <w:vAlign w:val="top"/>
          </w:tcPr>
          <w:p>
            <w:pPr>
              <w:spacing w:after="40" w:before="0" w:line="259" w:lineRule="auto"/>
            </w:pPr>
            <w:r>
              <w:rPr>
                <w:rFonts w:ascii="Calibri" w:hAnsi="Calibri"/>
                <w:b w:val="0"/>
                <w:i w:val="0"/>
                <w:color w:val="212121"/>
                <w:sz w:val="19"/>
              </w:rPr>
              <w:t>Shortest effective course</w:t>
            </w:r>
          </w:p>
        </w:tc>
        <w:tc>
          <w:tcPr>
            <w:tcW w:type="dxa" w:w="1512"/>
            <w:vAlign w:val="top"/>
          </w:tcPr>
          <w:p>
            <w:pPr>
              <w:spacing w:after="40" w:before="0" w:line="259" w:lineRule="auto"/>
            </w:pPr>
            <w:r>
              <w:rPr>
                <w:rFonts w:ascii="Calibri" w:hAnsi="Calibri"/>
                <w:b w:val="0"/>
                <w:i w:val="0"/>
                <w:color w:val="212121"/>
                <w:sz w:val="19"/>
              </w:rPr>
              <w:t>Continuous use &gt; 12 months</w:t>
            </w:r>
          </w:p>
        </w:tc>
        <w:tc>
          <w:tcPr>
            <w:tcW w:type="dxa" w:w="1468"/>
            <w:vAlign w:val="top"/>
          </w:tcPr>
          <w:p>
            <w:pPr>
              <w:spacing w:after="60" w:line="259" w:lineRule="auto"/>
            </w:pPr>
            <w:r>
              <w:rPr>
                <w:rFonts w:ascii="Calibri" w:hAnsi="Calibri"/>
                <w:b w:val="0"/>
                <w:i w:val="0"/>
                <w:color w:val="212121"/>
                <w:sz w:val="19"/>
              </w:rPr>
              <w:t>Reduces gastric acid needed to liberate food-bound B12</w:t>
            </w:r>
          </w:p>
          <w:p>
            <w:pPr>
              <w:spacing w:after="40" w:line="252" w:lineRule="auto"/>
            </w:pPr>
            <w:hyperlink r:id="rId16">
              <w:r>
                <w:rPr>
                  <w:rFonts w:ascii="Calibri" w:hAnsi="Calibri" w:cs="Calibri"/>
                  <w:sz w:val="18"/>
                  <w:color w:val="1155CC"/>
                  <w:u w:val="single"/>
                </w:rPr>
                <w:t xml:space="preserve">https://pmc.ncbi.nlm.nih.gov/articles/PMC9480660/</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total vitamin B12 (cobalamin)</w:t>
            </w:r>
          </w:p>
        </w:tc>
        <w:tc>
          <w:tcPr>
            <w:tcW w:type="dxa" w:w="892"/>
            <w:vAlign w:val="top"/>
          </w:tcPr>
          <w:p>
            <w:pPr>
              <w:spacing w:after="40" w:before="0" w:line="259" w:lineRule="auto"/>
            </w:pPr>
            <w:r>
              <w:rPr>
                <w:rFonts w:ascii="Calibri" w:hAnsi="Calibri"/>
                <w:b w:val="0"/>
                <w:i w:val="0"/>
                <w:color w:val="212121"/>
                <w:sz w:val="16"/>
              </w:rPr>
              <w:t>Vitamin B12 assay</w:t>
            </w:r>
          </w:p>
        </w:tc>
        <w:tc>
          <w:tcPr>
            <w:tcW w:type="dxa" w:w="950"/>
            <w:vAlign w:val="top"/>
          </w:tcPr>
          <w:p>
            <w:pPr>
              <w:spacing w:after="40" w:before="0" w:line="259" w:lineRule="auto"/>
            </w:pPr>
            <w:r>
              <w:rPr>
                <w:rFonts w:ascii="Calibri" w:hAnsi="Calibri"/>
                <w:b w:val="0"/>
                <w:i w:val="0"/>
                <w:color w:val="212121"/>
                <w:sz w:val="16"/>
              </w:rPr>
              <w:t>&gt; 300 pg/mL (&gt; 221 pmol/L)</w:t>
            </w:r>
          </w:p>
        </w:tc>
        <w:tc>
          <w:tcPr>
            <w:tcW w:type="dxa" w:w="950"/>
            <w:vAlign w:val="top"/>
          </w:tcPr>
          <w:p>
            <w:pPr>
              <w:spacing w:after="40" w:before="0" w:line="259" w:lineRule="auto"/>
            </w:pPr>
            <w:r>
              <w:rPr>
                <w:rFonts w:ascii="Calibri" w:hAnsi="Calibri"/>
                <w:b w:val="0"/>
                <w:i w:val="0"/>
                <w:color w:val="212121"/>
                <w:sz w:val="16"/>
              </w:rPr>
              <w:t>&lt; 200 pg/mL (deficient); 200-300 borderline</w:t>
            </w:r>
          </w:p>
        </w:tc>
        <w:tc>
          <w:tcPr>
            <w:tcW w:type="dxa" w:w="1036"/>
            <w:vAlign w:val="top"/>
          </w:tcPr>
          <w:p>
            <w:pPr>
              <w:spacing w:after="40" w:before="0" w:line="259" w:lineRule="auto"/>
            </w:pPr>
            <w:r>
              <w:rPr>
                <w:rFonts w:ascii="Calibri" w:hAnsi="Calibri"/>
                <w:b w:val="0"/>
                <w:i w:val="0"/>
                <w:color w:val="212121"/>
                <w:sz w:val="16"/>
              </w:rPr>
              <w:t>Primary screening test; confirms and grades deficiency</w:t>
            </w:r>
          </w:p>
        </w:tc>
        <w:tc>
          <w:tcPr>
            <w:tcW w:type="dxa" w:w="1036"/>
            <w:vAlign w:val="top"/>
          </w:tcPr>
          <w:p>
            <w:pPr>
              <w:spacing w:after="40" w:before="0" w:line="259" w:lineRule="auto"/>
            </w:pPr>
            <w:r>
              <w:rPr>
                <w:rFonts w:ascii="Calibri" w:hAnsi="Calibri"/>
                <w:b w:val="0"/>
                <w:i w:val="0"/>
                <w:color w:val="212121"/>
                <w:sz w:val="16"/>
              </w:rPr>
              <w:t>Vegetarians, elderly, pregnant women, metformin/PPI users, neuropathy</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Imperfect marker - confirm borderline values with MMA/homocysteine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methylmalonic acid (MMA)</w:t>
            </w:r>
          </w:p>
        </w:tc>
        <w:tc>
          <w:tcPr>
            <w:tcW w:type="dxa" w:w="892"/>
            <w:vAlign w:val="top"/>
          </w:tcPr>
          <w:p>
            <w:pPr>
              <w:spacing w:after="40" w:before="0" w:line="259" w:lineRule="auto"/>
            </w:pPr>
            <w:r>
              <w:rPr>
                <w:rFonts w:ascii="Calibri" w:hAnsi="Calibri"/>
                <w:b w:val="0"/>
                <w:i w:val="0"/>
                <w:color w:val="212121"/>
                <w:sz w:val="16"/>
              </w:rPr>
              <w:t>Functional B12 marker</w:t>
            </w:r>
          </w:p>
        </w:tc>
        <w:tc>
          <w:tcPr>
            <w:tcW w:type="dxa" w:w="950"/>
            <w:vAlign w:val="top"/>
          </w:tcPr>
          <w:p>
            <w:pPr>
              <w:spacing w:after="40" w:before="0" w:line="259" w:lineRule="auto"/>
            </w:pPr>
            <w:r>
              <w:rPr>
                <w:rFonts w:ascii="Calibri" w:hAnsi="Calibri"/>
                <w:b w:val="0"/>
                <w:i w:val="0"/>
                <w:color w:val="212121"/>
                <w:sz w:val="16"/>
              </w:rPr>
              <w:t>&lt; 0.40 µmol/L</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Rises early and is relatively specific for tissue B12 deficiency</w:t>
            </w:r>
          </w:p>
        </w:tc>
        <w:tc>
          <w:tcPr>
            <w:tcW w:type="dxa" w:w="1036"/>
            <w:vAlign w:val="top"/>
          </w:tcPr>
          <w:p>
            <w:pPr>
              <w:spacing w:after="40" w:before="0" w:line="259" w:lineRule="auto"/>
            </w:pPr>
            <w:r>
              <w:rPr>
                <w:rFonts w:ascii="Calibri" w:hAnsi="Calibri"/>
                <w:b w:val="0"/>
                <w:i w:val="0"/>
                <w:color w:val="212121"/>
                <w:sz w:val="16"/>
              </w:rPr>
              <w:t>Borderline B12, elderly, subclinical deficiency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Also elevated in renal impairment - interpret with eGFR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Plasma total homocysteine</w:t>
            </w:r>
          </w:p>
        </w:tc>
        <w:tc>
          <w:tcPr>
            <w:tcW w:type="dxa" w:w="892"/>
            <w:vAlign w:val="top"/>
          </w:tcPr>
          <w:p>
            <w:pPr>
              <w:spacing w:after="40" w:before="0" w:line="259" w:lineRule="auto"/>
            </w:pPr>
            <w:r>
              <w:rPr>
                <w:rFonts w:ascii="Calibri" w:hAnsi="Calibri"/>
                <w:b w:val="0"/>
                <w:i w:val="0"/>
                <w:color w:val="212121"/>
                <w:sz w:val="16"/>
              </w:rPr>
              <w:t>Functional B12 marker</w:t>
            </w:r>
          </w:p>
        </w:tc>
        <w:tc>
          <w:tcPr>
            <w:tcW w:type="dxa" w:w="950"/>
            <w:vAlign w:val="top"/>
          </w:tcPr>
          <w:p>
            <w:pPr>
              <w:spacing w:after="40" w:before="0" w:line="259" w:lineRule="auto"/>
            </w:pPr>
            <w:r>
              <w:rPr>
                <w:rFonts w:ascii="Calibri" w:hAnsi="Calibri"/>
                <w:b w:val="0"/>
                <w:i w:val="0"/>
                <w:color w:val="212121"/>
                <w:sz w:val="16"/>
              </w:rPr>
              <w:t>&lt; 15 µmol/L</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Sensitive functional marker; supports deficiency and flags vascular risk</w:t>
            </w:r>
          </w:p>
        </w:tc>
        <w:tc>
          <w:tcPr>
            <w:tcW w:type="dxa" w:w="1036"/>
            <w:vAlign w:val="top"/>
          </w:tcPr>
          <w:p>
            <w:pPr>
              <w:spacing w:after="40" w:before="0" w:line="259" w:lineRule="auto"/>
            </w:pPr>
            <w:r>
              <w:rPr>
                <w:rFonts w:ascii="Calibri" w:hAnsi="Calibri"/>
                <w:b w:val="0"/>
                <w:i w:val="0"/>
                <w:color w:val="212121"/>
                <w:sz w:val="16"/>
              </w:rPr>
              <w:t>Borderline B12, cardiovascular risk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Not specific - also raised by folate and B6 deficiency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Holotranscobalamin (active B12)</w:t>
            </w:r>
          </w:p>
        </w:tc>
        <w:tc>
          <w:tcPr>
            <w:tcW w:type="dxa" w:w="892"/>
            <w:vAlign w:val="top"/>
          </w:tcPr>
          <w:p>
            <w:pPr>
              <w:spacing w:after="40" w:before="0" w:line="259" w:lineRule="auto"/>
            </w:pPr>
            <w:r>
              <w:rPr>
                <w:rFonts w:ascii="Calibri" w:hAnsi="Calibri"/>
                <w:b w:val="0"/>
                <w:i w:val="0"/>
                <w:color w:val="212121"/>
                <w:sz w:val="16"/>
              </w:rPr>
              <w:t>Active B12 assay</w:t>
            </w:r>
          </w:p>
        </w:tc>
        <w:tc>
          <w:tcPr>
            <w:tcW w:type="dxa" w:w="950"/>
            <w:vAlign w:val="top"/>
          </w:tcPr>
          <w:p>
            <w:pPr>
              <w:spacing w:after="40" w:before="0" w:line="259" w:lineRule="auto"/>
            </w:pPr>
            <w:r>
              <w:rPr>
                <w:rFonts w:ascii="Calibri" w:hAnsi="Calibri"/>
                <w:b w:val="0"/>
                <w:i w:val="0"/>
                <w:color w:val="212121"/>
                <w:sz w:val="16"/>
              </w:rPr>
              <w:t>&gt; 40 pmol/L</w:t>
            </w:r>
          </w:p>
        </w:tc>
        <w:tc>
          <w:tcPr>
            <w:tcW w:type="dxa" w:w="950"/>
            <w:vAlign w:val="top"/>
          </w:tcPr>
          <w:p>
            <w:pPr>
              <w:spacing w:after="40" w:before="0" w:line="259" w:lineRule="auto"/>
            </w:pPr>
            <w:r>
              <w:rPr>
                <w:rFonts w:ascii="Calibri" w:hAnsi="Calibri"/>
                <w:b w:val="0"/>
                <w:i w:val="0"/>
                <w:color w:val="212121"/>
                <w:sz w:val="16"/>
              </w:rPr>
              <w:t>&lt; ~35-40 pmol/L</w:t>
            </w:r>
          </w:p>
        </w:tc>
        <w:tc>
          <w:tcPr>
            <w:tcW w:type="dxa" w:w="1036"/>
            <w:vAlign w:val="top"/>
          </w:tcPr>
          <w:p>
            <w:pPr>
              <w:spacing w:after="40" w:before="0" w:line="259" w:lineRule="auto"/>
            </w:pPr>
            <w:r>
              <w:rPr>
                <w:rFonts w:ascii="Calibri" w:hAnsi="Calibri"/>
                <w:b w:val="0"/>
                <w:i w:val="0"/>
                <w:color w:val="212121"/>
                <w:sz w:val="16"/>
              </w:rPr>
              <w:t>Measures the biologically available B12 fraction; early depletion marker</w:t>
            </w:r>
          </w:p>
        </w:tc>
        <w:tc>
          <w:tcPr>
            <w:tcW w:type="dxa" w:w="1036"/>
            <w:vAlign w:val="top"/>
          </w:tcPr>
          <w:p>
            <w:pPr>
              <w:spacing w:after="40" w:before="0" w:line="259" w:lineRule="auto"/>
            </w:pPr>
            <w:r>
              <w:rPr>
                <w:rFonts w:ascii="Calibri" w:hAnsi="Calibri"/>
                <w:b w:val="0"/>
                <w:i w:val="0"/>
                <w:color w:val="212121"/>
                <w:sz w:val="16"/>
              </w:rPr>
              <w:t>Screening/confirmation where available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May be used first-line or to clarify borderline total B12</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Complete blood count with MCV</w:t>
            </w:r>
          </w:p>
        </w:tc>
        <w:tc>
          <w:tcPr>
            <w:tcW w:type="dxa" w:w="892"/>
            <w:vAlign w:val="top"/>
          </w:tcPr>
          <w:p>
            <w:pPr>
              <w:spacing w:after="40" w:before="0" w:line="259" w:lineRule="auto"/>
            </w:pPr>
            <w:r>
              <w:rPr>
                <w:rFonts w:ascii="Calibri" w:hAnsi="Calibri"/>
                <w:b w:val="0"/>
                <w:i w:val="0"/>
                <w:color w:val="212121"/>
                <w:sz w:val="16"/>
              </w:rPr>
              <w:t>CBC / red-cell indices</w:t>
            </w:r>
          </w:p>
        </w:tc>
        <w:tc>
          <w:tcPr>
            <w:tcW w:type="dxa" w:w="950"/>
            <w:vAlign w:val="top"/>
          </w:tcPr>
          <w:p>
            <w:pPr>
              <w:spacing w:after="40" w:before="0" w:line="259" w:lineRule="auto"/>
            </w:pPr>
            <w:r>
              <w:rPr>
                <w:rFonts w:ascii="Calibri" w:hAnsi="Calibri"/>
                <w:b w:val="0"/>
                <w:i w:val="0"/>
                <w:color w:val="212121"/>
                <w:sz w:val="16"/>
              </w:rPr>
              <w:t>Hb normal; MCV 80-100 fL</w:t>
            </w:r>
          </w:p>
        </w:tc>
        <w:tc>
          <w:tcPr>
            <w:tcW w:type="dxa" w:w="950"/>
            <w:vAlign w:val="top"/>
          </w:tcPr>
          <w:p>
            <w:pPr>
              <w:spacing w:after="40" w:before="0" w:line="259" w:lineRule="auto"/>
            </w:pPr>
            <w:r>
              <w:rPr>
                <w:rFonts w:ascii="Calibri" w:hAnsi="Calibri"/>
                <w:b w:val="0"/>
                <w:i w:val="0"/>
                <w:color w:val="212121"/>
                <w:sz w:val="16"/>
              </w:rPr>
              <w:t>Macrocytic anaemia (MCV &gt; 100 fL); pancytopenia if severe</w:t>
            </w:r>
          </w:p>
        </w:tc>
        <w:tc>
          <w:tcPr>
            <w:tcW w:type="dxa" w:w="1036"/>
            <w:vAlign w:val="top"/>
          </w:tcPr>
          <w:p>
            <w:pPr>
              <w:spacing w:after="40" w:before="0" w:line="259" w:lineRule="auto"/>
            </w:pPr>
            <w:r>
              <w:rPr>
                <w:rFonts w:ascii="Calibri" w:hAnsi="Calibri"/>
                <w:b w:val="0"/>
                <w:i w:val="0"/>
                <w:color w:val="212121"/>
                <w:sz w:val="16"/>
              </w:rPr>
              <w:t>Detects megaloblastic anaemia; severity guides urgency</w:t>
            </w:r>
          </w:p>
        </w:tc>
        <w:tc>
          <w:tcPr>
            <w:tcW w:type="dxa" w:w="1036"/>
            <w:vAlign w:val="top"/>
          </w:tcPr>
          <w:p>
            <w:pPr>
              <w:spacing w:after="40" w:before="0" w:line="259" w:lineRule="auto"/>
            </w:pPr>
            <w:r>
              <w:rPr>
                <w:rFonts w:ascii="Calibri" w:hAnsi="Calibri"/>
                <w:b w:val="0"/>
                <w:i w:val="0"/>
                <w:color w:val="212121"/>
                <w:sz w:val="16"/>
              </w:rPr>
              <w:t>Fatigued/anaemic patients, advanced deficiency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Coexisting iron deficiency can normalise MCV and mask macrocytosis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Peripheral blood smear</w:t>
            </w:r>
          </w:p>
        </w:tc>
        <w:tc>
          <w:tcPr>
            <w:tcW w:type="dxa" w:w="892"/>
            <w:vAlign w:val="top"/>
          </w:tcPr>
          <w:p>
            <w:pPr>
              <w:spacing w:after="40" w:before="0" w:line="259" w:lineRule="auto"/>
            </w:pPr>
            <w:r>
              <w:rPr>
                <w:rFonts w:ascii="Calibri" w:hAnsi="Calibri"/>
                <w:b w:val="0"/>
                <w:i w:val="0"/>
                <w:color w:val="212121"/>
                <w:sz w:val="16"/>
              </w:rPr>
              <w:t>Blood film</w:t>
            </w:r>
          </w:p>
        </w:tc>
        <w:tc>
          <w:tcPr>
            <w:tcW w:type="dxa" w:w="950"/>
            <w:vAlign w:val="top"/>
          </w:tcPr>
          <w:p>
            <w:pPr>
              <w:spacing w:after="40" w:before="0" w:line="259" w:lineRule="auto"/>
            </w:pPr>
            <w:r>
              <w:rPr>
                <w:rFonts w:ascii="Calibri" w:hAnsi="Calibri"/>
                <w:b w:val="0"/>
                <w:i w:val="0"/>
                <w:color w:val="212121"/>
                <w:sz w:val="16"/>
              </w:rPr>
              <w:t>Normocytic, normochromic</w:t>
            </w:r>
          </w:p>
        </w:tc>
        <w:tc>
          <w:tcPr>
            <w:tcW w:type="dxa" w:w="950"/>
            <w:vAlign w:val="top"/>
          </w:tcPr>
          <w:p>
            <w:pPr>
              <w:spacing w:after="40" w:before="0" w:line="259" w:lineRule="auto"/>
            </w:pPr>
            <w:r>
              <w:rPr>
                <w:rFonts w:ascii="Calibri" w:hAnsi="Calibri"/>
                <w:b w:val="0"/>
                <w:i w:val="0"/>
                <w:color w:val="212121"/>
                <w:sz w:val="16"/>
              </w:rPr>
              <w:t>Oval macrocytes; hypersegmented neutrophils (≥ 5 lobes)</w:t>
            </w:r>
          </w:p>
        </w:tc>
        <w:tc>
          <w:tcPr>
            <w:tcW w:type="dxa" w:w="1036"/>
            <w:vAlign w:val="top"/>
          </w:tcPr>
          <w:p>
            <w:pPr>
              <w:spacing w:after="40" w:before="0" w:line="259" w:lineRule="auto"/>
            </w:pPr>
            <w:r>
              <w:rPr>
                <w:rFonts w:ascii="Calibri" w:hAnsi="Calibri"/>
                <w:b w:val="0"/>
                <w:i w:val="0"/>
                <w:color w:val="212121"/>
                <w:sz w:val="16"/>
              </w:rPr>
              <w:t>Classic morphology of megaloblastic haematopoiesis</w:t>
            </w:r>
          </w:p>
        </w:tc>
        <w:tc>
          <w:tcPr>
            <w:tcW w:type="dxa" w:w="1036"/>
            <w:vAlign w:val="top"/>
          </w:tcPr>
          <w:p>
            <w:pPr>
              <w:spacing w:after="40" w:before="0" w:line="259" w:lineRule="auto"/>
            </w:pPr>
            <w:r>
              <w:rPr>
                <w:rFonts w:ascii="Calibri" w:hAnsi="Calibri"/>
                <w:b w:val="0"/>
                <w:i w:val="0"/>
                <w:color w:val="212121"/>
                <w:sz w:val="16"/>
              </w:rPr>
              <w:t>Suspected megaloblastic anaemia</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Hypersegmentation is an early and characteristic clue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Immunological</w:t>
            </w:r>
          </w:p>
        </w:tc>
        <w:tc>
          <w:tcPr>
            <w:tcW w:type="dxa" w:w="1036"/>
            <w:vAlign w:val="top"/>
          </w:tcPr>
          <w:p>
            <w:pPr>
              <w:spacing w:after="40" w:before="0" w:line="259" w:lineRule="auto"/>
            </w:pPr>
            <w:r>
              <w:rPr>
                <w:rFonts w:ascii="Calibri" w:hAnsi="Calibri"/>
                <w:b w:val="0"/>
                <w:i w:val="0"/>
                <w:color w:val="212121"/>
                <w:sz w:val="16"/>
              </w:rPr>
              <w:t>Anti-intrinsic-factor &amp; anti-parietal-cell antibodies</w:t>
            </w:r>
          </w:p>
        </w:tc>
        <w:tc>
          <w:tcPr>
            <w:tcW w:type="dxa" w:w="892"/>
            <w:vAlign w:val="top"/>
          </w:tcPr>
          <w:p>
            <w:pPr>
              <w:spacing w:after="40" w:before="0" w:line="259" w:lineRule="auto"/>
            </w:pPr>
            <w:r>
              <w:rPr>
                <w:rFonts w:ascii="Calibri" w:hAnsi="Calibri"/>
                <w:b w:val="0"/>
                <w:i w:val="0"/>
                <w:color w:val="212121"/>
                <w:sz w:val="16"/>
              </w:rPr>
              <w:t>Autoantibody panel</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(esp. anti-intrinsic factor)</w:t>
            </w:r>
          </w:p>
        </w:tc>
        <w:tc>
          <w:tcPr>
            <w:tcW w:type="dxa" w:w="1036"/>
            <w:vAlign w:val="top"/>
          </w:tcPr>
          <w:p>
            <w:pPr>
              <w:spacing w:after="40" w:before="0" w:line="259" w:lineRule="auto"/>
            </w:pPr>
            <w:r>
              <w:rPr>
                <w:rFonts w:ascii="Calibri" w:hAnsi="Calibri"/>
                <w:b w:val="0"/>
                <w:i w:val="0"/>
                <w:color w:val="212121"/>
                <w:sz w:val="16"/>
              </w:rPr>
              <w:t>Confirms pernicious anaemia as the malabsorptive cause</w:t>
            </w:r>
          </w:p>
        </w:tc>
        <w:tc>
          <w:tcPr>
            <w:tcW w:type="dxa" w:w="1036"/>
            <w:vAlign w:val="top"/>
          </w:tcPr>
          <w:p>
            <w:pPr>
              <w:spacing w:after="40" w:before="0" w:line="259" w:lineRule="auto"/>
            </w:pPr>
            <w:r>
              <w:rPr>
                <w:rFonts w:ascii="Calibri" w:hAnsi="Calibri"/>
                <w:b w:val="0"/>
                <w:i w:val="0"/>
                <w:color w:val="212121"/>
                <w:sz w:val="16"/>
              </w:rPr>
              <w:t>Adults with unexplained/malabsorptive deficiency, autoimmune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Anti-intrinsic factor is specific but only ~50-70% sensitive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folate, ferritin &amp; iron studies; LDH, bilirubin</w:t>
            </w:r>
          </w:p>
        </w:tc>
        <w:tc>
          <w:tcPr>
            <w:tcW w:type="dxa" w:w="892"/>
            <w:vAlign w:val="top"/>
          </w:tcPr>
          <w:p>
            <w:pPr>
              <w:spacing w:after="40" w:before="0" w:line="259" w:lineRule="auto"/>
            </w:pPr>
            <w:r>
              <w:rPr>
                <w:rFonts w:ascii="Calibri" w:hAnsi="Calibri"/>
                <w:b w:val="0"/>
                <w:i w:val="0"/>
                <w:color w:val="212121"/>
                <w:sz w:val="16"/>
              </w:rPr>
              <w:t>Combined-deficiency &amp; haemolysis panel</w:t>
            </w:r>
          </w:p>
        </w:tc>
        <w:tc>
          <w:tcPr>
            <w:tcW w:type="dxa" w:w="950"/>
            <w:vAlign w:val="top"/>
          </w:tcPr>
          <w:p>
            <w:pPr>
              <w:spacing w:after="40" w:before="0" w:line="259" w:lineRule="auto"/>
            </w:pPr>
            <w:r>
              <w:rPr>
                <w:rFonts w:ascii="Calibri" w:hAnsi="Calibri"/>
                <w:b w:val="0"/>
                <w:i w:val="0"/>
                <w:color w:val="212121"/>
                <w:sz w:val="16"/>
              </w:rPr>
              <w:t>Within reference ranges</w:t>
            </w:r>
          </w:p>
        </w:tc>
        <w:tc>
          <w:tcPr>
            <w:tcW w:type="dxa" w:w="950"/>
            <w:vAlign w:val="top"/>
          </w:tcPr>
          <w:p>
            <w:pPr>
              <w:spacing w:after="40" w:before="0" w:line="259" w:lineRule="auto"/>
            </w:pPr>
            <w:r>
              <w:rPr>
                <w:rFonts w:ascii="Calibri" w:hAnsi="Calibri"/>
                <w:b w:val="0"/>
                <w:i w:val="0"/>
                <w:color w:val="212121"/>
                <w:sz w:val="16"/>
              </w:rPr>
              <w:t>Low folate/iron; raised LDH &amp; indirect bilirubin</w:t>
            </w:r>
          </w:p>
        </w:tc>
        <w:tc>
          <w:tcPr>
            <w:tcW w:type="dxa" w:w="1036"/>
            <w:vAlign w:val="top"/>
          </w:tcPr>
          <w:p>
            <w:pPr>
              <w:spacing w:after="40" w:before="0" w:line="259" w:lineRule="auto"/>
            </w:pPr>
            <w:r>
              <w:rPr>
                <w:rFonts w:ascii="Calibri" w:hAnsi="Calibri"/>
                <w:b w:val="0"/>
                <w:i w:val="0"/>
                <w:color w:val="212121"/>
                <w:sz w:val="16"/>
              </w:rPr>
              <w:t>Detects combined deficiency and ineffective erythropoiesis</w:t>
            </w:r>
          </w:p>
        </w:tc>
        <w:tc>
          <w:tcPr>
            <w:tcW w:type="dxa" w:w="1036"/>
            <w:vAlign w:val="top"/>
          </w:tcPr>
          <w:p>
            <w:pPr>
              <w:spacing w:after="40" w:before="0" w:line="259" w:lineRule="auto"/>
            </w:pPr>
            <w:r>
              <w:rPr>
                <w:rFonts w:ascii="Calibri" w:hAnsi="Calibri"/>
                <w:b w:val="0"/>
                <w:i w:val="0"/>
                <w:color w:val="212121"/>
                <w:sz w:val="16"/>
              </w:rPr>
              <w:t>Dimorphic anaemia, malnutrition, pregnancy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Never treat with folate alone before excluding/treating B12 deficiency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history</w:t>
            </w:r>
          </w:p>
        </w:tc>
        <w:tc>
          <w:tcPr>
            <w:tcW w:type="dxa" w:w="979"/>
            <w:vAlign w:val="top"/>
          </w:tcPr>
          <w:p>
            <w:pPr>
              <w:spacing w:after="40" w:before="0" w:line="259" w:lineRule="auto"/>
            </w:pPr>
            <w:r>
              <w:rPr>
                <w:rFonts w:ascii="Calibri" w:hAnsi="Calibri"/>
                <w:b w:val="0"/>
                <w:i w:val="0"/>
                <w:color w:val="212121"/>
                <w:sz w:val="16"/>
              </w:rPr>
              <w:t>Vegetarian/vegan pattern, dairy/egg/fish intake, fortification/supplements</w:t>
            </w:r>
          </w:p>
        </w:tc>
        <w:tc>
          <w:tcPr>
            <w:tcW w:type="dxa" w:w="950"/>
            <w:vAlign w:val="top"/>
          </w:tcPr>
          <w:p>
            <w:pPr>
              <w:spacing w:after="40" w:before="0" w:line="259" w:lineRule="auto"/>
            </w:pPr>
            <w:r>
              <w:rPr>
                <w:rFonts w:ascii="Calibri" w:hAnsi="Calibri"/>
                <w:b w:val="0"/>
                <w:i w:val="0"/>
                <w:color w:val="212121"/>
                <w:sz w:val="16"/>
              </w:rPr>
              <w:t>Regular animal-source or supplemented B12 intake</w:t>
            </w:r>
          </w:p>
        </w:tc>
        <w:tc>
          <w:tcPr>
            <w:tcW w:type="dxa" w:w="950"/>
            <w:vAlign w:val="top"/>
          </w:tcPr>
          <w:p>
            <w:pPr>
              <w:spacing w:after="40" w:before="0" w:line="259" w:lineRule="auto"/>
            </w:pPr>
            <w:r>
              <w:rPr>
                <w:rFonts w:ascii="Calibri" w:hAnsi="Calibri"/>
                <w:b w:val="0"/>
                <w:i w:val="0"/>
                <w:color w:val="212121"/>
                <w:sz w:val="16"/>
              </w:rPr>
              <w:t>Strict vegetarian/vegan, minimal dairy, no supplements</w:t>
            </w:r>
          </w:p>
        </w:tc>
        <w:tc>
          <w:tcPr>
            <w:tcW w:type="dxa" w:w="1036"/>
            <w:vAlign w:val="top"/>
          </w:tcPr>
          <w:p>
            <w:pPr>
              <w:spacing w:after="40" w:before="0" w:line="259" w:lineRule="auto"/>
            </w:pPr>
            <w:r>
              <w:rPr>
                <w:rFonts w:ascii="Calibri" w:hAnsi="Calibri"/>
                <w:b w:val="0"/>
                <w:i w:val="0"/>
                <w:color w:val="212121"/>
                <w:sz w:val="16"/>
              </w:rPr>
              <w:t>Identifies the dominant, modifiable cause of deficiency in India</w:t>
            </w:r>
          </w:p>
        </w:tc>
        <w:tc>
          <w:tcPr>
            <w:tcW w:type="dxa" w:w="1036"/>
            <w:vAlign w:val="top"/>
          </w:tcPr>
          <w:p>
            <w:pPr>
              <w:spacing w:after="40" w:before="0" w:line="259" w:lineRule="auto"/>
            </w:pPr>
            <w:r>
              <w:rPr>
                <w:rFonts w:ascii="Calibri" w:hAnsi="Calibri"/>
                <w:b w:val="0"/>
                <w:i w:val="0"/>
                <w:color w:val="212121"/>
                <w:sz w:val="16"/>
              </w:rPr>
              <w:t>Vegetarians, low-income diets, pregnant women, infants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Key first-line assessment before and alongside testing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GI &amp; surgical history</w:t>
            </w:r>
          </w:p>
        </w:tc>
        <w:tc>
          <w:tcPr>
            <w:tcW w:type="dxa" w:w="979"/>
            <w:vAlign w:val="top"/>
          </w:tcPr>
          <w:p>
            <w:pPr>
              <w:spacing w:after="40" w:before="0" w:line="259" w:lineRule="auto"/>
            </w:pPr>
            <w:r>
              <w:rPr>
                <w:rFonts w:ascii="Calibri" w:hAnsi="Calibri"/>
                <w:b w:val="0"/>
                <w:i w:val="0"/>
                <w:color w:val="212121"/>
                <w:sz w:val="16"/>
              </w:rPr>
              <w:t>Metformin, PPI/H2-blockers, nitrous oxide; gastrectomy, bariatric, ileal resection, coeliac/Crohn's</w:t>
            </w:r>
          </w:p>
        </w:tc>
        <w:tc>
          <w:tcPr>
            <w:tcW w:type="dxa" w:w="950"/>
            <w:vAlign w:val="top"/>
          </w:tcPr>
          <w:p>
            <w:pPr>
              <w:spacing w:after="40" w:before="0" w:line="259" w:lineRule="auto"/>
            </w:pPr>
            <w:r>
              <w:rPr>
                <w:rFonts w:ascii="Calibri" w:hAnsi="Calibri"/>
                <w:b w:val="0"/>
                <w:i w:val="0"/>
                <w:color w:val="212121"/>
                <w:sz w:val="16"/>
              </w:rPr>
              <w:t>No relevant drugs or GI surgery</w:t>
            </w:r>
          </w:p>
        </w:tc>
        <w:tc>
          <w:tcPr>
            <w:tcW w:type="dxa" w:w="950"/>
            <w:vAlign w:val="top"/>
          </w:tcPr>
          <w:p>
            <w:pPr>
              <w:spacing w:after="40" w:before="0" w:line="259" w:lineRule="auto"/>
            </w:pPr>
            <w:r>
              <w:rPr>
                <w:rFonts w:ascii="Calibri" w:hAnsi="Calibri"/>
                <w:b w:val="0"/>
                <w:i w:val="0"/>
                <w:color w:val="212121"/>
                <w:sz w:val="16"/>
              </w:rPr>
              <w:t>Long-term metformin/acid suppression; malabsorptive disease or surgery</w:t>
            </w:r>
          </w:p>
        </w:tc>
        <w:tc>
          <w:tcPr>
            <w:tcW w:type="dxa" w:w="1036"/>
            <w:vAlign w:val="top"/>
          </w:tcPr>
          <w:p>
            <w:pPr>
              <w:spacing w:after="40" w:before="0" w:line="259" w:lineRule="auto"/>
            </w:pPr>
            <w:r>
              <w:rPr>
                <w:rFonts w:ascii="Calibri" w:hAnsi="Calibri"/>
                <w:b w:val="0"/>
                <w:i w:val="0"/>
                <w:color w:val="212121"/>
                <w:sz w:val="16"/>
              </w:rPr>
              <w:t>Flags drug-induced and malabsorptive secondary causes</w:t>
            </w:r>
          </w:p>
        </w:tc>
        <w:tc>
          <w:tcPr>
            <w:tcW w:type="dxa" w:w="1036"/>
            <w:vAlign w:val="top"/>
          </w:tcPr>
          <w:p>
            <w:pPr>
              <w:spacing w:after="40" w:before="0" w:line="259" w:lineRule="auto"/>
            </w:pPr>
            <w:r>
              <w:rPr>
                <w:rFonts w:ascii="Calibri" w:hAnsi="Calibri"/>
                <w:b w:val="0"/>
                <w:i w:val="0"/>
                <w:color w:val="212121"/>
                <w:sz w:val="16"/>
              </w:rPr>
              <w:t>Diabetics, chronic dyspeptics, post-surgical, IBD/coeliac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Prompts monitoring and choice of oral vs parenteral therapy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Neuropsychiatric symptom review</w:t>
            </w:r>
          </w:p>
        </w:tc>
        <w:tc>
          <w:tcPr>
            <w:tcW w:type="dxa" w:w="979"/>
            <w:vAlign w:val="top"/>
          </w:tcPr>
          <w:p>
            <w:pPr>
              <w:spacing w:after="40" w:before="0" w:line="259" w:lineRule="auto"/>
            </w:pPr>
            <w:r>
              <w:rPr>
                <w:rFonts w:ascii="Calibri" w:hAnsi="Calibri"/>
                <w:b w:val="0"/>
                <w:i w:val="0"/>
                <w:color w:val="212121"/>
                <w:sz w:val="16"/>
              </w:rPr>
              <w:t>Paraesthesia, gait/balance, memory, concentration, mood</w:t>
            </w:r>
          </w:p>
        </w:tc>
        <w:tc>
          <w:tcPr>
            <w:tcW w:type="dxa" w:w="950"/>
            <w:vAlign w:val="top"/>
          </w:tcPr>
          <w:p>
            <w:pPr>
              <w:spacing w:after="40" w:before="0" w:line="259" w:lineRule="auto"/>
            </w:pPr>
            <w:r>
              <w:rPr>
                <w:rFonts w:ascii="Calibri" w:hAnsi="Calibri"/>
                <w:b w:val="0"/>
                <w:i w:val="0"/>
                <w:color w:val="212121"/>
                <w:sz w:val="16"/>
              </w:rPr>
              <w:t>No neuro or cognitive symptoms</w:t>
            </w:r>
          </w:p>
        </w:tc>
        <w:tc>
          <w:tcPr>
            <w:tcW w:type="dxa" w:w="950"/>
            <w:vAlign w:val="top"/>
          </w:tcPr>
          <w:p>
            <w:pPr>
              <w:spacing w:after="40" w:before="0" w:line="259" w:lineRule="auto"/>
            </w:pPr>
            <w:r>
              <w:rPr>
                <w:rFonts w:ascii="Calibri" w:hAnsi="Calibri"/>
                <w:b w:val="0"/>
                <w:i w:val="0"/>
                <w:color w:val="212121"/>
                <w:sz w:val="16"/>
              </w:rPr>
              <w:t>Tingling, unsteadiness, forgetfulness, low mood/irritability</w:t>
            </w:r>
          </w:p>
        </w:tc>
        <w:tc>
          <w:tcPr>
            <w:tcW w:type="dxa" w:w="1036"/>
            <w:vAlign w:val="top"/>
          </w:tcPr>
          <w:p>
            <w:pPr>
              <w:spacing w:after="40" w:before="0" w:line="259" w:lineRule="auto"/>
            </w:pPr>
            <w:r>
              <w:rPr>
                <w:rFonts w:ascii="Calibri" w:hAnsi="Calibri"/>
                <w:b w:val="0"/>
                <w:i w:val="0"/>
                <w:color w:val="212121"/>
                <w:sz w:val="16"/>
              </w:rPr>
              <w:t>Detects neurological deficiency, which can precede anaemia</w:t>
            </w:r>
          </w:p>
        </w:tc>
        <w:tc>
          <w:tcPr>
            <w:tcW w:type="dxa" w:w="1036"/>
            <w:vAlign w:val="top"/>
          </w:tcPr>
          <w:p>
            <w:pPr>
              <w:spacing w:after="40" w:before="0" w:line="259" w:lineRule="auto"/>
            </w:pPr>
            <w:r>
              <w:rPr>
                <w:rFonts w:ascii="Calibri" w:hAnsi="Calibri"/>
                <w:b w:val="0"/>
                <w:i w:val="0"/>
                <w:color w:val="212121"/>
                <w:sz w:val="16"/>
              </w:rPr>
              <w:t>Elderly, long-standing deficiency, at-risk adults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Neurological disease may occur at low-normal B12 without anaemia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Neurological examination</w:t>
            </w:r>
          </w:p>
        </w:tc>
        <w:tc>
          <w:tcPr>
            <w:tcW w:type="dxa" w:w="979"/>
            <w:vAlign w:val="top"/>
          </w:tcPr>
          <w:p>
            <w:pPr>
              <w:spacing w:after="40" w:before="0" w:line="259" w:lineRule="auto"/>
            </w:pPr>
            <w:r>
              <w:rPr>
                <w:rFonts w:ascii="Calibri" w:hAnsi="Calibri"/>
                <w:b w:val="0"/>
                <w:i w:val="0"/>
                <w:color w:val="212121"/>
                <w:sz w:val="16"/>
              </w:rPr>
              <w:t>Vibration &amp; joint-position sense, Romberg, reflexes, gait</w:t>
            </w:r>
          </w:p>
        </w:tc>
        <w:tc>
          <w:tcPr>
            <w:tcW w:type="dxa" w:w="950"/>
            <w:vAlign w:val="top"/>
          </w:tcPr>
          <w:p>
            <w:pPr>
              <w:spacing w:after="40" w:before="0" w:line="259" w:lineRule="auto"/>
            </w:pPr>
            <w:r>
              <w:rPr>
                <w:rFonts w:ascii="Calibri" w:hAnsi="Calibri"/>
                <w:b w:val="0"/>
                <w:i w:val="0"/>
                <w:color w:val="212121"/>
                <w:sz w:val="16"/>
              </w:rPr>
              <w:t>Intact sensation, negative Romberg, normal gait</w:t>
            </w:r>
          </w:p>
        </w:tc>
        <w:tc>
          <w:tcPr>
            <w:tcW w:type="dxa" w:w="950"/>
            <w:vAlign w:val="top"/>
          </w:tcPr>
          <w:p>
            <w:pPr>
              <w:spacing w:after="40" w:before="0" w:line="259" w:lineRule="auto"/>
            </w:pPr>
            <w:r>
              <w:rPr>
                <w:rFonts w:ascii="Calibri" w:hAnsi="Calibri"/>
                <w:b w:val="0"/>
                <w:i w:val="0"/>
                <w:color w:val="212121"/>
                <w:sz w:val="16"/>
              </w:rPr>
              <w:t>Loss of vibration/proprioception, positive Romberg, ataxic/spastic gait</w:t>
            </w:r>
          </w:p>
        </w:tc>
        <w:tc>
          <w:tcPr>
            <w:tcW w:type="dxa" w:w="1036"/>
            <w:vAlign w:val="top"/>
          </w:tcPr>
          <w:p>
            <w:pPr>
              <w:spacing w:after="40" w:before="0" w:line="259" w:lineRule="auto"/>
            </w:pPr>
            <w:r>
              <w:rPr>
                <w:rFonts w:ascii="Calibri" w:hAnsi="Calibri"/>
                <w:b w:val="0"/>
                <w:i w:val="0"/>
                <w:color w:val="212121"/>
                <w:sz w:val="16"/>
              </w:rPr>
              <w:t>Signs of subacute combined degeneration and peripheral neuropathy</w:t>
            </w:r>
          </w:p>
        </w:tc>
        <w:tc>
          <w:tcPr>
            <w:tcW w:type="dxa" w:w="1036"/>
            <w:vAlign w:val="top"/>
          </w:tcPr>
          <w:p>
            <w:pPr>
              <w:spacing w:after="40" w:before="0" w:line="259" w:lineRule="auto"/>
            </w:pPr>
            <w:r>
              <w:rPr>
                <w:rFonts w:ascii="Calibri" w:hAnsi="Calibri"/>
                <w:b w:val="0"/>
                <w:i w:val="0"/>
                <w:color w:val="212121"/>
                <w:sz w:val="16"/>
              </w:rPr>
              <w:t>Symptomatic/severe deficiency, elderly</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Dorsal-column and pyramidal signs may coexist (mixed UMN/LMN)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Mucocutaneous examination</w:t>
            </w:r>
          </w:p>
        </w:tc>
        <w:tc>
          <w:tcPr>
            <w:tcW w:type="dxa" w:w="979"/>
            <w:vAlign w:val="top"/>
          </w:tcPr>
          <w:p>
            <w:pPr>
              <w:spacing w:after="40" w:before="0" w:line="259" w:lineRule="auto"/>
            </w:pPr>
            <w:r>
              <w:rPr>
                <w:rFonts w:ascii="Calibri" w:hAnsi="Calibri"/>
                <w:b w:val="0"/>
                <w:i w:val="0"/>
                <w:color w:val="212121"/>
                <w:sz w:val="16"/>
              </w:rPr>
              <w:t>Pallor, glossitis, angular stomatitis, hyperpigmentation, jaundice</w:t>
            </w:r>
          </w:p>
        </w:tc>
        <w:tc>
          <w:tcPr>
            <w:tcW w:type="dxa" w:w="950"/>
            <w:vAlign w:val="top"/>
          </w:tcPr>
          <w:p>
            <w:pPr>
              <w:spacing w:after="40" w:before="0" w:line="259" w:lineRule="auto"/>
            </w:pPr>
            <w:r>
              <w:rPr>
                <w:rFonts w:ascii="Calibri" w:hAnsi="Calibri"/>
                <w:b w:val="0"/>
                <w:i w:val="0"/>
                <w:color w:val="212121"/>
                <w:sz w:val="16"/>
              </w:rPr>
              <w:t>Normal tongue, skin and conjunctivae</w:t>
            </w:r>
          </w:p>
        </w:tc>
        <w:tc>
          <w:tcPr>
            <w:tcW w:type="dxa" w:w="950"/>
            <w:vAlign w:val="top"/>
          </w:tcPr>
          <w:p>
            <w:pPr>
              <w:spacing w:after="40" w:before="0" w:line="259" w:lineRule="auto"/>
            </w:pPr>
            <w:r>
              <w:rPr>
                <w:rFonts w:ascii="Calibri" w:hAnsi="Calibri"/>
                <w:b w:val="0"/>
                <w:i w:val="0"/>
                <w:color w:val="212121"/>
                <w:sz w:val="16"/>
              </w:rPr>
              <w:t>Beefy-red smooth tongue, pallor, skin/mucosal hyperpigmentation, lemon-tinge</w:t>
            </w:r>
          </w:p>
        </w:tc>
        <w:tc>
          <w:tcPr>
            <w:tcW w:type="dxa" w:w="1036"/>
            <w:vAlign w:val="top"/>
          </w:tcPr>
          <w:p>
            <w:pPr>
              <w:spacing w:after="40" w:before="0" w:line="259" w:lineRule="auto"/>
            </w:pPr>
            <w:r>
              <w:rPr>
                <w:rFonts w:ascii="Calibri" w:hAnsi="Calibri"/>
                <w:b w:val="0"/>
                <w:i w:val="0"/>
                <w:color w:val="212121"/>
                <w:sz w:val="16"/>
              </w:rPr>
              <w:t>Supports megaloblastic anaemia and ineffective erythropoiesis</w:t>
            </w:r>
          </w:p>
        </w:tc>
        <w:tc>
          <w:tcPr>
            <w:tcW w:type="dxa" w:w="1036"/>
            <w:vAlign w:val="top"/>
          </w:tcPr>
          <w:p>
            <w:pPr>
              <w:spacing w:after="40" w:before="0" w:line="259" w:lineRule="auto"/>
            </w:pPr>
            <w:r>
              <w:rPr>
                <w:rFonts w:ascii="Calibri" w:hAnsi="Calibri"/>
                <w:b w:val="0"/>
                <w:i w:val="0"/>
                <w:color w:val="212121"/>
                <w:sz w:val="16"/>
              </w:rPr>
              <w:t>Anaemic patients, chronic deficiency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Glossitis and pallor are common presenting signs in Indian cohorts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autoimmune history</w:t>
            </w:r>
          </w:p>
        </w:tc>
        <w:tc>
          <w:tcPr>
            <w:tcW w:type="dxa" w:w="979"/>
            <w:vAlign w:val="top"/>
          </w:tcPr>
          <w:p>
            <w:pPr>
              <w:spacing w:after="40" w:before="0" w:line="259" w:lineRule="auto"/>
            </w:pPr>
            <w:r>
              <w:rPr>
                <w:rFonts w:ascii="Calibri" w:hAnsi="Calibri"/>
                <w:b w:val="0"/>
                <w:i w:val="0"/>
                <w:color w:val="212121"/>
                <w:sz w:val="16"/>
              </w:rPr>
              <w:t>Pernicious anaemia, autoimmune thyroid disease, vitiligo, type 1 diabetes</w:t>
            </w:r>
          </w:p>
        </w:tc>
        <w:tc>
          <w:tcPr>
            <w:tcW w:type="dxa" w:w="950"/>
            <w:vAlign w:val="top"/>
          </w:tcPr>
          <w:p>
            <w:pPr>
              <w:spacing w:after="40" w:before="0" w:line="259" w:lineRule="auto"/>
            </w:pPr>
            <w:r>
              <w:rPr>
                <w:rFonts w:ascii="Calibri" w:hAnsi="Calibri"/>
                <w:b w:val="0"/>
                <w:i w:val="0"/>
                <w:color w:val="212121"/>
                <w:sz w:val="16"/>
              </w:rPr>
              <w:t>No personal/family autoimmune disease</w:t>
            </w:r>
          </w:p>
        </w:tc>
        <w:tc>
          <w:tcPr>
            <w:tcW w:type="dxa" w:w="950"/>
            <w:vAlign w:val="top"/>
          </w:tcPr>
          <w:p>
            <w:pPr>
              <w:spacing w:after="40" w:before="0" w:line="259" w:lineRule="auto"/>
            </w:pPr>
            <w:r>
              <w:rPr>
                <w:rFonts w:ascii="Calibri" w:hAnsi="Calibri"/>
                <w:b w:val="0"/>
                <w:i w:val="0"/>
                <w:color w:val="212121"/>
                <w:sz w:val="16"/>
              </w:rPr>
              <w:t>Family/personal autoimmune disease</w:t>
            </w:r>
          </w:p>
        </w:tc>
        <w:tc>
          <w:tcPr>
            <w:tcW w:type="dxa" w:w="1036"/>
            <w:vAlign w:val="top"/>
          </w:tcPr>
          <w:p>
            <w:pPr>
              <w:spacing w:after="40" w:before="0" w:line="259" w:lineRule="auto"/>
            </w:pPr>
            <w:r>
              <w:rPr>
                <w:rFonts w:ascii="Calibri" w:hAnsi="Calibri"/>
                <w:b w:val="0"/>
                <w:i w:val="0"/>
                <w:color w:val="212121"/>
                <w:sz w:val="16"/>
              </w:rPr>
              <w:t>Raises suspicion of pernicious anaemia and autoimmune clustering</w:t>
            </w:r>
          </w:p>
        </w:tc>
        <w:tc>
          <w:tcPr>
            <w:tcW w:type="dxa" w:w="1036"/>
            <w:vAlign w:val="top"/>
          </w:tcPr>
          <w:p>
            <w:pPr>
              <w:spacing w:after="40" w:before="0" w:line="259" w:lineRule="auto"/>
            </w:pPr>
            <w:r>
              <w:rPr>
                <w:rFonts w:ascii="Calibri" w:hAnsi="Calibri"/>
                <w:b w:val="0"/>
                <w:i w:val="0"/>
                <w:color w:val="212121"/>
                <w:sz w:val="16"/>
              </w:rPr>
              <w:t>Adults with unexplained deficiency, autoimmune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autoantibody testing and lifelong replacement</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Fatigue &amp; generalised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oxygen delivery from anaemia and impaired cellular metabolism; often the earliest complaint.</w:t>
            </w:r>
          </w:p>
        </w:tc>
      </w:tr>
      <w:tr>
        <w:trPr>
          <w:cantSplit/>
        </w:trPr>
        <w:tc>
          <w:tcPr>
            <w:tcW w:type="dxa" w:w="2304"/>
            <w:vAlign w:val="top"/>
          </w:tcPr>
          <w:p>
            <w:pPr>
              <w:spacing w:after="40" w:before="0" w:line="259" w:lineRule="auto"/>
            </w:pPr>
            <w:r>
              <w:rPr>
                <w:rFonts w:ascii="Calibri" w:hAnsi="Calibri"/>
                <w:b/>
                <w:i w:val="0"/>
                <w:color w:val="212121"/>
                <w:sz w:val="19"/>
              </w:rPr>
              <w:t>Tingling / pins-and-needles in hands &amp; feet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Symmetrical paraesthesia from peripheral neuropathy and dorsal-column involvement.</w:t>
            </w:r>
          </w:p>
        </w:tc>
      </w:tr>
      <w:tr>
        <w:trPr>
          <w:cantSplit/>
        </w:trPr>
        <w:tc>
          <w:tcPr>
            <w:tcW w:type="dxa" w:w="2304"/>
            <w:vAlign w:val="top"/>
          </w:tcPr>
          <w:p>
            <w:pPr>
              <w:spacing w:after="40" w:before="0" w:line="259" w:lineRule="auto"/>
            </w:pPr>
            <w:r>
              <w:rPr>
                <w:rFonts w:ascii="Calibri" w:hAnsi="Calibri"/>
                <w:b/>
                <w:i w:val="0"/>
                <w:color w:val="212121"/>
                <w:sz w:val="19"/>
              </w:rPr>
              <w:t>Sore, smooth or burning tongue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Glossitis with loss of papillae, sometimes with mouth ulcers and altered taste.</w:t>
            </w:r>
          </w:p>
        </w:tc>
      </w:tr>
      <w:tr>
        <w:trPr>
          <w:cantSplit/>
        </w:trPr>
        <w:tc>
          <w:tcPr>
            <w:tcW w:type="dxa" w:w="2304"/>
            <w:vAlign w:val="top"/>
          </w:tcPr>
          <w:p>
            <w:pPr>
              <w:spacing w:after="40" w:before="0" w:line="259" w:lineRule="auto"/>
            </w:pPr>
            <w:r>
              <w:rPr>
                <w:rFonts w:ascii="Calibri" w:hAnsi="Calibri"/>
                <w:b/>
                <w:i w:val="0"/>
                <w:color w:val="212121"/>
                <w:sz w:val="19"/>
              </w:rPr>
              <w:t>Breathlessness on exertion &amp; palpitations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Compensatory response to megaloblastic anaemia.</w:t>
            </w:r>
          </w:p>
        </w:tc>
      </w:tr>
      <w:tr>
        <w:trPr>
          <w:cantSplit/>
        </w:trPr>
        <w:tc>
          <w:tcPr>
            <w:tcW w:type="dxa" w:w="2304"/>
            <w:vAlign w:val="top"/>
          </w:tcPr>
          <w:p>
            <w:pPr>
              <w:spacing w:after="40" w:before="0" w:line="259" w:lineRule="auto"/>
            </w:pPr>
            <w:r>
              <w:rPr>
                <w:rFonts w:ascii="Calibri" w:hAnsi="Calibri"/>
                <w:b/>
                <w:i w:val="0"/>
                <w:color w:val="212121"/>
                <w:sz w:val="19"/>
              </w:rPr>
              <w:t>Poor concentration &amp; forgetfulness (“brain fog”)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Impaired methylation affects cognition; may be mistaken for stress or ageing.</w:t>
            </w:r>
          </w:p>
        </w:tc>
      </w:tr>
      <w:tr>
        <w:trPr>
          <w:cantSplit/>
        </w:trPr>
        <w:tc>
          <w:tcPr>
            <w:tcW w:type="dxa" w:w="2304"/>
            <w:vAlign w:val="top"/>
          </w:tcPr>
          <w:p>
            <w:pPr>
              <w:spacing w:after="40" w:before="0" w:line="259" w:lineRule="auto"/>
            </w:pPr>
            <w:r>
              <w:rPr>
                <w:rFonts w:ascii="Calibri" w:hAnsi="Calibri"/>
                <w:b/>
                <w:i w:val="0"/>
                <w:color w:val="212121"/>
                <w:sz w:val="19"/>
              </w:rPr>
              <w:t>Numbness of extremities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Sensory loss from myelin damage in peripheral nerves and spinal cord.</w:t>
            </w:r>
          </w:p>
        </w:tc>
      </w:tr>
      <w:tr>
        <w:trPr>
          <w:cantSplit/>
        </w:trPr>
        <w:tc>
          <w:tcPr>
            <w:tcW w:type="dxa" w:w="2304"/>
            <w:vAlign w:val="top"/>
          </w:tcPr>
          <w:p>
            <w:pPr>
              <w:spacing w:after="40" w:before="0" w:line="259" w:lineRule="auto"/>
            </w:pPr>
            <w:r>
              <w:rPr>
                <w:rFonts w:ascii="Calibri" w:hAnsi="Calibri"/>
                <w:b/>
                <w:i w:val="0"/>
                <w:color w:val="212121"/>
                <w:sz w:val="19"/>
              </w:rPr>
              <w:t>Low mood / irritability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B12's role in monoamine synthesis links deficiency to depressive symptoms.</w:t>
            </w:r>
          </w:p>
        </w:tc>
      </w:tr>
      <w:tr>
        <w:trPr>
          <w:cantSplit/>
        </w:trPr>
        <w:tc>
          <w:tcPr>
            <w:tcW w:type="dxa" w:w="2304"/>
            <w:vAlign w:val="top"/>
          </w:tcPr>
          <w:p>
            <w:pPr>
              <w:spacing w:after="40" w:before="0" w:line="259" w:lineRule="auto"/>
            </w:pPr>
            <w:r>
              <w:rPr>
                <w:rFonts w:ascii="Calibri" w:hAnsi="Calibri"/>
                <w:b/>
                <w:i w:val="0"/>
                <w:color w:val="212121"/>
                <w:sz w:val="19"/>
              </w:rPr>
              <w:t>Loss of appetite &amp; weight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intake plus gastrointestinal mucosal changes.</w:t>
            </w:r>
          </w:p>
        </w:tc>
      </w:tr>
      <w:tr>
        <w:trPr>
          <w:cantSplit/>
        </w:trPr>
        <w:tc>
          <w:tcPr>
            <w:tcW w:type="dxa" w:w="2304"/>
            <w:vAlign w:val="top"/>
          </w:tcPr>
          <w:p>
            <w:pPr>
              <w:spacing w:after="40" w:before="0" w:line="259" w:lineRule="auto"/>
            </w:pPr>
            <w:r>
              <w:rPr>
                <w:rFonts w:ascii="Calibri" w:hAnsi="Calibri"/>
                <w:b/>
                <w:i w:val="0"/>
                <w:color w:val="212121"/>
                <w:sz w:val="19"/>
              </w:rPr>
              <w:t>Unsteady gait &amp; balance problems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Sensory ataxia from dorsal-column (proprioceptive) loss - a subacute combined degeneration feature.</w:t>
            </w:r>
          </w:p>
        </w:tc>
      </w:tr>
      <w:tr>
        <w:trPr>
          <w:cantSplit/>
        </w:trPr>
        <w:tc>
          <w:tcPr>
            <w:tcW w:type="dxa" w:w="2304"/>
            <w:vAlign w:val="top"/>
          </w:tcPr>
          <w:p>
            <w:pPr>
              <w:spacing w:after="40" w:before="0" w:line="259" w:lineRule="auto"/>
            </w:pPr>
            <w:r>
              <w:rPr>
                <w:rFonts w:ascii="Calibri" w:hAnsi="Calibri"/>
                <w:b/>
                <w:i w:val="0"/>
                <w:color w:val="212121"/>
                <w:sz w:val="19"/>
              </w:rPr>
              <w:t>Dizziness / light-headedness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anaemia and, at times, postural instability.</w:t>
            </w:r>
          </w:p>
        </w:tc>
      </w:tr>
      <w:tr>
        <w:trPr>
          <w:cantSplit/>
        </w:trPr>
        <w:tc>
          <w:tcPr>
            <w:tcW w:type="dxa" w:w="2304"/>
            <w:vAlign w:val="top"/>
          </w:tcPr>
          <w:p>
            <w:pPr>
              <w:spacing w:after="40" w:before="0" w:line="259" w:lineRule="auto"/>
            </w:pPr>
            <w:r>
              <w:rPr>
                <w:rFonts w:ascii="Calibri" w:hAnsi="Calibri"/>
                <w:b/>
                <w:i w:val="0"/>
                <w:color w:val="212121"/>
                <w:sz w:val="19"/>
              </w:rPr>
              <w:t>Memory impairment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Cognitive decline that is partly reversible with early treatment, important in the elderly.</w:t>
            </w:r>
          </w:p>
        </w:tc>
      </w:tr>
      <w:tr>
        <w:trPr>
          <w:cantSplit/>
        </w:trPr>
        <w:tc>
          <w:tcPr>
            <w:tcW w:type="dxa" w:w="2304"/>
            <w:vAlign w:val="top"/>
          </w:tcPr>
          <w:p>
            <w:pPr>
              <w:spacing w:after="40" w:before="0" w:line="259" w:lineRule="auto"/>
            </w:pPr>
            <w:r>
              <w:rPr>
                <w:rFonts w:ascii="Calibri" w:hAnsi="Calibri"/>
                <w:b/>
                <w:i w:val="0"/>
                <w:color w:val="212121"/>
                <w:sz w:val="19"/>
              </w:rPr>
              <w:t>Visual disturbance / blurring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Rarely optic neuropathy from demyelination of the optic nerve.</w:t>
            </w:r>
          </w:p>
        </w:tc>
      </w:tr>
      <w:tr>
        <w:trPr>
          <w:cantSplit/>
        </w:trPr>
        <w:tc>
          <w:tcPr>
            <w:tcW w:type="dxa" w:w="2304"/>
            <w:vAlign w:val="top"/>
          </w:tcPr>
          <w:p>
            <w:pPr>
              <w:spacing w:after="40" w:before="0" w:line="259" w:lineRule="auto"/>
            </w:pPr>
            <w:r>
              <w:rPr>
                <w:rFonts w:ascii="Calibri" w:hAnsi="Calibri"/>
                <w:b/>
                <w:i w:val="0"/>
                <w:color w:val="212121"/>
                <w:sz w:val="19"/>
              </w:rPr>
              <w:t>Psychiatric disturbance / psychosis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Severe deficiency can cause the classic “megaloblastic madness” - confusion, delusions or psychosis.</w:t>
            </w:r>
          </w:p>
        </w:tc>
      </w:tr>
      <w:tr>
        <w:trPr>
          <w:cantSplit/>
        </w:trPr>
        <w:tc>
          <w:tcPr>
            <w:tcW w:type="dxa" w:w="2304"/>
            <w:vAlign w:val="top"/>
          </w:tcPr>
          <w:p>
            <w:pPr>
              <w:spacing w:after="40" w:before="0" w:line="259" w:lineRule="auto"/>
            </w:pPr>
            <w:r>
              <w:rPr>
                <w:rFonts w:ascii="Calibri" w:hAnsi="Calibri"/>
                <w:b/>
                <w:i w:val="0"/>
                <w:color w:val="212121"/>
                <w:sz w:val="19"/>
              </w:rPr>
              <w:t>Bladder or bowel disturbance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Autonomic and spinal-cord involvement in advanced subacute combined degeneration.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Pallor of skin &amp; conjunctivae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anaemia; may have a subtle lemon-yellow tint from ineffective erythropoiesis.</w:t>
            </w:r>
          </w:p>
        </w:tc>
      </w:tr>
      <w:tr>
        <w:trPr>
          <w:cantSplit/>
        </w:trPr>
        <w:tc>
          <w:tcPr>
            <w:tcW w:type="dxa" w:w="3456"/>
            <w:vAlign w:val="top"/>
          </w:tcPr>
          <w:p>
            <w:pPr>
              <w:spacing w:after="40" w:before="0" w:line="259" w:lineRule="auto"/>
            </w:pPr>
            <w:r>
              <w:rPr>
                <w:rFonts w:ascii="Calibri" w:hAnsi="Calibri"/>
                <w:b/>
                <w:i w:val="0"/>
                <w:color w:val="212121"/>
                <w:sz w:val="19"/>
              </w:rPr>
              <w:t>Glossitis (beefy-red, smooth tongue)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Atrophic depapillated tongue; a classic and frequent presenting sign in Indian cohorts.</w:t>
            </w:r>
          </w:p>
        </w:tc>
      </w:tr>
      <w:tr>
        <w:trPr>
          <w:cantSplit/>
        </w:trPr>
        <w:tc>
          <w:tcPr>
            <w:tcW w:type="dxa" w:w="3456"/>
            <w:vAlign w:val="top"/>
          </w:tcPr>
          <w:p>
            <w:pPr>
              <w:spacing w:after="40" w:before="0" w:line="259" w:lineRule="auto"/>
            </w:pPr>
            <w:r>
              <w:rPr>
                <w:rFonts w:ascii="Calibri" w:hAnsi="Calibri"/>
                <w:b/>
                <w:i w:val="0"/>
                <w:color w:val="212121"/>
                <w:sz w:val="19"/>
              </w:rPr>
              <w:t>Impaired vibration &amp; proprioception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Dorsal-column dysfunction on tuning-fork and joint-position testing - hallmark of subacute combined degeneration.</w:t>
            </w:r>
          </w:p>
        </w:tc>
      </w:tr>
      <w:tr>
        <w:trPr>
          <w:cantSplit/>
        </w:trPr>
        <w:tc>
          <w:tcPr>
            <w:tcW w:type="dxa" w:w="3456"/>
            <w:vAlign w:val="top"/>
          </w:tcPr>
          <w:p>
            <w:pPr>
              <w:spacing w:after="40" w:before="0" w:line="259" w:lineRule="auto"/>
            </w:pPr>
            <w:r>
              <w:rPr>
                <w:rFonts w:ascii="Calibri" w:hAnsi="Calibri"/>
                <w:b/>
                <w:i w:val="0"/>
                <w:color w:val="212121"/>
                <w:sz w:val="19"/>
              </w:rPr>
              <w:t>Hypersegmented neutrophils &amp; oval macrocytes (smear)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Laboratory sign of megaloblastic haematopoiesis; hypersegmentation is an early clue.</w:t>
            </w:r>
          </w:p>
        </w:tc>
      </w:tr>
      <w:tr>
        <w:trPr>
          <w:cantSplit/>
        </w:trPr>
        <w:tc>
          <w:tcPr>
            <w:tcW w:type="dxa" w:w="3456"/>
            <w:vAlign w:val="top"/>
          </w:tcPr>
          <w:p>
            <w:pPr>
              <w:spacing w:after="40" w:before="0" w:line="259" w:lineRule="auto"/>
            </w:pPr>
            <w:r>
              <w:rPr>
                <w:rFonts w:ascii="Calibri" w:hAnsi="Calibri"/>
                <w:b/>
                <w:i w:val="0"/>
                <w:color w:val="212121"/>
                <w:sz w:val="19"/>
              </w:rPr>
              <w:t>Angular stomatitis / cheilitis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Cracking at the mouth corners, often with coexisting iron or other deficiencies.</w:t>
            </w:r>
          </w:p>
        </w:tc>
      </w:tr>
      <w:tr>
        <w:trPr>
          <w:cantSplit/>
        </w:trPr>
        <w:tc>
          <w:tcPr>
            <w:tcW w:type="dxa" w:w="3456"/>
            <w:vAlign w:val="top"/>
          </w:tcPr>
          <w:p>
            <w:pPr>
              <w:spacing w:after="40" w:before="0" w:line="259" w:lineRule="auto"/>
            </w:pPr>
            <w:r>
              <w:rPr>
                <w:rFonts w:ascii="Calibri" w:hAnsi="Calibri"/>
                <w:b/>
                <w:i w:val="0"/>
                <w:color w:val="212121"/>
                <w:sz w:val="19"/>
              </w:rPr>
              <w:t>Skin &amp; mucosal hyperpigmentation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Reversible hyperpigmentation (knuckles, palms, mucosa) described in B12 deficiency.</w:t>
            </w:r>
          </w:p>
        </w:tc>
      </w:tr>
      <w:tr>
        <w:trPr>
          <w:cantSplit/>
        </w:trPr>
        <w:tc>
          <w:tcPr>
            <w:tcW w:type="dxa" w:w="3456"/>
            <w:vAlign w:val="top"/>
          </w:tcPr>
          <w:p>
            <w:pPr>
              <w:spacing w:after="40" w:before="0" w:line="259" w:lineRule="auto"/>
            </w:pPr>
            <w:r>
              <w:rPr>
                <w:rFonts w:ascii="Calibri" w:hAnsi="Calibri"/>
                <w:b/>
                <w:i w:val="0"/>
                <w:color w:val="212121"/>
                <w:sz w:val="19"/>
              </w:rPr>
              <w:t>Positive Romberg sign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Loss of balance with eyes closed, indicating proprioceptive (dorsal-column) loss.</w:t>
            </w:r>
          </w:p>
        </w:tc>
      </w:tr>
      <w:tr>
        <w:trPr>
          <w:cantSplit/>
        </w:trPr>
        <w:tc>
          <w:tcPr>
            <w:tcW w:type="dxa" w:w="3456"/>
            <w:vAlign w:val="top"/>
          </w:tcPr>
          <w:p>
            <w:pPr>
              <w:spacing w:after="40" w:before="0" w:line="259" w:lineRule="auto"/>
            </w:pPr>
            <w:r>
              <w:rPr>
                <w:rFonts w:ascii="Calibri" w:hAnsi="Calibri"/>
                <w:b/>
                <w:i w:val="0"/>
                <w:color w:val="212121"/>
                <w:sz w:val="19"/>
              </w:rPr>
              <w:t>Mixed reflex changes (absent ankle jerks with extensor plantars)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Combined peripheral neuropathy and pyramidal-tract involvement.</w:t>
            </w:r>
          </w:p>
        </w:tc>
      </w:tr>
      <w:tr>
        <w:trPr>
          <w:cantSplit/>
        </w:trPr>
        <w:tc>
          <w:tcPr>
            <w:tcW w:type="dxa" w:w="3456"/>
            <w:vAlign w:val="top"/>
          </w:tcPr>
          <w:p>
            <w:pPr>
              <w:spacing w:after="40" w:before="0" w:line="259" w:lineRule="auto"/>
            </w:pPr>
            <w:r>
              <w:rPr>
                <w:rFonts w:ascii="Calibri" w:hAnsi="Calibri"/>
                <w:b/>
                <w:i w:val="0"/>
                <w:color w:val="212121"/>
                <w:sz w:val="19"/>
              </w:rPr>
              <w:t>Ataxic / spastic gait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combined dorsal-column and corticospinal-tract degeneration.</w:t>
            </w:r>
          </w:p>
        </w:tc>
      </w:tr>
      <w:tr>
        <w:trPr>
          <w:cantSplit/>
        </w:trPr>
        <w:tc>
          <w:tcPr>
            <w:tcW w:type="dxa" w:w="3456"/>
            <w:vAlign w:val="top"/>
          </w:tcPr>
          <w:p>
            <w:pPr>
              <w:spacing w:after="40" w:before="0" w:line="259" w:lineRule="auto"/>
            </w:pPr>
            <w:r>
              <w:rPr>
                <w:rFonts w:ascii="Calibri" w:hAnsi="Calibri"/>
                <w:b/>
                <w:i w:val="0"/>
                <w:color w:val="212121"/>
                <w:sz w:val="19"/>
              </w:rPr>
              <w:t>Tachycardia &amp; haemic flow murmur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High-output compensatory changes in significant anaemia.</w:t>
            </w:r>
          </w:p>
        </w:tc>
      </w:tr>
      <w:tr>
        <w:trPr>
          <w:cantSplit/>
        </w:trPr>
        <w:tc>
          <w:tcPr>
            <w:tcW w:type="dxa" w:w="3456"/>
            <w:vAlign w:val="top"/>
          </w:tcPr>
          <w:p>
            <w:pPr>
              <w:spacing w:after="40" w:before="0" w:line="259" w:lineRule="auto"/>
            </w:pPr>
            <w:r>
              <w:rPr>
                <w:rFonts w:ascii="Calibri" w:hAnsi="Calibri"/>
                <w:b/>
                <w:i w:val="0"/>
                <w:color w:val="212121"/>
                <w:sz w:val="19"/>
              </w:rPr>
              <w:t>Mild jaundice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Unconjugated hyperbilirubinaemia from intramedullary haemolysis / ineffective erythropoiesis.</w:t>
            </w:r>
          </w:p>
        </w:tc>
      </w:tr>
      <w:tr>
        <w:trPr>
          <w:cantSplit/>
        </w:trPr>
        <w:tc>
          <w:tcPr>
            <w:tcW w:type="dxa" w:w="3456"/>
            <w:vAlign w:val="top"/>
          </w:tcPr>
          <w:p>
            <w:pPr>
              <w:spacing w:after="40" w:before="0" w:line="259" w:lineRule="auto"/>
            </w:pPr>
            <w:r>
              <w:rPr>
                <w:rFonts w:ascii="Calibri" w:hAnsi="Calibri"/>
                <w:b/>
                <w:i w:val="0"/>
                <w:color w:val="212121"/>
                <w:sz w:val="19"/>
              </w:rPr>
              <w:t>Cognitive impairment on bedside testing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Reduced MMSE/attention scores, especially in deficient elderly patients.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Megaloblastic (macrocytic)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Pancytopenia in severe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Subacute combined degeneration of the spinal cord (dorsal columns and corticospinal tracts)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Peripheral sensorimotor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Glossitis and mucosal atrophy</w:t>
            </w:r>
          </w:p>
        </w:tc>
        <w:tc>
          <w:tcPr>
            <w:tcW w:type="dxa" w:w="2980"/>
            <w:vAlign w:val="top"/>
          </w:tcPr>
          <w:p>
            <w:pPr>
              <w:spacing w:after="40" w:before="0" w:line="259" w:lineRule="auto"/>
            </w:pPr>
            <w:r>
              <w:rPr>
                <w:rFonts w:ascii="Calibri" w:hAnsi="Calibri"/>
                <w:b w:val="0"/>
                <w:i w:val="0"/>
                <w:color w:val="212121"/>
                <w:sz w:val="19"/>
              </w:rPr>
              <w:t>Direct consequences of impaired DNA synthesis in the marrow and defective myelin maintenance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Cognitive impairment, dementia-like decline and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Hyperhomocysteinaemia raising risk of atherothrombosis, stroke and venous thromboembolism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Subfertility and recurrent early-pregnancy complications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Mild haemolysis / ineffective erythropoiesis (jaundice, raised LDH)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Falls and injury from sensory ataxia and neuropathy</w:t>
            </w:r>
          </w:p>
        </w:tc>
        <w:tc>
          <w:tcPr>
            <w:tcW w:type="dxa" w:w="2980"/>
            <w:vAlign w:val="top"/>
          </w:tcPr>
          <w:p>
            <w:pPr>
              <w:spacing w:after="40" w:before="0" w:line="259" w:lineRule="auto"/>
            </w:pPr>
            <w:r>
              <w:rPr>
                <w:rFonts w:ascii="Calibri" w:hAnsi="Calibri"/>
                <w:b w:val="0"/>
                <w:i w:val="0"/>
                <w:color w:val="212121"/>
                <w:sz w:val="19"/>
              </w:rPr>
              <w:t>Result from sustained deficiency acting on the nervous, vascular and reproductive systems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neurological disability - sensory ataxia, spastic paraparesis, incontinence - when treatment is delayed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cognitive decline / dementia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High-output heart failure from severe untreated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Adverse fetal and infant outcomes - neural tube defects, low birth weight/IUGR, developmental delay and offspring insulin resistance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gastric cancer risk in pernicious anaemia</w:t>
            </w:r>
          </w:p>
        </w:tc>
        <w:tc>
          <w:tcPr>
            <w:tcW w:type="dxa" w:w="2980"/>
            <w:vAlign w:val="top"/>
          </w:tcPr>
          <w:p>
            <w:pPr>
              <w:spacing w:after="40" w:before="0" w:line="259" w:lineRule="auto"/>
            </w:pPr>
            <w:r>
              <w:rPr>
                <w:rFonts w:ascii="Calibri" w:hAnsi="Calibri"/>
                <w:b w:val="0"/>
                <w:i w:val="0"/>
                <w:color w:val="212121"/>
                <w:sz w:val="19"/>
              </w:rPr>
              <w:t>Irreversible or systemic outcomes of severe or long-standing untreated deficiency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Type 2 diabetes mellitus (on metformin)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Long-term/high-dose metformin lowers B12 and can mimic or worsen diabetic neuropathy; deficiency is ~2.95x more likely than in non-users.</w:t>
            </w:r>
          </w:p>
          <w:p>
            <w:pPr>
              <w:spacing w:after="40" w:before="0" w:line="259" w:lineRule="auto"/>
            </w:pPr>
            <w:r>
              <w:rPr>
                <w:rFonts w:ascii="Calibri" w:hAnsi="Calibri"/>
                <w:b/>
                <w:i w:val="0"/>
                <w:color w:val="212121"/>
                <w:sz w:val="19"/>
              </w:rPr>
              <w:t>~23% of metformin users</w:t>
            </w:r>
          </w:p>
        </w:tc>
      </w:tr>
      <w:tr>
        <w:trPr>
          <w:cantSplit/>
        </w:trPr>
        <w:tc>
          <w:tcPr>
            <w:tcW w:type="dxa" w:w="2232"/>
            <w:vAlign w:val="top"/>
          </w:tcPr>
          <w:p>
            <w:pPr>
              <w:spacing w:after="40" w:before="0" w:line="259" w:lineRule="auto"/>
            </w:pPr>
            <w:r>
              <w:rPr>
                <w:rFonts w:ascii="Calibri" w:hAnsi="Calibri"/>
                <w:b/>
                <w:i w:val="0"/>
                <w:color w:val="212121"/>
                <w:sz w:val="19"/>
              </w:rPr>
              <w:t>Hypothyroidism / autoimmune thyroid disease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Shares autoimmune atrophic-gastritis mechanisms; low or borderline B12 is common and symptoms overlap.</w:t>
            </w:r>
          </w:p>
          <w:p>
            <w:pPr>
              <w:spacing w:after="40" w:before="0" w:line="259" w:lineRule="auto"/>
            </w:pPr>
            <w:r>
              <w:rPr>
                <w:rFonts w:ascii="Calibri" w:hAnsi="Calibri"/>
                <w:b/>
                <w:i w:val="0"/>
                <w:color w:val="212121"/>
                <w:sz w:val="19"/>
              </w:rPr>
              <w:t>Up to ~48% (subclinical hypothyroidism)</w:t>
            </w:r>
          </w:p>
        </w:tc>
      </w:tr>
      <w:tr>
        <w:trPr>
          <w:cantSplit/>
        </w:trPr>
        <w:tc>
          <w:tcPr>
            <w:tcW w:type="dxa" w:w="2232"/>
            <w:vAlign w:val="top"/>
          </w:tcPr>
          <w:p>
            <w:pPr>
              <w:spacing w:after="40" w:before="0" w:line="259" w:lineRule="auto"/>
            </w:pPr>
            <w:r>
              <w:rPr>
                <w:rFonts w:ascii="Calibri" w:hAnsi="Calibri"/>
                <w:b/>
                <w:i w:val="0"/>
                <w:color w:val="212121"/>
                <w:sz w:val="19"/>
              </w:rPr>
              <w:t>Pernicious anaemia / autoimmune atrophic gastritis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Autoimmune loss of intrinsic factor is the classic malabsorptive cause and raises long-term gastric cancer risk.</w:t>
            </w:r>
          </w:p>
        </w:tc>
      </w:tr>
      <w:tr>
        <w:trPr>
          <w:cantSplit/>
        </w:trPr>
        <w:tc>
          <w:tcPr>
            <w:tcW w:type="dxa" w:w="2232"/>
            <w:vAlign w:val="top"/>
          </w:tcPr>
          <w:p>
            <w:pPr>
              <w:spacing w:after="40" w:before="0" w:line="259" w:lineRule="auto"/>
            </w:pPr>
            <w:r>
              <w:rPr>
                <w:rFonts w:ascii="Calibri" w:hAnsi="Calibri"/>
                <w:b/>
                <w:i w:val="0"/>
                <w:color w:val="212121"/>
                <w:sz w:val="19"/>
              </w:rPr>
              <w:t>Iron and/or folate deficiency (combined nutritional anaemia)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Coexisting iron/folate deficiency is common in India and can mask macrocytosis, producing a dimorphic blood picture.</w:t>
            </w:r>
          </w:p>
        </w:tc>
      </w:tr>
      <w:tr>
        <w:trPr>
          <w:cantSplit/>
        </w:trPr>
        <w:tc>
          <w:tcPr>
            <w:tcW w:type="dxa" w:w="2232"/>
            <w:vAlign w:val="top"/>
          </w:tcPr>
          <w:p>
            <w:pPr>
              <w:spacing w:after="40" w:before="0" w:line="259" w:lineRule="auto"/>
            </w:pPr>
            <w:r>
              <w:rPr>
                <w:rFonts w:ascii="Calibri" w:hAnsi="Calibri"/>
                <w:b/>
                <w:i w:val="0"/>
                <w:color w:val="212121"/>
                <w:sz w:val="19"/>
              </w:rPr>
              <w:t>Depression &amp; cognitive impairment / dementia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Over-represented among deficient elderly; B12 deficiency is a reversible contributor to low mood and cognitive decline.</w:t>
            </w:r>
          </w:p>
        </w:tc>
      </w:tr>
      <w:tr>
        <w:trPr>
          <w:cantSplit/>
        </w:trPr>
        <w:tc>
          <w:tcPr>
            <w:tcW w:type="dxa" w:w="2232"/>
            <w:vAlign w:val="top"/>
          </w:tcPr>
          <w:p>
            <w:pPr>
              <w:spacing w:after="40" w:before="0" w:line="259" w:lineRule="auto"/>
            </w:pPr>
            <w:r>
              <w:rPr>
                <w:rFonts w:ascii="Calibri" w:hAnsi="Calibri"/>
                <w:b/>
                <w:i w:val="0"/>
                <w:color w:val="212121"/>
                <w:sz w:val="19"/>
              </w:rPr>
              <w:t>Chronic atrophic gastritis / Helicobacter pylori infection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Reduce gastric acid and intrinsic factor, impairing release and absorption of food-bound B12.</w:t>
            </w:r>
          </w:p>
        </w:tc>
      </w:tr>
      <w:tr>
        <w:trPr>
          <w:cantSplit/>
        </w:trPr>
        <w:tc>
          <w:tcPr>
            <w:tcW w:type="dxa" w:w="2232"/>
            <w:vAlign w:val="top"/>
          </w:tcPr>
          <w:p>
            <w:pPr>
              <w:spacing w:after="40" w:before="0" w:line="259" w:lineRule="auto"/>
            </w:pPr>
            <w:r>
              <w:rPr>
                <w:rFonts w:ascii="Calibri" w:hAnsi="Calibri"/>
                <w:b/>
                <w:i w:val="0"/>
                <w:color w:val="212121"/>
                <w:sz w:val="19"/>
              </w:rPr>
              <w:t>Coeliac disease &amp; inflammatory bowel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Small-bowel and terminal-ileal disease impair absorption despite adequate intake.</w:t>
            </w:r>
          </w:p>
        </w:tc>
      </w:tr>
      <w:tr>
        <w:trPr>
          <w:cantSplit/>
        </w:trPr>
        <w:tc>
          <w:tcPr>
            <w:tcW w:type="dxa" w:w="2232"/>
            <w:vAlign w:val="top"/>
          </w:tcPr>
          <w:p>
            <w:pPr>
              <w:spacing w:after="40" w:before="0" w:line="259" w:lineRule="auto"/>
            </w:pPr>
            <w:r>
              <w:rPr>
                <w:rFonts w:ascii="Calibri" w:hAnsi="Calibri"/>
                <w:b/>
                <w:i w:val="0"/>
                <w:color w:val="212121"/>
                <w:sz w:val="19"/>
              </w:rPr>
              <w:t>Chronic alcohol-related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Poor intake, gastritis and malabsorption cause functional and absolute B12 deficiency.</w:t>
            </w:r>
          </w:p>
        </w:tc>
      </w:tr>
      <w:tr>
        <w:trPr>
          <w:cantSplit/>
        </w:trPr>
        <w:tc>
          <w:tcPr>
            <w:tcW w:type="dxa" w:w="2232"/>
            <w:vAlign w:val="top"/>
          </w:tcPr>
          <w:p>
            <w:pPr>
              <w:spacing w:after="40" w:before="0" w:line="259" w:lineRule="auto"/>
            </w:pPr>
            <w:r>
              <w:rPr>
                <w:rFonts w:ascii="Calibri" w:hAnsi="Calibri"/>
                <w:b/>
                <w:i w:val="0"/>
                <w:color w:val="212121"/>
                <w:sz w:val="19"/>
              </w:rPr>
              <w:t>Pregnancy (maternal deficiency)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Very common in Indian pregnancy and linked to neural tube defects, low birth weight and offspring metabolic risk.</w:t>
            </w:r>
          </w:p>
          <w:p>
            <w:pPr>
              <w:spacing w:after="40" w:before="0" w:line="259" w:lineRule="auto"/>
            </w:pPr>
            <w:r>
              <w:rPr>
                <w:rFonts w:ascii="Calibri" w:hAnsi="Calibri"/>
                <w:b/>
                <w:i w:val="0"/>
                <w:color w:val="212121"/>
                <w:sz w:val="19"/>
              </w:rPr>
              <w:t>~67% (pooled, pregnant women)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B12 comes almost only from animal foods (meat, fish, eggs, milk and curd) - a purely plant-based diet needs fortified foods or a supplement.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deficiency is often silent or vague (tiredness, tingling, poor memory, sore tongue, low mood) and can damage nerves before anaemia appears.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your risk factors: strict vegetarian/vegan diet, older age, pregnancy/breastfeeding, long-term metformin or antacid use, and stomach/bowel disease or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are a lifelong vegetarian or vegan, ask about a routine oral B12 supplement (e.g., ~2 µg/day for maintenance, higher for correction) and periodic testing.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Ask for a serum B12 test (with MMA/homocysteine if borderline) when at risk, rather than waiting for anaemia.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 &amp; vegans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&amp; lactating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on metformin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PPI/H2-blocker users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dietary deficiency without severe neurological disease, high-dose oral cobalamin (1000-2000 µg/day) is effective, including for many with mild malabsorption.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neurological deficiency, severe anaemia or pernicious anaemia, use intramuscular hydroxocobalamin/cyanocobalamin (e.g., 1000 µg on alternate days for 1-2 weeks) then regular maintenance; pernicious anaemia needs lifelong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Always check and correct coexisting iron and folate, and never give folate alone for a macrocytic anaemia before excluding/treating B12 (folate can mask anaemia while neurology worsens).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Re-check the blood count/reticulocytes at 1-2 weeks (haematological recovery by ~6 weeks) and B12/MMA to confirm repletion; neurological recovery is slow and may be incomplete if treatment is delayed.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the underlying cause - stop or space offending drugs where possible, eradicate H. pylori and manage malabsorption; monitor B12 in long-term metformin and acid-suppression users.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Confirmed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Pernicious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Neurological/severe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Metformin/PPI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Malabsorption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generally active (≥ 150 minutes/week of moderate activity) for overall metabolic and cardiovascular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exercise does not raise B12 - diet and, where needed, supplements are what correct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have neuropathy or balance problems from deficiency, add supervised balance and strength work to reduce falls while treatment takes effect.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graded activity as fatigue and breathlessness improve after B12 repletion.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Deficient adults with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neuropathy/imbalance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individuals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B12-containing foods where acceptable: eggs, fish, meat, and generous portions of milk, curd, paneer and cheese for vegetarians.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B12-fortified foods (fortified milk, breakfast cereals, nutritional yeast or plant milks) - especially important for vegans.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strict vegetarians/vegans, use a reliable oral B12 supplement rather than relying on diet alone, as Indian vegetarian diets rarely meet the ~2.2 µg/day requirement.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intake during pregnancy and lactation to protect both mother and infant stores.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B12 sources with adequate folate and iron from pulses, green leafy vegetables and whole grains for healthy blood formation.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 &amp; vegans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&amp; lactating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Low-income/cereal-based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of vegetarian mothers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B12 supplementation (oral high-dose or intramuscular, per severity and cause) as diet alone cannot correct established deficiency quickly.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vegetarians/vegans, choose cyanocobalamin or methylcobalamin supplements and continue long-term maintenance to prevent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fortified-food and dairy/egg intake after repletion to help sustain adequate levels.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coexisting iron/folate deficiency simultaneously to fully correct a dimorphic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Coordinate lifelong or long-term replacement in pernicious anaemia, post-gastrectomy/bariatric surgery and inherited malabsorption.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Confirmed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Vegetarians/vegans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Pernicious anaemia &amp; post-surgical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7-9 hour sleep schedule to support overall recovery and cognitive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deficiency-related neuropathy, restless legs or fatigue can disturb sleep, and often improve with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low mood and anxiety that may coexist with deficiency and impair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late-night caffeine, particularly in cereal-and-tea-heavy diets already low in B12.</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Deficient adults with poor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neuropathy or restless legs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smokeless-tobacco/areca-nut use, which are associated with lower B12 and broader health harm.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 replacement) as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quitting with a B12-adequate diet or supplement for better nerve and blood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that heavy tobacco/alcohol use often accompanies the poor diets that drive deficiency.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&amp; 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Deficient adults with poor diet</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 chronic heavy use impairs B12 absorption and storage and causes gastritis.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alcohol-related liver or gastrointestinal disease, screen for and treat B12 (and folate)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Replace alcohol calories with nutrient-dense foods to improve overall micronutrient status.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alcohol dependence, given the added neurological and haematological risks.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Heavy/chronic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alcohol-related gastritis/liver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Deficient adults with poor diet</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testing B12 in patients with unexplained low mood, irritability, cognitive decline or (rarely) psychosis, especially the elderly and vegetarians.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depression and cognitive symptoms on their own merits; B12 repletion is a corrective adjunct where deficiency is present, not a substitute for standard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Explain that mood and memory symptoms from deficiency are often partly reversible with early, adequate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repletion with support for sleep, activity and social engagement to aid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Deficient patients with low mood/cognitive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memory decline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 with neuropsychiatric symptoms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12088579/" TargetMode="External"/><Relationship Id="rId10" Type="http://schemas.openxmlformats.org/officeDocument/2006/relationships/hyperlink" Target="https://www.frontiersin.org/journals/public-health/articles/10.3389/fpubh.2021.707036/full" TargetMode="External"/><Relationship Id="rId11" Type="http://schemas.openxmlformats.org/officeDocument/2006/relationships/hyperlink" Target="https://healthcare-bulletin.co.uk/article/india-s-unseen-nutritional-emergency-a-meta-analysis-of-vitamin-b12-deficiency-3355/" TargetMode="External"/><Relationship Id="rId12" Type="http://schemas.openxmlformats.org/officeDocument/2006/relationships/hyperlink" Target="https://www.nin.res.in/rdabook/brief_note.pdf" TargetMode="External"/><Relationship Id="rId13" Type="http://schemas.openxmlformats.org/officeDocument/2006/relationships/hyperlink" Target="https://www.ncbi.nlm.nih.gov/books/NBK441923/" TargetMode="External"/><Relationship Id="rId14" Type="http://schemas.openxmlformats.org/officeDocument/2006/relationships/hyperlink" Target="https://www.cureus.com/articles/127842-effect-of-metformin-on-vitamin-b12-deficiency-in-patients-with-type-2-diabetes-mellitus-and-factors-associated-with-it-a-meta-analysis" TargetMode="External"/><Relationship Id="rId15" Type="http://schemas.openxmlformats.org/officeDocument/2006/relationships/hyperlink" Target="https://journals.sagepub.com/doi/10.1177/11795514221086634" TargetMode="External"/><Relationship Id="rId16" Type="http://schemas.openxmlformats.org/officeDocument/2006/relationships/hyperlink" Target="https://pmc.ncbi.nlm.nih.gov/articles/PMC9480660/" TargetMode="External"/><Relationship Id="rId17" Type="http://schemas.openxmlformats.org/officeDocument/2006/relationships/hyperlink" Target="https://www.frontiersin.org/journals/endocrinology/articles/10.3389/fendo.2021.619176/full" TargetMode="External"/><Relationship Id="rId18" Type="http://schemas.openxmlformats.org/officeDocument/2006/relationships/hyperlink" Target="https://www.merckmanuals.com/professional/nutritional-disorders/vitamin-deficiency-dependency-and-toxicity/vitamin-b12-deficien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