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Iron Deficiency (non-anemic)</w:t>
      </w:r>
    </w:p>
    <w:p>
      <w:pPr>
        <w:spacing w:before="0" w:after="160"/>
      </w:pPr>
      <w:r>
        <w:rPr>
          <w:rFonts w:ascii="Calibri" w:hAnsi="Calibri"/>
          <w:b/>
          <w:i w:val="0"/>
          <w:color w:val="212121"/>
          <w:sz w:val="22"/>
        </w:rPr>
        <w:t xml:space="preserve">AKA </w:t>
      </w:r>
      <w:r>
        <w:rPr>
          <w:rFonts w:ascii="Calibri" w:hAnsi="Calibri"/>
          <w:b w:val="0"/>
          <w:i w:val="0"/>
          <w:color w:val="212121"/>
          <w:sz w:val="22"/>
        </w:rPr>
        <w:t>i.e., Iron deficiency without anaemia (IDWA), Latent iron deficiency, Iron depletion / low iron stores, Non-anaemic iron deficiency (NAID), Sub-clinical / pre-anaemic iron deficiency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Iron deficiency (non-anemic) is a state of depleted total-body iron stores in which the haemoglobin concentration is still within the normal range for age and sex. It is the earliest and most prevalent stage of iron deficiency, preceding iron-deficiency anaemia by months to years as stores are drained and iron supply to the tissues falls. Diagnosis rests on a low serum ferritin (empty stores) and/or a reduced transferrin saturation with a normal haemoglobin. Despite the normal blood count, it can already impair energy, cognition, exercise capacity and immunity, and in pregnancy it harms fetal neurodevelopment.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Iron deficiency without anaemia (IDWA) is the most common and earliest stage of iron deficiency, affecting roughly twice as many people as iron-deficiency anaemia, yet it is routinely missed because the haemoglobin is still normal. India carries one of the world's heaviest iron-deficiency burdens: in the Comprehensive National Nutrition Survey (CNNS 2016-18), 31.9% of preschool children and 30.4% of adolescent girls were iron deficient on serum ferritin. Among women of reproductive age, high-income data show about 38% have iron deficiency without anaemia (versus ~13% with anaemia), and a 2025 Indian tertiary-care study of symptomatic women aged 18-49 found 26.9% had iron deficiency without anaemia while 80.7% had some degree of iron deficiency. Although NFHS-5 reports anaemia in 57% of women (15-49 y) and 67% of young children, venous-blood surveys show iron deficiency accounts for less than a third of Indian anaemia, underscoring the need to measure iron status (ferritin/transferrin saturation) directly rather than infer it from haemoglobin alone.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Iron deficiency in the non-anemic phase is confirmed when iron stores or the supply of iron to tissues is low but the haemoglobin is still normal for age and sex.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ferritin below 30 ng/mL (µg/L) in an adult without inflammation — the pragmatic clinical threshold (high sensitivity); WHO's healthy-population cut-off of &lt; 15 µg/L is highly specific for depleted stores.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Transferrin saturation (TSAT) &lt; 20%, with a low serum iron and a raised total iron-binding capacity (TIBC) — useful when ferritin is unreliable.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haemoglobin (males ≥ 13 g/dL, non-pregnant females ≥ 12 g/dL, pregnant females ≥ 11 g/dL), which is what distinguishes non-anemic iron deficiency from iron-deficiency anaemia.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elevated soluble transferrin receptor (sTfR) or a low reticulocyte-haemoglobin content (CHr / Ret-He), which detect tissue iron deficiency even when ferritin is confounded.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Because ferritin is an acute-phase reactant, interpret it alongside CRP: in the presence of infection or inflammation use a higher ferritin cut-off (&lt; 70 µg/L) or rely on TSAT / sTfR.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Iron deficiency progresses along a continuum of worsening iron status; the non-anemic stages (1 and 2) are the focus of this profile, and it is also useful to separate absolute from functional deficiency:</w:t>
      </w:r>
    </w:p>
    <w:p>
      <w:pPr>
        <w:spacing w:before="0" w:after="80"/>
      </w:pPr>
      <w:r>
        <w:rPr>
          <w:rFonts w:ascii="Calibri" w:hAnsi="Calibri"/>
          <w:b w:val="0"/>
          <w:i w:val="0"/>
          <w:color w:val="212121"/>
          <w:sz w:val="21"/>
        </w:rPr>
        <w:t>(1) Storage iron depletion (pre-latent / latent iron deficiency): iron stores fall and serum ferritin drops, while serum iron, transferrin saturation and haemoglobin all remain normal. This is the earliest form of iron deficiency without anaemia and is often asymptomatic or causes only fatigue.</w:t>
      </w:r>
    </w:p>
    <w:p>
      <w:pPr>
        <w:spacing w:before="0" w:after="80"/>
      </w:pPr>
      <w:r>
        <w:rPr>
          <w:rFonts w:ascii="Calibri" w:hAnsi="Calibri"/>
          <w:b w:val="0"/>
          <w:i w:val="0"/>
          <w:color w:val="212121"/>
          <w:sz w:val="21"/>
        </w:rPr>
        <w:t>(2) Iron-deficient erythropoiesis (functional / latent iron deficiency): stores are exhausted and the supply of iron to the marrow becomes inadequate — transferrin saturation falls below 20% and soluble transferrin receptor and reticulocyte-haemoglobin become abnormal — yet the haemoglobin is still within the normal range. Symptoms such as poor concentration, restless legs and reduced exercise capacity are common at this stage.</w:t>
      </w:r>
    </w:p>
    <w:p>
      <w:pPr>
        <w:spacing w:before="0" w:after="80"/>
      </w:pPr>
      <w:r>
        <w:rPr>
          <w:rFonts w:ascii="Calibri" w:hAnsi="Calibri"/>
          <w:b w:val="0"/>
          <w:i w:val="0"/>
          <w:color w:val="212121"/>
          <w:sz w:val="21"/>
        </w:rPr>
        <w:t>(3) Iron-deficiency anaemia: the haemoglobin finally falls below the age/sex threshold, with microcytic, hypochromic red cells. This lies beyond the scope of the non-anemic profile but is the endpoint of untreated iron deficiency.</w:t>
      </w:r>
    </w:p>
    <w:p>
      <w:pPr>
        <w:spacing w:before="0" w:after="80"/>
      </w:pPr>
      <w:r>
        <w:rPr>
          <w:rFonts w:ascii="Calibri" w:hAnsi="Calibri"/>
          <w:b w:val="0"/>
          <w:i w:val="0"/>
          <w:color w:val="212121"/>
          <w:sz w:val="21"/>
        </w:rPr>
        <w:t>Absolute vs functional iron deficiency: in absolute deficiency stores are genuinely empty (low ferritin), whereas in functional deficiency (as in chronic kidney disease, heart failure and other inflammatory states) stores may look normal or high but iron is trapped by hepcidin and unavailable — ferritin can be normal/raised with a low transferrin saturation.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iron and low bioavailability: Predominantly plant-based Indian diets supply non-haem iron that is only 1-6% absorbed, and phytates in unrefined cereals and pulses suppress uptake further.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Increased physiological demand: Rapid growth in infancy and adolescence, menstruation, pregnancy and lactation raise iron requirements beyond what the diet can supply.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Chronic blood loss: Heavy menstrual bleeding, occult gastrointestinal bleeding (peptic ulcer, NSAIDs, angiodysplasia, malignancy) and hookworm infestation steadily deplete iron stores.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Impaired absorption: Coeliac disease, atrophic gastritis, Helicobacter pylori infection, bariatric surgery and long-term acid-suppressant (PPI) use reduce duodenal iron uptake.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Dietary absorption inhibitors: Habitual tea or coffee with meals and high-phytate unrefined cereals cut non-haem iron absorption by roughly 50-80%.</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Iron-refractory iron deficiency anaemia (IRIDA) from TMPRSS6 mutations impairs iron absorption and responds poorly to oral iron.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 women)</w:t>
            </w:r>
          </w:p>
        </w:tc>
        <w:tc>
          <w:tcPr>
            <w:tcW w:type="dxa" w:w="4276"/>
            <w:vAlign w:val="top"/>
          </w:tcPr>
          <w:p>
            <w:pPr>
              <w:spacing w:after="60" w:line="259" w:lineRule="auto"/>
            </w:pPr>
            <w:r>
              <w:rPr>
                <w:rFonts w:ascii="Calibri" w:hAnsi="Calibri"/>
                <w:b w:val="0"/>
                <w:i w:val="0"/>
                <w:color w:val="212121"/>
                <w:sz w:val="19"/>
              </w:rPr>
              <w:t>During the reproductive years, monthly menstrual iron loss combined with low dietary iron availability keeps stores chronically marginal, so ferritin falls long before haemoglobin does. Iron deficiency without anaemia is therefore the earliest and commonest iron disorder in this group.</w:t>
            </w:r>
          </w:p>
          <w:p>
            <w:pPr>
              <w:spacing w:after="40" w:before="60" w:line="259" w:lineRule="auto"/>
            </w:pPr>
            <w:r>
              <w:rPr>
                <w:rFonts w:ascii="Calibri" w:hAnsi="Calibri"/>
                <w:b w:val="0"/>
                <w:i w:val="0"/>
                <w:color w:val="212121"/>
                <w:sz w:val="19"/>
              </w:rPr>
              <w:t>About 38% of reproductive-age women (high-income data) have iron deficiency without anaemia, compared with roughly 13% who have iron-deficiency anaemia.</w:t>
            </w:r>
          </w:p>
          <w:p>
            <w:pPr>
              <w:spacing w:after="40" w:line="252" w:lineRule="auto"/>
            </w:pPr>
            <w:hyperlink r:id="rId9">
              <w:r>
                <w:rPr>
                  <w:rFonts w:ascii="Calibri" w:hAnsi="Calibri" w:cs="Calibri"/>
                  <w:sz w:val="18"/>
                  <w:color w:val="1155CC"/>
                  <w:u w:val="single"/>
                </w:rPr>
                <w:t xml:space="preserve">pubmed 40159291 — Iron Deficiency in Adults: A Review (JAMA 2025)</w:t>
              </w:r>
            </w:hyperlink>
          </w:p>
          <w:p>
            <w:pPr>
              <w:spacing w:before="60" w:after="40"/>
            </w:pPr>
            <w:r>
              <w:rPr>
                <w:rFonts w:ascii="Calibri" w:hAnsi="Calibri"/>
                <w:b w:val="0"/>
                <w:i w:val="0"/>
                <w:color w:val="5A5A5A"/>
                <w:sz w:val="18"/>
              </w:rPr>
              <w:t>#ironstores  #lowferritin  #reproductiveage  #hiddendeficiency  #fatigue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(girls)</w:t>
            </w:r>
          </w:p>
        </w:tc>
        <w:tc>
          <w:tcPr>
            <w:tcW w:type="dxa" w:w="4276"/>
            <w:vAlign w:val="top"/>
          </w:tcPr>
          <w:p>
            <w:pPr>
              <w:spacing w:after="60" w:line="259" w:lineRule="auto"/>
            </w:pPr>
            <w:r>
              <w:rPr>
                <w:rFonts w:ascii="Calibri" w:hAnsi="Calibri"/>
                <w:b w:val="0"/>
                <w:i w:val="0"/>
                <w:color w:val="212121"/>
                <w:sz w:val="19"/>
              </w:rPr>
              <w:t>The pubertal growth spurt sharply raises iron requirements just as menstruation begins, while adolescent diets are often low in bioavailable iron. Girls therefore slip into iron depletion faster and more often than boys.</w:t>
            </w:r>
          </w:p>
          <w:p>
            <w:pPr>
              <w:spacing w:after="40" w:before="60" w:line="259" w:lineRule="auto"/>
            </w:pPr>
            <w:r>
              <w:rPr>
                <w:rFonts w:ascii="Calibri" w:hAnsi="Calibri"/>
                <w:b w:val="0"/>
                <w:i w:val="0"/>
                <w:color w:val="212121"/>
                <w:sz w:val="19"/>
              </w:rPr>
              <w:t>In the Comprehensive National Nutrition Survey (CNNS 2016-18), 30.4% of Indian adolescent girls aged 10-19 y were iron deficient (serum ferritin &lt; 15 µg/L).</w:t>
            </w:r>
          </w:p>
          <w:p>
            <w:pPr>
              <w:spacing w:after="40" w:line="252" w:lineRule="auto"/>
            </w:pPr>
            <w:hyperlink r:id="rId10">
              <w:r>
                <w:rPr>
                  <w:rFonts w:ascii="Calibri" w:hAnsi="Calibri" w:cs="Calibri"/>
                  <w:sz w:val="18"/>
                  <w:color w:val="1155CC"/>
                  <w:u w:val="single"/>
                </w:rPr>
                <w:t xml:space="preserve">pubmed 34049401 — CNNS iron deficiency in Indian children &amp; adolescents</w:t>
              </w:r>
            </w:hyperlink>
          </w:p>
          <w:p>
            <w:pPr>
              <w:spacing w:before="60" w:after="40"/>
            </w:pPr>
            <w:r>
              <w:rPr>
                <w:rFonts w:ascii="Calibri" w:hAnsi="Calibri"/>
                <w:b w:val="0"/>
                <w:i w:val="0"/>
                <w:color w:val="5A5A5A"/>
                <w:sz w:val="18"/>
              </w:rPr>
              <w:t>#adolescents  #growthspurt  #menarche  #WIFS  #schoolhealth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iron deficiency is rarely dietary alone; it usually signals occult gastrointestinal blood loss (peptic ulcer, angiodysplasia, colorectal cancer) or malabsorption, and therefore warrants gastrointestinal evaluation.</w:t>
            </w:r>
          </w:p>
          <w:p>
            <w:pPr>
              <w:spacing w:after="40" w:before="60" w:line="259" w:lineRule="auto"/>
            </w:pPr>
            <w:r>
              <w:rPr>
                <w:rFonts w:ascii="Calibri" w:hAnsi="Calibri"/>
                <w:b w:val="0"/>
                <w:i w:val="0"/>
                <w:color w:val="212121"/>
                <w:sz w:val="19"/>
              </w:rPr>
              <w:t>In an eight-state venous-blood survey, anaemia affected 45% of elderly Indian women and 37% of elderly men, although most of it was not iron-related.</w:t>
            </w:r>
          </w:p>
          <w:p>
            <w:pPr>
              <w:spacing w:after="40" w:line="252" w:lineRule="auto"/>
            </w:pPr>
            <w:hyperlink r:id="rId11">
              <w:r>
                <w:rPr>
                  <w:rFonts w:ascii="Calibri" w:hAnsi="Calibri" w:cs="Calibri"/>
                  <w:sz w:val="18"/>
                  <w:color w:val="1155CC"/>
                  <w:u w:val="single"/>
                </w:rPr>
                <w:t xml:space="preserve">nature s41430-024-01559-w — anaemia &amp; iron deficiency in India (venous survey)</w:t>
              </w:r>
            </w:hyperlink>
          </w:p>
          <w:p>
            <w:pPr>
              <w:spacing w:before="60" w:after="40"/>
            </w:pPr>
            <w:r>
              <w:rPr>
                <w:rFonts w:ascii="Calibri" w:hAnsi="Calibri"/>
                <w:b w:val="0"/>
                <w:i w:val="0"/>
                <w:color w:val="5A5A5A"/>
                <w:sz w:val="18"/>
              </w:rPr>
              <w:t>#elderly  #occultGIbleed  #malabsorption  #GIworkup  #colorectal</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(menstruating)</w:t>
            </w:r>
          </w:p>
        </w:tc>
        <w:tc>
          <w:tcPr>
            <w:tcW w:type="dxa" w:w="4276"/>
            <w:vAlign w:val="top"/>
          </w:tcPr>
          <w:p>
            <w:pPr>
              <w:spacing w:after="60" w:line="259" w:lineRule="auto"/>
            </w:pPr>
            <w:r>
              <w:rPr>
                <w:rFonts w:ascii="Calibri" w:hAnsi="Calibri"/>
                <w:b w:val="0"/>
                <w:i w:val="0"/>
                <w:color w:val="212121"/>
                <w:sz w:val="19"/>
              </w:rPr>
              <w:t>Menstrual blood loss is the leading cause of iron deficiency in premenopausal women; each cycle removes iron that a low-bioavailability diet struggles to replace, keeping stores persistently low.</w:t>
            </w:r>
          </w:p>
          <w:p>
            <w:pPr>
              <w:spacing w:after="40" w:before="60" w:line="259" w:lineRule="auto"/>
            </w:pPr>
            <w:r>
              <w:rPr>
                <w:rFonts w:ascii="Calibri" w:hAnsi="Calibri"/>
                <w:b w:val="0"/>
                <w:i w:val="0"/>
                <w:color w:val="212121"/>
                <w:sz w:val="19"/>
              </w:rPr>
              <w:t>In a 2025 Indian tertiary-care study of symptomatic women aged 18-49 y, 80.7% had iron deficiency — 26.9% without anaemia and 53.8% with anaemia.</w:t>
            </w:r>
          </w:p>
          <w:p>
            <w:pPr>
              <w:spacing w:after="40" w:line="252" w:lineRule="auto"/>
            </w:pPr>
            <w:hyperlink r:id="rId12">
              <w:r>
                <w:rPr>
                  <w:rFonts w:ascii="Calibri" w:hAnsi="Calibri" w:cs="Calibri"/>
                  <w:sz w:val="18"/>
                  <w:color w:val="1155CC"/>
                  <w:u w:val="single"/>
                </w:rPr>
                <w:t xml:space="preserve">researchsquare rs-9210668 — IDWA among Indian women of reproductive age</w:t>
              </w:r>
            </w:hyperlink>
          </w:p>
          <w:p>
            <w:pPr>
              <w:spacing w:before="60" w:after="40"/>
            </w:pPr>
            <w:r>
              <w:rPr>
                <w:rFonts w:ascii="Calibri" w:hAnsi="Calibri"/>
                <w:b w:val="0"/>
                <w:i w:val="0"/>
                <w:color w:val="5A5A5A"/>
                <w:sz w:val="18"/>
              </w:rPr>
              <w:t>#menstruation  #womenshealth  #ironloss  #latentID  #ferritin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Iron deficiency is uncommon in adult men and, when found, is a red flag for gastrointestinal blood loss (ulcer, NSAID use, malignancy) rather than diet. It mandates a gastrointestinal work-up rather than iron alone.</w:t>
            </w:r>
          </w:p>
          <w:p>
            <w:pPr>
              <w:spacing w:after="40" w:before="60" w:line="259" w:lineRule="auto"/>
            </w:pPr>
            <w:r>
              <w:rPr>
                <w:rFonts w:ascii="Calibri" w:hAnsi="Calibri"/>
                <w:b w:val="0"/>
                <w:i w:val="0"/>
                <w:color w:val="212121"/>
                <w:sz w:val="19"/>
              </w:rPr>
              <w:t>The most common causes of iron deficiency are menstrual and gastrointestinal bleeding; in men and postmenopausal women, gastrointestinal bleeding predominates.</w:t>
            </w:r>
          </w:p>
          <w:p>
            <w:pPr>
              <w:spacing w:after="40" w:line="252" w:lineRule="auto"/>
            </w:pPr>
            <w:hyperlink r:id="rId9">
              <w:r>
                <w:rPr>
                  <w:rFonts w:ascii="Calibri" w:hAnsi="Calibri" w:cs="Calibri"/>
                  <w:sz w:val="18"/>
                  <w:color w:val="1155CC"/>
                  <w:u w:val="single"/>
                </w:rPr>
                <w:t xml:space="preserve">pubmed 40159291 — Iron Deficiency in Adults: A Review</w:t>
              </w:r>
            </w:hyperlink>
          </w:p>
          <w:p>
            <w:pPr>
              <w:spacing w:before="60" w:after="40"/>
            </w:pPr>
            <w:r>
              <w:rPr>
                <w:rFonts w:ascii="Calibri" w:hAnsi="Calibri"/>
                <w:b w:val="0"/>
                <w:i w:val="0"/>
                <w:color w:val="5A5A5A"/>
                <w:sz w:val="18"/>
              </w:rPr>
              <w:t>#men  #GIbleeding  #redflag  #endoscopy  #occultblood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food-insecure households</w:t>
            </w:r>
          </w:p>
        </w:tc>
        <w:tc>
          <w:tcPr>
            <w:tcW w:type="dxa" w:w="4276"/>
            <w:vAlign w:val="top"/>
          </w:tcPr>
          <w:p>
            <w:pPr>
              <w:spacing w:after="60" w:line="259" w:lineRule="auto"/>
            </w:pPr>
            <w:r>
              <w:rPr>
                <w:rFonts w:ascii="Calibri" w:hAnsi="Calibri"/>
                <w:b w:val="0"/>
                <w:i w:val="0"/>
                <w:color w:val="212121"/>
                <w:sz w:val="19"/>
              </w:rPr>
              <w:t>Poverty limits access to iron-rich animal-source foods and fortified staples, while overcrowding and poor sanitation raise hookworm exposure. Together these drive iron depletion in the poorest households.</w:t>
            </w:r>
          </w:p>
          <w:p>
            <w:pPr>
              <w:spacing w:after="40" w:before="60" w:line="259" w:lineRule="auto"/>
            </w:pPr>
            <w:r>
              <w:rPr>
                <w:rFonts w:ascii="Calibri" w:hAnsi="Calibri"/>
                <w:b w:val="0"/>
                <w:i w:val="0"/>
                <w:color w:val="212121"/>
                <w:sz w:val="19"/>
              </w:rPr>
              <w:t>CNNS 2016-18 found iron deficiency in Indian children and adolescents was strongly patterned by socioeconomic status, with the highest burden in the poorest wealth quintiles.</w:t>
            </w:r>
          </w:p>
          <w:p>
            <w:pPr>
              <w:spacing w:after="40" w:line="252" w:lineRule="auto"/>
            </w:pPr>
            <w:hyperlink r:id="rId10">
              <w:r>
                <w:rPr>
                  <w:rFonts w:ascii="Calibri" w:hAnsi="Calibri" w:cs="Calibri"/>
                  <w:sz w:val="18"/>
                  <w:color w:val="1155CC"/>
                  <w:u w:val="single"/>
                </w:rPr>
                <w:t xml:space="preserve">pubmed 34049401 — CNNS sociodemographic patterning of iron deficiency</w:t>
              </w:r>
            </w:hyperlink>
          </w:p>
          <w:p>
            <w:pPr>
              <w:spacing w:before="60" w:after="40"/>
            </w:pPr>
            <w:r>
              <w:rPr>
                <w:rFonts w:ascii="Calibri" w:hAnsi="Calibri"/>
                <w:b w:val="0"/>
                <w:i w:val="0"/>
                <w:color w:val="5A5A5A"/>
                <w:sz w:val="18"/>
              </w:rPr>
              <w:t>#poverty  #foodinsecurity  #fortification  #equity  #nutrition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&amp; region</w:t>
            </w:r>
          </w:p>
        </w:tc>
        <w:tc>
          <w:tcPr>
            <w:tcW w:type="dxa" w:w="2160"/>
            <w:vAlign w:val="top"/>
          </w:tcPr>
          <w:p>
            <w:pPr>
              <w:spacing w:after="40" w:before="0" w:line="259" w:lineRule="auto"/>
            </w:pPr>
            <w:r>
              <w:rPr>
                <w:rFonts w:ascii="Calibri" w:hAnsi="Calibri"/>
                <w:b w:val="0"/>
                <w:i w:val="0"/>
                <w:color w:val="212121"/>
                <w:sz w:val="19"/>
              </w:rPr>
              <w:t>Eastern &amp; North-East India (Assam, tea belt)</w:t>
            </w:r>
          </w:p>
        </w:tc>
        <w:tc>
          <w:tcPr>
            <w:tcW w:type="dxa" w:w="4276"/>
            <w:vAlign w:val="top"/>
          </w:tcPr>
          <w:p>
            <w:pPr>
              <w:spacing w:after="60" w:line="259" w:lineRule="auto"/>
            </w:pPr>
            <w:r>
              <w:rPr>
                <w:rFonts w:ascii="Calibri" w:hAnsi="Calibri"/>
                <w:b w:val="0"/>
                <w:i w:val="0"/>
                <w:color w:val="212121"/>
                <w:sz w:val="19"/>
              </w:rPr>
              <w:t>Eastern and North-Eastern states carry India's highest anaemia and iron-deficiency burden, compounded by very high daily tea consumption whose tannins block non-haem iron absorption at meals.</w:t>
            </w:r>
          </w:p>
          <w:p>
            <w:pPr>
              <w:spacing w:after="40" w:before="60" w:line="259" w:lineRule="auto"/>
            </w:pPr>
            <w:r>
              <w:rPr>
                <w:rFonts w:ascii="Calibri" w:hAnsi="Calibri"/>
                <w:b w:val="0"/>
                <w:i w:val="0"/>
                <w:color w:val="212121"/>
                <w:sz w:val="19"/>
              </w:rPr>
              <w:t>Across an eight-state venous survey, anaemia prevalence ranged from 12% in Meghalaya to 70% in Assam.</w:t>
            </w:r>
          </w:p>
          <w:p>
            <w:pPr>
              <w:spacing w:after="40" w:line="252" w:lineRule="auto"/>
            </w:pPr>
            <w:hyperlink r:id="rId11">
              <w:r>
                <w:rPr>
                  <w:rFonts w:ascii="Calibri" w:hAnsi="Calibri" w:cs="Calibri"/>
                  <w:sz w:val="18"/>
                  <w:color w:val="1155CC"/>
                  <w:u w:val="single"/>
                </w:rPr>
                <w:t xml:space="preserve">nature s41430-024-01559-w — state-wise anaemia range (12%–70%)</w:t>
              </w:r>
            </w:hyperlink>
          </w:p>
          <w:p>
            <w:pPr>
              <w:spacing w:before="60" w:after="40"/>
            </w:pPr>
            <w:r>
              <w:rPr>
                <w:rFonts w:ascii="Calibri" w:hAnsi="Calibri"/>
                <w:b w:val="0"/>
                <w:i w:val="0"/>
                <w:color w:val="5A5A5A"/>
                <w:sz w:val="18"/>
              </w:rPr>
              <w:t>#Assam  #teabelt  #tannins  #regionalburden  #northeast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 infection</w:t>
            </w:r>
          </w:p>
        </w:tc>
        <w:tc>
          <w:tcPr>
            <w:tcW w:type="dxa" w:w="2160"/>
            <w:vAlign w:val="top"/>
          </w:tcPr>
          <w:p>
            <w:pPr>
              <w:spacing w:after="40" w:before="0" w:line="259" w:lineRule="auto"/>
            </w:pPr>
            <w:r>
              <w:rPr>
                <w:rFonts w:ascii="Calibri" w:hAnsi="Calibri"/>
                <w:b w:val="0"/>
                <w:i w:val="0"/>
                <w:color w:val="212121"/>
                <w:sz w:val="19"/>
              </w:rPr>
              <w:t>Rural, hookworm-endemic &amp; tribal populations</w:t>
            </w:r>
          </w:p>
        </w:tc>
        <w:tc>
          <w:tcPr>
            <w:tcW w:type="dxa" w:w="4276"/>
            <w:vAlign w:val="top"/>
          </w:tcPr>
          <w:p>
            <w:pPr>
              <w:spacing w:after="60" w:line="259" w:lineRule="auto"/>
            </w:pPr>
            <w:r>
              <w:rPr>
                <w:rFonts w:ascii="Calibri" w:hAnsi="Calibri"/>
                <w:b w:val="0"/>
                <w:i w:val="0"/>
                <w:color w:val="212121"/>
                <w:sz w:val="19"/>
              </w:rPr>
              <w:t>In rural and tribal areas with open defecation, soil-transmitted hookworm attaches to the small-bowel wall and causes chronic occult blood loss. This is a classic and preventable driver of iron deficiency in India.</w:t>
            </w:r>
          </w:p>
          <w:p>
            <w:pPr>
              <w:spacing w:after="40" w:before="60" w:line="259" w:lineRule="auto"/>
            </w:pPr>
            <w:r>
              <w:rPr>
                <w:rFonts w:ascii="Calibri" w:hAnsi="Calibri"/>
                <w:b w:val="0"/>
                <w:i w:val="0"/>
                <w:color w:val="212121"/>
                <w:sz w:val="19"/>
              </w:rPr>
              <w:t>Hookworm and other soil-transmitted helminths cause continuous low-grade intestinal blood loss, making iron deficiency common where sanitation and periodic deworming are lacking.</w:t>
            </w:r>
          </w:p>
          <w:p>
            <w:pPr>
              <w:spacing w:before="60" w:after="40"/>
            </w:pPr>
            <w:r>
              <w:rPr>
                <w:rFonts w:ascii="Calibri" w:hAnsi="Calibri"/>
                <w:b w:val="0"/>
                <w:i w:val="0"/>
                <w:color w:val="5A5A5A"/>
                <w:sz w:val="18"/>
              </w:rPr>
              <w:t>#hookworm  #helminths  #deworming  #sanitation  #ruralhealth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Endurance athletes &amp; runners</w:t>
            </w:r>
          </w:p>
        </w:tc>
        <w:tc>
          <w:tcPr>
            <w:tcW w:type="dxa" w:w="4276"/>
            <w:vAlign w:val="top"/>
          </w:tcPr>
          <w:p>
            <w:pPr>
              <w:spacing w:after="60" w:line="259" w:lineRule="auto"/>
            </w:pPr>
            <w:r>
              <w:rPr>
                <w:rFonts w:ascii="Calibri" w:hAnsi="Calibri"/>
                <w:b w:val="0"/>
                <w:i w:val="0"/>
                <w:color w:val="212121"/>
                <w:sz w:val="19"/>
              </w:rPr>
              <w:t>High-volume endurance exercise raises hepcidin (blunting iron absorption) and causes iron loss through foot-strike haemolysis, sweat and gut microbleeding. Female athletes are especially prone to non-anemic iron deficiency.</w:t>
            </w:r>
          </w:p>
          <w:p>
            <w:pPr>
              <w:spacing w:after="40" w:before="60" w:line="259" w:lineRule="auto"/>
            </w:pPr>
            <w:r>
              <w:rPr>
                <w:rFonts w:ascii="Calibri" w:hAnsi="Calibri"/>
                <w:b w:val="0"/>
                <w:i w:val="0"/>
                <w:color w:val="212121"/>
                <w:sz w:val="19"/>
              </w:rPr>
              <w:t>Marginal iron deficiency without anaemia impairs the gain in aerobic/endurance capacity from training in previously untrained women.</w:t>
            </w:r>
          </w:p>
          <w:p>
            <w:pPr>
              <w:spacing w:after="40" w:line="252" w:lineRule="auto"/>
            </w:pPr>
            <w:hyperlink r:id="rId13">
              <w:r>
                <w:rPr>
                  <w:rFonts w:ascii="Calibri" w:hAnsi="Calibri" w:cs="Calibri"/>
                  <w:sz w:val="18"/>
                  <w:color w:val="1155CC"/>
                  <w:u w:val="single"/>
                </w:rPr>
                <w:t xml:space="preserve">pubmed 11916761 — marginal ID without anaemia impairs aerobic adaptation</w:t>
              </w:r>
            </w:hyperlink>
          </w:p>
          <w:p>
            <w:pPr>
              <w:spacing w:before="60" w:after="40"/>
            </w:pPr>
            <w:r>
              <w:rPr>
                <w:rFonts w:ascii="Calibri" w:hAnsi="Calibri"/>
                <w:b w:val="0"/>
                <w:i w:val="0"/>
                <w:color w:val="5A5A5A"/>
                <w:sz w:val="18"/>
              </w:rPr>
              <w:t>#athletes  #hepcidin  #footstrikehemolysis  #endurance  #performance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Blood donation</w:t>
            </w:r>
          </w:p>
        </w:tc>
        <w:tc>
          <w:tcPr>
            <w:tcW w:type="dxa" w:w="2160"/>
            <w:vAlign w:val="top"/>
          </w:tcPr>
          <w:p>
            <w:pPr>
              <w:spacing w:after="40" w:before="0" w:line="259" w:lineRule="auto"/>
            </w:pPr>
            <w:r>
              <w:rPr>
                <w:rFonts w:ascii="Calibri" w:hAnsi="Calibri"/>
                <w:b w:val="0"/>
                <w:i w:val="0"/>
                <w:color w:val="212121"/>
                <w:sz w:val="19"/>
              </w:rPr>
              <w:t>Frequent blood donors</w:t>
            </w:r>
          </w:p>
        </w:tc>
        <w:tc>
          <w:tcPr>
            <w:tcW w:type="dxa" w:w="4276"/>
            <w:vAlign w:val="top"/>
          </w:tcPr>
          <w:p>
            <w:pPr>
              <w:spacing w:after="60" w:line="259" w:lineRule="auto"/>
            </w:pPr>
            <w:r>
              <w:rPr>
                <w:rFonts w:ascii="Calibri" w:hAnsi="Calibri"/>
                <w:b w:val="0"/>
                <w:i w:val="0"/>
                <w:color w:val="212121"/>
                <w:sz w:val="19"/>
              </w:rPr>
              <w:t>Each whole-blood donation removes roughly 200-250 mg of iron. Frequent donation without iron replacement steadily depletes stores and commonly produces iron deficiency while the haemoglobin is still normal.</w:t>
            </w:r>
          </w:p>
          <w:p>
            <w:pPr>
              <w:spacing w:after="40" w:before="60" w:line="259" w:lineRule="auto"/>
            </w:pPr>
            <w:r>
              <w:rPr>
                <w:rFonts w:ascii="Calibri" w:hAnsi="Calibri"/>
                <w:b w:val="0"/>
                <w:i w:val="0"/>
                <w:color w:val="212121"/>
                <w:sz w:val="19"/>
              </w:rPr>
              <w:t>Regular donors who give several times a year without iron replacement frequently develop low ferritin despite a passing haemoglobin at the donation screen.</w:t>
            </w:r>
          </w:p>
          <w:p>
            <w:pPr>
              <w:spacing w:before="60" w:after="40"/>
            </w:pPr>
            <w:r>
              <w:rPr>
                <w:rFonts w:ascii="Calibri" w:hAnsi="Calibri"/>
                <w:b w:val="0"/>
                <w:i w:val="0"/>
                <w:color w:val="5A5A5A"/>
                <w:sz w:val="18"/>
              </w:rPr>
              <w:t>#blooddonors  #phlebotomy  #ironreplacement  #lowferritin  #donorhealth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use causes gastritis and erosive or variceal gastrointestinal bleeding and displaces iron-rich foods, promoting both iron loss and poor intake.</w:t>
            </w:r>
          </w:p>
          <w:p>
            <w:pPr>
              <w:spacing w:after="40" w:before="60" w:line="259" w:lineRule="auto"/>
            </w:pPr>
            <w:r>
              <w:rPr>
                <w:rFonts w:ascii="Calibri" w:hAnsi="Calibri"/>
                <w:b w:val="0"/>
                <w:i w:val="0"/>
                <w:color w:val="212121"/>
                <w:sz w:val="19"/>
              </w:rPr>
              <w:t>Heavy alcohol intake is a recognised contributor to gastrointestinal blood loss and poor dietary iron intake, favouring iron depletion.</w:t>
            </w:r>
          </w:p>
          <w:p>
            <w:pPr>
              <w:spacing w:before="60" w:after="40"/>
            </w:pPr>
            <w:r>
              <w:rPr>
                <w:rFonts w:ascii="Calibri" w:hAnsi="Calibri"/>
                <w:b w:val="0"/>
                <w:i w:val="0"/>
                <w:color w:val="5A5A5A"/>
                <w:sz w:val="18"/>
              </w:rPr>
              <w:t>#alcohol  #gastritis  #GIbleeding  #poordiet  #varices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peptic ulcer / H. pylori</w:t>
            </w:r>
          </w:p>
        </w:tc>
        <w:tc>
          <w:tcPr>
            <w:tcW w:type="dxa" w:w="4276"/>
            <w:vAlign w:val="top"/>
          </w:tcPr>
          <w:p>
            <w:pPr>
              <w:spacing w:after="60" w:line="259" w:lineRule="auto"/>
            </w:pPr>
            <w:r>
              <w:rPr>
                <w:rFonts w:ascii="Calibri" w:hAnsi="Calibri"/>
                <w:b w:val="0"/>
                <w:i w:val="0"/>
                <w:color w:val="212121"/>
                <w:sz w:val="19"/>
              </w:rPr>
              <w:t>Smoking raises peptic-ulcer and Helicobacter pylori-related gastrointestinal bleeding risk. It also elevates haemoglobin, which can mask coexisting iron deficiency on haemoglobin-only screening.</w:t>
            </w:r>
          </w:p>
          <w:p>
            <w:pPr>
              <w:spacing w:after="40" w:before="60" w:line="259" w:lineRule="auto"/>
            </w:pPr>
            <w:r>
              <w:rPr>
                <w:rFonts w:ascii="Calibri" w:hAnsi="Calibri"/>
                <w:b w:val="0"/>
                <w:i w:val="0"/>
                <w:color w:val="212121"/>
                <w:sz w:val="19"/>
              </w:rPr>
              <w:t>Because smoking raises baseline haemoglobin, iron deficiency in smokers may be overlooked unless ferritin or transferrin saturation is measured.</w:t>
            </w:r>
          </w:p>
          <w:p>
            <w:pPr>
              <w:spacing w:before="60" w:after="40"/>
            </w:pPr>
            <w:r>
              <w:rPr>
                <w:rFonts w:ascii="Calibri" w:hAnsi="Calibri"/>
                <w:b w:val="0"/>
                <w:i w:val="0"/>
                <w:color w:val="5A5A5A"/>
                <w:sz w:val="18"/>
              </w:rPr>
              <w:t>#smoking  #Hpylori  #pepticulcer  #maskedID  #ferritin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 &amp; vegan (plant-based)</w:t>
            </w:r>
          </w:p>
        </w:tc>
        <w:tc>
          <w:tcPr>
            <w:tcW w:type="dxa" w:w="4276"/>
            <w:vAlign w:val="top"/>
          </w:tcPr>
          <w:p>
            <w:pPr>
              <w:spacing w:after="60" w:line="259" w:lineRule="auto"/>
            </w:pPr>
            <w:r>
              <w:rPr>
                <w:rFonts w:ascii="Calibri" w:hAnsi="Calibri"/>
                <w:b w:val="0"/>
                <w:i w:val="0"/>
                <w:color w:val="212121"/>
                <w:sz w:val="19"/>
              </w:rPr>
              <w:t>Predominantly plant-based Indian diets provide only non-haem iron, which is poorly absorbed, and phytates in unrefined cereals and pulses suppress uptake further, keeping iron balance precarious.</w:t>
            </w:r>
          </w:p>
          <w:p>
            <w:pPr>
              <w:spacing w:after="40" w:before="60" w:line="259" w:lineRule="auto"/>
            </w:pPr>
            <w:r>
              <w:rPr>
                <w:rFonts w:ascii="Calibri" w:hAnsi="Calibri"/>
                <w:b w:val="0"/>
                <w:i w:val="0"/>
                <w:color w:val="212121"/>
                <w:sz w:val="19"/>
              </w:rPr>
              <w:t>Iron bioavailability from plant-based Indian diets is only 1-6%, and phytates can reduce non-haem iron absorption by 51-82%.</w:t>
            </w:r>
          </w:p>
          <w:p>
            <w:pPr>
              <w:spacing w:after="40" w:line="252" w:lineRule="auto"/>
            </w:pPr>
            <w:hyperlink r:id="rId14">
              <w:r>
                <w:rPr>
                  <w:rFonts w:ascii="Calibri" w:hAnsi="Calibri" w:cs="Calibri"/>
                  <w:sz w:val="18"/>
                  <w:color w:val="1155CC"/>
                  <w:u w:val="single"/>
                </w:rPr>
                <w:t xml:space="preserve">fao.org y8346m — bioavailability of iron in Indian diets</w:t>
              </w:r>
            </w:hyperlink>
          </w:p>
          <w:p>
            <w:pPr>
              <w:spacing w:before="60" w:after="40"/>
            </w:pPr>
            <w:r>
              <w:rPr>
                <w:rFonts w:ascii="Calibri" w:hAnsi="Calibri"/>
                <w:b w:val="0"/>
                <w:i w:val="0"/>
                <w:color w:val="5A5A5A"/>
                <w:sz w:val="18"/>
              </w:rPr>
              <w:t>#vegetarian  #nonhaemiron  #phytates  #bioavailability  #plantbased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habit</w:t>
            </w:r>
          </w:p>
        </w:tc>
        <w:tc>
          <w:tcPr>
            <w:tcW w:type="dxa" w:w="2160"/>
            <w:vAlign w:val="top"/>
          </w:tcPr>
          <w:p>
            <w:pPr>
              <w:spacing w:after="40" w:before="0" w:line="259" w:lineRule="auto"/>
            </w:pPr>
            <w:r>
              <w:rPr>
                <w:rFonts w:ascii="Calibri" w:hAnsi="Calibri"/>
                <w:b w:val="0"/>
                <w:i w:val="0"/>
                <w:color w:val="212121"/>
                <w:sz w:val="19"/>
              </w:rPr>
              <w:t>Habitual tea/coffee with meals</w:t>
            </w:r>
          </w:p>
        </w:tc>
        <w:tc>
          <w:tcPr>
            <w:tcW w:type="dxa" w:w="4276"/>
            <w:vAlign w:val="top"/>
          </w:tcPr>
          <w:p>
            <w:pPr>
              <w:spacing w:after="60" w:line="259" w:lineRule="auto"/>
            </w:pPr>
            <w:r>
              <w:rPr>
                <w:rFonts w:ascii="Calibri" w:hAnsi="Calibri"/>
                <w:b w:val="0"/>
                <w:i w:val="0"/>
                <w:color w:val="212121"/>
                <w:sz w:val="19"/>
              </w:rPr>
              <w:t>Polyphenols and tannins in tea and coffee bind non-haem iron in the gut; drinking them with or soon after meals sharply lowers the iron absorbed from that meal.</w:t>
            </w:r>
          </w:p>
          <w:p>
            <w:pPr>
              <w:spacing w:after="40" w:before="60" w:line="259" w:lineRule="auto"/>
            </w:pPr>
            <w:r>
              <w:rPr>
                <w:rFonts w:ascii="Calibri" w:hAnsi="Calibri"/>
                <w:b w:val="0"/>
                <w:i w:val="0"/>
                <w:color w:val="212121"/>
                <w:sz w:val="19"/>
              </w:rPr>
              <w:t>One cup of black tea can inhibit non-haem iron absorption by about 50%, even when taken an hour after the meal.</w:t>
            </w:r>
          </w:p>
          <w:p>
            <w:pPr>
              <w:spacing w:after="40" w:line="252" w:lineRule="auto"/>
            </w:pPr>
            <w:hyperlink r:id="rId14">
              <w:r>
                <w:rPr>
                  <w:rFonts w:ascii="Calibri" w:hAnsi="Calibri" w:cs="Calibri"/>
                  <w:sz w:val="18"/>
                  <w:color w:val="1155CC"/>
                  <w:u w:val="single"/>
                </w:rPr>
                <w:t xml:space="preserve">fao.org y8346m — tea/tannin inhibition of iron absorption</w:t>
              </w:r>
            </w:hyperlink>
          </w:p>
          <w:p>
            <w:pPr>
              <w:spacing w:before="60" w:after="40"/>
            </w:pPr>
            <w:r>
              <w:rPr>
                <w:rFonts w:ascii="Calibri" w:hAnsi="Calibri"/>
                <w:b w:val="0"/>
                <w:i w:val="0"/>
                <w:color w:val="5A5A5A"/>
                <w:sz w:val="18"/>
              </w:rPr>
              <w:t>#tea  #coffee  #tannins  #mealtiming  #absorptioninhibitor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IRIDA / familial iron deficiency</w:t>
            </w:r>
          </w:p>
        </w:tc>
        <w:tc>
          <w:tcPr>
            <w:tcW w:type="dxa" w:w="4276"/>
            <w:vAlign w:val="top"/>
          </w:tcPr>
          <w:p>
            <w:pPr>
              <w:spacing w:after="60" w:line="259" w:lineRule="auto"/>
            </w:pPr>
            <w:r>
              <w:rPr>
                <w:rFonts w:ascii="Calibri" w:hAnsi="Calibri"/>
                <w:b w:val="0"/>
                <w:i w:val="0"/>
                <w:color w:val="212121"/>
                <w:sz w:val="19"/>
              </w:rPr>
              <w:t>Iron-refractory iron deficiency anaemia (IRIDA) from TMPRSS6 mutations, and familial clustering of low iron, produce lifelong iron deficiency that responds poorly to oral iron and often needs intravenous iron.</w:t>
            </w:r>
          </w:p>
          <w:p>
            <w:pPr>
              <w:spacing w:after="40" w:before="60" w:line="259" w:lineRule="auto"/>
            </w:pPr>
            <w:r>
              <w:rPr>
                <w:rFonts w:ascii="Calibri" w:hAnsi="Calibri"/>
                <w:b w:val="0"/>
                <w:i w:val="0"/>
                <w:color w:val="212121"/>
                <w:sz w:val="19"/>
              </w:rPr>
              <w:t>IRIDA is characterised by low transferrin saturation, low serum iron and iron deficiency that is refractory to oral iron because of inappropriately high hepcidin.</w:t>
            </w:r>
          </w:p>
          <w:p>
            <w:pPr>
              <w:spacing w:before="60" w:after="40"/>
            </w:pPr>
            <w:r>
              <w:rPr>
                <w:rFonts w:ascii="Calibri" w:hAnsi="Calibri"/>
                <w:b w:val="0"/>
                <w:i w:val="0"/>
                <w:color w:val="5A5A5A"/>
                <w:sz w:val="18"/>
              </w:rPr>
              <w:t>#IRIDA  #TMPRSS6  #hepcidin  #genetics  #oraliRONresistant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Menorrhagia</w:t>
            </w:r>
          </w:p>
        </w:tc>
        <w:tc>
          <w:tcPr>
            <w:tcW w:type="dxa" w:w="2160"/>
            <w:vAlign w:val="top"/>
          </w:tcPr>
          <w:p>
            <w:pPr>
              <w:spacing w:after="40" w:before="0" w:line="259" w:lineRule="auto"/>
            </w:pPr>
            <w:r>
              <w:rPr>
                <w:rFonts w:ascii="Calibri" w:hAnsi="Calibri"/>
                <w:b w:val="0"/>
                <w:i w:val="0"/>
                <w:color w:val="212121"/>
                <w:sz w:val="19"/>
              </w:rPr>
              <w:t>Heavy menstrual bleeding &amp; uterine fibroids</w:t>
            </w:r>
          </w:p>
        </w:tc>
        <w:tc>
          <w:tcPr>
            <w:tcW w:type="dxa" w:w="4276"/>
            <w:vAlign w:val="top"/>
          </w:tcPr>
          <w:p>
            <w:pPr>
              <w:spacing w:after="60" w:line="259" w:lineRule="auto"/>
            </w:pPr>
            <w:r>
              <w:rPr>
                <w:rFonts w:ascii="Calibri" w:hAnsi="Calibri"/>
                <w:b w:val="0"/>
                <w:i w:val="0"/>
                <w:color w:val="212121"/>
                <w:sz w:val="19"/>
              </w:rPr>
              <w:t>Heavy menstrual bleeding, often from fibroids, adenomyosis or a bleeding disorder, is the single most common cause of iron deficiency in reproductive-age women, draining stores faster than diet can replace.</w:t>
            </w:r>
          </w:p>
          <w:p>
            <w:pPr>
              <w:spacing w:after="40" w:before="60" w:line="259" w:lineRule="auto"/>
            </w:pPr>
            <w:r>
              <w:rPr>
                <w:rFonts w:ascii="Calibri" w:hAnsi="Calibri"/>
                <w:b w:val="0"/>
                <w:i w:val="0"/>
                <w:color w:val="212121"/>
                <w:sz w:val="19"/>
              </w:rPr>
              <w:t>Menstrual bleeding is the leading cause of iron deficiency in premenopausal women and is a treatable, reversible driver.</w:t>
            </w:r>
          </w:p>
          <w:p>
            <w:pPr>
              <w:spacing w:after="40" w:line="252" w:lineRule="auto"/>
            </w:pPr>
            <w:hyperlink r:id="rId9">
              <w:r>
                <w:rPr>
                  <w:rFonts w:ascii="Calibri" w:hAnsi="Calibri" w:cs="Calibri"/>
                  <w:sz w:val="18"/>
                  <w:color w:val="1155CC"/>
                  <w:u w:val="single"/>
                </w:rPr>
                <w:t xml:space="preserve">pubmed 40159291 — causes of iron deficiency (menstrual blood loss)</w:t>
              </w:r>
            </w:hyperlink>
          </w:p>
          <w:p>
            <w:pPr>
              <w:spacing w:before="60" w:after="40"/>
            </w:pPr>
            <w:r>
              <w:rPr>
                <w:rFonts w:ascii="Calibri" w:hAnsi="Calibri"/>
                <w:b w:val="0"/>
                <w:i w:val="0"/>
                <w:color w:val="5A5A5A"/>
                <w:sz w:val="18"/>
              </w:rPr>
              <w:t>#menorrhagia  #fibroids  #HMB  #gynae  #ironloss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w:t>
            </w:r>
          </w:p>
        </w:tc>
        <w:tc>
          <w:tcPr>
            <w:tcW w:type="dxa" w:w="2160"/>
            <w:vAlign w:val="top"/>
          </w:tcPr>
          <w:p>
            <w:pPr>
              <w:spacing w:after="40" w:before="0" w:line="259" w:lineRule="auto"/>
            </w:pPr>
            <w:r>
              <w:rPr>
                <w:rFonts w:ascii="Calibri" w:hAnsi="Calibri"/>
                <w:b w:val="0"/>
                <w:i w:val="0"/>
                <w:color w:val="212121"/>
                <w:sz w:val="19"/>
              </w:rPr>
              <w:t>Coeliac disease, atrophic gastritis, bariatric surgery</w:t>
            </w:r>
          </w:p>
        </w:tc>
        <w:tc>
          <w:tcPr>
            <w:tcW w:type="dxa" w:w="4276"/>
            <w:vAlign w:val="top"/>
          </w:tcPr>
          <w:p>
            <w:pPr>
              <w:spacing w:after="60" w:line="259" w:lineRule="auto"/>
            </w:pPr>
            <w:r>
              <w:rPr>
                <w:rFonts w:ascii="Calibri" w:hAnsi="Calibri"/>
                <w:b w:val="0"/>
                <w:i w:val="0"/>
                <w:color w:val="212121"/>
                <w:sz w:val="19"/>
              </w:rPr>
              <w:t>Coeliac disease, atrophic gastritis, Helicobacter pylori infection, bariatric surgery and long-term PPI use impair duodenal iron absorption. Unexplained iron deficiency should prompt coeliac serology.</w:t>
            </w:r>
          </w:p>
          <w:p>
            <w:pPr>
              <w:spacing w:after="40" w:before="60" w:line="259" w:lineRule="auto"/>
            </w:pPr>
            <w:r>
              <w:rPr>
                <w:rFonts w:ascii="Calibri" w:hAnsi="Calibri"/>
                <w:b w:val="0"/>
                <w:i w:val="0"/>
                <w:color w:val="212121"/>
                <w:sz w:val="19"/>
              </w:rPr>
              <w:t>Impaired absorption from atrophic gastritis, coeliac disease and bariatric procedures is among the most common causes of iron deficiency.</w:t>
            </w:r>
          </w:p>
          <w:p>
            <w:pPr>
              <w:spacing w:after="40" w:line="252" w:lineRule="auto"/>
            </w:pPr>
            <w:hyperlink r:id="rId9">
              <w:r>
                <w:rPr>
                  <w:rFonts w:ascii="Calibri" w:hAnsi="Calibri" w:cs="Calibri"/>
                  <w:sz w:val="18"/>
                  <w:color w:val="1155CC"/>
                  <w:u w:val="single"/>
                </w:rPr>
                <w:t xml:space="preserve">pubmed 40159291 — malabsorptive causes of iron deficiency</w:t>
              </w:r>
            </w:hyperlink>
          </w:p>
          <w:p>
            <w:pPr>
              <w:spacing w:before="60" w:after="40"/>
            </w:pPr>
            <w:r>
              <w:rPr>
                <w:rFonts w:ascii="Calibri" w:hAnsi="Calibri"/>
                <w:b w:val="0"/>
                <w:i w:val="0"/>
                <w:color w:val="5A5A5A"/>
                <w:sz w:val="18"/>
              </w:rPr>
              <w:t>#coeliac  #atrophicgastritis  #bariatric  #PPI  #malabsorption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&amp; lactating women</w:t>
            </w:r>
          </w:p>
        </w:tc>
        <w:tc>
          <w:tcPr>
            <w:tcW w:type="dxa" w:w="4276"/>
            <w:vAlign w:val="top"/>
          </w:tcPr>
          <w:p>
            <w:pPr>
              <w:spacing w:after="60" w:line="259" w:lineRule="auto"/>
            </w:pPr>
            <w:r>
              <w:rPr>
                <w:rFonts w:ascii="Calibri" w:hAnsi="Calibri"/>
                <w:b w:val="0"/>
                <w:i w:val="0"/>
                <w:color w:val="212121"/>
                <w:sz w:val="19"/>
              </w:rPr>
              <w:t>Pregnancy roughly triples iron requirements to expand the maternal red-cell mass and supply the fetus and placenta; stores are usually exhausted by the third trimester, and fetal iron deficiency harms neurodevelopment.</w:t>
            </w:r>
          </w:p>
          <w:p>
            <w:pPr>
              <w:spacing w:after="40" w:before="60" w:line="259" w:lineRule="auto"/>
            </w:pPr>
            <w:r>
              <w:rPr>
                <w:rFonts w:ascii="Calibri" w:hAnsi="Calibri"/>
                <w:b w:val="0"/>
                <w:i w:val="0"/>
                <w:color w:val="212121"/>
                <w:sz w:val="19"/>
              </w:rPr>
              <w:t>Iron deficiency affects up to 84% of women in the third trimester of pregnancy in high-income data.</w:t>
            </w:r>
          </w:p>
          <w:p>
            <w:pPr>
              <w:spacing w:after="40" w:line="252" w:lineRule="auto"/>
            </w:pPr>
            <w:hyperlink r:id="rId9">
              <w:r>
                <w:rPr>
                  <w:rFonts w:ascii="Calibri" w:hAnsi="Calibri" w:cs="Calibri"/>
                  <w:sz w:val="18"/>
                  <w:color w:val="1155CC"/>
                  <w:u w:val="single"/>
                </w:rPr>
                <w:t xml:space="preserve">pubmed 40159291 — iron deficiency in pregnancy</w:t>
              </w:r>
            </w:hyperlink>
          </w:p>
          <w:p>
            <w:pPr>
              <w:spacing w:before="60" w:after="40"/>
            </w:pPr>
            <w:r>
              <w:rPr>
                <w:rFonts w:ascii="Calibri" w:hAnsi="Calibri"/>
                <w:b w:val="0"/>
                <w:i w:val="0"/>
                <w:color w:val="5A5A5A"/>
                <w:sz w:val="18"/>
              </w:rPr>
              <w:t>#pregnancy  #fetalneurodevelopment  #thirdtrimester  #lactation  #demand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functional ID</w:t>
            </w:r>
          </w:p>
        </w:tc>
        <w:tc>
          <w:tcPr>
            <w:tcW w:type="dxa" w:w="2160"/>
            <w:vAlign w:val="top"/>
          </w:tcPr>
          <w:p>
            <w:pPr>
              <w:spacing w:after="40" w:before="0" w:line="259" w:lineRule="auto"/>
            </w:pPr>
            <w:r>
              <w:rPr>
                <w:rFonts w:ascii="Calibri" w:hAnsi="Calibri"/>
                <w:b w:val="0"/>
                <w:i w:val="0"/>
                <w:color w:val="212121"/>
                <w:sz w:val="19"/>
              </w:rPr>
              <w:t>Obesity, chronic kidney disease, heart failure</w:t>
            </w:r>
          </w:p>
        </w:tc>
        <w:tc>
          <w:tcPr>
            <w:tcW w:type="dxa" w:w="4276"/>
            <w:vAlign w:val="top"/>
          </w:tcPr>
          <w:p>
            <w:pPr>
              <w:spacing w:after="60" w:line="259" w:lineRule="auto"/>
            </w:pPr>
            <w:r>
              <w:rPr>
                <w:rFonts w:ascii="Calibri" w:hAnsi="Calibri"/>
                <w:b w:val="0"/>
                <w:i w:val="0"/>
                <w:color w:val="212121"/>
                <w:sz w:val="19"/>
              </w:rPr>
              <w:t>In obesity, chronic kidney disease and heart failure, chronic inflammation raises hepcidin and traps iron, causing functional iron deficiency (low transferrin saturation) even when ferritin looks normal or high.</w:t>
            </w:r>
          </w:p>
          <w:p>
            <w:pPr>
              <w:spacing w:after="40" w:before="60" w:line="259" w:lineRule="auto"/>
            </w:pPr>
            <w:r>
              <w:rPr>
                <w:rFonts w:ascii="Calibri" w:hAnsi="Calibri"/>
                <w:b w:val="0"/>
                <w:i w:val="0"/>
                <w:color w:val="212121"/>
                <w:sz w:val="19"/>
              </w:rPr>
              <w:t>Iron deficiency prevalence reaches 24-85% in chronic kidney disease and 37-61% in heart failure.</w:t>
            </w:r>
          </w:p>
          <w:p>
            <w:pPr>
              <w:spacing w:after="40" w:line="252" w:lineRule="auto"/>
            </w:pPr>
            <w:hyperlink r:id="rId9">
              <w:r>
                <w:rPr>
                  <w:rFonts w:ascii="Calibri" w:hAnsi="Calibri" w:cs="Calibri"/>
                  <w:sz w:val="18"/>
                  <w:color w:val="1155CC"/>
                  <w:u w:val="single"/>
                </w:rPr>
                <w:t xml:space="preserve">pubmed 40159291 — iron deficiency in CKD &amp; heart failure</w:t>
              </w:r>
            </w:hyperlink>
          </w:p>
          <w:p>
            <w:pPr>
              <w:spacing w:before="60" w:after="40"/>
            </w:pPr>
            <w:r>
              <w:rPr>
                <w:rFonts w:ascii="Calibri" w:hAnsi="Calibri"/>
                <w:b w:val="0"/>
                <w:i w:val="0"/>
                <w:color w:val="5A5A5A"/>
                <w:sz w:val="18"/>
              </w:rPr>
              <w:t>#hepcidin  #functionalID  #CKD  #heartfailure  #inflammation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High-volume endurance training raises hepcidin (blunting absorption) and causes iron loss through foot-strike haemolysis, sweat and gut microbleeding; athletes, especially women, have higher rates of non-anemic iron deficiency, whereas moderate activity has little effect on iron balance.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modifiable factor: plant-based diets supply poorly absorbed non-haem iron (1-6% bioavailability), phytates cut absorption by 51-82%, and vitamin-C-rich or animal-source foods sharply improve it.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a driver of iron status, but iron deficiency itself causes restless legs syndrome and disturbed sleep, and repletion improves both — a mainly downstream, bidirectional link.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raises peptic-ulcer and H. pylori-related gastrointestinal bleeding risk and elevates baseline haemoglobin, which can mask coexisting iron deficiency on haemoglobin-only screening.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use causes gastritis and erosive/variceal gastrointestinal bleeding and displaces iron-rich foods, promoting both iron loss and poor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Iron deficiency is associated with fatigue, irritability, low mood and poor concentration, and depression shares these symptoms; the relationship is largely bidirectional rather than a cause of low iron.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meaningful direct effect on iron stores; adequate water supports general metabolism but is not a determinant of iron status.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Polyphenols/tannins in tea and coffee are potent inhibitors of non-haem iron absorption — a single cup of black tea with a meal can cut absorption by about 50% — making beverage timing a high-impact factor, particularly in India's tea belt.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and open defecation enable hookworm and other soil-transmitted helminths, which cause chronic occult intestinal blood loss and are a major driver of iron deficiency in rural India; deworming reduces the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or chronic blood loss — heavy menstruation, occult gastrointestinal bleeding, hookworm, repeated blood donation, surgery or childbirth — is the single strongest precipitant, depleting stores far faster than diet can replace them.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ferritin (iron stores)</w:t>
            </w:r>
          </w:p>
        </w:tc>
        <w:tc>
          <w:tcPr>
            <w:tcW w:type="dxa" w:w="1655"/>
            <w:vAlign w:val="top"/>
          </w:tcPr>
          <w:p>
            <w:pPr>
              <w:spacing w:after="40" w:before="0" w:line="259" w:lineRule="auto"/>
            </w:pPr>
            <w:r>
              <w:rPr>
                <w:rFonts w:ascii="Calibri" w:hAnsi="Calibri"/>
                <w:b w:val="0"/>
                <w:i w:val="0"/>
                <w:color w:val="212121"/>
                <w:sz w:val="19"/>
              </w:rPr>
              <w:t>All at-risk groups</w:t>
            </w:r>
          </w:p>
        </w:tc>
        <w:tc>
          <w:tcPr>
            <w:tcW w:type="dxa" w:w="1512"/>
            <w:vAlign w:val="top"/>
          </w:tcPr>
          <w:p>
            <w:pPr>
              <w:spacing w:after="40" w:before="0" w:line="259" w:lineRule="auto"/>
            </w:pPr>
            <w:r>
              <w:rPr>
                <w:rFonts w:ascii="Calibri" w:hAnsi="Calibri"/>
                <w:b w:val="0"/>
                <w:i w:val="0"/>
                <w:color w:val="212121"/>
                <w:sz w:val="19"/>
              </w:rPr>
              <w:t>&gt; 30 µg/L (stores adequate)</w:t>
            </w:r>
          </w:p>
        </w:tc>
        <w:tc>
          <w:tcPr>
            <w:tcW w:type="dxa" w:w="1512"/>
            <w:vAlign w:val="top"/>
          </w:tcPr>
          <w:p>
            <w:pPr>
              <w:spacing w:after="40" w:before="0" w:line="259" w:lineRule="auto"/>
            </w:pPr>
            <w:r>
              <w:rPr>
                <w:rFonts w:ascii="Calibri" w:hAnsi="Calibri"/>
                <w:b w:val="0"/>
                <w:i w:val="0"/>
                <w:color w:val="212121"/>
                <w:sz w:val="19"/>
              </w:rPr>
              <w:t>&lt; 30 µg/L (clinical); &lt; 15 µg/L highly specific</w:t>
            </w:r>
          </w:p>
        </w:tc>
        <w:tc>
          <w:tcPr>
            <w:tcW w:type="dxa" w:w="1468"/>
            <w:vAlign w:val="top"/>
          </w:tcPr>
          <w:p>
            <w:pPr>
              <w:spacing w:after="60" w:line="259" w:lineRule="auto"/>
            </w:pPr>
            <w:r>
              <w:rPr>
                <w:rFonts w:ascii="Calibri" w:hAnsi="Calibri"/>
                <w:b w:val="0"/>
                <w:i w:val="0"/>
                <w:color w:val="212121"/>
                <w:sz w:val="19"/>
              </w:rPr>
              <w:t>Best single marker of body iron; acute-phase reactant — interpret with CRP</w:t>
            </w:r>
          </w:p>
          <w:p>
            <w:pPr>
              <w:spacing w:after="40" w:line="252" w:lineRule="auto"/>
            </w:pPr>
            <w:hyperlink r:id="rId15">
              <w:r>
                <w:rPr>
                  <w:rFonts w:ascii="Calibri" w:hAnsi="Calibri" w:cs="Calibri"/>
                  <w:sz w:val="18"/>
                  <w:color w:val="1155CC"/>
                  <w:u w:val="single"/>
                </w:rPr>
                <w:t xml:space="preserve">https://cdn.who.int/media/docs/default-source/micronutrients/ferritin-guideline/ferritin-guidelines-brochure.pdf?sfvrsn=76a71b5a_4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iron adequacy</w:t>
            </w:r>
          </w:p>
        </w:tc>
        <w:tc>
          <w:tcPr>
            <w:tcW w:type="dxa" w:w="1655"/>
            <w:vAlign w:val="top"/>
          </w:tcPr>
          <w:p>
            <w:pPr>
              <w:spacing w:after="40" w:before="0" w:line="259" w:lineRule="auto"/>
            </w:pPr>
            <w:r>
              <w:rPr>
                <w:rFonts w:ascii="Calibri" w:hAnsi="Calibri"/>
                <w:b w:val="0"/>
                <w:i w:val="0"/>
                <w:color w:val="212121"/>
                <w:sz w:val="19"/>
              </w:rPr>
              <w:t>Menstruating women, adolescents</w:t>
            </w:r>
          </w:p>
        </w:tc>
        <w:tc>
          <w:tcPr>
            <w:tcW w:type="dxa" w:w="1512"/>
            <w:vAlign w:val="top"/>
          </w:tcPr>
          <w:p>
            <w:pPr>
              <w:spacing w:after="40" w:before="0" w:line="259" w:lineRule="auto"/>
            </w:pPr>
            <w:r>
              <w:rPr>
                <w:rFonts w:ascii="Calibri" w:hAnsi="Calibri"/>
                <w:b w:val="0"/>
                <w:i w:val="0"/>
                <w:color w:val="212121"/>
                <w:sz w:val="19"/>
              </w:rPr>
              <w:t>Meets age/sex RDA (menstruating women need markedly more than men)</w:t>
            </w:r>
          </w:p>
        </w:tc>
        <w:tc>
          <w:tcPr>
            <w:tcW w:type="dxa" w:w="1512"/>
            <w:vAlign w:val="top"/>
          </w:tcPr>
          <w:p>
            <w:pPr>
              <w:spacing w:after="40" w:before="0" w:line="259" w:lineRule="auto"/>
            </w:pPr>
            <w:r>
              <w:rPr>
                <w:rFonts w:ascii="Calibri" w:hAnsi="Calibri"/>
                <w:b w:val="0"/>
                <w:i w:val="0"/>
                <w:color w:val="212121"/>
                <w:sz w:val="19"/>
              </w:rPr>
              <w:t>Habitually low intake or plant-only diet without enhancers</w:t>
            </w:r>
          </w:p>
        </w:tc>
        <w:tc>
          <w:tcPr>
            <w:tcW w:type="dxa" w:w="1468"/>
            <w:vAlign w:val="top"/>
          </w:tcPr>
          <w:p>
            <w:pPr>
              <w:spacing w:after="40" w:before="0" w:line="259" w:lineRule="auto"/>
            </w:pPr>
            <w:r>
              <w:rPr>
                <w:rFonts w:ascii="Calibri" w:hAnsi="Calibri"/>
                <w:b w:val="0"/>
                <w:i w:val="0"/>
                <w:color w:val="212121"/>
                <w:sz w:val="19"/>
              </w:rPr>
              <w:t>Non-haem (plant) iron is poorly absorbed unless enhanced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Iron bioavailability from diet</w:t>
            </w:r>
          </w:p>
        </w:tc>
        <w:tc>
          <w:tcPr>
            <w:tcW w:type="dxa" w:w="1655"/>
            <w:vAlign w:val="top"/>
          </w:tcPr>
          <w:p>
            <w:pPr>
              <w:spacing w:after="40" w:before="0" w:line="259" w:lineRule="auto"/>
            </w:pPr>
            <w:r>
              <w:rPr>
                <w:rFonts w:ascii="Calibri" w:hAnsi="Calibri"/>
                <w:b w:val="0"/>
                <w:i w:val="0"/>
                <w:color w:val="212121"/>
                <w:sz w:val="19"/>
              </w:rPr>
              <w:t>Vegetarians, vegans</w:t>
            </w:r>
          </w:p>
        </w:tc>
        <w:tc>
          <w:tcPr>
            <w:tcW w:type="dxa" w:w="1512"/>
            <w:vAlign w:val="top"/>
          </w:tcPr>
          <w:p>
            <w:pPr>
              <w:spacing w:after="40" w:before="0" w:line="259" w:lineRule="auto"/>
            </w:pPr>
            <w:r>
              <w:rPr>
                <w:rFonts w:ascii="Calibri" w:hAnsi="Calibri"/>
                <w:b w:val="0"/>
                <w:i w:val="0"/>
                <w:color w:val="212121"/>
                <w:sz w:val="19"/>
              </w:rPr>
              <w:t>Enhanced by vitamin C, animal-source foods, fermentation</w:t>
            </w:r>
          </w:p>
        </w:tc>
        <w:tc>
          <w:tcPr>
            <w:tcW w:type="dxa" w:w="1512"/>
            <w:vAlign w:val="top"/>
          </w:tcPr>
          <w:p>
            <w:pPr>
              <w:spacing w:after="40" w:before="0" w:line="259" w:lineRule="auto"/>
            </w:pPr>
            <w:r>
              <w:rPr>
                <w:rFonts w:ascii="Calibri" w:hAnsi="Calibri"/>
                <w:b w:val="0"/>
                <w:i w:val="0"/>
                <w:color w:val="212121"/>
                <w:sz w:val="19"/>
              </w:rPr>
              <w:t>Non-haem iron with high phytate/tannin: only 1-6% absorbed</w:t>
            </w:r>
          </w:p>
        </w:tc>
        <w:tc>
          <w:tcPr>
            <w:tcW w:type="dxa" w:w="1468"/>
            <w:vAlign w:val="top"/>
          </w:tcPr>
          <w:p>
            <w:pPr>
              <w:spacing w:after="60" w:line="259" w:lineRule="auto"/>
            </w:pPr>
            <w:r>
              <w:rPr>
                <w:rFonts w:ascii="Calibri" w:hAnsi="Calibri"/>
                <w:b w:val="0"/>
                <w:i w:val="0"/>
                <w:color w:val="212121"/>
                <w:sz w:val="19"/>
              </w:rPr>
              <w:t>Phytates cut non-haem iron absorption by 51-82%</w:t>
            </w:r>
          </w:p>
          <w:p>
            <w:pPr>
              <w:spacing w:after="40" w:line="252" w:lineRule="auto"/>
            </w:pPr>
            <w:hyperlink r:id="rId14">
              <w:r>
                <w:rPr>
                  <w:rFonts w:ascii="Calibri" w:hAnsi="Calibri" w:cs="Calibri"/>
                  <w:sz w:val="18"/>
                  <w:color w:val="1155CC"/>
                  <w:u w:val="single"/>
                </w:rPr>
                <w:t xml:space="preserve">https://www.fao.org/4/y8346m/y8346m07.htm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Vitamin C at meals</w:t>
            </w:r>
          </w:p>
        </w:tc>
        <w:tc>
          <w:tcPr>
            <w:tcW w:type="dxa" w:w="1655"/>
            <w:vAlign w:val="top"/>
          </w:tcPr>
          <w:p>
            <w:pPr>
              <w:spacing w:after="40" w:before="0" w:line="259" w:lineRule="auto"/>
            </w:pPr>
            <w:r>
              <w:rPr>
                <w:rFonts w:ascii="Calibri" w:hAnsi="Calibri"/>
                <w:b w:val="0"/>
                <w:i w:val="0"/>
                <w:color w:val="212121"/>
                <w:sz w:val="19"/>
              </w:rPr>
              <w:t>Vegetarians, adolescents</w:t>
            </w:r>
          </w:p>
        </w:tc>
        <w:tc>
          <w:tcPr>
            <w:tcW w:type="dxa" w:w="1512"/>
            <w:vAlign w:val="top"/>
          </w:tcPr>
          <w:p>
            <w:pPr>
              <w:spacing w:after="40" w:before="0" w:line="259" w:lineRule="auto"/>
            </w:pPr>
            <w:r>
              <w:rPr>
                <w:rFonts w:ascii="Calibri" w:hAnsi="Calibri"/>
                <w:b w:val="0"/>
                <w:i w:val="0"/>
                <w:color w:val="212121"/>
                <w:sz w:val="19"/>
              </w:rPr>
              <w:t>≥ 50 mg ascorbic acid with main meals</w:t>
            </w:r>
          </w:p>
        </w:tc>
        <w:tc>
          <w:tcPr>
            <w:tcW w:type="dxa" w:w="1512"/>
            <w:vAlign w:val="top"/>
          </w:tcPr>
          <w:p>
            <w:pPr>
              <w:spacing w:after="40" w:before="0" w:line="259" w:lineRule="auto"/>
            </w:pPr>
            <w:r>
              <w:rPr>
                <w:rFonts w:ascii="Calibri" w:hAnsi="Calibri"/>
                <w:b w:val="0"/>
                <w:i w:val="0"/>
                <w:color w:val="212121"/>
                <w:sz w:val="19"/>
              </w:rPr>
              <w:t>Negligible vitamin C at iron-rich meals</w:t>
            </w:r>
          </w:p>
        </w:tc>
        <w:tc>
          <w:tcPr>
            <w:tcW w:type="dxa" w:w="1468"/>
            <w:vAlign w:val="top"/>
          </w:tcPr>
          <w:p>
            <w:pPr>
              <w:spacing w:after="60" w:line="259" w:lineRule="auto"/>
            </w:pPr>
            <w:r>
              <w:rPr>
                <w:rFonts w:ascii="Calibri" w:hAnsi="Calibri"/>
                <w:b w:val="0"/>
                <w:i w:val="0"/>
                <w:color w:val="212121"/>
                <w:sz w:val="19"/>
              </w:rPr>
              <w:t>~25 mg vitamin C can double non-haem iron absorption</w:t>
            </w:r>
          </w:p>
          <w:p>
            <w:pPr>
              <w:spacing w:after="40" w:line="252" w:lineRule="auto"/>
            </w:pPr>
            <w:hyperlink r:id="rId14">
              <w:r>
                <w:rPr>
                  <w:rFonts w:ascii="Calibri" w:hAnsi="Calibri" w:cs="Calibri"/>
                  <w:sz w:val="18"/>
                  <w:color w:val="1155CC"/>
                  <w:u w:val="single"/>
                </w:rPr>
                <w:t xml:space="preserve">https://www.fao.org/4/y8346m/y8346m07.htm</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timing vs meals</w:t>
            </w:r>
          </w:p>
        </w:tc>
        <w:tc>
          <w:tcPr>
            <w:tcW w:type="dxa" w:w="1655"/>
            <w:vAlign w:val="top"/>
          </w:tcPr>
          <w:p>
            <w:pPr>
              <w:spacing w:after="40" w:before="0" w:line="259" w:lineRule="auto"/>
            </w:pPr>
            <w:r>
              <w:rPr>
                <w:rFonts w:ascii="Calibri" w:hAnsi="Calibri"/>
                <w:b w:val="0"/>
                <w:i w:val="0"/>
                <w:color w:val="212121"/>
                <w:sz w:val="19"/>
              </w:rPr>
              <w:t>Tea-belt &amp; habitual tea drinkers</w:t>
            </w:r>
          </w:p>
        </w:tc>
        <w:tc>
          <w:tcPr>
            <w:tcW w:type="dxa" w:w="1512"/>
            <w:vAlign w:val="top"/>
          </w:tcPr>
          <w:p>
            <w:pPr>
              <w:spacing w:after="40" w:before="0" w:line="259" w:lineRule="auto"/>
            </w:pPr>
            <w:r>
              <w:rPr>
                <w:rFonts w:ascii="Calibri" w:hAnsi="Calibri"/>
                <w:b w:val="0"/>
                <w:i w:val="0"/>
                <w:color w:val="212121"/>
                <w:sz w:val="19"/>
              </w:rPr>
              <w:t>≥ 1 hour gap from iron-rich meals</w:t>
            </w:r>
          </w:p>
        </w:tc>
        <w:tc>
          <w:tcPr>
            <w:tcW w:type="dxa" w:w="1512"/>
            <w:vAlign w:val="top"/>
          </w:tcPr>
          <w:p>
            <w:pPr>
              <w:spacing w:after="40" w:before="0" w:line="259" w:lineRule="auto"/>
            </w:pPr>
            <w:r>
              <w:rPr>
                <w:rFonts w:ascii="Calibri" w:hAnsi="Calibri"/>
                <w:b w:val="0"/>
                <w:i w:val="0"/>
                <w:color w:val="212121"/>
                <w:sz w:val="19"/>
              </w:rPr>
              <w:t>Tea or coffee taken with meals</w:t>
            </w:r>
          </w:p>
        </w:tc>
        <w:tc>
          <w:tcPr>
            <w:tcW w:type="dxa" w:w="1468"/>
            <w:vAlign w:val="top"/>
          </w:tcPr>
          <w:p>
            <w:pPr>
              <w:spacing w:after="60" w:line="259" w:lineRule="auto"/>
            </w:pPr>
            <w:r>
              <w:rPr>
                <w:rFonts w:ascii="Calibri" w:hAnsi="Calibri"/>
                <w:b w:val="0"/>
                <w:i w:val="0"/>
                <w:color w:val="212121"/>
                <w:sz w:val="19"/>
              </w:rPr>
              <w:t>Black tea can inhibit ~50% of non-haem iron absorption</w:t>
            </w:r>
          </w:p>
          <w:p>
            <w:pPr>
              <w:spacing w:after="40" w:line="252" w:lineRule="auto"/>
            </w:pPr>
            <w:hyperlink r:id="rId14">
              <w:r>
                <w:rPr>
                  <w:rFonts w:ascii="Calibri" w:hAnsi="Calibri" w:cs="Calibri"/>
                  <w:sz w:val="18"/>
                  <w:color w:val="1155CC"/>
                  <w:u w:val="single"/>
                </w:rPr>
                <w:t xml:space="preserve">https://www.fao.org/4/y8346m/y8346m07.htm</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Menstrual blood loss</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Normal menses (&lt; 80 mL/cycle, ≤ 7 days)</w:t>
            </w:r>
          </w:p>
        </w:tc>
        <w:tc>
          <w:tcPr>
            <w:tcW w:type="dxa" w:w="1512"/>
            <w:vAlign w:val="top"/>
          </w:tcPr>
          <w:p>
            <w:pPr>
              <w:spacing w:after="40" w:before="0" w:line="259" w:lineRule="auto"/>
            </w:pPr>
            <w:r>
              <w:rPr>
                <w:rFonts w:ascii="Calibri" w:hAnsi="Calibri"/>
                <w:b w:val="0"/>
                <w:i w:val="0"/>
                <w:color w:val="212121"/>
                <w:sz w:val="19"/>
              </w:rPr>
              <w:t>Menorrhagia: &gt; 80 mL, flooding/clots, &gt; 7 days</w:t>
            </w:r>
          </w:p>
        </w:tc>
        <w:tc>
          <w:tcPr>
            <w:tcW w:type="dxa" w:w="1468"/>
            <w:vAlign w:val="top"/>
          </w:tcPr>
          <w:p>
            <w:pPr>
              <w:spacing w:after="60" w:line="259" w:lineRule="auto"/>
            </w:pPr>
            <w:r>
              <w:rPr>
                <w:rFonts w:ascii="Calibri" w:hAnsi="Calibri"/>
                <w:b w:val="0"/>
                <w:i w:val="0"/>
                <w:color w:val="212121"/>
                <w:sz w:val="19"/>
              </w:rPr>
              <w:t>Chief cause of iron loss in women</w:t>
            </w:r>
          </w:p>
          <w:p>
            <w:pPr>
              <w:spacing w:after="40" w:line="252" w:lineRule="auto"/>
            </w:pPr>
            <w:hyperlink r:id="rId9">
              <w:r>
                <w:rPr>
                  <w:rFonts w:ascii="Calibri" w:hAnsi="Calibri" w:cs="Calibri"/>
                  <w:sz w:val="18"/>
                  <w:color w:val="1155CC"/>
                  <w:u w:val="single"/>
                </w:rPr>
                <w:t xml:space="preserve">https://pubmed.ncbi.nlm.nih.gov/40159291/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donation frequency</w:t>
            </w:r>
          </w:p>
        </w:tc>
        <w:tc>
          <w:tcPr>
            <w:tcW w:type="dxa" w:w="1655"/>
            <w:vAlign w:val="top"/>
          </w:tcPr>
          <w:p>
            <w:pPr>
              <w:spacing w:after="40" w:before="0" w:line="259" w:lineRule="auto"/>
            </w:pPr>
            <w:r>
              <w:rPr>
                <w:rFonts w:ascii="Calibri" w:hAnsi="Calibri"/>
                <w:b w:val="0"/>
                <w:i w:val="0"/>
                <w:color w:val="212121"/>
                <w:sz w:val="19"/>
              </w:rPr>
              <w:t>Blood donors</w:t>
            </w:r>
          </w:p>
        </w:tc>
        <w:tc>
          <w:tcPr>
            <w:tcW w:type="dxa" w:w="1512"/>
            <w:vAlign w:val="top"/>
          </w:tcPr>
          <w:p>
            <w:pPr>
              <w:spacing w:after="40" w:before="0" w:line="259" w:lineRule="auto"/>
            </w:pPr>
            <w:r>
              <w:rPr>
                <w:rFonts w:ascii="Calibri" w:hAnsi="Calibri"/>
                <w:b w:val="0"/>
                <w:i w:val="0"/>
                <w:color w:val="212121"/>
                <w:sz w:val="19"/>
              </w:rPr>
              <w:t>≤ every 3-4 months (men); less often for women, with iron replacement</w:t>
            </w:r>
          </w:p>
        </w:tc>
        <w:tc>
          <w:tcPr>
            <w:tcW w:type="dxa" w:w="1512"/>
            <w:vAlign w:val="top"/>
          </w:tcPr>
          <w:p>
            <w:pPr>
              <w:spacing w:after="40" w:before="0" w:line="259" w:lineRule="auto"/>
            </w:pPr>
            <w:r>
              <w:rPr>
                <w:rFonts w:ascii="Calibri" w:hAnsi="Calibri"/>
                <w:b w:val="0"/>
                <w:i w:val="0"/>
                <w:color w:val="212121"/>
                <w:sz w:val="19"/>
              </w:rPr>
              <w:t>Frequent donation without iron replacement</w:t>
            </w:r>
          </w:p>
        </w:tc>
        <w:tc>
          <w:tcPr>
            <w:tcW w:type="dxa" w:w="1468"/>
            <w:vAlign w:val="top"/>
          </w:tcPr>
          <w:p>
            <w:pPr>
              <w:spacing w:after="40" w:before="0" w:line="259" w:lineRule="auto"/>
            </w:pPr>
            <w:r>
              <w:rPr>
                <w:rFonts w:ascii="Calibri" w:hAnsi="Calibri"/>
                <w:b w:val="0"/>
                <w:i w:val="0"/>
                <w:color w:val="212121"/>
                <w:sz w:val="19"/>
              </w:rPr>
              <w:t>~200-250 mg iron lost per whole-blood donation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Endurance training load</w:t>
            </w:r>
          </w:p>
        </w:tc>
        <w:tc>
          <w:tcPr>
            <w:tcW w:type="dxa" w:w="1655"/>
            <w:vAlign w:val="top"/>
          </w:tcPr>
          <w:p>
            <w:pPr>
              <w:spacing w:after="40" w:before="0" w:line="259" w:lineRule="auto"/>
            </w:pPr>
            <w:r>
              <w:rPr>
                <w:rFonts w:ascii="Calibri" w:hAnsi="Calibri"/>
                <w:b w:val="0"/>
                <w:i w:val="0"/>
                <w:color w:val="212121"/>
                <w:sz w:val="19"/>
              </w:rPr>
              <w:t>Athletes, runners</w:t>
            </w:r>
          </w:p>
        </w:tc>
        <w:tc>
          <w:tcPr>
            <w:tcW w:type="dxa" w:w="1512"/>
            <w:vAlign w:val="top"/>
          </w:tcPr>
          <w:p>
            <w:pPr>
              <w:spacing w:after="40" w:before="0" w:line="259" w:lineRule="auto"/>
            </w:pPr>
            <w:r>
              <w:rPr>
                <w:rFonts w:ascii="Calibri" w:hAnsi="Calibri"/>
                <w:b w:val="0"/>
                <w:i w:val="0"/>
                <w:color w:val="212121"/>
                <w:sz w:val="19"/>
              </w:rPr>
              <w:t>Screen ferritin periodically if high-volume</w:t>
            </w:r>
          </w:p>
        </w:tc>
        <w:tc>
          <w:tcPr>
            <w:tcW w:type="dxa" w:w="1512"/>
            <w:vAlign w:val="top"/>
          </w:tcPr>
          <w:p>
            <w:pPr>
              <w:spacing w:after="40" w:before="0" w:line="259" w:lineRule="auto"/>
            </w:pPr>
            <w:r>
              <w:rPr>
                <w:rFonts w:ascii="Calibri" w:hAnsi="Calibri"/>
                <w:b w:val="0"/>
                <w:i w:val="0"/>
                <w:color w:val="212121"/>
                <w:sz w:val="19"/>
              </w:rPr>
              <w:t>Heavy endurance training with ferritin &lt; 30-50 µg/L</w:t>
            </w:r>
          </w:p>
        </w:tc>
        <w:tc>
          <w:tcPr>
            <w:tcW w:type="dxa" w:w="1468"/>
            <w:vAlign w:val="top"/>
          </w:tcPr>
          <w:p>
            <w:pPr>
              <w:spacing w:after="60" w:line="259" w:lineRule="auto"/>
            </w:pPr>
            <w:r>
              <w:rPr>
                <w:rFonts w:ascii="Calibri" w:hAnsi="Calibri"/>
                <w:b w:val="0"/>
                <w:i w:val="0"/>
                <w:color w:val="212121"/>
                <w:sz w:val="19"/>
              </w:rPr>
              <w:t>Raises hepcidin; foot-strike haemolysis adds losses</w:t>
            </w:r>
          </w:p>
          <w:p>
            <w:pPr>
              <w:spacing w:after="40" w:line="252" w:lineRule="auto"/>
            </w:pPr>
            <w:hyperlink r:id="rId13">
              <w:r>
                <w:rPr>
                  <w:rFonts w:ascii="Calibri" w:hAnsi="Calibri" w:cs="Calibri"/>
                  <w:sz w:val="18"/>
                  <w:color w:val="1155CC"/>
                  <w:u w:val="single"/>
                </w:rPr>
                <w:t xml:space="preserve">https://pubmed.ncbi.nlm.nih.gov/11916761/</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Sanitation &amp; deworming</w:t>
            </w:r>
          </w:p>
        </w:tc>
        <w:tc>
          <w:tcPr>
            <w:tcW w:type="dxa" w:w="1655"/>
            <w:vAlign w:val="top"/>
          </w:tcPr>
          <w:p>
            <w:pPr>
              <w:spacing w:after="40" w:before="0" w:line="259" w:lineRule="auto"/>
            </w:pPr>
            <w:r>
              <w:rPr>
                <w:rFonts w:ascii="Calibri" w:hAnsi="Calibri"/>
                <w:b w:val="0"/>
                <w:i w:val="0"/>
                <w:color w:val="212121"/>
                <w:sz w:val="19"/>
              </w:rPr>
              <w:t>Rural/hookworm-endemic areas</w:t>
            </w:r>
          </w:p>
        </w:tc>
        <w:tc>
          <w:tcPr>
            <w:tcW w:type="dxa" w:w="1512"/>
            <w:vAlign w:val="top"/>
          </w:tcPr>
          <w:p>
            <w:pPr>
              <w:spacing w:after="40" w:before="0" w:line="259" w:lineRule="auto"/>
            </w:pPr>
            <w:r>
              <w:rPr>
                <w:rFonts w:ascii="Calibri" w:hAnsi="Calibri"/>
                <w:b w:val="0"/>
                <w:i w:val="0"/>
                <w:color w:val="212121"/>
                <w:sz w:val="19"/>
              </w:rPr>
              <w:t>Safe sanitation; periodic deworming</w:t>
            </w:r>
          </w:p>
        </w:tc>
        <w:tc>
          <w:tcPr>
            <w:tcW w:type="dxa" w:w="1512"/>
            <w:vAlign w:val="top"/>
          </w:tcPr>
          <w:p>
            <w:pPr>
              <w:spacing w:after="40" w:before="0" w:line="259" w:lineRule="auto"/>
            </w:pPr>
            <w:r>
              <w:rPr>
                <w:rFonts w:ascii="Calibri" w:hAnsi="Calibri"/>
                <w:b w:val="0"/>
                <w:i w:val="0"/>
                <w:color w:val="212121"/>
                <w:sz w:val="19"/>
              </w:rPr>
              <w:t>Open defecation / no deworming</w:t>
            </w:r>
          </w:p>
        </w:tc>
        <w:tc>
          <w:tcPr>
            <w:tcW w:type="dxa" w:w="1468"/>
            <w:vAlign w:val="top"/>
          </w:tcPr>
          <w:p>
            <w:pPr>
              <w:spacing w:after="40" w:before="0" w:line="259" w:lineRule="auto"/>
            </w:pPr>
            <w:r>
              <w:rPr>
                <w:rFonts w:ascii="Calibri" w:hAnsi="Calibri"/>
                <w:b w:val="0"/>
                <w:i w:val="0"/>
                <w:color w:val="212121"/>
                <w:sz w:val="19"/>
              </w:rPr>
              <w:t>Hookworm causes chronic occult GI iron loss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Restless legs &amp; sleep quality</w:t>
            </w:r>
          </w:p>
        </w:tc>
        <w:tc>
          <w:tcPr>
            <w:tcW w:type="dxa" w:w="1655"/>
            <w:vAlign w:val="top"/>
          </w:tcPr>
          <w:p>
            <w:pPr>
              <w:spacing w:after="40" w:before="0" w:line="259" w:lineRule="auto"/>
            </w:pPr>
            <w:r>
              <w:rPr>
                <w:rFonts w:ascii="Calibri" w:hAnsi="Calibri"/>
                <w:b w:val="0"/>
                <w:i w:val="0"/>
                <w:color w:val="212121"/>
                <w:sz w:val="19"/>
              </w:rPr>
              <w:t>Adults with restless legs</w:t>
            </w:r>
          </w:p>
        </w:tc>
        <w:tc>
          <w:tcPr>
            <w:tcW w:type="dxa" w:w="1512"/>
            <w:vAlign w:val="top"/>
          </w:tcPr>
          <w:p>
            <w:pPr>
              <w:spacing w:after="40" w:before="0" w:line="259" w:lineRule="auto"/>
            </w:pPr>
            <w:r>
              <w:rPr>
                <w:rFonts w:ascii="Calibri" w:hAnsi="Calibri"/>
                <w:b w:val="0"/>
                <w:i w:val="0"/>
                <w:color w:val="212121"/>
                <w:sz w:val="19"/>
              </w:rPr>
              <w:t>No RLS symptoms; ferritin repleted (target &gt; 50-75 µg/L)</w:t>
            </w:r>
          </w:p>
        </w:tc>
        <w:tc>
          <w:tcPr>
            <w:tcW w:type="dxa" w:w="1512"/>
            <w:vAlign w:val="top"/>
          </w:tcPr>
          <w:p>
            <w:pPr>
              <w:spacing w:after="40" w:before="0" w:line="259" w:lineRule="auto"/>
            </w:pPr>
            <w:r>
              <w:rPr>
                <w:rFonts w:ascii="Calibri" w:hAnsi="Calibri"/>
                <w:b w:val="0"/>
                <w:i w:val="0"/>
                <w:color w:val="212121"/>
                <w:sz w:val="19"/>
              </w:rPr>
              <w:t>Restless legs with ferritin &lt; 50 µg/L</w:t>
            </w:r>
          </w:p>
        </w:tc>
        <w:tc>
          <w:tcPr>
            <w:tcW w:type="dxa" w:w="1468"/>
            <w:vAlign w:val="top"/>
          </w:tcPr>
          <w:p>
            <w:pPr>
              <w:spacing w:after="40" w:before="0" w:line="259" w:lineRule="auto"/>
            </w:pPr>
            <w:r>
              <w:rPr>
                <w:rFonts w:ascii="Calibri" w:hAnsi="Calibri"/>
                <w:b w:val="0"/>
                <w:i w:val="0"/>
                <w:color w:val="212121"/>
                <w:sz w:val="19"/>
              </w:rPr>
              <w:t>Iron repletion improves restless legs and sleep</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w:t>
            </w:r>
          </w:p>
        </w:tc>
        <w:tc>
          <w:tcPr>
            <w:tcW w:type="dxa" w:w="1512"/>
            <w:vAlign w:val="top"/>
          </w:tcPr>
          <w:p>
            <w:pPr>
              <w:spacing w:after="40" w:before="0" w:line="259" w:lineRule="auto"/>
            </w:pPr>
            <w:r>
              <w:rPr>
                <w:rFonts w:ascii="Calibri" w:hAnsi="Calibri"/>
                <w:b w:val="0"/>
                <w:i w:val="0"/>
                <w:color w:val="212121"/>
                <w:sz w:val="19"/>
              </w:rPr>
              <w:t>Within low-risk limits or abstinence</w:t>
            </w:r>
          </w:p>
        </w:tc>
        <w:tc>
          <w:tcPr>
            <w:tcW w:type="dxa" w:w="1512"/>
            <w:vAlign w:val="top"/>
          </w:tcPr>
          <w:p>
            <w:pPr>
              <w:spacing w:after="40" w:before="0" w:line="259" w:lineRule="auto"/>
            </w:pPr>
            <w:r>
              <w:rPr>
                <w:rFonts w:ascii="Calibri" w:hAnsi="Calibri"/>
                <w:b w:val="0"/>
                <w:i w:val="0"/>
                <w:color w:val="212121"/>
                <w:sz w:val="19"/>
              </w:rPr>
              <w:t>Heavy use with gastritis/GI bleeding</w:t>
            </w:r>
          </w:p>
        </w:tc>
        <w:tc>
          <w:tcPr>
            <w:tcW w:type="dxa" w:w="1468"/>
            <w:vAlign w:val="top"/>
          </w:tcPr>
          <w:p>
            <w:pPr>
              <w:spacing w:after="40" w:before="0" w:line="259" w:lineRule="auto"/>
            </w:pPr>
            <w:r>
              <w:rPr>
                <w:rFonts w:ascii="Calibri" w:hAnsi="Calibri"/>
                <w:b w:val="0"/>
                <w:i w:val="0"/>
                <w:color w:val="212121"/>
                <w:sz w:val="19"/>
              </w:rPr>
              <w:t>Combines GI blood loss with poor dietary intake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status</w:t>
            </w:r>
          </w:p>
        </w:tc>
        <w:tc>
          <w:tcPr>
            <w:tcW w:type="dxa" w:w="1655"/>
            <w:vAlign w:val="top"/>
          </w:tcPr>
          <w:p>
            <w:pPr>
              <w:spacing w:after="40" w:before="0" w:line="259" w:lineRule="auto"/>
            </w:pPr>
            <w:r>
              <w:rPr>
                <w:rFonts w:ascii="Calibri" w:hAnsi="Calibri"/>
                <w:b w:val="0"/>
                <w:i w:val="0"/>
                <w:color w:val="212121"/>
                <w:sz w:val="19"/>
              </w:rPr>
              <w:t>Smokers</w:t>
            </w:r>
          </w:p>
        </w:tc>
        <w:tc>
          <w:tcPr>
            <w:tcW w:type="dxa" w:w="1512"/>
            <w:vAlign w:val="top"/>
          </w:tcPr>
          <w:p>
            <w:pPr>
              <w:spacing w:after="40" w:before="0" w:line="259" w:lineRule="auto"/>
            </w:pPr>
            <w:r>
              <w:rPr>
                <w:rFonts w:ascii="Calibri" w:hAnsi="Calibri"/>
                <w:b w:val="0"/>
                <w:i w:val="0"/>
                <w:color w:val="212121"/>
                <w:sz w:val="19"/>
              </w:rPr>
              <w:t>Non-smoker</w:t>
            </w:r>
          </w:p>
        </w:tc>
        <w:tc>
          <w:tcPr>
            <w:tcW w:type="dxa" w:w="1512"/>
            <w:vAlign w:val="top"/>
          </w:tcPr>
          <w:p>
            <w:pPr>
              <w:spacing w:after="40" w:before="0" w:line="259" w:lineRule="auto"/>
            </w:pPr>
            <w:r>
              <w:rPr>
                <w:rFonts w:ascii="Calibri" w:hAnsi="Calibri"/>
                <w:b w:val="0"/>
                <w:i w:val="0"/>
                <w:color w:val="212121"/>
                <w:sz w:val="19"/>
              </w:rPr>
              <w:t>Smoking with dyspepsia/ulcer symptoms</w:t>
            </w:r>
          </w:p>
        </w:tc>
        <w:tc>
          <w:tcPr>
            <w:tcW w:type="dxa" w:w="1468"/>
            <w:vAlign w:val="top"/>
          </w:tcPr>
          <w:p>
            <w:pPr>
              <w:spacing w:after="40" w:before="0" w:line="259" w:lineRule="auto"/>
            </w:pPr>
            <w:r>
              <w:rPr>
                <w:rFonts w:ascii="Calibri" w:hAnsi="Calibri"/>
                <w:b w:val="0"/>
                <w:i w:val="0"/>
                <w:color w:val="212121"/>
                <w:sz w:val="19"/>
              </w:rPr>
              <w:t>Raises GI-bleed risk and masks ID by elevating haemoglobin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M 30-300 µg/L; F 15-150 µg/L</w:t>
            </w:r>
          </w:p>
        </w:tc>
        <w:tc>
          <w:tcPr>
            <w:tcW w:type="dxa" w:w="950"/>
            <w:vAlign w:val="top"/>
          </w:tcPr>
          <w:p>
            <w:pPr>
              <w:spacing w:after="40" w:before="0" w:line="259" w:lineRule="auto"/>
            </w:pPr>
            <w:r>
              <w:rPr>
                <w:rFonts w:ascii="Calibri" w:hAnsi="Calibri"/>
                <w:b w:val="0"/>
                <w:i w:val="0"/>
                <w:color w:val="212121"/>
                <w:sz w:val="16"/>
              </w:rPr>
              <w:t>&lt; 30 µg/L (clinical); &lt; 15 µg/L (WHO, highly specific)</w:t>
            </w:r>
          </w:p>
        </w:tc>
        <w:tc>
          <w:tcPr>
            <w:tcW w:type="dxa" w:w="1036"/>
            <w:vAlign w:val="top"/>
          </w:tcPr>
          <w:p>
            <w:pPr>
              <w:spacing w:after="40" w:before="0" w:line="259" w:lineRule="auto"/>
            </w:pPr>
            <w:r>
              <w:rPr>
                <w:rFonts w:ascii="Calibri" w:hAnsi="Calibri"/>
                <w:b w:val="0"/>
                <w:i w:val="0"/>
                <w:color w:val="212121"/>
                <w:sz w:val="16"/>
              </w:rPr>
              <w:t>Low ferritin reflects depleted iron stores and is diagnostic of iron deficiency; the earliest abnormality in the non-anemic phase</w:t>
            </w:r>
          </w:p>
        </w:tc>
        <w:tc>
          <w:tcPr>
            <w:tcW w:type="dxa" w:w="1036"/>
            <w:vAlign w:val="top"/>
          </w:tcPr>
          <w:p>
            <w:pPr>
              <w:spacing w:after="40" w:before="0" w:line="259" w:lineRule="auto"/>
            </w:pPr>
            <w:r>
              <w:rPr>
                <w:rFonts w:ascii="Calibri" w:hAnsi="Calibri"/>
                <w:b w:val="0"/>
                <w:i w:val="0"/>
                <w:color w:val="212121"/>
                <w:sz w:val="16"/>
              </w:rPr>
              <w:t>Fatigued adults, women, adolescents, athletes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Acute-phase reactant — use a higher cut-off (&lt; 70 µg/L) with inflammation and pair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Transferrin Saturation (TSAT)</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20-45%</w:t>
            </w:r>
          </w:p>
        </w:tc>
        <w:tc>
          <w:tcPr>
            <w:tcW w:type="dxa" w:w="950"/>
            <w:vAlign w:val="top"/>
          </w:tcPr>
          <w:p>
            <w:pPr>
              <w:spacing w:after="40" w:before="0" w:line="259" w:lineRule="auto"/>
            </w:pPr>
            <w:r>
              <w:rPr>
                <w:rFonts w:ascii="Calibri" w:hAnsi="Calibri"/>
                <w:b w:val="0"/>
                <w:i w:val="0"/>
                <w:color w:val="212121"/>
                <w:sz w:val="16"/>
              </w:rPr>
              <w:t>&lt; 20%</w:t>
            </w:r>
          </w:p>
        </w:tc>
        <w:tc>
          <w:tcPr>
            <w:tcW w:type="dxa" w:w="1036"/>
            <w:vAlign w:val="top"/>
          </w:tcPr>
          <w:p>
            <w:pPr>
              <w:spacing w:after="40" w:before="0" w:line="259" w:lineRule="auto"/>
            </w:pPr>
            <w:r>
              <w:rPr>
                <w:rFonts w:ascii="Calibri" w:hAnsi="Calibri"/>
                <w:b w:val="0"/>
                <w:i w:val="0"/>
                <w:color w:val="212121"/>
                <w:sz w:val="16"/>
              </w:rPr>
              <w:t>Indicates an inadequate iron supply to tissues; supports iron deficiency when ferritin is confounded by inflammation</w:t>
            </w:r>
          </w:p>
        </w:tc>
        <w:tc>
          <w:tcPr>
            <w:tcW w:type="dxa" w:w="1036"/>
            <w:vAlign w:val="top"/>
          </w:tcPr>
          <w:p>
            <w:pPr>
              <w:spacing w:after="40" w:before="0" w:line="259" w:lineRule="auto"/>
            </w:pPr>
            <w:r>
              <w:rPr>
                <w:rFonts w:ascii="Calibri" w:hAnsi="Calibri"/>
                <w:b w:val="0"/>
                <w:i w:val="0"/>
                <w:color w:val="212121"/>
                <w:sz w:val="16"/>
              </w:rPr>
              <w:t>Inflammation, CKD, heart failure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Calculated as serum iron ÷ TIBC × 100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&amp; TIBC/Transferrin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Iron 60-170 µg/dL; TIBC 240-450 µg/dL</w:t>
            </w:r>
          </w:p>
        </w:tc>
        <w:tc>
          <w:tcPr>
            <w:tcW w:type="dxa" w:w="950"/>
            <w:vAlign w:val="top"/>
          </w:tcPr>
          <w:p>
            <w:pPr>
              <w:spacing w:after="40" w:before="0" w:line="259" w:lineRule="auto"/>
            </w:pPr>
            <w:r>
              <w:rPr>
                <w:rFonts w:ascii="Calibri" w:hAnsi="Calibri"/>
                <w:b w:val="0"/>
                <w:i w:val="0"/>
                <w:color w:val="212121"/>
                <w:sz w:val="16"/>
              </w:rPr>
              <w:t>Low serum iron with high TIBC</w:t>
            </w:r>
          </w:p>
        </w:tc>
        <w:tc>
          <w:tcPr>
            <w:tcW w:type="dxa" w:w="1036"/>
            <w:vAlign w:val="top"/>
          </w:tcPr>
          <w:p>
            <w:pPr>
              <w:spacing w:after="40" w:before="0" w:line="259" w:lineRule="auto"/>
            </w:pPr>
            <w:r>
              <w:rPr>
                <w:rFonts w:ascii="Calibri" w:hAnsi="Calibri"/>
                <w:b w:val="0"/>
                <w:i w:val="0"/>
                <w:color w:val="212121"/>
                <w:sz w:val="16"/>
              </w:rPr>
              <w:t>The classic biochemical pattern of absolute iron deficiency</w:t>
            </w:r>
          </w:p>
        </w:tc>
        <w:tc>
          <w:tcPr>
            <w:tcW w:type="dxa" w:w="1036"/>
            <w:vAlign w:val="top"/>
          </w:tcPr>
          <w:p>
            <w:pPr>
              <w:spacing w:after="40" w:before="0" w:line="259" w:lineRule="auto"/>
            </w:pPr>
            <w:r>
              <w:rPr>
                <w:rFonts w:ascii="Calibri" w:hAnsi="Calibri"/>
                <w:b w:val="0"/>
                <w:i w:val="0"/>
                <w:color w:val="212121"/>
                <w:sz w:val="16"/>
              </w:rPr>
              <w:t>Suspected iron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Serum iron shows diurnal variation — sample in the morning, fasting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 13, F ≥ 12, pregnant ≥ 11 g/dL</w:t>
            </w:r>
          </w:p>
        </w:tc>
        <w:tc>
          <w:tcPr>
            <w:tcW w:type="dxa" w:w="950"/>
            <w:vAlign w:val="top"/>
          </w:tcPr>
          <w:p>
            <w:pPr>
              <w:spacing w:after="40" w:before="0" w:line="259" w:lineRule="auto"/>
            </w:pPr>
            <w:r>
              <w:rPr>
                <w:rFonts w:ascii="Calibri" w:hAnsi="Calibri"/>
                <w:b w:val="0"/>
                <w:i w:val="0"/>
                <w:color w:val="212121"/>
                <w:sz w:val="16"/>
              </w:rPr>
              <w:t>Normal in non-anemic ID; falls once anaemia develops</w:t>
            </w:r>
          </w:p>
        </w:tc>
        <w:tc>
          <w:tcPr>
            <w:tcW w:type="dxa" w:w="1036"/>
            <w:vAlign w:val="top"/>
          </w:tcPr>
          <w:p>
            <w:pPr>
              <w:spacing w:after="40" w:before="0" w:line="259" w:lineRule="auto"/>
            </w:pPr>
            <w:r>
              <w:rPr>
                <w:rFonts w:ascii="Calibri" w:hAnsi="Calibri"/>
                <w:b w:val="0"/>
                <w:i w:val="0"/>
                <w:color w:val="212121"/>
                <w:sz w:val="16"/>
              </w:rPr>
              <w:t>A normal haemoglobin with a low ferritin is what defines non-anemic iron deficiency</w:t>
            </w:r>
          </w:p>
        </w:tc>
        <w:tc>
          <w:tcPr>
            <w:tcW w:type="dxa" w:w="1036"/>
            <w:vAlign w:val="top"/>
          </w:tcPr>
          <w:p>
            <w:pPr>
              <w:spacing w:after="40" w:before="0" w:line="259" w:lineRule="auto"/>
            </w:pPr>
            <w:r>
              <w:rPr>
                <w:rFonts w:ascii="Calibri" w:hAnsi="Calibri"/>
                <w:b w:val="0"/>
                <w:i w:val="0"/>
                <w:color w:val="212121"/>
                <w:sz w:val="16"/>
              </w:rPr>
              <w:t>All at-risk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Defining</w:t>
            </w:r>
          </w:p>
        </w:tc>
        <w:tc>
          <w:tcPr>
            <w:tcW w:type="dxa" w:w="720"/>
            <w:vAlign w:val="top"/>
          </w:tcPr>
          <w:p>
            <w:pPr>
              <w:spacing w:after="40" w:before="0" w:line="259" w:lineRule="auto"/>
            </w:pPr>
            <w:r>
              <w:rPr>
                <w:rFonts w:ascii="Calibri" w:hAnsi="Calibri"/>
                <w:b w:val="0"/>
                <w:i w:val="0"/>
                <w:color w:val="212121"/>
                <w:sz w:val="16"/>
              </w:rPr>
              <w:t>Distinguishes IDWA from iron-deficiency 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Red cell indices (MCV, MCH, RDW)</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MCV 80-100 fL</w:t>
            </w:r>
          </w:p>
        </w:tc>
        <w:tc>
          <w:tcPr>
            <w:tcW w:type="dxa" w:w="950"/>
            <w:vAlign w:val="top"/>
          </w:tcPr>
          <w:p>
            <w:pPr>
              <w:spacing w:after="40" w:before="0" w:line="259" w:lineRule="auto"/>
            </w:pPr>
            <w:r>
              <w:rPr>
                <w:rFonts w:ascii="Calibri" w:hAnsi="Calibri"/>
                <w:b w:val="0"/>
                <w:i w:val="0"/>
                <w:color w:val="212121"/>
                <w:sz w:val="16"/>
              </w:rPr>
              <w:t>Often normal early; later low MCV/MCH with raised RDW</w:t>
            </w:r>
          </w:p>
        </w:tc>
        <w:tc>
          <w:tcPr>
            <w:tcW w:type="dxa" w:w="1036"/>
            <w:vAlign w:val="top"/>
          </w:tcPr>
          <w:p>
            <w:pPr>
              <w:spacing w:after="40" w:before="0" w:line="259" w:lineRule="auto"/>
            </w:pPr>
            <w:r>
              <w:rPr>
                <w:rFonts w:ascii="Calibri" w:hAnsi="Calibri"/>
                <w:b w:val="0"/>
                <w:i w:val="0"/>
                <w:color w:val="212121"/>
                <w:sz w:val="16"/>
              </w:rPr>
              <w:t>Microcytosis is a late feature and is frequently absent in non-anemic iron deficiency; a rising RDW is an early clue</w:t>
            </w:r>
          </w:p>
        </w:tc>
        <w:tc>
          <w:tcPr>
            <w:tcW w:type="dxa" w:w="1036"/>
            <w:vAlign w:val="top"/>
          </w:tcPr>
          <w:p>
            <w:pPr>
              <w:spacing w:after="40" w:before="0" w:line="259" w:lineRule="auto"/>
            </w:pPr>
            <w:r>
              <w:rPr>
                <w:rFonts w:ascii="Calibri" w:hAnsi="Calibri"/>
                <w:b w:val="0"/>
                <w:i w:val="0"/>
                <w:color w:val="212121"/>
                <w:sz w:val="16"/>
              </w:rPr>
              <w:t>Early iron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indices do not exclude depleted stores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Soluble Transferrin Receptor (sTfR)</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Assay-specific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Detects tissue iron deficiency and is not raised by inflammation, unlike ferritin</w:t>
            </w:r>
          </w:p>
        </w:tc>
        <w:tc>
          <w:tcPr>
            <w:tcW w:type="dxa" w:w="1036"/>
            <w:vAlign w:val="top"/>
          </w:tcPr>
          <w:p>
            <w:pPr>
              <w:spacing w:after="40" w:before="0" w:line="259" w:lineRule="auto"/>
            </w:pPr>
            <w:r>
              <w:rPr>
                <w:rFonts w:ascii="Calibri" w:hAnsi="Calibri"/>
                <w:b w:val="0"/>
                <w:i w:val="0"/>
                <w:color w:val="212121"/>
                <w:sz w:val="16"/>
              </w:rPr>
              <w:t>Iron deficiency with coexisting inflammation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when ferritin is unreliable; sTfR/log-ferritin index adds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inflammatory markers</w:t>
            </w:r>
          </w:p>
        </w:tc>
        <w:tc>
          <w:tcPr>
            <w:tcW w:type="dxa" w:w="892"/>
            <w:vAlign w:val="top"/>
          </w:tcPr>
          <w:p>
            <w:pPr>
              <w:spacing w:after="40" w:before="0" w:line="259" w:lineRule="auto"/>
            </w:pPr>
            <w:r>
              <w:rPr>
                <w:rFonts w:ascii="Calibri" w:hAnsi="Calibri"/>
                <w:b w:val="0"/>
                <w:i w:val="0"/>
                <w:color w:val="212121"/>
                <w:sz w:val="16"/>
              </w:rPr>
              <w:t>Inflammation screen</w:t>
            </w:r>
          </w:p>
        </w:tc>
        <w:tc>
          <w:tcPr>
            <w:tcW w:type="dxa" w:w="950"/>
            <w:vAlign w:val="top"/>
          </w:tcPr>
          <w:p>
            <w:pPr>
              <w:spacing w:after="40" w:before="0" w:line="259" w:lineRule="auto"/>
            </w:pPr>
            <w:r>
              <w:rPr>
                <w:rFonts w:ascii="Calibri" w:hAnsi="Calibri"/>
                <w:b w:val="0"/>
                <w:i w:val="0"/>
                <w:color w:val="212121"/>
                <w:sz w:val="16"/>
              </w:rPr>
              <w:t>CRP &lt;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Guides interpretation of ferritin, which rises with inflammation and can mask depleted stores</w:t>
            </w:r>
          </w:p>
        </w:tc>
        <w:tc>
          <w:tcPr>
            <w:tcW w:type="dxa" w:w="1036"/>
            <w:vAlign w:val="top"/>
          </w:tcPr>
          <w:p>
            <w:pPr>
              <w:spacing w:after="40" w:before="0" w:line="259" w:lineRule="auto"/>
            </w:pPr>
            <w:r>
              <w:rPr>
                <w:rFonts w:ascii="Calibri" w:hAnsi="Calibri"/>
                <w:b w:val="0"/>
                <w:i w:val="0"/>
                <w:color w:val="212121"/>
                <w:sz w:val="16"/>
              </w:rPr>
              <w:t>Chronic disease, infection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Interpretive</w:t>
            </w:r>
          </w:p>
        </w:tc>
        <w:tc>
          <w:tcPr>
            <w:tcW w:type="dxa" w:w="720"/>
            <w:vAlign w:val="top"/>
          </w:tcPr>
          <w:p>
            <w:pPr>
              <w:spacing w:after="40" w:before="0" w:line="259" w:lineRule="auto"/>
            </w:pPr>
            <w:r>
              <w:rPr>
                <w:rFonts w:ascii="Calibri" w:hAnsi="Calibri"/>
                <w:b w:val="0"/>
                <w:i w:val="0"/>
                <w:color w:val="212121"/>
                <w:sz w:val="16"/>
              </w:rPr>
              <w:t>Always read ferritin alongside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Aetiological work-up</w:t>
            </w:r>
          </w:p>
        </w:tc>
        <w:tc>
          <w:tcPr>
            <w:tcW w:type="dxa" w:w="1036"/>
            <w:vAlign w:val="top"/>
          </w:tcPr>
          <w:p>
            <w:pPr>
              <w:spacing w:after="40" w:before="0" w:line="259" w:lineRule="auto"/>
            </w:pPr>
            <w:r>
              <w:rPr>
                <w:rFonts w:ascii="Calibri" w:hAnsi="Calibri"/>
                <w:b w:val="0"/>
                <w:i w:val="0"/>
                <w:color w:val="212121"/>
                <w:sz w:val="16"/>
              </w:rPr>
              <w:t>Stool occult blood &amp; hookworm ova; coeliac serology (anti-tTG)</w:t>
            </w:r>
          </w:p>
        </w:tc>
        <w:tc>
          <w:tcPr>
            <w:tcW w:type="dxa" w:w="892"/>
            <w:vAlign w:val="top"/>
          </w:tcPr>
          <w:p>
            <w:pPr>
              <w:spacing w:after="40" w:before="0" w:line="259" w:lineRule="auto"/>
            </w:pPr>
            <w:r>
              <w:rPr>
                <w:rFonts w:ascii="Calibri" w:hAnsi="Calibri"/>
                <w:b w:val="0"/>
                <w:i w:val="0"/>
                <w:color w:val="212121"/>
                <w:sz w:val="16"/>
              </w:rPr>
              <w:t>Cause identification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Occult blood / ova positive; anti-tTG raised</w:t>
            </w:r>
          </w:p>
        </w:tc>
        <w:tc>
          <w:tcPr>
            <w:tcW w:type="dxa" w:w="1036"/>
            <w:vAlign w:val="top"/>
          </w:tcPr>
          <w:p>
            <w:pPr>
              <w:spacing w:after="40" w:before="0" w:line="259" w:lineRule="auto"/>
            </w:pPr>
            <w:r>
              <w:rPr>
                <w:rFonts w:ascii="Calibri" w:hAnsi="Calibri"/>
                <w:b w:val="0"/>
                <w:i w:val="0"/>
                <w:color w:val="212121"/>
                <w:sz w:val="16"/>
              </w:rPr>
              <w:t>Identifies gastrointestinal blood loss, hookworm infestation or coeliac malabsorption as the source</w:t>
            </w:r>
          </w:p>
        </w:tc>
        <w:tc>
          <w:tcPr>
            <w:tcW w:type="dxa" w:w="1036"/>
            <w:vAlign w:val="top"/>
          </w:tcPr>
          <w:p>
            <w:pPr>
              <w:spacing w:after="40" w:before="0" w:line="259" w:lineRule="auto"/>
            </w:pPr>
            <w:r>
              <w:rPr>
                <w:rFonts w:ascii="Calibri" w:hAnsi="Calibri"/>
                <w:b w:val="0"/>
                <w:i w:val="0"/>
                <w:color w:val="212121"/>
                <w:sz w:val="16"/>
              </w:rPr>
              <w:t>Men, postmenopausal women, unexplained iron deficiency</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Essential whenever there is no obvious menstrual cause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Vegetarian pattern, tea/coffee with meals, low vitamin C</w:t>
            </w:r>
          </w:p>
        </w:tc>
        <w:tc>
          <w:tcPr>
            <w:tcW w:type="dxa" w:w="950"/>
            <w:vAlign w:val="top"/>
          </w:tcPr>
          <w:p>
            <w:pPr>
              <w:spacing w:after="40" w:before="0" w:line="259" w:lineRule="auto"/>
            </w:pPr>
            <w:r>
              <w:rPr>
                <w:rFonts w:ascii="Calibri" w:hAnsi="Calibri"/>
                <w:b w:val="0"/>
                <w:i w:val="0"/>
                <w:color w:val="212121"/>
                <w:sz w:val="16"/>
              </w:rPr>
              <w:t>Balanced, enhancer-rich diet</w:t>
            </w:r>
          </w:p>
        </w:tc>
        <w:tc>
          <w:tcPr>
            <w:tcW w:type="dxa" w:w="950"/>
            <w:vAlign w:val="top"/>
          </w:tcPr>
          <w:p>
            <w:pPr>
              <w:spacing w:after="40" w:before="0" w:line="259" w:lineRule="auto"/>
            </w:pPr>
            <w:r>
              <w:rPr>
                <w:rFonts w:ascii="Calibri" w:hAnsi="Calibri"/>
                <w:b w:val="0"/>
                <w:i w:val="0"/>
                <w:color w:val="212121"/>
                <w:sz w:val="16"/>
              </w:rPr>
              <w:t>Plant-only diet, tea with meals, minimal vitamin C</w:t>
            </w:r>
          </w:p>
        </w:tc>
        <w:tc>
          <w:tcPr>
            <w:tcW w:type="dxa" w:w="1036"/>
            <w:vAlign w:val="top"/>
          </w:tcPr>
          <w:p>
            <w:pPr>
              <w:spacing w:after="40" w:before="0" w:line="259" w:lineRule="auto"/>
            </w:pPr>
            <w:r>
              <w:rPr>
                <w:rFonts w:ascii="Calibri" w:hAnsi="Calibri"/>
                <w:b w:val="0"/>
                <w:i w:val="0"/>
                <w:color w:val="212121"/>
                <w:sz w:val="16"/>
              </w:rPr>
              <w:t>Estimates dietary iron adequacy and bioavailability</w:t>
            </w:r>
          </w:p>
        </w:tc>
        <w:tc>
          <w:tcPr>
            <w:tcW w:type="dxa" w:w="1036"/>
            <w:vAlign w:val="top"/>
          </w:tcPr>
          <w:p>
            <w:pPr>
              <w:spacing w:after="40" w:before="0" w:line="259" w:lineRule="auto"/>
            </w:pPr>
            <w:r>
              <w:rPr>
                <w:rFonts w:ascii="Calibri" w:hAnsi="Calibri"/>
                <w:b w:val="0"/>
                <w:i w:val="0"/>
                <w:color w:val="212121"/>
                <w:sz w:val="16"/>
              </w:rPr>
              <w:t>Vegetarians, tea-belt populations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dietary counselling and fortification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obstetric history</w:t>
            </w:r>
          </w:p>
        </w:tc>
        <w:tc>
          <w:tcPr>
            <w:tcW w:type="dxa" w:w="979"/>
            <w:vAlign w:val="top"/>
          </w:tcPr>
          <w:p>
            <w:pPr>
              <w:spacing w:after="40" w:before="0" w:line="259" w:lineRule="auto"/>
            </w:pPr>
            <w:r>
              <w:rPr>
                <w:rFonts w:ascii="Calibri" w:hAnsi="Calibri"/>
                <w:b w:val="0"/>
                <w:i w:val="0"/>
                <w:color w:val="212121"/>
                <w:sz w:val="16"/>
              </w:rPr>
              <w:t>Cycle length/flow, clots, parity, pregnancy/lactation</w:t>
            </w:r>
          </w:p>
        </w:tc>
        <w:tc>
          <w:tcPr>
            <w:tcW w:type="dxa" w:w="950"/>
            <w:vAlign w:val="top"/>
          </w:tcPr>
          <w:p>
            <w:pPr>
              <w:spacing w:after="40" w:before="0" w:line="259" w:lineRule="auto"/>
            </w:pPr>
            <w:r>
              <w:rPr>
                <w:rFonts w:ascii="Calibri" w:hAnsi="Calibri"/>
                <w:b w:val="0"/>
                <w:i w:val="0"/>
                <w:color w:val="212121"/>
                <w:sz w:val="16"/>
              </w:rPr>
              <w:t>Normal menses, no recent pregnancy</w:t>
            </w:r>
          </w:p>
        </w:tc>
        <w:tc>
          <w:tcPr>
            <w:tcW w:type="dxa" w:w="950"/>
            <w:vAlign w:val="top"/>
          </w:tcPr>
          <w:p>
            <w:pPr>
              <w:spacing w:after="40" w:before="0" w:line="259" w:lineRule="auto"/>
            </w:pPr>
            <w:r>
              <w:rPr>
                <w:rFonts w:ascii="Calibri" w:hAnsi="Calibri"/>
                <w:b w:val="0"/>
                <w:i w:val="0"/>
                <w:color w:val="212121"/>
                <w:sz w:val="16"/>
              </w:rPr>
              <w:t>Menorrhagia; recent or current pregnancy/lactation</w:t>
            </w:r>
          </w:p>
        </w:tc>
        <w:tc>
          <w:tcPr>
            <w:tcW w:type="dxa" w:w="1036"/>
            <w:vAlign w:val="top"/>
          </w:tcPr>
          <w:p>
            <w:pPr>
              <w:spacing w:after="40" w:before="0" w:line="259" w:lineRule="auto"/>
            </w:pPr>
            <w:r>
              <w:rPr>
                <w:rFonts w:ascii="Calibri" w:hAnsi="Calibri"/>
                <w:b w:val="0"/>
                <w:i w:val="0"/>
                <w:color w:val="212121"/>
                <w:sz w:val="16"/>
              </w:rPr>
              <w:t>Quantifies menstrual and obstetric iron loss and demand</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Leading cause of iron deficiency in women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GI &amp; bleeding history</w:t>
            </w:r>
          </w:p>
        </w:tc>
        <w:tc>
          <w:tcPr>
            <w:tcW w:type="dxa" w:w="979"/>
            <w:vAlign w:val="top"/>
          </w:tcPr>
          <w:p>
            <w:pPr>
              <w:spacing w:after="40" w:before="0" w:line="259" w:lineRule="auto"/>
            </w:pPr>
            <w:r>
              <w:rPr>
                <w:rFonts w:ascii="Calibri" w:hAnsi="Calibri"/>
                <w:b w:val="0"/>
                <w:i w:val="0"/>
                <w:color w:val="212121"/>
                <w:sz w:val="16"/>
              </w:rPr>
              <w:t>Melena, haematochezia, dyspepsia, NSAID/PPI use, donation, surgery</w:t>
            </w:r>
          </w:p>
        </w:tc>
        <w:tc>
          <w:tcPr>
            <w:tcW w:type="dxa" w:w="950"/>
            <w:vAlign w:val="top"/>
          </w:tcPr>
          <w:p>
            <w:pPr>
              <w:spacing w:after="40" w:before="0" w:line="259" w:lineRule="auto"/>
            </w:pPr>
            <w:r>
              <w:rPr>
                <w:rFonts w:ascii="Calibri" w:hAnsi="Calibri"/>
                <w:b w:val="0"/>
                <w:i w:val="0"/>
                <w:color w:val="212121"/>
                <w:sz w:val="16"/>
              </w:rPr>
              <w:t>No blood-loss source</w:t>
            </w:r>
          </w:p>
        </w:tc>
        <w:tc>
          <w:tcPr>
            <w:tcW w:type="dxa" w:w="950"/>
            <w:vAlign w:val="top"/>
          </w:tcPr>
          <w:p>
            <w:pPr>
              <w:spacing w:after="40" w:before="0" w:line="259" w:lineRule="auto"/>
            </w:pPr>
            <w:r>
              <w:rPr>
                <w:rFonts w:ascii="Calibri" w:hAnsi="Calibri"/>
                <w:b w:val="0"/>
                <w:i w:val="0"/>
                <w:color w:val="212121"/>
                <w:sz w:val="16"/>
              </w:rPr>
              <w:t>Any gastrointestinal or other blood loss</w:t>
            </w:r>
          </w:p>
        </w:tc>
        <w:tc>
          <w:tcPr>
            <w:tcW w:type="dxa" w:w="1036"/>
            <w:vAlign w:val="top"/>
          </w:tcPr>
          <w:p>
            <w:pPr>
              <w:spacing w:after="40" w:before="0" w:line="259" w:lineRule="auto"/>
            </w:pPr>
            <w:r>
              <w:rPr>
                <w:rFonts w:ascii="Calibri" w:hAnsi="Calibri"/>
                <w:b w:val="0"/>
                <w:i w:val="0"/>
                <w:color w:val="212121"/>
                <w:sz w:val="16"/>
              </w:rPr>
              <w:t>Identifies occult blood loss; mandatory in men and older adults</w:t>
            </w:r>
          </w:p>
        </w:tc>
        <w:tc>
          <w:tcPr>
            <w:tcW w:type="dxa" w:w="1036"/>
            <w:vAlign w:val="top"/>
          </w:tcPr>
          <w:p>
            <w:pPr>
              <w:spacing w:after="40" w:before="0" w:line="259" w:lineRule="auto"/>
            </w:pPr>
            <w:r>
              <w:rPr>
                <w:rFonts w:ascii="Calibri" w:hAnsi="Calibri"/>
                <w:b w:val="0"/>
                <w:i w:val="0"/>
                <w:color w:val="212121"/>
                <w:sz w:val="16"/>
              </w:rPr>
              <w:t>Men, elderly, unexplained iron deficiency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A red flag for gastrointestinal malignancy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Fatigue, restless legs, pica/ice-craving, hair loss, poor concentration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Non-specific but suggestive of tissue iron deficiency even with normal haemoglobin</w:t>
            </w:r>
          </w:p>
        </w:tc>
        <w:tc>
          <w:tcPr>
            <w:tcW w:type="dxa" w:w="1036"/>
            <w:vAlign w:val="top"/>
          </w:tcPr>
          <w:p>
            <w:pPr>
              <w:spacing w:after="40" w:before="0" w:line="259" w:lineRule="auto"/>
            </w:pPr>
            <w:r>
              <w:rPr>
                <w:rFonts w:ascii="Calibri" w:hAnsi="Calibri"/>
                <w:b w:val="0"/>
                <w:i w:val="0"/>
                <w:color w:val="212121"/>
                <w:sz w:val="16"/>
              </w:rPr>
              <w:t>Fatigued adults, adolescents</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Pica (pagophagia/ice-craving) is fairly specific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IRIDA, coeliac disease, bleeding disorders, thalassaemia trait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w:t>
            </w:r>
          </w:p>
        </w:tc>
        <w:tc>
          <w:tcPr>
            <w:tcW w:type="dxa" w:w="1036"/>
            <w:vAlign w:val="top"/>
          </w:tcPr>
          <w:p>
            <w:pPr>
              <w:spacing w:after="40" w:before="0" w:line="259" w:lineRule="auto"/>
            </w:pPr>
            <w:r>
              <w:rPr>
                <w:rFonts w:ascii="Calibri" w:hAnsi="Calibri"/>
                <w:b w:val="0"/>
                <w:i w:val="0"/>
                <w:color w:val="212121"/>
                <w:sz w:val="16"/>
              </w:rPr>
              <w:t>Points to an inherited absorption defect or an alternative cause of microcytosis</w:t>
            </w:r>
          </w:p>
        </w:tc>
        <w:tc>
          <w:tcPr>
            <w:tcW w:type="dxa" w:w="1036"/>
            <w:vAlign w:val="top"/>
          </w:tcPr>
          <w:p>
            <w:pPr>
              <w:spacing w:after="40" w:before="0" w:line="259" w:lineRule="auto"/>
            </w:pPr>
            <w:r>
              <w:rPr>
                <w:rFonts w:ascii="Calibri" w:hAnsi="Calibri"/>
                <w:b w:val="0"/>
                <w:i w:val="0"/>
                <w:color w:val="212121"/>
                <w:sz w:val="16"/>
              </w:rPr>
              <w:t>Oral-iron non-responders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Helps distinguish thalassaemia trait from iron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Pallor &amp; epithelial signs</w:t>
            </w:r>
          </w:p>
        </w:tc>
        <w:tc>
          <w:tcPr>
            <w:tcW w:type="dxa" w:w="979"/>
            <w:vAlign w:val="top"/>
          </w:tcPr>
          <w:p>
            <w:pPr>
              <w:spacing w:after="40" w:before="0" w:line="259" w:lineRule="auto"/>
            </w:pPr>
            <w:r>
              <w:rPr>
                <w:rFonts w:ascii="Calibri" w:hAnsi="Calibri"/>
                <w:b w:val="0"/>
                <w:i w:val="0"/>
                <w:color w:val="212121"/>
                <w:sz w:val="16"/>
              </w:rPr>
              <w:t>Conjunctival/palmar pallor, koilonychia, angular cheilitis, glossitis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Usually absent in non-anemic iron deficiency; when present they imply longstanding or severe deficiency</w:t>
            </w:r>
          </w:p>
        </w:tc>
        <w:tc>
          <w:tcPr>
            <w:tcW w:type="dxa" w:w="1036"/>
            <w:vAlign w:val="top"/>
          </w:tcPr>
          <w:p>
            <w:pPr>
              <w:spacing w:after="40" w:before="0" w:line="259" w:lineRule="auto"/>
            </w:pPr>
            <w:r>
              <w:rPr>
                <w:rFonts w:ascii="Calibri" w:hAnsi="Calibri"/>
                <w:b w:val="0"/>
                <w:i w:val="0"/>
                <w:color w:val="212121"/>
                <w:sz w:val="16"/>
              </w:rPr>
              <w:t>Chronic iron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Insensitive in the early, non-anemic phase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Cause-directed exam</w:t>
            </w:r>
          </w:p>
        </w:tc>
        <w:tc>
          <w:tcPr>
            <w:tcW w:type="dxa" w:w="979"/>
            <w:vAlign w:val="top"/>
          </w:tcPr>
          <w:p>
            <w:pPr>
              <w:spacing w:after="40" w:before="0" w:line="259" w:lineRule="auto"/>
            </w:pPr>
            <w:r>
              <w:rPr>
                <w:rFonts w:ascii="Calibri" w:hAnsi="Calibri"/>
                <w:b w:val="0"/>
                <w:i w:val="0"/>
                <w:color w:val="212121"/>
                <w:sz w:val="16"/>
              </w:rPr>
              <w:t>Abdominal/pelvic mass, per-rectal exam, thyroid</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Fibroid, abdominal mass, positive PR exam</w:t>
            </w:r>
          </w:p>
        </w:tc>
        <w:tc>
          <w:tcPr>
            <w:tcW w:type="dxa" w:w="1036"/>
            <w:vAlign w:val="top"/>
          </w:tcPr>
          <w:p>
            <w:pPr>
              <w:spacing w:after="40" w:before="0" w:line="259" w:lineRule="auto"/>
            </w:pPr>
            <w:r>
              <w:rPr>
                <w:rFonts w:ascii="Calibri" w:hAnsi="Calibri"/>
                <w:b w:val="0"/>
                <w:i w:val="0"/>
                <w:color w:val="212121"/>
                <w:sz w:val="16"/>
              </w:rPr>
              <w:t>Localises the bleeding source or an associated disease</w:t>
            </w:r>
          </w:p>
        </w:tc>
        <w:tc>
          <w:tcPr>
            <w:tcW w:type="dxa" w:w="1036"/>
            <w:vAlign w:val="top"/>
          </w:tcPr>
          <w:p>
            <w:pPr>
              <w:spacing w:after="40" w:before="0" w:line="259" w:lineRule="auto"/>
            </w:pPr>
            <w:r>
              <w:rPr>
                <w:rFonts w:ascii="Calibri" w:hAnsi="Calibri"/>
                <w:b w:val="0"/>
                <w:i w:val="0"/>
                <w:color w:val="212121"/>
                <w:sz w:val="16"/>
              </w:rPr>
              <w:t>Menorrhagia, GI blood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Guides onward referral and investigation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oxidative capacity in muscle and brain from low tissue iron; the commonest and earliest symptom, present before anaemia develops.</w:t>
            </w:r>
          </w:p>
        </w:tc>
      </w:tr>
      <w:tr>
        <w:trPr>
          <w:cantSplit/>
        </w:trPr>
        <w:tc>
          <w:tcPr>
            <w:tcW w:type="dxa" w:w="2304"/>
            <w:vAlign w:val="top"/>
          </w:tcPr>
          <w:p>
            <w:pPr>
              <w:spacing w:after="40" w:before="0" w:line="259" w:lineRule="auto"/>
            </w:pPr>
            <w:r>
              <w:rPr>
                <w:rFonts w:ascii="Calibri" w:hAnsi="Calibri"/>
                <w:b/>
                <w:i w:val="0"/>
                <w:color w:val="212121"/>
                <w:sz w:val="19"/>
              </w:rPr>
              <w:t>Reduced exercise tolerance / exertional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Iron-dependent muscle enzymes and oxygen utilisation are impaired, cutting endurance even when haemoglobin is normal.</w:t>
            </w:r>
          </w:p>
        </w:tc>
      </w:tr>
      <w:tr>
        <w:trPr>
          <w:cantSplit/>
        </w:trPr>
        <w:tc>
          <w:tcPr>
            <w:tcW w:type="dxa" w:w="2304"/>
            <w:vAlign w:val="top"/>
          </w:tcPr>
          <w:p>
            <w:pPr>
              <w:spacing w:after="40" w:before="0" w:line="259" w:lineRule="auto"/>
            </w:pPr>
            <w:r>
              <w:rPr>
                <w:rFonts w:ascii="Calibri" w:hAnsi="Calibri"/>
                <w:b/>
                <w:i w:val="0"/>
                <w:color w:val="212121"/>
                <w:sz w:val="19"/>
              </w:rPr>
              <w:t>Poor concentration, 'brain fog' &amp;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is essential for neurotransmitter (dopamine) synthesis; deficiency reduces attention, memory and mood.</w:t>
            </w:r>
          </w:p>
        </w:tc>
      </w:tr>
      <w:tr>
        <w:trPr>
          <w:cantSplit/>
        </w:trPr>
        <w:tc>
          <w:tcPr>
            <w:tcW w:type="dxa" w:w="2304"/>
            <w:vAlign w:val="top"/>
          </w:tcPr>
          <w:p>
            <w:pPr>
              <w:spacing w:after="40" w:before="0" w:line="259" w:lineRule="auto"/>
            </w:pPr>
            <w:r>
              <w:rPr>
                <w:rFonts w:ascii="Calibri" w:hAnsi="Calibri"/>
                <w:b/>
                <w:i w:val="0"/>
                <w:color w:val="212121"/>
                <w:sz w:val="19"/>
              </w:rPr>
              <w:t>Hair shedding / thinning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telogen effluvium; low ferritin is associated with increased hair loss.</w:t>
            </w:r>
          </w:p>
        </w:tc>
      </w:tr>
      <w:tr>
        <w:trPr>
          <w:cantSplit/>
        </w:trPr>
        <w:tc>
          <w:tcPr>
            <w:tcW w:type="dxa" w:w="2304"/>
            <w:vAlign w:val="top"/>
          </w:tcPr>
          <w:p>
            <w:pPr>
              <w:spacing w:after="40" w:before="0" w:line="259" w:lineRule="auto"/>
            </w:pPr>
            <w:r>
              <w:rPr>
                <w:rFonts w:ascii="Calibri" w:hAnsi="Calibri"/>
                <w:b/>
                <w:i w:val="0"/>
                <w:color w:val="212121"/>
                <w:sz w:val="19"/>
              </w:rPr>
              <w:t>Headache, lightheadedness or dizziness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related to reduced cerebral oxygen utilisation.</w:t>
            </w:r>
          </w:p>
        </w:tc>
      </w:tr>
      <w:tr>
        <w:trPr>
          <w:cantSplit/>
        </w:trPr>
        <w:tc>
          <w:tcPr>
            <w:tcW w:type="dxa" w:w="2304"/>
            <w:vAlign w:val="top"/>
          </w:tcPr>
          <w:p>
            <w:pPr>
              <w:spacing w:after="40" w:before="0" w:line="259" w:lineRule="auto"/>
            </w:pPr>
            <w:r>
              <w:rPr>
                <w:rFonts w:ascii="Calibri" w:hAnsi="Calibri"/>
                <w:b/>
                <w:i w:val="0"/>
                <w:color w:val="212121"/>
                <w:sz w:val="19"/>
              </w:rPr>
              <w:t>Cold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thermoregulation from low tissue iron.</w:t>
            </w:r>
          </w:p>
        </w:tc>
      </w:tr>
      <w:tr>
        <w:trPr>
          <w:cantSplit/>
        </w:trPr>
        <w:tc>
          <w:tcPr>
            <w:tcW w:type="dxa" w:w="2304"/>
            <w:vAlign w:val="top"/>
          </w:tcPr>
          <w:p>
            <w:pPr>
              <w:spacing w:after="40" w:before="0" w:line="259" w:lineRule="auto"/>
            </w:pPr>
            <w:r>
              <w:rPr>
                <w:rFonts w:ascii="Calibri" w:hAnsi="Calibri"/>
                <w:b/>
                <w:i w:val="0"/>
                <w:color w:val="212121"/>
                <w:sz w:val="19"/>
              </w:rPr>
              <w:t>Restless legs (urge to move legs, worse at night)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Iron is a cofactor for brain dopamine synthesis; restless legs syndrome occurs in about 32-40% of iron-deficient people.</w:t>
            </w:r>
          </w:p>
        </w:tc>
      </w:tr>
      <w:tr>
        <w:trPr>
          <w:cantSplit/>
        </w:trPr>
        <w:tc>
          <w:tcPr>
            <w:tcW w:type="dxa" w:w="2304"/>
            <w:vAlign w:val="top"/>
          </w:tcPr>
          <w:p>
            <w:pPr>
              <w:spacing w:after="40" w:before="0" w:line="259" w:lineRule="auto"/>
            </w:pPr>
            <w:r>
              <w:rPr>
                <w:rFonts w:ascii="Calibri" w:hAnsi="Calibri"/>
                <w:b/>
                <w:i w:val="0"/>
                <w:color w:val="212121"/>
                <w:sz w:val="19"/>
              </w:rPr>
              <w:t>Pica — craving ice (pagophagia), clay or starch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Unusual non-food cravings, especially for ice, are fairly specific and reported in roughly 40-50% of iron-deficient individuals.</w:t>
            </w:r>
          </w:p>
        </w:tc>
      </w:tr>
      <w:tr>
        <w:trPr>
          <w:cantSplit/>
        </w:trPr>
        <w:tc>
          <w:tcPr>
            <w:tcW w:type="dxa" w:w="2304"/>
            <w:vAlign w:val="top"/>
          </w:tcPr>
          <w:p>
            <w:pPr>
              <w:spacing w:after="40" w:before="0" w:line="259" w:lineRule="auto"/>
            </w:pPr>
            <w:r>
              <w:rPr>
                <w:rFonts w:ascii="Calibri" w:hAnsi="Calibri"/>
                <w:b/>
                <w:i w:val="0"/>
                <w:color w:val="212121"/>
                <w:sz w:val="19"/>
              </w:rPr>
              <w:t>Sore or burning tongue /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Atrophic changes of the oral mucosa from epithelial iron lack.</w:t>
            </w:r>
          </w:p>
        </w:tc>
      </w:tr>
      <w:tr>
        <w:trPr>
          <w:cantSplit/>
        </w:trPr>
        <w:tc>
          <w:tcPr>
            <w:tcW w:type="dxa" w:w="2304"/>
            <w:vAlign w:val="top"/>
          </w:tcPr>
          <w:p>
            <w:pPr>
              <w:spacing w:after="40" w:before="0" w:line="259" w:lineRule="auto"/>
            </w:pPr>
            <w:r>
              <w:rPr>
                <w:rFonts w:ascii="Calibri" w:hAnsi="Calibri"/>
                <w:b/>
                <w:i w:val="0"/>
                <w:color w:val="212121"/>
                <w:sz w:val="19"/>
              </w:rPr>
              <w:t>Brittle or spoon-shaped nails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Epithelial change from chronic iron deficiency.</w:t>
            </w:r>
          </w:p>
        </w:tc>
      </w:tr>
      <w:tr>
        <w:trPr>
          <w:cantSplit/>
        </w:trPr>
        <w:tc>
          <w:tcPr>
            <w:tcW w:type="dxa" w:w="2304"/>
            <w:vAlign w:val="top"/>
          </w:tcPr>
          <w:p>
            <w:pPr>
              <w:spacing w:after="40" w:before="0" w:line="259" w:lineRule="auto"/>
            </w:pPr>
            <w:r>
              <w:rPr>
                <w:rFonts w:ascii="Calibri" w:hAnsi="Calibri"/>
                <w:b/>
                <w:i w:val="0"/>
                <w:color w:val="212121"/>
                <w:sz w:val="19"/>
              </w:rPr>
              <w:t>Reduced work productivity / daytime sleepiness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Cumulative effect of fatigue and poor concentration on daily function and output.</w:t>
            </w:r>
          </w:p>
        </w:tc>
      </w:tr>
      <w:tr>
        <w:trPr>
          <w:cantSplit/>
        </w:trPr>
        <w:tc>
          <w:tcPr>
            <w:tcW w:type="dxa" w:w="2304"/>
            <w:vAlign w:val="top"/>
          </w:tcPr>
          <w:p>
            <w:pPr>
              <w:spacing w:after="40" w:before="0" w:line="259" w:lineRule="auto"/>
            </w:pPr>
            <w:r>
              <w:rPr>
                <w:rFonts w:ascii="Calibri" w:hAnsi="Calibri"/>
                <w:b/>
                <w:i w:val="0"/>
                <w:color w:val="212121"/>
                <w:sz w:val="19"/>
              </w:rPr>
              <w:t>Frequent or prolonged infections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Iron is required for normal immune-cell function; deficiency may modestly impair immunity.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Diffuse hair thinning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Telogen effluvium associated with low ferritin; often noticed before other signs.</w:t>
            </w:r>
          </w:p>
        </w:tc>
      </w:tr>
      <w:tr>
        <w:trPr>
          <w:cantSplit/>
        </w:trPr>
        <w:tc>
          <w:tcPr>
            <w:tcW w:type="dxa" w:w="3456"/>
            <w:vAlign w:val="top"/>
          </w:tcPr>
          <w:p>
            <w:pPr>
              <w:spacing w:after="40" w:before="0" w:line="259" w:lineRule="auto"/>
            </w:pPr>
            <w:r>
              <w:rPr>
                <w:rFonts w:ascii="Calibri" w:hAnsi="Calibri"/>
                <w:b/>
                <w:i w:val="0"/>
                <w:color w:val="212121"/>
                <w:sz w:val="19"/>
              </w:rPr>
              <w:t>Brittle, ridged or flattened nails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nail changes that precede frank koilonychia.</w:t>
            </w:r>
          </w:p>
        </w:tc>
      </w:tr>
      <w:tr>
        <w:trPr>
          <w:cantSplit/>
        </w:trPr>
        <w:tc>
          <w:tcPr>
            <w:tcW w:type="dxa" w:w="3456"/>
            <w:vAlign w:val="top"/>
          </w:tcPr>
          <w:p>
            <w:pPr>
              <w:spacing w:after="40" w:before="0" w:line="259" w:lineRule="auto"/>
            </w:pPr>
            <w:r>
              <w:rPr>
                <w:rFonts w:ascii="Calibri" w:hAnsi="Calibri"/>
                <w:b/>
                <w:i w:val="0"/>
                <w:color w:val="212121"/>
                <w:sz w:val="19"/>
              </w:rPr>
              <w:t>Signs of the underlying cause (pelvic/fibroid mass, positive faecal occult blood)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cause-directed examination frequently reveals the bleeding source.</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Often ABSENT in non-anemic iron deficiency; appears only as haemoglobin falls.</w:t>
            </w:r>
          </w:p>
        </w:tc>
      </w:tr>
      <w:tr>
        <w:trPr>
          <w:cantSplit/>
        </w:trPr>
        <w:tc>
          <w:tcPr>
            <w:tcW w:type="dxa" w:w="3456"/>
            <w:vAlign w:val="top"/>
          </w:tcPr>
          <w:p>
            <w:pPr>
              <w:spacing w:after="40" w:before="0" w:line="259" w:lineRule="auto"/>
            </w:pPr>
            <w:r>
              <w:rPr>
                <w:rFonts w:ascii="Calibri" w:hAnsi="Calibri"/>
                <w:b/>
                <w:i w:val="0"/>
                <w:color w:val="212121"/>
                <w:sz w:val="19"/>
              </w:rPr>
              <w:t>Koilonychia (spoon-shaped nails)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Nail-bed epithelial change of longstanding iron deficiency.</w:t>
            </w:r>
          </w:p>
        </w:tc>
      </w:tr>
      <w:tr>
        <w:trPr>
          <w:cantSplit/>
        </w:trPr>
        <w:tc>
          <w:tcPr>
            <w:tcW w:type="dxa" w:w="3456"/>
            <w:vAlign w:val="top"/>
          </w:tcPr>
          <w:p>
            <w:pPr>
              <w:spacing w:after="40" w:before="0" w:line="259" w:lineRule="auto"/>
            </w:pPr>
            <w:r>
              <w:rPr>
                <w:rFonts w:ascii="Calibri" w:hAnsi="Calibri"/>
                <w:b/>
                <w:i w:val="0"/>
                <w:color w:val="212121"/>
                <w:sz w:val="19"/>
              </w:rPr>
              <w:t>Angular cheilitis / angular stomatitis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Fissuring at the corners of the mouth from mucosal iron lack.</w:t>
            </w:r>
          </w:p>
        </w:tc>
      </w:tr>
      <w:tr>
        <w:trPr>
          <w:cantSplit/>
        </w:trPr>
        <w:tc>
          <w:tcPr>
            <w:tcW w:type="dxa" w:w="3456"/>
            <w:vAlign w:val="top"/>
          </w:tcPr>
          <w:p>
            <w:pPr>
              <w:spacing w:after="40" w:before="0" w:line="259" w:lineRule="auto"/>
            </w:pPr>
            <w:r>
              <w:rPr>
                <w:rFonts w:ascii="Calibri" w:hAnsi="Calibri"/>
                <w:b/>
                <w:i w:val="0"/>
                <w:color w:val="212121"/>
                <w:sz w:val="19"/>
              </w:rPr>
              <w:t>Atrophic glossitis (smooth, pale, depapillated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tongue papillae; may cause soreness or burning.</w:t>
            </w:r>
          </w:p>
        </w:tc>
      </w:tr>
      <w:tr>
        <w:trPr>
          <w:cantSplit/>
        </w:trPr>
        <w:tc>
          <w:tcPr>
            <w:tcW w:type="dxa" w:w="3456"/>
            <w:vAlign w:val="top"/>
          </w:tcPr>
          <w:p>
            <w:pPr>
              <w:spacing w:after="40" w:before="0" w:line="259" w:lineRule="auto"/>
            </w:pPr>
            <w:r>
              <w:rPr>
                <w:rFonts w:ascii="Calibri" w:hAnsi="Calibri"/>
                <w:b/>
                <w:i w:val="0"/>
                <w:color w:val="212121"/>
                <w:sz w:val="19"/>
              </w:rPr>
              <w:t>Resting or exertional tachycardia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Compensatory response as tissue oxygen delivery falls.</w:t>
            </w:r>
          </w:p>
        </w:tc>
      </w:tr>
      <w:tr>
        <w:trPr>
          <w:cantSplit/>
        </w:trPr>
        <w:tc>
          <w:tcPr>
            <w:tcW w:type="dxa" w:w="3456"/>
            <w:vAlign w:val="top"/>
          </w:tcPr>
          <w:p>
            <w:pPr>
              <w:spacing w:after="40" w:before="0" w:line="259" w:lineRule="auto"/>
            </w:pPr>
            <w:r>
              <w:rPr>
                <w:rFonts w:ascii="Calibri" w:hAnsi="Calibri"/>
                <w:b/>
                <w:i w:val="0"/>
                <w:color w:val="212121"/>
                <w:sz w:val="19"/>
              </w:rPr>
              <w:t>Blue-tinged sclera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Thinned sclera reveals the underlying choroid in chronic iron deficiency.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iron-deficiency anaemia (microcytic, hypochromic)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erythropoiesis with reduced tissue oxygen delivery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fatigue and reduced physical work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concentration, memory and mood</w:t>
            </w:r>
          </w:p>
        </w:tc>
        <w:tc>
          <w:tcPr>
            <w:tcW w:type="dxa" w:w="2980"/>
            <w:vAlign w:val="top"/>
          </w:tcPr>
          <w:p>
            <w:pPr>
              <w:spacing w:after="40" w:before="0" w:line="259" w:lineRule="auto"/>
            </w:pPr>
            <w:r>
              <w:rPr>
                <w:rFonts w:ascii="Calibri" w:hAnsi="Calibri"/>
                <w:b w:val="0"/>
                <w:i w:val="0"/>
                <w:color w:val="212121"/>
                <w:sz w:val="19"/>
              </w:rPr>
              <w:t>Direct consequences of depleted tissue iron and, if untreated, evolution to overt anaemia.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Restless legs syndrome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Diffuse hair loss and epithelial/nail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immune function and more frequent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symptoms and outcomes in coexisting heart failure and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exercise and athletic performance</w:t>
            </w:r>
          </w:p>
        </w:tc>
        <w:tc>
          <w:tcPr>
            <w:tcW w:type="dxa" w:w="2980"/>
            <w:vAlign w:val="top"/>
          </w:tcPr>
          <w:p>
            <w:pPr>
              <w:spacing w:after="40" w:before="0" w:line="259" w:lineRule="auto"/>
            </w:pPr>
            <w:r>
              <w:rPr>
                <w:rFonts w:ascii="Calibri" w:hAnsi="Calibri"/>
                <w:b w:val="0"/>
                <w:i w:val="0"/>
                <w:color w:val="212121"/>
                <w:sz w:val="19"/>
              </w:rPr>
              <w:t>Systemic effects of iron-dependent enzyme and neurotransmitter dysfunction, appearing even before anaemia.</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impaired fetal brain development, low birth weight and preterm birth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cognitive, educational and occupational productivity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severe anaemia with high-output cardiac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Plummer-Vinson syndrome (oesophageal web, dysphagia) in chronic severe cases</w:t>
            </w:r>
          </w:p>
        </w:tc>
        <w:tc>
          <w:tcPr>
            <w:tcW w:type="dxa" w:w="2980"/>
            <w:vAlign w:val="top"/>
          </w:tcPr>
          <w:p>
            <w:pPr>
              <w:spacing w:after="40" w:before="0" w:line="259" w:lineRule="auto"/>
            </w:pPr>
            <w:r>
              <w:rPr>
                <w:rFonts w:ascii="Calibri" w:hAnsi="Calibri"/>
                <w:b w:val="0"/>
                <w:i w:val="0"/>
                <w:color w:val="212121"/>
                <w:sz w:val="19"/>
              </w:rPr>
              <w:t>Serious or irreversible long-term outcomes of prolonged, untreated iron deficiency, especially across pregnancy and childhood.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Heavy menstrual bleeding (menorrhagia)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Leading cause of iron loss in reproductive-age women, often from fibroids, adenomyosis or a bleeding disorder.</w:t>
            </w:r>
          </w:p>
        </w:tc>
      </w:tr>
      <w:tr>
        <w:trPr>
          <w:cantSplit/>
        </w:trPr>
        <w:tc>
          <w:tcPr>
            <w:tcW w:type="dxa" w:w="2232"/>
            <w:vAlign w:val="top"/>
          </w:tcPr>
          <w:p>
            <w:pPr>
              <w:spacing w:after="40" w:before="0" w:line="259" w:lineRule="auto"/>
            </w:pPr>
            <w:r>
              <w:rPr>
                <w:rFonts w:ascii="Calibri" w:hAnsi="Calibri"/>
                <w:b/>
                <w:i w:val="0"/>
                <w:color w:val="212121"/>
                <w:sz w:val="19"/>
              </w:rPr>
              <w:t>Restless legs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Iron-dependent dopamine dysfunction; occurs in a large share of iron-deficient people and responds to iron repletion.</w:t>
            </w:r>
          </w:p>
          <w:p>
            <w:pPr>
              <w:spacing w:after="40" w:before="0" w:line="259" w:lineRule="auto"/>
            </w:pPr>
            <w:r>
              <w:rPr>
                <w:rFonts w:ascii="Calibri" w:hAnsi="Calibri"/>
                <w:b/>
                <w:i w:val="0"/>
                <w:color w:val="212121"/>
                <w:sz w:val="19"/>
              </w:rPr>
              <w:t>~32-40%</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Inflammation and reduced absorption cause both absolute and functional (hepcidin-mediated) iron deficiency.</w:t>
            </w:r>
          </w:p>
          <w:p>
            <w:pPr>
              <w:spacing w:after="40" w:before="0" w:line="259" w:lineRule="auto"/>
            </w:pPr>
            <w:r>
              <w:rPr>
                <w:rFonts w:ascii="Calibri" w:hAnsi="Calibri"/>
                <w:b/>
                <w:i w:val="0"/>
                <w:color w:val="212121"/>
                <w:sz w:val="19"/>
              </w:rPr>
              <w:t>24-85%</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Iron deficiency is common and independently worsens symptoms, exercise capacity and prognosis.</w:t>
            </w:r>
          </w:p>
          <w:p>
            <w:pPr>
              <w:spacing w:after="40" w:before="0" w:line="259" w:lineRule="auto"/>
            </w:pPr>
            <w:r>
              <w:rPr>
                <w:rFonts w:ascii="Calibri" w:hAnsi="Calibri"/>
                <w:b/>
                <w:i w:val="0"/>
                <w:color w:val="212121"/>
                <w:sz w:val="19"/>
              </w:rPr>
              <w:t>37-61%</w:t>
            </w:r>
          </w:p>
        </w:tc>
      </w:tr>
      <w:tr>
        <w:trPr>
          <w:cantSplit/>
        </w:trPr>
        <w:tc>
          <w:tcPr>
            <w:tcW w:type="dxa" w:w="2232"/>
            <w:vAlign w:val="top"/>
          </w:tcPr>
          <w:p>
            <w:pPr>
              <w:spacing w:after="40" w:before="0" w:line="259" w:lineRule="auto"/>
            </w:pPr>
            <w:r>
              <w:rPr>
                <w:rFonts w:ascii="Calibri" w:hAnsi="Calibri"/>
                <w:b/>
                <w:i w:val="0"/>
                <w:color w:val="212121"/>
                <w:sz w:val="19"/>
              </w:rPr>
              <w:t>Inflammatory bowel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blood loss plus malabsorption; iron deficiency is the commonest extra-intestinal complication.</w:t>
            </w:r>
          </w:p>
          <w:p>
            <w:pPr>
              <w:spacing w:after="40" w:before="0" w:line="259" w:lineRule="auto"/>
            </w:pPr>
            <w:r>
              <w:rPr>
                <w:rFonts w:ascii="Calibri" w:hAnsi="Calibri"/>
                <w:b/>
                <w:i w:val="0"/>
                <w:color w:val="212121"/>
                <w:sz w:val="19"/>
              </w:rPr>
              <w:t>13-90%</w:t>
            </w:r>
          </w:p>
        </w:tc>
      </w:tr>
      <w:tr>
        <w:trPr>
          <w:cantSplit/>
        </w:trPr>
        <w:tc>
          <w:tcPr>
            <w:tcW w:type="dxa" w:w="2232"/>
            <w:vAlign w:val="top"/>
          </w:tcPr>
          <w:p>
            <w:pPr>
              <w:spacing w:after="40" w:before="0" w:line="259" w:lineRule="auto"/>
            </w:pPr>
            <w:r>
              <w:rPr>
                <w:rFonts w:ascii="Calibri" w:hAnsi="Calibri"/>
                <w:b/>
                <w:i w:val="0"/>
                <w:color w:val="212121"/>
                <w:sz w:val="19"/>
              </w:rPr>
              <w:t>Coeliac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Duodenal malabsorption; iron deficiency may be the only presenting sign and warrants anti-tTG testing.</w:t>
            </w:r>
          </w:p>
        </w:tc>
      </w:tr>
      <w:tr>
        <w:trPr>
          <w:cantSplit/>
        </w:trPr>
        <w:tc>
          <w:tcPr>
            <w:tcW w:type="dxa" w:w="2232"/>
            <w:vAlign w:val="top"/>
          </w:tcPr>
          <w:p>
            <w:pPr>
              <w:spacing w:after="40" w:before="0" w:line="259" w:lineRule="auto"/>
            </w:pPr>
            <w:r>
              <w:rPr>
                <w:rFonts w:ascii="Calibri" w:hAnsi="Calibri"/>
                <w:b/>
                <w:i w:val="0"/>
                <w:color w:val="212121"/>
                <w:sz w:val="19"/>
              </w:rPr>
              <w:t>Hookworm / soil-transmitted helminthiasis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occult intestinal blood loss; a major and preventable cause of iron deficiency in rural India.</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Hepcidin-mediated low-grade inflammation impairs iron absorption and availability (functional iron deficiency).</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Iron demand peaks and stores are near-exhausted by the third trimester without supplementation.</w:t>
            </w:r>
          </w:p>
          <w:p>
            <w:pPr>
              <w:spacing w:after="40" w:before="0" w:line="259" w:lineRule="auto"/>
            </w:pPr>
            <w:r>
              <w:rPr>
                <w:rFonts w:ascii="Calibri" w:hAnsi="Calibri"/>
                <w:b/>
                <w:i w:val="0"/>
                <w:color w:val="212121"/>
                <w:sz w:val="19"/>
              </w:rPr>
              <w:t>Up to 84%</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normal haemoglobin does NOT exclude iron deficiency — ask for a serum ferritin if you have fatigue, hair loss, ice-craving or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highest-risk groups: menstruating and pregnant women, adolescent girls, young children, vegetarians, frequent blood donors and 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tea and coffee from meals by at least one hour, as their tannins block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iron-rich foods with a vitamin-C source (lemon, amla, guava, citrus, tomato) to boost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periodic deworming and safe sanitation in hookworm-endemic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Participate in Anemia Mukt Bharat / weekly iron-folic-acid supplementation (WIFS) for adolescents and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&amp;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Blood donors &amp; athletes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moderate activity — iron repletion restores exercise capacity and reduces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 and heavy trainers should screen ferritin periodically and replace iron before performance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intense over-training on depleted stores, which raises hepcidin and worsens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iron repletion with graded aerobic activity to rebuild stamina.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iron-rich foods daily — (non-veg) lean red meat, liver, poultry, fish and egg; (veg) legumes, dark leafy greens, jaggery, dates, nuts, seeds and iron-rich millets such as ragi and bajra.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vitamin-C source to each meal (amla, lemon, guava, citrus, tomato) to enhance non-haem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phytate by soaking, sprouting and fermenting cereals and pulses (idli/dosa batter, sprouted moong).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 and coffee with or immediately after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iron-fortified staples (fortified wheat flour, fortified rice, double-fortified salt) and cook in iron/cast-iron vessels.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Tea-belt populations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oral elemental iron (ferrous sulfate/fumarate/ascorbate) on an empty stomach with a vitamin-C source.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alternate-day, once-daily dosing, which improves fractional absorption and reduces gastrointestinal side-effects.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iron for about 3 months after ferritin normalises to refill stores, not just to correct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intravenous iron for malabsorption, intolerance, ongoing losses, advanced pregnancy or IRIDA/refractory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ferritin and haemoglobin after 8-12 weeks to confirm the response.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Malabsorption/coeliac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Menorrhagia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Oral-iron non-responders (IRIDA)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restless legs and disturbed sleep by correcting iron deficiency, targeting a higher ferritin.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timing and a wind-down routine to limit the amplification of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Reassess sleep and restless-legs symptoms after iron repletion.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smoking to lower peptic-ulcer and gastrointestinal bleeding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smoking raises haemoglobin and can mask iron deficiency on haemoglobin-only tests — check ferritin.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Helicobacter pylori testing and treatment if dyspepsia or ulcer symptoms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dyspepsia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unexplained iron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gastritis and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Reducing alcohol improves appetite, diet quality and iron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Investigate for gastrointestinal blood loss in heavy drinkers who are iron deficient.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GI blood loss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fatigue, low mood and brain fog — iron repletion improves subjective fatigue and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overlapping depression and anxiety, which share fatigue symptoms with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expectations that cognitive and energy benefits appear gradually over weeks of repletion.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poor concentration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0159291/" TargetMode="External"/><Relationship Id="rId10" Type="http://schemas.openxmlformats.org/officeDocument/2006/relationships/hyperlink" Target="https://pubmed.ncbi.nlm.nih.gov/34049401/" TargetMode="External"/><Relationship Id="rId11" Type="http://schemas.openxmlformats.org/officeDocument/2006/relationships/hyperlink" Target="https://www.nature.com/articles/s41430-024-01559-w" TargetMode="External"/><Relationship Id="rId12" Type="http://schemas.openxmlformats.org/officeDocument/2006/relationships/hyperlink" Target="https://www.researchsquare.com/article/rs-9210668/v1" TargetMode="External"/><Relationship Id="rId13" Type="http://schemas.openxmlformats.org/officeDocument/2006/relationships/hyperlink" Target="https://pubmed.ncbi.nlm.nih.gov/11916761/" TargetMode="External"/><Relationship Id="rId14" Type="http://schemas.openxmlformats.org/officeDocument/2006/relationships/hyperlink" Target="https://www.fao.org/4/y8346m/y8346m07.htm" TargetMode="External"/><Relationship Id="rId15" Type="http://schemas.openxmlformats.org/officeDocument/2006/relationships/hyperlink" Target="https://cdn.who.int/media/docs/default-source/micronutrients/ferritin-guideline/ferritin-guidelines-brochure.pdf?sfvrsn=76a71b5a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