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Folate Deficiency</w:t>
      </w:r>
    </w:p>
    <w:p>
      <w:pPr>
        <w:spacing w:before="0" w:after="160"/>
      </w:pPr>
      <w:r>
        <w:rPr>
          <w:rFonts w:ascii="Calibri" w:hAnsi="Calibri"/>
          <w:b/>
          <w:i w:val="0"/>
          <w:color w:val="212121"/>
          <w:sz w:val="22"/>
        </w:rPr>
        <w:t xml:space="preserve">AKA </w:t>
      </w:r>
      <w:r>
        <w:rPr>
          <w:rFonts w:ascii="Calibri" w:hAnsi="Calibri"/>
          <w:b w:val="0"/>
          <w:i w:val="0"/>
          <w:color w:val="212121"/>
          <w:sz w:val="22"/>
        </w:rPr>
        <w:t>i.e., Folic acid deficiency, Vitamin B9 deficiency, Folate-deficiency anaemia; severe forms present as megaloblastic (macrocytic) anaemia; historically "nutritional macrocytic anaemia"</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Folate deficiency is a common nutritional disorder defined by low folate (vitamin B9) concentrations in serum, plasma and red blood cells, arising from inadequate dietary intake, malabsorption, increased physiological demand, chronic alcohol use or antifolate drugs. Folate is an essential water-soluble B-vitamin required for one-carbon metabolism — the synthesis of purines, thymidylate and methionine — and is therefore critical for DNA/RNA production and rapid cell division. Its lack most affects rapidly proliferating tissues, producing megaloblastic (macrocytic) anaemia, and in women of reproductive age low periconceptional folate is a leading preventable cause of fetal neural tube defects. Because deficiency also elevates plasma homocysteine, it is additionally linked to vascular and adverse-pregnancy outcomes.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Folate deficiency is widespread across the Indian life-course despite a largely plant-based diet, driven by heavy overcooking of vegetables, refined-cereal staples and the near-absence of mandatory folic-acid fortification. India's Comprehensive National Nutrition Survey found folate deficiency in roughly 23% of pre-school children, 28% of school-age children and 37% of adolescents, and a large North-Indian adolescent study reported 41% folate insufficiency, higher in girls than boys. Among urban women in the periconception period, about 24% are folate-deficient with a further ~21% possibly deficient. These low maternal folate stores are reflected in a neural tube defect birth prevalence of about 4.1–4.5 per 1000 births, among the highest reported globally.</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Folate deficiency is confirmed biochemically and supported by characteristic haematological findings; coexisting vitamin B12 deficiency must always be excluded before folate is replaced, because folate alone can mask B12 deficiency and precipitate irreversible neurological damage (the "folate trap"):</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Serum folate &lt; 3 ng/mL (&lt; 7 nmol/L) indicates deficiency (borderline 2–4 ng/mL; normal &gt; 4 ng/mL) — reflects recent intake and is sensitive but fluctuates;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Red-blood-cell (erythrocyte) folate &lt; 140 ng/mL (&lt; 305 nmol/L) reflects depleted tissue stores and chronic deficiency; for optimal neural-tube-defect prevention in women of reproductive age an RBC folate ≥ 400 ng/mL (906 nmol/L) is recommended;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Macrocytic anaemia: raised mean corpuscular volume (MCV) &gt; 100 fL with low haemoglobin;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Peripheral blood smear: oval macrocytes (macro-ovalocytes) and hypersegmented neutrophils (≥ 5 nuclear lobes); severe cases show pancytopenia;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Elevated plasma total homocysteine with a NORMAL methylmalonic acid (MMA) supports folate (rather than B12) deficiency, since MMA rises only in B12 deficiency;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Serum vitamin B12 must be measured to exclude combined or masked B12 deficiency before starting folate.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Folate deficiency can be described by biochemical stage of depletion, by the underlying mechanism, and by its functional consequence:</w:t>
      </w:r>
    </w:p>
    <w:p>
      <w:pPr>
        <w:spacing w:before="0" w:after="80"/>
      </w:pPr>
      <w:r>
        <w:rPr>
          <w:rFonts w:ascii="Calibri" w:hAnsi="Calibri"/>
          <w:b w:val="0"/>
          <w:i w:val="0"/>
          <w:color w:val="212121"/>
          <w:sz w:val="21"/>
        </w:rPr>
        <w:t>(1) By biochemical stage — a progressive continuum from negative folate balance, to folate depletion (falling serum folate), to folate-deficient erythropoiesis (low RBC folate, rising homocysteine and hypersegmented neutrophils), and finally to overt folate-deficiency megaloblastic anaemia with low haemoglobin.</w:t>
      </w:r>
    </w:p>
    <w:p>
      <w:pPr>
        <w:spacing w:before="0" w:after="80"/>
      </w:pPr>
      <w:r>
        <w:rPr>
          <w:rFonts w:ascii="Calibri" w:hAnsi="Calibri"/>
          <w:b w:val="0"/>
          <w:i w:val="0"/>
          <w:color w:val="212121"/>
          <w:sz w:val="21"/>
        </w:rPr>
        <w:t>(2) By mechanism — inadequate intake (poor diet, overcooked food, chronic alcoholism, "tea-and-toast" elderly diets); malabsorption (coeliac disease, inflammatory bowel disease, tropical sprue, bariatric/small-bowel surgery); increased requirement (pregnancy, lactation, chronic haemolytic anaemias, malignancy, rapid growth); impaired utilisation or antagonism (methotrexate, trimethoprim, phenytoin, sulfasalazine and the MTHFR C677T polymorphism); and increased losses (haemodialysis).</w:t>
      </w:r>
    </w:p>
    <w:p>
      <w:pPr>
        <w:spacing w:before="0" w:after="80"/>
      </w:pPr>
      <w:r>
        <w:rPr>
          <w:rFonts w:ascii="Calibri" w:hAnsi="Calibri"/>
          <w:b w:val="0"/>
          <w:i w:val="0"/>
          <w:color w:val="212121"/>
          <w:sz w:val="21"/>
        </w:rPr>
        <w:t>(3) By functional consequence — haematological (megaloblastic macrocytic anaemia, pancytopenia in severe cases), obstetric (neural tube defects, low birth weight, preterm birth, recurrent pregnancy loss) and vascular (hyperhomocysteinaemia with increased thrombotic and cardiovascular risk).</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Inadequate dietary intake: Low consumption of green leafy vegetables, legumes, citrus and fresh fruit, compounded by prolonged boiling and reheating that destroy heat-labile folate; only about 50% of natural food folate is bioavailable versus ~85% of synthetic folic acid.</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Chronic alcohol use: Alcohol impairs intestinal absorption, reduces hepatic storage and increases urinary excretion of folate, and is one of the commonest causes of folate-deficiency megaloblastic anaemia.</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Malabsorption: Coeliac disease, inflammatory bowel disease, tropical sprue (common in the Indian subcontinent), and bariatric or small-bowel surgery reduce jejunal folate uptake.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Increased physiological demand: Pregnancy, lactation, chronic haemolytic anaemias (thalassaemia, sickle-cell disease), malignancy and rapid infant/adolescent growth outstrip supply.</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Antifolate and interfering drugs: Methotrexate and trimethoprim inhibit dihydrofolate reductase, while phenytoin and sulfasalazine impair folate absorption/metabolism.</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Genetic predisposition: The MTHFR C677T (and A1298C) polymorphism reduces methylenetetrahydrofolate reductase activity, lowering active 5-methyltetrahydrofolate and raising homocysteine, thereby increasing functional folate requirement.</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Lack of fortification: Unlike many countries, India has no universal mandatory folic-acid fortification of staple cereals, so population folate status depends almost entirely on natural dietary intake.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(women of reproductive age)</w:t>
            </w:r>
          </w:p>
        </w:tc>
        <w:tc>
          <w:tcPr>
            <w:tcW w:type="dxa" w:w="4276"/>
            <w:vAlign w:val="top"/>
          </w:tcPr>
          <w:p>
            <w:pPr>
              <w:spacing w:after="60" w:line="259" w:lineRule="auto"/>
            </w:pPr>
            <w:r>
              <w:rPr>
                <w:rFonts w:ascii="Calibri" w:hAnsi="Calibri"/>
                <w:b w:val="0"/>
                <w:i w:val="0"/>
                <w:color w:val="212121"/>
                <w:sz w:val="19"/>
              </w:rPr>
              <w:t>Women of reproductive age have high folate turnover for erythropoiesis and are the group in whom deficiency translates directly into pregnancy risk; low periconceptional stores impair the rapid fetal cell division of neural tube closure (days 21–28 of gestation).</w:t>
            </w:r>
          </w:p>
          <w:p>
            <w:pPr>
              <w:spacing w:after="40" w:before="60" w:line="259" w:lineRule="auto"/>
            </w:pPr>
            <w:r>
              <w:rPr>
                <w:rFonts w:ascii="Calibri" w:hAnsi="Calibri"/>
                <w:b w:val="0"/>
                <w:i w:val="0"/>
                <w:color w:val="212121"/>
                <w:sz w:val="19"/>
              </w:rPr>
              <w:t>About 24% of urban Indian women in the periconception period are folate-deficient, with a further ~21% possibly deficient.</w:t>
            </w:r>
          </w:p>
          <w:p>
            <w:pPr>
              <w:spacing w:after="40" w:line="252" w:lineRule="auto"/>
            </w:pPr>
            <w:hyperlink r:id="rId9">
              <w:r>
                <w:rPr>
                  <w:rFonts w:ascii="Calibri" w:hAnsi="Calibri" w:cs="Calibri"/>
                  <w:sz w:val="18"/>
                  <w:color w:val="1155CC"/>
                  <w:u w:val="single"/>
                </w:rPr>
                <w:t xml:space="preserve">nature.com — folate deficiency in urban Indian women (periconception)</w:t>
              </w:r>
            </w:hyperlink>
          </w:p>
          <w:p>
            <w:pPr>
              <w:spacing w:before="60" w:after="40"/>
            </w:pPr>
            <w:r>
              <w:rPr>
                <w:rFonts w:ascii="Calibri" w:hAnsi="Calibri"/>
                <w:b w:val="0"/>
                <w:i w:val="0"/>
                <w:color w:val="5A5A5A"/>
                <w:sz w:val="18"/>
              </w:rPr>
              <w:t>#folate  #reproductiveage  #periconception  #neuraltube  #vitaminB9</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Ageing reduces dietary variety and intestinal absorption; atrophic gastritis, restricted "tea-and-toast" diets, comorbidities and polypharmacy (e.g., anticonvulsants) further lower folate, compounding anaemia and cognitive decline.</w:t>
            </w:r>
          </w:p>
          <w:p>
            <w:pPr>
              <w:spacing w:after="40" w:before="60" w:line="259" w:lineRule="auto"/>
            </w:pPr>
            <w:r>
              <w:rPr>
                <w:rFonts w:ascii="Calibri" w:hAnsi="Calibri"/>
                <w:b w:val="0"/>
                <w:i w:val="0"/>
                <w:color w:val="212121"/>
                <w:sz w:val="19"/>
              </w:rPr>
              <w:t>Older adults are a recognised at-risk group because reduced intake, malabsorption and multiple medications commonly lower folate status.</w:t>
            </w:r>
          </w:p>
          <w:p>
            <w:pPr>
              <w:spacing w:after="40" w:line="252" w:lineRule="auto"/>
            </w:pPr>
            <w:hyperlink r:id="rId10">
              <w:r>
                <w:rPr>
                  <w:rFonts w:ascii="Calibri" w:hAnsi="Calibri" w:cs="Calibri"/>
                  <w:sz w:val="18"/>
                  <w:color w:val="1155CC"/>
                  <w:u w:val="single"/>
                </w:rPr>
                <w:t xml:space="preserve">ods.od.nih.gov — Folate (Health Professional Fact Sheet)</w:t>
              </w:r>
            </w:hyperlink>
          </w:p>
          <w:p>
            <w:pPr>
              <w:spacing w:before="60" w:after="40"/>
            </w:pPr>
            <w:r>
              <w:rPr>
                <w:rFonts w:ascii="Calibri" w:hAnsi="Calibri"/>
                <w:b w:val="0"/>
                <w:i w:val="0"/>
                <w:color w:val="5A5A5A"/>
                <w:sz w:val="18"/>
              </w:rPr>
              <w:t>#elderly  #malabsorption  #polypharmacy  #anemia  #atrophicgastritis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Adolescents</w:t>
            </w:r>
          </w:p>
        </w:tc>
        <w:tc>
          <w:tcPr>
            <w:tcW w:type="dxa" w:w="4276"/>
            <w:vAlign w:val="top"/>
          </w:tcPr>
          <w:p>
            <w:pPr>
              <w:spacing w:after="60" w:line="259" w:lineRule="auto"/>
            </w:pPr>
            <w:r>
              <w:rPr>
                <w:rFonts w:ascii="Calibri" w:hAnsi="Calibri"/>
                <w:b w:val="0"/>
                <w:i w:val="0"/>
                <w:color w:val="212121"/>
                <w:sz w:val="19"/>
              </w:rPr>
              <w:t>The adolescent growth spurt sharply raises folate demand for rapid tissue and red-cell expansion, while diet quality is often poor; girls are particularly affected once menstruation begins.</w:t>
            </w:r>
          </w:p>
          <w:p>
            <w:pPr>
              <w:spacing w:after="40" w:before="60" w:line="259" w:lineRule="auto"/>
            </w:pPr>
            <w:r>
              <w:rPr>
                <w:rFonts w:ascii="Calibri" w:hAnsi="Calibri"/>
                <w:b w:val="0"/>
                <w:i w:val="0"/>
                <w:color w:val="212121"/>
                <w:sz w:val="19"/>
              </w:rPr>
              <w:t>Folate deficiency affects ~37% of Indian adolescents (CNNS); an urban North-India study of 3,129 school children found 41% folate insufficiency, higher in girls.</w:t>
            </w:r>
          </w:p>
          <w:p>
            <w:pPr>
              <w:spacing w:after="40" w:line="252" w:lineRule="auto"/>
            </w:pPr>
            <w:hyperlink r:id="rId11">
              <w:r>
                <w:rPr>
                  <w:rFonts w:ascii="Calibri" w:hAnsi="Calibri" w:cs="Calibri"/>
                  <w:sz w:val="18"/>
                  <w:color w:val="1155CC"/>
                  <w:u w:val="single"/>
                </w:rPr>
                <w:t xml:space="preserve">nature.com — folate deficiency in North Indian adolescents</w:t>
              </w:r>
            </w:hyperlink>
          </w:p>
          <w:p>
            <w:pPr>
              <w:spacing w:before="60" w:after="40"/>
            </w:pPr>
            <w:r>
              <w:rPr>
                <w:rFonts w:ascii="Calibri" w:hAnsi="Calibri"/>
                <w:b w:val="0"/>
                <w:i w:val="0"/>
                <w:color w:val="5A5A5A"/>
                <w:sz w:val="18"/>
              </w:rPr>
              <w:t>#adolescents  #growthspurt  #girls  #CNNS  #schoolchildren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Menstrual blood loss, pregnancy and lactation raise folate requirement in women; the RDA rises from 400 to 600 mcg DFE/day in pregnancy, and females consistently show higher rates of folate insufficiency than males.</w:t>
            </w:r>
          </w:p>
          <w:p>
            <w:pPr>
              <w:spacing w:after="40" w:before="60" w:line="259" w:lineRule="auto"/>
            </w:pPr>
            <w:r>
              <w:rPr>
                <w:rFonts w:ascii="Calibri" w:hAnsi="Calibri"/>
                <w:b w:val="0"/>
                <w:i w:val="0"/>
                <w:color w:val="212121"/>
                <w:sz w:val="19"/>
              </w:rPr>
              <w:t>Indian adolescent surveys show girls have significantly higher folate insufficiency than boys; pregnancy raises the folate RDA to 600 mcg DFE/day.</w:t>
            </w:r>
          </w:p>
          <w:p>
            <w:pPr>
              <w:spacing w:after="40" w:line="252" w:lineRule="auto"/>
            </w:pPr>
            <w:hyperlink r:id="rId11">
              <w:r>
                <w:rPr>
                  <w:rFonts w:ascii="Calibri" w:hAnsi="Calibri" w:cs="Calibri"/>
                  <w:sz w:val="18"/>
                  <w:color w:val="1155CC"/>
                  <w:u w:val="single"/>
                </w:rPr>
                <w:t xml:space="preserve">nature.com — folate insufficiency, sex differences (North India)</w:t>
              </w:r>
            </w:hyperlink>
          </w:p>
          <w:p>
            <w:pPr>
              <w:spacing w:before="60" w:after="40"/>
            </w:pPr>
            <w:r>
              <w:rPr>
                <w:rFonts w:ascii="Calibri" w:hAnsi="Calibri"/>
                <w:b w:val="0"/>
                <w:i w:val="0"/>
                <w:color w:val="5A5A5A"/>
                <w:sz w:val="18"/>
              </w:rPr>
              <w:t>#female  #pregnancy  #lactation  #menstruation  #increaseddemand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low-education households</w:t>
            </w:r>
          </w:p>
        </w:tc>
        <w:tc>
          <w:tcPr>
            <w:tcW w:type="dxa" w:w="4276"/>
            <w:vAlign w:val="top"/>
          </w:tcPr>
          <w:p>
            <w:pPr>
              <w:spacing w:after="60" w:line="259" w:lineRule="auto"/>
            </w:pPr>
            <w:r>
              <w:rPr>
                <w:rFonts w:ascii="Calibri" w:hAnsi="Calibri"/>
                <w:b w:val="0"/>
                <w:i w:val="0"/>
                <w:color w:val="212121"/>
                <w:sz w:val="19"/>
              </w:rPr>
              <w:t>Poverty limits access to fresh green vegetables, fruit, dairy and supplements, while low maternal education reduces awareness of periconceptional folate; both independently predict deficiency.</w:t>
            </w:r>
          </w:p>
          <w:p>
            <w:pPr>
              <w:spacing w:after="40" w:before="60" w:line="259" w:lineRule="auto"/>
            </w:pPr>
            <w:r>
              <w:rPr>
                <w:rFonts w:ascii="Calibri" w:hAnsi="Calibri"/>
                <w:b w:val="0"/>
                <w:i w:val="0"/>
                <w:color w:val="212121"/>
                <w:sz w:val="19"/>
              </w:rPr>
              <w:t>Low maternal education independently raised the odds of folate deficiency (aOR 1.67) in urban Indian women, while prenatal folic-acid supplementation was strongly protective (aOR 0.17).</w:t>
            </w:r>
          </w:p>
          <w:p>
            <w:pPr>
              <w:spacing w:after="40" w:line="252" w:lineRule="auto"/>
            </w:pPr>
            <w:hyperlink r:id="rId9">
              <w:r>
                <w:rPr>
                  <w:rFonts w:ascii="Calibri" w:hAnsi="Calibri" w:cs="Calibri"/>
                  <w:sz w:val="18"/>
                  <w:color w:val="1155CC"/>
                  <w:u w:val="single"/>
                </w:rPr>
                <w:t xml:space="preserve">nature.com — determinants of folate deficiency (urban India)</w:t>
              </w:r>
            </w:hyperlink>
          </w:p>
          <w:p>
            <w:pPr>
              <w:spacing w:before="60" w:after="40"/>
            </w:pPr>
            <w:r>
              <w:rPr>
                <w:rFonts w:ascii="Calibri" w:hAnsi="Calibri"/>
                <w:b w:val="0"/>
                <w:i w:val="0"/>
                <w:color w:val="5A5A5A"/>
                <w:sz w:val="18"/>
              </w:rPr>
              <w:t>#poverty  #education  #access  #supplementation  #healthinequity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North Indian wheat-belt &amp; urban populations</w:t>
            </w:r>
          </w:p>
        </w:tc>
        <w:tc>
          <w:tcPr>
            <w:tcW w:type="dxa" w:w="4276"/>
            <w:vAlign w:val="top"/>
          </w:tcPr>
          <w:p>
            <w:pPr>
              <w:spacing w:after="60" w:line="259" w:lineRule="auto"/>
            </w:pPr>
            <w:r>
              <w:rPr>
                <w:rFonts w:ascii="Calibri" w:hAnsi="Calibri"/>
                <w:b w:val="0"/>
                <w:i w:val="0"/>
                <w:color w:val="212121"/>
                <w:sz w:val="19"/>
              </w:rPr>
              <w:t>Wheat-based North-Indian diets, heavy overcooking of vegetables and the absence of mandatory fortification yield chronically low folate intake across both slum and non-slum socioeconomic strata.</w:t>
            </w:r>
          </w:p>
          <w:p>
            <w:pPr>
              <w:spacing w:after="40" w:before="60" w:line="259" w:lineRule="auto"/>
            </w:pPr>
            <w:r>
              <w:rPr>
                <w:rFonts w:ascii="Calibri" w:hAnsi="Calibri"/>
                <w:b w:val="0"/>
                <w:i w:val="0"/>
                <w:color w:val="212121"/>
                <w:sz w:val="19"/>
              </w:rPr>
              <w:t>In urban North India, folic-acid intake was below the Asian-Indian recommendation in 93.4% of slum and 96.7% of non-slum residents, and raised homocysteine (&gt;15 µmol/L) was present in 84%.</w:t>
            </w:r>
          </w:p>
          <w:p>
            <w:pPr>
              <w:spacing w:after="40" w:line="252" w:lineRule="auto"/>
            </w:pPr>
            <w:hyperlink r:id="rId12">
              <w:r>
                <w:rPr>
                  <w:rFonts w:ascii="Calibri" w:hAnsi="Calibri" w:cs="Calibri"/>
                  <w:sz w:val="18"/>
                  <w:color w:val="1155CC"/>
                  <w:u w:val="single"/>
                </w:rPr>
                <w:t xml:space="preserve">link.springer.com — low folate &amp; hyperhomocysteinaemia, urban North India</w:t>
              </w:r>
            </w:hyperlink>
          </w:p>
          <w:p>
            <w:pPr>
              <w:spacing w:before="60" w:after="40"/>
            </w:pPr>
            <w:r>
              <w:rPr>
                <w:rFonts w:ascii="Calibri" w:hAnsi="Calibri"/>
                <w:b w:val="0"/>
                <w:i w:val="0"/>
                <w:color w:val="5A5A5A"/>
                <w:sz w:val="18"/>
              </w:rPr>
              <w:t>#northindia  #wheatbelt  #homocysteine  #fortification  #urbanslum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birth-cohort</w:t>
            </w:r>
          </w:p>
        </w:tc>
        <w:tc>
          <w:tcPr>
            <w:tcW w:type="dxa" w:w="2160"/>
            <w:vAlign w:val="top"/>
          </w:tcPr>
          <w:p>
            <w:pPr>
              <w:spacing w:after="40" w:before="0" w:line="259" w:lineRule="auto"/>
            </w:pPr>
            <w:r>
              <w:rPr>
                <w:rFonts w:ascii="Calibri" w:hAnsi="Calibri"/>
                <w:b w:val="0"/>
                <w:i w:val="0"/>
                <w:color w:val="212121"/>
                <w:sz w:val="19"/>
              </w:rPr>
              <w:t>Regions with high neural-tube-defect birth prevalence</w:t>
            </w:r>
          </w:p>
        </w:tc>
        <w:tc>
          <w:tcPr>
            <w:tcW w:type="dxa" w:w="4276"/>
            <w:vAlign w:val="top"/>
          </w:tcPr>
          <w:p>
            <w:pPr>
              <w:spacing w:after="60" w:line="259" w:lineRule="auto"/>
            </w:pPr>
            <w:r>
              <w:rPr>
                <w:rFonts w:ascii="Calibri" w:hAnsi="Calibri"/>
                <w:b w:val="0"/>
                <w:i w:val="0"/>
                <w:color w:val="212121"/>
                <w:sz w:val="19"/>
              </w:rPr>
              <w:t>Populations with low maternal folate status show a high birth prevalence of neural tube defects, reflecting population-level periconceptional folate depletion rather than isolated maternal factors.</w:t>
            </w:r>
          </w:p>
          <w:p>
            <w:pPr>
              <w:spacing w:after="40" w:before="60" w:line="259" w:lineRule="auto"/>
            </w:pPr>
            <w:r>
              <w:rPr>
                <w:rFonts w:ascii="Calibri" w:hAnsi="Calibri"/>
                <w:b w:val="0"/>
                <w:i w:val="0"/>
                <w:color w:val="212121"/>
                <w:sz w:val="19"/>
              </w:rPr>
              <w:t>Neural tube defect birth prevalence in India is about 4.1–4.5 per 1000 births, among the highest reported worldwide.</w:t>
            </w:r>
          </w:p>
          <w:p>
            <w:pPr>
              <w:spacing w:after="40" w:line="252" w:lineRule="auto"/>
            </w:pPr>
            <w:hyperlink r:id="rId13">
              <w:r>
                <w:rPr>
                  <w:rFonts w:ascii="Calibri" w:hAnsi="Calibri" w:cs="Calibri"/>
                  <w:sz w:val="18"/>
                  <w:color w:val="1155CC"/>
                  <w:u w:val="single"/>
                </w:rPr>
                <w:t xml:space="preserve">link.springer.com — Neural Tube Defects and Folate Status in India</w:t>
              </w:r>
            </w:hyperlink>
          </w:p>
          <w:p>
            <w:pPr>
              <w:spacing w:before="60" w:after="40"/>
            </w:pPr>
            <w:r>
              <w:rPr>
                <w:rFonts w:ascii="Calibri" w:hAnsi="Calibri"/>
                <w:b w:val="0"/>
                <w:i w:val="0"/>
                <w:color w:val="5A5A5A"/>
                <w:sz w:val="18"/>
              </w:rPr>
              <w:t>#neuraltube  #spinabifida  #anencephaly  #birthdefect  #periconception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urban lifestyle</w:t>
            </w:r>
          </w:p>
        </w:tc>
        <w:tc>
          <w:tcPr>
            <w:tcW w:type="dxa" w:w="2160"/>
            <w:vAlign w:val="top"/>
          </w:tcPr>
          <w:p>
            <w:pPr>
              <w:spacing w:after="40" w:before="0" w:line="259" w:lineRule="auto"/>
            </w:pPr>
            <w:r>
              <w:rPr>
                <w:rFonts w:ascii="Calibri" w:hAnsi="Calibri"/>
                <w:b w:val="0"/>
                <w:i w:val="0"/>
                <w:color w:val="212121"/>
                <w:sz w:val="19"/>
              </w:rPr>
              <w:t>Office &amp; IT workers, urban homemakers</w:t>
            </w:r>
          </w:p>
        </w:tc>
        <w:tc>
          <w:tcPr>
            <w:tcW w:type="dxa" w:w="4276"/>
            <w:vAlign w:val="top"/>
          </w:tcPr>
          <w:p>
            <w:pPr>
              <w:spacing w:after="60" w:line="259" w:lineRule="auto"/>
            </w:pPr>
            <w:r>
              <w:rPr>
                <w:rFonts w:ascii="Calibri" w:hAnsi="Calibri"/>
                <w:b w:val="0"/>
                <w:i w:val="0"/>
                <w:color w:val="212121"/>
                <w:sz w:val="19"/>
              </w:rPr>
              <w:t>Time-pressured urban lifestyles favour refined, processed and restaurant foods that are low in natural folate and displace folate-dense home-cooked meals of dal and fresh greens.</w:t>
            </w:r>
          </w:p>
          <w:p>
            <w:pPr>
              <w:spacing w:after="40" w:before="60" w:line="259" w:lineRule="auto"/>
            </w:pPr>
            <w:r>
              <w:rPr>
                <w:rFonts w:ascii="Calibri" w:hAnsi="Calibri"/>
                <w:b w:val="0"/>
                <w:i w:val="0"/>
                <w:color w:val="212121"/>
                <w:sz w:val="19"/>
              </w:rPr>
              <w:t>Diets dominated by refined cereals and processed foods provide little bioavailable folate — only about 50% of natural food folate is absorbed.</w:t>
            </w:r>
          </w:p>
          <w:p>
            <w:pPr>
              <w:spacing w:after="40" w:line="252" w:lineRule="auto"/>
            </w:pPr>
            <w:hyperlink r:id="rId10">
              <w:r>
                <w:rPr>
                  <w:rFonts w:ascii="Calibri" w:hAnsi="Calibri" w:cs="Calibri"/>
                  <w:sz w:val="18"/>
                  <w:color w:val="1155CC"/>
                  <w:u w:val="single"/>
                </w:rPr>
                <w:t xml:space="preserve">ods.od.nih.gov — folate bioavailability &amp; dietary sources</w:t>
              </w:r>
            </w:hyperlink>
          </w:p>
          <w:p>
            <w:pPr>
              <w:spacing w:before="60" w:after="40"/>
            </w:pPr>
            <w:r>
              <w:rPr>
                <w:rFonts w:ascii="Calibri" w:hAnsi="Calibri"/>
                <w:b w:val="0"/>
                <w:i w:val="0"/>
                <w:color w:val="5A5A5A"/>
                <w:sz w:val="18"/>
              </w:rPr>
              <w:t>#urban  #processedfood  #refinedgrains  #dietquality  #fastfood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 &amp; tobacco users</w:t>
            </w:r>
          </w:p>
        </w:tc>
        <w:tc>
          <w:tcPr>
            <w:tcW w:type="dxa" w:w="4276"/>
            <w:vAlign w:val="top"/>
          </w:tcPr>
          <w:p>
            <w:pPr>
              <w:spacing w:after="60" w:line="259" w:lineRule="auto"/>
            </w:pPr>
            <w:r>
              <w:rPr>
                <w:rFonts w:ascii="Calibri" w:hAnsi="Calibri"/>
                <w:b w:val="0"/>
                <w:i w:val="0"/>
                <w:color w:val="212121"/>
                <w:sz w:val="19"/>
              </w:rPr>
              <w:t>Tobacco smoke increases oxidative degradation of folate and lowers circulating and tissue levels; smokers consistently show reduced serum and red-cell folate, contributing to macrocytosis and higher homocysteine.</w:t>
            </w:r>
          </w:p>
          <w:p>
            <w:pPr>
              <w:spacing w:after="40" w:before="60" w:line="259" w:lineRule="auto"/>
            </w:pPr>
            <w:r>
              <w:rPr>
                <w:rFonts w:ascii="Calibri" w:hAnsi="Calibri"/>
                <w:b w:val="0"/>
                <w:i w:val="0"/>
                <w:color w:val="212121"/>
                <w:sz w:val="19"/>
              </w:rPr>
              <w:t>Smokers have significantly lower serum and RBC folate than non-smokers, an effect that compounds dietary inadequacy.</w:t>
            </w:r>
          </w:p>
          <w:p>
            <w:pPr>
              <w:spacing w:after="40" w:line="252" w:lineRule="auto"/>
            </w:pPr>
            <w:hyperlink r:id="rId14">
              <w:r>
                <w:rPr>
                  <w:rFonts w:ascii="Calibri" w:hAnsi="Calibri" w:cs="Calibri"/>
                  <w:sz w:val="18"/>
                  <w:color w:val="1155CC"/>
                  <w:u w:val="single"/>
                </w:rPr>
                <w:t xml:space="preserve">ncbi.nlm.nih.gov — Folic Acid Deficiency (StatPearls)</w:t>
              </w:r>
            </w:hyperlink>
          </w:p>
          <w:p>
            <w:pPr>
              <w:spacing w:before="60" w:after="40"/>
            </w:pPr>
            <w:r>
              <w:rPr>
                <w:rFonts w:ascii="Calibri" w:hAnsi="Calibri"/>
                <w:b w:val="0"/>
                <w:i w:val="0"/>
                <w:color w:val="5A5A5A"/>
                <w:sz w:val="18"/>
              </w:rPr>
              <w:t>#smoking  #tobacco  #oxidativestress  #lowfolate  #homocysteine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Chronic / heavy drinkers</w:t>
            </w:r>
          </w:p>
        </w:tc>
        <w:tc>
          <w:tcPr>
            <w:tcW w:type="dxa" w:w="4276"/>
            <w:vAlign w:val="top"/>
          </w:tcPr>
          <w:p>
            <w:pPr>
              <w:spacing w:after="60" w:line="259" w:lineRule="auto"/>
            </w:pPr>
            <w:r>
              <w:rPr>
                <w:rFonts w:ascii="Calibri" w:hAnsi="Calibri"/>
                <w:b w:val="0"/>
                <w:i w:val="0"/>
                <w:color w:val="212121"/>
                <w:sz w:val="19"/>
              </w:rPr>
              <w:t>Alcohol impairs intestinal folate absorption, reduces hepatic storage and increases urinary excretion, making chronic alcohol use one of the commonest causes of folate-deficiency megaloblastic anaemia.</w:t>
            </w:r>
          </w:p>
          <w:p>
            <w:pPr>
              <w:spacing w:after="40" w:before="60" w:line="259" w:lineRule="auto"/>
            </w:pPr>
            <w:r>
              <w:rPr>
                <w:rFonts w:ascii="Calibri" w:hAnsi="Calibri"/>
                <w:b w:val="0"/>
                <w:i w:val="0"/>
                <w:color w:val="212121"/>
                <w:sz w:val="19"/>
              </w:rPr>
              <w:t>Chronic alcohol use disrupts folate absorption, storage and metabolism and is a leading cause of folate deficiency.</w:t>
            </w:r>
          </w:p>
          <w:p>
            <w:pPr>
              <w:spacing w:after="40" w:line="252" w:lineRule="auto"/>
            </w:pPr>
            <w:hyperlink r:id="rId14">
              <w:r>
                <w:rPr>
                  <w:rFonts w:ascii="Calibri" w:hAnsi="Calibri" w:cs="Calibri"/>
                  <w:sz w:val="18"/>
                  <w:color w:val="1155CC"/>
                  <w:u w:val="single"/>
                </w:rPr>
                <w:t xml:space="preserve">ncbi.nlm.nih.gov — alcohol &amp; folate (StatPearls)</w:t>
              </w:r>
            </w:hyperlink>
          </w:p>
          <w:p>
            <w:pPr>
              <w:spacing w:before="60" w:after="40"/>
            </w:pPr>
            <w:r>
              <w:rPr>
                <w:rFonts w:ascii="Calibri" w:hAnsi="Calibri"/>
                <w:b w:val="0"/>
                <w:i w:val="0"/>
                <w:color w:val="5A5A5A"/>
                <w:sz w:val="18"/>
              </w:rPr>
              <w:t>#alcohol  #malabsorption  #liver  #megaloblastic  #excretion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Adults with high BMI (≥ 25 / ≥ 30 kg/m²)</w:t>
            </w:r>
          </w:p>
        </w:tc>
        <w:tc>
          <w:tcPr>
            <w:tcW w:type="dxa" w:w="4276"/>
            <w:vAlign w:val="top"/>
          </w:tcPr>
          <w:p>
            <w:pPr>
              <w:spacing w:after="60" w:line="259" w:lineRule="auto"/>
            </w:pPr>
            <w:r>
              <w:rPr>
                <w:rFonts w:ascii="Calibri" w:hAnsi="Calibri"/>
                <w:b w:val="0"/>
                <w:i w:val="0"/>
                <w:color w:val="212121"/>
                <w:sz w:val="19"/>
              </w:rPr>
              <w:t>Obesity is associated with lower serum folate through volumetric dilution and poorer overall diet quality despite higher energy intake, and obese women require higher periconceptional folate to reach protective tissue levels.</w:t>
            </w:r>
          </w:p>
          <w:p>
            <w:pPr>
              <w:spacing w:after="40" w:before="60" w:line="259" w:lineRule="auto"/>
            </w:pPr>
            <w:r>
              <w:rPr>
                <w:rFonts w:ascii="Calibri" w:hAnsi="Calibri"/>
                <w:b w:val="0"/>
                <w:i w:val="0"/>
                <w:color w:val="212121"/>
                <w:sz w:val="19"/>
              </w:rPr>
              <w:t>Higher BMI is associated with lower serum folate and increased neural-tube-defect risk, so obese women need higher periconceptional folate doses.</w:t>
            </w:r>
          </w:p>
          <w:p>
            <w:pPr>
              <w:spacing w:after="40" w:line="252" w:lineRule="auto"/>
            </w:pPr>
            <w:hyperlink r:id="rId15">
              <w:r>
                <w:rPr>
                  <w:rFonts w:ascii="Calibri" w:hAnsi="Calibri" w:cs="Calibri"/>
                  <w:sz w:val="18"/>
                  <w:color w:val="1155CC"/>
                  <w:u w:val="single"/>
                </w:rPr>
                <w:t xml:space="preserve">merckmanuals.com — Folate Deficiency (Professional)</w:t>
              </w:r>
            </w:hyperlink>
          </w:p>
          <w:p>
            <w:pPr>
              <w:spacing w:before="60" w:after="40"/>
            </w:pPr>
            <w:r>
              <w:rPr>
                <w:rFonts w:ascii="Calibri" w:hAnsi="Calibri"/>
                <w:b w:val="0"/>
                <w:i w:val="0"/>
                <w:color w:val="5A5A5A"/>
                <w:sz w:val="18"/>
              </w:rPr>
              <w:t>#obesity  #BMI  #volumetricdilution  #pregnancy  #dietquality</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Low green-leafy-vegetable &amp; legume intake; overcooked food</w:t>
            </w:r>
          </w:p>
        </w:tc>
        <w:tc>
          <w:tcPr>
            <w:tcW w:type="dxa" w:w="4276"/>
            <w:vAlign w:val="top"/>
          </w:tcPr>
          <w:p>
            <w:pPr>
              <w:spacing w:after="60" w:line="259" w:lineRule="auto"/>
            </w:pPr>
            <w:r>
              <w:rPr>
                <w:rFonts w:ascii="Calibri" w:hAnsi="Calibri"/>
                <w:b w:val="0"/>
                <w:i w:val="0"/>
                <w:color w:val="212121"/>
                <w:sz w:val="19"/>
              </w:rPr>
              <w:t>Folate is concentrated in green leafy vegetables, legumes and citrus but is highly heat-labile; the prolonged boiling, pressure-cooking and reheating typical of Indian kitchens destroy much of it before it is eaten.</w:t>
            </w:r>
          </w:p>
          <w:p>
            <w:pPr>
              <w:spacing w:after="40" w:before="60" w:line="259" w:lineRule="auto"/>
            </w:pPr>
            <w:r>
              <w:rPr>
                <w:rFonts w:ascii="Calibri" w:hAnsi="Calibri"/>
                <w:b w:val="0"/>
                <w:i w:val="0"/>
                <w:color w:val="212121"/>
                <w:sz w:val="19"/>
              </w:rPr>
              <w:t>Only ~50% of naturally occurring food folate is bioavailable versus ~85% of folic acid, and prolonged cooking destroys a large fraction of dietary folate.</w:t>
            </w:r>
          </w:p>
          <w:p>
            <w:pPr>
              <w:spacing w:after="40" w:line="252" w:lineRule="auto"/>
            </w:pPr>
            <w:hyperlink r:id="rId10">
              <w:r>
                <w:rPr>
                  <w:rFonts w:ascii="Calibri" w:hAnsi="Calibri" w:cs="Calibri"/>
                  <w:sz w:val="18"/>
                  <w:color w:val="1155CC"/>
                  <w:u w:val="single"/>
                </w:rPr>
                <w:t xml:space="preserve">ods.od.nih.gov — folate cooking losses &amp; bioavailability</w:t>
              </w:r>
            </w:hyperlink>
          </w:p>
          <w:p>
            <w:pPr>
              <w:spacing w:before="60" w:after="40"/>
            </w:pPr>
            <w:r>
              <w:rPr>
                <w:rFonts w:ascii="Calibri" w:hAnsi="Calibri"/>
                <w:b w:val="0"/>
                <w:i w:val="0"/>
                <w:color w:val="5A5A5A"/>
                <w:sz w:val="18"/>
              </w:rPr>
              <w:t>#greenleafy  #legumes  #cookinglosses  #heatlabile  #bioavailability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Low fortified-food intake</w:t>
            </w:r>
          </w:p>
        </w:tc>
        <w:tc>
          <w:tcPr>
            <w:tcW w:type="dxa" w:w="2160"/>
            <w:vAlign w:val="top"/>
          </w:tcPr>
          <w:p>
            <w:pPr>
              <w:spacing w:after="40" w:before="0" w:line="259" w:lineRule="auto"/>
            </w:pPr>
            <w:r>
              <w:rPr>
                <w:rFonts w:ascii="Calibri" w:hAnsi="Calibri"/>
                <w:b w:val="0"/>
                <w:i w:val="0"/>
                <w:color w:val="212121"/>
                <w:sz w:val="19"/>
              </w:rPr>
              <w:t>Populations reliant on unfortified staples</w:t>
            </w:r>
          </w:p>
        </w:tc>
        <w:tc>
          <w:tcPr>
            <w:tcW w:type="dxa" w:w="4276"/>
            <w:vAlign w:val="top"/>
          </w:tcPr>
          <w:p>
            <w:pPr>
              <w:spacing w:after="60" w:line="259" w:lineRule="auto"/>
            </w:pPr>
            <w:r>
              <w:rPr>
                <w:rFonts w:ascii="Calibri" w:hAnsi="Calibri"/>
                <w:b w:val="0"/>
                <w:i w:val="0"/>
                <w:color w:val="212121"/>
                <w:sz w:val="19"/>
              </w:rPr>
              <w:t>Unlike countries with mandatory folic-acid fortification of wheat flour or rice, most Indian staples are unfortified, so population folate status depends entirely on natural intake and is highly vulnerable to poor diet.</w:t>
            </w:r>
          </w:p>
          <w:p>
            <w:pPr>
              <w:spacing w:after="40" w:before="60" w:line="259" w:lineRule="auto"/>
            </w:pPr>
            <w:r>
              <w:rPr>
                <w:rFonts w:ascii="Calibri" w:hAnsi="Calibri"/>
                <w:b w:val="0"/>
                <w:i w:val="0"/>
                <w:color w:val="212121"/>
                <w:sz w:val="19"/>
              </w:rPr>
              <w:t>India lacks universal mandatory folic-acid fortification of staple cereals, a key structural reason population folate intake remains low.</w:t>
            </w:r>
          </w:p>
          <w:p>
            <w:pPr>
              <w:spacing w:after="40" w:line="252" w:lineRule="auto"/>
            </w:pPr>
            <w:hyperlink r:id="rId13">
              <w:r>
                <w:rPr>
                  <w:rFonts w:ascii="Calibri" w:hAnsi="Calibri" w:cs="Calibri"/>
                  <w:sz w:val="18"/>
                  <w:color w:val="1155CC"/>
                  <w:u w:val="single"/>
                </w:rPr>
                <w:t xml:space="preserve">link.springer.com — folate status &amp; fortification gap in India</w:t>
              </w:r>
            </w:hyperlink>
          </w:p>
          <w:p>
            <w:pPr>
              <w:spacing w:before="60" w:after="40"/>
            </w:pPr>
            <w:r>
              <w:rPr>
                <w:rFonts w:ascii="Calibri" w:hAnsi="Calibri"/>
                <w:b w:val="0"/>
                <w:i w:val="0"/>
                <w:color w:val="5A5A5A"/>
                <w:sz w:val="18"/>
              </w:rPr>
              <w:t>#fortification  #staplefoods  #publichealth  #micronutrient  #policy</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Prior neural-tube-defect-affected pregnancy</w:t>
            </w:r>
          </w:p>
        </w:tc>
        <w:tc>
          <w:tcPr>
            <w:tcW w:type="dxa" w:w="4276"/>
            <w:vAlign w:val="top"/>
          </w:tcPr>
          <w:p>
            <w:pPr>
              <w:spacing w:after="60" w:line="259" w:lineRule="auto"/>
            </w:pPr>
            <w:r>
              <w:rPr>
                <w:rFonts w:ascii="Calibri" w:hAnsi="Calibri"/>
                <w:b w:val="0"/>
                <w:i w:val="0"/>
                <w:color w:val="212121"/>
                <w:sz w:val="19"/>
              </w:rPr>
              <w:t>A previous pregnancy affected by a neural tube defect signals combined genetic and nutritional folate vulnerability, with a high recurrence risk unless high-dose folate is taken periconceptionally.</w:t>
            </w:r>
          </w:p>
          <w:p>
            <w:pPr>
              <w:spacing w:after="40" w:before="60" w:line="259" w:lineRule="auto"/>
            </w:pPr>
            <w:r>
              <w:rPr>
                <w:rFonts w:ascii="Calibri" w:hAnsi="Calibri"/>
                <w:b w:val="0"/>
                <w:i w:val="0"/>
                <w:color w:val="212121"/>
                <w:sz w:val="19"/>
              </w:rPr>
              <w:t>Women with a previous NTD-affected pregnancy are advised high-dose folic acid (4,000 mcg/day) from before conception through the first trimester to reduce recurrence.</w:t>
            </w:r>
          </w:p>
          <w:p>
            <w:pPr>
              <w:spacing w:after="40" w:line="252" w:lineRule="auto"/>
            </w:pPr>
            <w:hyperlink r:id="rId15">
              <w:r>
                <w:rPr>
                  <w:rFonts w:ascii="Calibri" w:hAnsi="Calibri" w:cs="Calibri"/>
                  <w:sz w:val="18"/>
                  <w:color w:val="1155CC"/>
                  <w:u w:val="single"/>
                </w:rPr>
                <w:t xml:space="preserve">merckmanuals.com — high-dose folate for NTD recurrence</w:t>
              </w:r>
            </w:hyperlink>
          </w:p>
          <w:p>
            <w:pPr>
              <w:spacing w:before="60" w:after="40"/>
            </w:pPr>
            <w:r>
              <w:rPr>
                <w:rFonts w:ascii="Calibri" w:hAnsi="Calibri"/>
                <w:b w:val="0"/>
                <w:i w:val="0"/>
                <w:color w:val="5A5A5A"/>
                <w:sz w:val="18"/>
              </w:rPr>
              <w:t>#familyhistory  #recurrence  #NTD  #highdose  #preconception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MTHFR C677T polymorphism</w:t>
            </w:r>
          </w:p>
        </w:tc>
        <w:tc>
          <w:tcPr>
            <w:tcW w:type="dxa" w:w="2160"/>
            <w:vAlign w:val="top"/>
          </w:tcPr>
          <w:p>
            <w:pPr>
              <w:spacing w:after="40" w:before="0" w:line="259" w:lineRule="auto"/>
            </w:pPr>
            <w:r>
              <w:rPr>
                <w:rFonts w:ascii="Calibri" w:hAnsi="Calibri"/>
                <w:b w:val="0"/>
                <w:i w:val="0"/>
                <w:color w:val="212121"/>
                <w:sz w:val="19"/>
              </w:rPr>
              <w:t>MTHFR C677T (TT genotype) carriers</w:t>
            </w:r>
          </w:p>
        </w:tc>
        <w:tc>
          <w:tcPr>
            <w:tcW w:type="dxa" w:w="4276"/>
            <w:vAlign w:val="top"/>
          </w:tcPr>
          <w:p>
            <w:pPr>
              <w:spacing w:after="60" w:line="259" w:lineRule="auto"/>
            </w:pPr>
            <w:r>
              <w:rPr>
                <w:rFonts w:ascii="Calibri" w:hAnsi="Calibri"/>
                <w:b w:val="0"/>
                <w:i w:val="0"/>
                <w:color w:val="212121"/>
                <w:sz w:val="19"/>
              </w:rPr>
              <w:t>The MTHFR C677T variant reduces methylenetetrahydrofolate reductase activity, lowering active 5-methyltetrahydrofolate and raising plasma homocysteine, which increases the functional requirement for folate.</w:t>
            </w:r>
          </w:p>
          <w:p>
            <w:pPr>
              <w:spacing w:after="40" w:before="60" w:line="259" w:lineRule="auto"/>
            </w:pPr>
            <w:r>
              <w:rPr>
                <w:rFonts w:ascii="Calibri" w:hAnsi="Calibri"/>
                <w:b w:val="0"/>
                <w:i w:val="0"/>
                <w:color w:val="212121"/>
                <w:sz w:val="19"/>
              </w:rPr>
              <w:t>In North Indians the C677T T-allele frequency is ~11% (TT ~1%), lower than the global pooled ~24% T-allele and ~7.7% TT genotype.</w:t>
            </w:r>
          </w:p>
          <w:p>
            <w:pPr>
              <w:spacing w:after="40" w:line="252" w:lineRule="auto"/>
            </w:pPr>
            <w:hyperlink r:id="rId16">
              <w:r>
                <w:rPr>
                  <w:rFonts w:ascii="Calibri" w:hAnsi="Calibri" w:cs="Calibri"/>
                  <w:sz w:val="18"/>
                  <w:color w:val="1155CC"/>
                  <w:u w:val="single"/>
                </w:rPr>
                <w:t xml:space="preserve">link.springer.com — MTHFR C677T distribution in North India</w:t>
              </w:r>
            </w:hyperlink>
          </w:p>
          <w:p>
            <w:pPr>
              <w:spacing w:before="60" w:after="40"/>
            </w:pPr>
            <w:r>
              <w:rPr>
                <w:rFonts w:ascii="Calibri" w:hAnsi="Calibri"/>
                <w:b w:val="0"/>
                <w:i w:val="0"/>
                <w:color w:val="5A5A5A"/>
                <w:sz w:val="18"/>
              </w:rPr>
              <w:t>#MTHFR  #C677T  #homocysteine  #genetics  #onecarbon</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Pregnancy &amp; lactation</w:t>
            </w:r>
          </w:p>
        </w:tc>
        <w:tc>
          <w:tcPr>
            <w:tcW w:type="dxa" w:w="2160"/>
            <w:vAlign w:val="top"/>
          </w:tcPr>
          <w:p>
            <w:pPr>
              <w:spacing w:after="40" w:before="0" w:line="259" w:lineRule="auto"/>
            </w:pPr>
            <w:r>
              <w:rPr>
                <w:rFonts w:ascii="Calibri" w:hAnsi="Calibri"/>
                <w:b w:val="0"/>
                <w:i w:val="0"/>
                <w:color w:val="212121"/>
                <w:sz w:val="19"/>
              </w:rPr>
              <w:t>Pregnant and breastfeeding women</w:t>
            </w:r>
          </w:p>
        </w:tc>
        <w:tc>
          <w:tcPr>
            <w:tcW w:type="dxa" w:w="4276"/>
            <w:vAlign w:val="top"/>
          </w:tcPr>
          <w:p>
            <w:pPr>
              <w:spacing w:after="60" w:line="259" w:lineRule="auto"/>
            </w:pPr>
            <w:r>
              <w:rPr>
                <w:rFonts w:ascii="Calibri" w:hAnsi="Calibri"/>
                <w:b w:val="0"/>
                <w:i w:val="0"/>
                <w:color w:val="212121"/>
                <w:sz w:val="19"/>
              </w:rPr>
              <w:t>Rapid fetal, placental and maternal red-cell expansion plus lactation sharply raise folate demand; deficiency causes maternal megaloblastic anaemia and fetal neural-tube, growth and preterm-birth risk.</w:t>
            </w:r>
          </w:p>
          <w:p>
            <w:pPr>
              <w:spacing w:after="40" w:before="60" w:line="259" w:lineRule="auto"/>
            </w:pPr>
            <w:r>
              <w:rPr>
                <w:rFonts w:ascii="Calibri" w:hAnsi="Calibri"/>
                <w:b w:val="0"/>
                <w:i w:val="0"/>
                <w:color w:val="212121"/>
                <w:sz w:val="19"/>
              </w:rPr>
              <w:t>The folate RDA rises to 600 mcg DFE/day in pregnancy; maternal folate deficiency is associated with preterm delivery (~16.9%) and fetal growth restriction (~27.1%).</w:t>
            </w:r>
          </w:p>
          <w:p>
            <w:pPr>
              <w:spacing w:after="40" w:line="252" w:lineRule="auto"/>
            </w:pPr>
            <w:hyperlink r:id="rId14">
              <w:r>
                <w:rPr>
                  <w:rFonts w:ascii="Calibri" w:hAnsi="Calibri" w:cs="Calibri"/>
                  <w:sz w:val="18"/>
                  <w:color w:val="1155CC"/>
                  <w:u w:val="single"/>
                </w:rPr>
                <w:t xml:space="preserve">ncbi.nlm.nih.gov — folate &amp; pregnancy outcomes (StatPearls)</w:t>
              </w:r>
            </w:hyperlink>
          </w:p>
          <w:p>
            <w:pPr>
              <w:spacing w:before="60" w:after="40"/>
            </w:pPr>
            <w:r>
              <w:rPr>
                <w:rFonts w:ascii="Calibri" w:hAnsi="Calibri"/>
                <w:b w:val="0"/>
                <w:i w:val="0"/>
                <w:color w:val="5A5A5A"/>
                <w:sz w:val="18"/>
              </w:rPr>
              <w:t>#pregnancy  #lactation  #pretermbirth  #FGR  #megaloblastic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Malabsorption / GI disease</w:t>
            </w:r>
          </w:p>
        </w:tc>
        <w:tc>
          <w:tcPr>
            <w:tcW w:type="dxa" w:w="2160"/>
            <w:vAlign w:val="top"/>
          </w:tcPr>
          <w:p>
            <w:pPr>
              <w:spacing w:after="40" w:before="0" w:line="259" w:lineRule="auto"/>
            </w:pPr>
            <w:r>
              <w:rPr>
                <w:rFonts w:ascii="Calibri" w:hAnsi="Calibri"/>
                <w:b w:val="0"/>
                <w:i w:val="0"/>
                <w:color w:val="212121"/>
                <w:sz w:val="19"/>
              </w:rPr>
              <w:t>Coeliac disease, IBD, tropical sprue, bariatric surgery</w:t>
            </w:r>
          </w:p>
        </w:tc>
        <w:tc>
          <w:tcPr>
            <w:tcW w:type="dxa" w:w="4276"/>
            <w:vAlign w:val="top"/>
          </w:tcPr>
          <w:p>
            <w:pPr>
              <w:spacing w:after="60" w:line="259" w:lineRule="auto"/>
            </w:pPr>
            <w:r>
              <w:rPr>
                <w:rFonts w:ascii="Calibri" w:hAnsi="Calibri"/>
                <w:b w:val="0"/>
                <w:i w:val="0"/>
                <w:color w:val="212121"/>
                <w:sz w:val="19"/>
              </w:rPr>
              <w:t>Jejunal mucosal disease and surgical loss of absorptive surface reduce folate uptake; tropical sprue is a classic cause of folate-deficiency megaloblastic anaemia in the Indian subcontinent.</w:t>
            </w:r>
          </w:p>
          <w:p>
            <w:pPr>
              <w:spacing w:after="40" w:before="60" w:line="259" w:lineRule="auto"/>
            </w:pPr>
            <w:r>
              <w:rPr>
                <w:rFonts w:ascii="Calibri" w:hAnsi="Calibri"/>
                <w:b w:val="0"/>
                <w:i w:val="0"/>
                <w:color w:val="212121"/>
                <w:sz w:val="19"/>
              </w:rPr>
              <w:t>Coeliac disease, inflammatory bowel disease, tropical sprue and bariatric surgery are established malabsorptive causes of folate deficiency.</w:t>
            </w:r>
          </w:p>
          <w:p>
            <w:pPr>
              <w:spacing w:after="40" w:line="252" w:lineRule="auto"/>
            </w:pPr>
            <w:hyperlink r:id="rId14">
              <w:r>
                <w:rPr>
                  <w:rFonts w:ascii="Calibri" w:hAnsi="Calibri" w:cs="Calibri"/>
                  <w:sz w:val="18"/>
                  <w:color w:val="1155CC"/>
                  <w:u w:val="single"/>
                </w:rPr>
                <w:t xml:space="preserve">ncbi.nlm.nih.gov — malabsorptive causes of folate deficiency</w:t>
              </w:r>
            </w:hyperlink>
          </w:p>
          <w:p>
            <w:pPr>
              <w:spacing w:before="60" w:after="40"/>
            </w:pPr>
            <w:r>
              <w:rPr>
                <w:rFonts w:ascii="Calibri" w:hAnsi="Calibri"/>
                <w:b w:val="0"/>
                <w:i w:val="0"/>
                <w:color w:val="5A5A5A"/>
                <w:sz w:val="18"/>
              </w:rPr>
              <w:t>#malabsorption  #coeliac  #tropicalsprue  #IBD  #bariatric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haemolytic anaemia</w:t>
            </w:r>
          </w:p>
        </w:tc>
        <w:tc>
          <w:tcPr>
            <w:tcW w:type="dxa" w:w="2160"/>
            <w:vAlign w:val="top"/>
          </w:tcPr>
          <w:p>
            <w:pPr>
              <w:spacing w:after="40" w:before="0" w:line="259" w:lineRule="auto"/>
            </w:pPr>
            <w:r>
              <w:rPr>
                <w:rFonts w:ascii="Calibri" w:hAnsi="Calibri"/>
                <w:b w:val="0"/>
                <w:i w:val="0"/>
                <w:color w:val="212121"/>
                <w:sz w:val="19"/>
              </w:rPr>
              <w:t>Thalassaemia, sickle-cell disease, hereditary haemolysis</w:t>
            </w:r>
          </w:p>
        </w:tc>
        <w:tc>
          <w:tcPr>
            <w:tcW w:type="dxa" w:w="4276"/>
            <w:vAlign w:val="top"/>
          </w:tcPr>
          <w:p>
            <w:pPr>
              <w:spacing w:after="60" w:line="259" w:lineRule="auto"/>
            </w:pPr>
            <w:r>
              <w:rPr>
                <w:rFonts w:ascii="Calibri" w:hAnsi="Calibri"/>
                <w:b w:val="0"/>
                <w:i w:val="0"/>
                <w:color w:val="212121"/>
                <w:sz w:val="19"/>
              </w:rPr>
              <w:t>Accelerated erythropoiesis in chronic haemolysis massively increases folate turnover; these haemoglobinopathies are common in parts of India and routinely require prophylactic folate supplementation.</w:t>
            </w:r>
          </w:p>
          <w:p>
            <w:pPr>
              <w:spacing w:after="40" w:before="60" w:line="259" w:lineRule="auto"/>
            </w:pPr>
            <w:r>
              <w:rPr>
                <w:rFonts w:ascii="Calibri" w:hAnsi="Calibri"/>
                <w:b w:val="0"/>
                <w:i w:val="0"/>
                <w:color w:val="212121"/>
                <w:sz w:val="19"/>
              </w:rPr>
              <w:t>Chronic haemolytic anaemias raise folate demand and can precipitate a megaloblastic crisis without supplementation.</w:t>
            </w:r>
          </w:p>
          <w:p>
            <w:pPr>
              <w:spacing w:after="40" w:line="252" w:lineRule="auto"/>
            </w:pPr>
            <w:hyperlink r:id="rId14">
              <w:r>
                <w:rPr>
                  <w:rFonts w:ascii="Calibri" w:hAnsi="Calibri" w:cs="Calibri"/>
                  <w:sz w:val="18"/>
                  <w:color w:val="1155CC"/>
                  <w:u w:val="single"/>
                </w:rPr>
                <w:t xml:space="preserve">ncbi.nlm.nih.gov — increased-demand causes (StatPearls)</w:t>
              </w:r>
            </w:hyperlink>
          </w:p>
          <w:p>
            <w:pPr>
              <w:spacing w:before="60" w:after="40"/>
            </w:pPr>
            <w:r>
              <w:rPr>
                <w:rFonts w:ascii="Calibri" w:hAnsi="Calibri"/>
                <w:b w:val="0"/>
                <w:i w:val="0"/>
                <w:color w:val="5A5A5A"/>
                <w:sz w:val="18"/>
              </w:rPr>
              <w:t>#haemolysis  #thalassaemia  #sicklecell  #turnover  #erythropoiesis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Antifolate drug therapy</w:t>
            </w:r>
          </w:p>
        </w:tc>
        <w:tc>
          <w:tcPr>
            <w:tcW w:type="dxa" w:w="2160"/>
            <w:vAlign w:val="top"/>
          </w:tcPr>
          <w:p>
            <w:pPr>
              <w:spacing w:after="40" w:before="0" w:line="259" w:lineRule="auto"/>
            </w:pPr>
            <w:r>
              <w:rPr>
                <w:rFonts w:ascii="Calibri" w:hAnsi="Calibri"/>
                <w:b w:val="0"/>
                <w:i w:val="0"/>
                <w:color w:val="212121"/>
                <w:sz w:val="19"/>
              </w:rPr>
              <w:t>Patients on methotrexate, phenytoin, sulfasalazine, trimethoprim</w:t>
            </w:r>
          </w:p>
        </w:tc>
        <w:tc>
          <w:tcPr>
            <w:tcW w:type="dxa" w:w="4276"/>
            <w:vAlign w:val="top"/>
          </w:tcPr>
          <w:p>
            <w:pPr>
              <w:spacing w:after="60" w:line="259" w:lineRule="auto"/>
            </w:pPr>
            <w:r>
              <w:rPr>
                <w:rFonts w:ascii="Calibri" w:hAnsi="Calibri"/>
                <w:b w:val="0"/>
                <w:i w:val="0"/>
                <w:color w:val="212121"/>
                <w:sz w:val="19"/>
              </w:rPr>
              <w:t>These drugs inhibit dihydrofolate reductase or impair intestinal folate absorption/metabolism, producing deficiency and macrocytosis; risk rises with long-term or high-dose use.</w:t>
            </w:r>
          </w:p>
          <w:p>
            <w:pPr>
              <w:spacing w:after="40" w:before="60" w:line="259" w:lineRule="auto"/>
            </w:pPr>
            <w:r>
              <w:rPr>
                <w:rFonts w:ascii="Calibri" w:hAnsi="Calibri"/>
                <w:b w:val="0"/>
                <w:i w:val="0"/>
                <w:color w:val="212121"/>
                <w:sz w:val="19"/>
              </w:rPr>
              <w:t>Methotrexate, trimethoprim, phenytoin and sulfasalazine impair folate metabolism or absorption and can cause deficiency.</w:t>
            </w:r>
          </w:p>
          <w:p>
            <w:pPr>
              <w:spacing w:after="40" w:line="252" w:lineRule="auto"/>
            </w:pPr>
            <w:hyperlink r:id="rId10">
              <w:r>
                <w:rPr>
                  <w:rFonts w:ascii="Calibri" w:hAnsi="Calibri" w:cs="Calibri"/>
                  <w:sz w:val="18"/>
                  <w:color w:val="1155CC"/>
                  <w:u w:val="single"/>
                </w:rPr>
                <w:t xml:space="preserve">ods.od.nih.gov — folate–drug interactions</w:t>
              </w:r>
            </w:hyperlink>
          </w:p>
          <w:p>
            <w:pPr>
              <w:spacing w:before="60" w:after="40"/>
            </w:pPr>
            <w:r>
              <w:rPr>
                <w:rFonts w:ascii="Calibri" w:hAnsi="Calibri"/>
                <w:b w:val="0"/>
                <w:i w:val="0"/>
                <w:color w:val="5A5A5A"/>
                <w:sz w:val="18"/>
              </w:rPr>
              <w:t>#methotrexate  #phenytoin  #sulfasalazine  #trimethoprim  #druginduced</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has no direct role in folate metabolism; any association is indirect, operating through obesity (which dilutes serum folate) and overall diet quality rather than exercise itself.</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Diet is the dominant determinant of folate status: intake of green leafy vegetables, legumes, citrus and fortified foods raises folate, while refined-cereal diets, low vegetable intake and heat-labile losses from overcooking are the leading causes of deficiency in India.</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direct link between sleep and folate status; any relationship is weak and likely confounded by overall diet and lifestyle.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Active and passive tobacco exposure is inversely associated with serum and red-cell folate through oxidative degradation, and smokers show consistently lower folate levels and higher homocysteine.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Chronic and heavy alcohol use is a major cause of folate deficiency, impairing intestinal absorption, hepatic storage and renal reabsorption and frequently producing megaloblastic anaemia.</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Low folate is associated with depression and with poorer response to antidepressants; the relationship is bidirectional but folate repletion (including L-methylfolate) is an evidence-based adjunct in some depressed patients.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meaningful direct role: hydration does not influence folate absorption or metabolism; adequate water intake supports general health only.</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Evidence is weak; heavy tea/coffee polyphenols may modestly inhibit folate absorption, but the practical effect on folate status is negligible for most people.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Personal hygiene has little direct effect, but poor food and water hygiene causing chronic gut infection, tropical sprue or diarrhoeal malabsorption can indirectly lower folate absorption.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Pregnancy, lactation, chronic alcohol use, antifolate drugs (methotrexate, phenytoin, sulfasalazine, trimethoprim), haemolysis and malabsorptive states act as precipitants by raising demand or impairing absorption/metabolism.</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folate (ng/mL)</w:t>
            </w:r>
          </w:p>
        </w:tc>
        <w:tc>
          <w:tcPr>
            <w:tcW w:type="dxa" w:w="1655"/>
            <w:vAlign w:val="top"/>
          </w:tcPr>
          <w:p>
            <w:pPr>
              <w:spacing w:after="40" w:before="0" w:line="259" w:lineRule="auto"/>
            </w:pPr>
            <w:r>
              <w:rPr>
                <w:rFonts w:ascii="Calibri" w:hAnsi="Calibri"/>
                <w:b w:val="0"/>
                <w:i w:val="0"/>
                <w:color w:val="212121"/>
                <w:sz w:val="19"/>
              </w:rPr>
              <w:t>All at-risk groups</w:t>
            </w:r>
          </w:p>
        </w:tc>
        <w:tc>
          <w:tcPr>
            <w:tcW w:type="dxa" w:w="1512"/>
            <w:vAlign w:val="top"/>
          </w:tcPr>
          <w:p>
            <w:pPr>
              <w:spacing w:after="40" w:before="0" w:line="259" w:lineRule="auto"/>
            </w:pPr>
            <w:r>
              <w:rPr>
                <w:rFonts w:ascii="Calibri" w:hAnsi="Calibri"/>
                <w:b w:val="0"/>
                <w:i w:val="0"/>
                <w:color w:val="212121"/>
                <w:sz w:val="19"/>
              </w:rPr>
              <w:t>&gt; 4 ng/mL (normal)</w:t>
            </w:r>
          </w:p>
        </w:tc>
        <w:tc>
          <w:tcPr>
            <w:tcW w:type="dxa" w:w="1512"/>
            <w:vAlign w:val="top"/>
          </w:tcPr>
          <w:p>
            <w:pPr>
              <w:spacing w:after="40" w:before="0" w:line="259" w:lineRule="auto"/>
            </w:pPr>
            <w:r>
              <w:rPr>
                <w:rFonts w:ascii="Calibri" w:hAnsi="Calibri"/>
                <w:b w:val="0"/>
                <w:i w:val="0"/>
                <w:color w:val="212121"/>
                <w:sz w:val="19"/>
              </w:rPr>
              <w:t>&lt; 3 ng/mL (deficiency); 2–4 ng/mL (borderline)</w:t>
            </w:r>
          </w:p>
        </w:tc>
        <w:tc>
          <w:tcPr>
            <w:tcW w:type="dxa" w:w="1468"/>
            <w:vAlign w:val="top"/>
          </w:tcPr>
          <w:p>
            <w:pPr>
              <w:spacing w:after="60" w:line="259" w:lineRule="auto"/>
            </w:pPr>
            <w:r>
              <w:rPr>
                <w:rFonts w:ascii="Calibri" w:hAnsi="Calibri"/>
                <w:b w:val="0"/>
                <w:i w:val="0"/>
                <w:color w:val="212121"/>
                <w:sz w:val="19"/>
              </w:rPr>
              <w:t>Sensitive marker of recent intake; screening test of choice</w:t>
            </w:r>
          </w:p>
          <w:p>
            <w:pPr>
              <w:spacing w:after="40" w:line="252" w:lineRule="auto"/>
            </w:pPr>
            <w:hyperlink r:id="rId15">
              <w:r>
                <w:rPr>
                  <w:rFonts w:ascii="Calibri" w:hAnsi="Calibri" w:cs="Calibri"/>
                  <w:sz w:val="18"/>
                  <w:color w:val="1155CC"/>
                  <w:u w:val="single"/>
                </w:rPr>
                <w:t xml:space="preserve">https://www.merckmanuals.com/professional/nutritional-disorders/vitamin-deficiency-dependency-and-toxicity/folate-deficiency</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Red-blood-cell (erythrocyte) folate (ng/mL)</w:t>
            </w:r>
          </w:p>
        </w:tc>
        <w:tc>
          <w:tcPr>
            <w:tcW w:type="dxa" w:w="1655"/>
            <w:vAlign w:val="top"/>
          </w:tcPr>
          <w:p>
            <w:pPr>
              <w:spacing w:after="40" w:before="0" w:line="259" w:lineRule="auto"/>
            </w:pPr>
            <w:r>
              <w:rPr>
                <w:rFonts w:ascii="Calibri" w:hAnsi="Calibri"/>
                <w:b w:val="0"/>
                <w:i w:val="0"/>
                <w:color w:val="212121"/>
                <w:sz w:val="19"/>
              </w:rPr>
              <w:t>Chronic deficiency; women of reproductive age</w:t>
            </w:r>
          </w:p>
        </w:tc>
        <w:tc>
          <w:tcPr>
            <w:tcW w:type="dxa" w:w="1512"/>
            <w:vAlign w:val="top"/>
          </w:tcPr>
          <w:p>
            <w:pPr>
              <w:spacing w:after="40" w:before="0" w:line="259" w:lineRule="auto"/>
            </w:pPr>
            <w:r>
              <w:rPr>
                <w:rFonts w:ascii="Calibri" w:hAnsi="Calibri"/>
                <w:b w:val="0"/>
                <w:i w:val="0"/>
                <w:color w:val="212121"/>
                <w:sz w:val="19"/>
              </w:rPr>
              <w:t>≥ 140 ng/mL (tissue adequacy); ≥ 400 ng/mL for NTD prevention</w:t>
            </w:r>
          </w:p>
        </w:tc>
        <w:tc>
          <w:tcPr>
            <w:tcW w:type="dxa" w:w="1512"/>
            <w:vAlign w:val="top"/>
          </w:tcPr>
          <w:p>
            <w:pPr>
              <w:spacing w:after="40" w:before="0" w:line="259" w:lineRule="auto"/>
            </w:pPr>
            <w:r>
              <w:rPr>
                <w:rFonts w:ascii="Calibri" w:hAnsi="Calibri"/>
                <w:b w:val="0"/>
                <w:i w:val="0"/>
                <w:color w:val="212121"/>
                <w:sz w:val="19"/>
              </w:rPr>
              <w:t>&lt; 140 ng/mL (&lt; 305 nmol/L)</w:t>
            </w:r>
          </w:p>
        </w:tc>
        <w:tc>
          <w:tcPr>
            <w:tcW w:type="dxa" w:w="1468"/>
            <w:vAlign w:val="top"/>
          </w:tcPr>
          <w:p>
            <w:pPr>
              <w:spacing w:after="60" w:line="259" w:lineRule="auto"/>
            </w:pPr>
            <w:r>
              <w:rPr>
                <w:rFonts w:ascii="Calibri" w:hAnsi="Calibri"/>
                <w:b w:val="0"/>
                <w:i w:val="0"/>
                <w:color w:val="212121"/>
                <w:sz w:val="19"/>
              </w:rPr>
              <w:t>Reflects tissue stores over ~3 months; best marker of chronic status</w:t>
            </w:r>
          </w:p>
          <w:p>
            <w:pPr>
              <w:spacing w:after="40" w:line="252" w:lineRule="auto"/>
            </w:pPr>
            <w:hyperlink r:id="rId17">
              <w:r>
                <w:rPr>
                  <w:rFonts w:ascii="Calibri" w:hAnsi="Calibri" w:cs="Calibri"/>
                  <w:sz w:val="18"/>
                  <w:color w:val="1155CC"/>
                  <w:u w:val="single"/>
                </w:rPr>
                <w:t xml:space="preserve">https://www.sciencedirect.com/science/article/pii/S0002916523010547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Dietary folate intake (mcg DFE/day)</w:t>
            </w:r>
          </w:p>
        </w:tc>
        <w:tc>
          <w:tcPr>
            <w:tcW w:type="dxa" w:w="1655"/>
            <w:vAlign w:val="top"/>
          </w:tcPr>
          <w:p>
            <w:pPr>
              <w:spacing w:after="40" w:before="0" w:line="259" w:lineRule="auto"/>
            </w:pPr>
            <w:r>
              <w:rPr>
                <w:rFonts w:ascii="Calibri" w:hAnsi="Calibri"/>
                <w:b w:val="0"/>
                <w:i w:val="0"/>
                <w:color w:val="212121"/>
                <w:sz w:val="19"/>
              </w:rPr>
              <w:t>Adults; adolescents; pregnant women</w:t>
            </w:r>
          </w:p>
        </w:tc>
        <w:tc>
          <w:tcPr>
            <w:tcW w:type="dxa" w:w="1512"/>
            <w:vAlign w:val="top"/>
          </w:tcPr>
          <w:p>
            <w:pPr>
              <w:spacing w:after="40" w:before="0" w:line="259" w:lineRule="auto"/>
            </w:pPr>
            <w:r>
              <w:rPr>
                <w:rFonts w:ascii="Calibri" w:hAnsi="Calibri"/>
                <w:b w:val="0"/>
                <w:i w:val="0"/>
                <w:color w:val="212121"/>
                <w:sz w:val="19"/>
              </w:rPr>
              <w:t>400 mcg DFE/day (adults); 600 in pregnancy; 500 in lactation</w:t>
            </w:r>
          </w:p>
        </w:tc>
        <w:tc>
          <w:tcPr>
            <w:tcW w:type="dxa" w:w="1512"/>
            <w:vAlign w:val="top"/>
          </w:tcPr>
          <w:p>
            <w:pPr>
              <w:spacing w:after="40" w:before="0" w:line="259" w:lineRule="auto"/>
            </w:pPr>
            <w:r>
              <w:rPr>
                <w:rFonts w:ascii="Calibri" w:hAnsi="Calibri"/>
                <w:b w:val="0"/>
                <w:i w:val="0"/>
                <w:color w:val="212121"/>
                <w:sz w:val="19"/>
              </w:rPr>
              <w:t>&lt; RDA for age/stage</w:t>
            </w:r>
          </w:p>
        </w:tc>
        <w:tc>
          <w:tcPr>
            <w:tcW w:type="dxa" w:w="1468"/>
            <w:vAlign w:val="top"/>
          </w:tcPr>
          <w:p>
            <w:pPr>
              <w:spacing w:after="60" w:line="259" w:lineRule="auto"/>
            </w:pPr>
            <w:r>
              <w:rPr>
                <w:rFonts w:ascii="Calibri" w:hAnsi="Calibri"/>
                <w:b w:val="0"/>
                <w:i w:val="0"/>
                <w:color w:val="212121"/>
                <w:sz w:val="19"/>
              </w:rPr>
              <w:t>Food folate ~50% bioavailable vs ~85% for folic acid</w:t>
            </w:r>
          </w:p>
          <w:p>
            <w:pPr>
              <w:spacing w:after="40" w:line="252" w:lineRule="auto"/>
            </w:pPr>
            <w:hyperlink r:id="rId10">
              <w:r>
                <w:rPr>
                  <w:rFonts w:ascii="Calibri" w:hAnsi="Calibri" w:cs="Calibri"/>
                  <w:sz w:val="18"/>
                  <w:color w:val="1155CC"/>
                  <w:u w:val="single"/>
                </w:rPr>
                <w:t xml:space="preserve">https://ods.od.nih.gov/factsheets/Folate-HealthProfessional/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Green leafy vegetable / legume servings</w:t>
            </w:r>
          </w:p>
        </w:tc>
        <w:tc>
          <w:tcPr>
            <w:tcW w:type="dxa" w:w="1655"/>
            <w:vAlign w:val="top"/>
          </w:tcPr>
          <w:p>
            <w:pPr>
              <w:spacing w:after="40" w:before="0" w:line="259" w:lineRule="auto"/>
            </w:pPr>
            <w:r>
              <w:rPr>
                <w:rFonts w:ascii="Calibri" w:hAnsi="Calibri"/>
                <w:b w:val="0"/>
                <w:i w:val="0"/>
                <w:color w:val="212121"/>
                <w:sz w:val="19"/>
              </w:rPr>
              <w:t>General population, low-income diets</w:t>
            </w:r>
          </w:p>
        </w:tc>
        <w:tc>
          <w:tcPr>
            <w:tcW w:type="dxa" w:w="1512"/>
            <w:vAlign w:val="top"/>
          </w:tcPr>
          <w:p>
            <w:pPr>
              <w:spacing w:after="40" w:before="0" w:line="259" w:lineRule="auto"/>
            </w:pPr>
            <w:r>
              <w:rPr>
                <w:rFonts w:ascii="Calibri" w:hAnsi="Calibri"/>
                <w:b w:val="0"/>
                <w:i w:val="0"/>
                <w:color w:val="212121"/>
                <w:sz w:val="19"/>
              </w:rPr>
              <w:t>Daily servings of greens &amp; pulses (lightly cooked)</w:t>
            </w:r>
          </w:p>
        </w:tc>
        <w:tc>
          <w:tcPr>
            <w:tcW w:type="dxa" w:w="1512"/>
            <w:vAlign w:val="top"/>
          </w:tcPr>
          <w:p>
            <w:pPr>
              <w:spacing w:after="40" w:before="0" w:line="259" w:lineRule="auto"/>
            </w:pPr>
            <w:r>
              <w:rPr>
                <w:rFonts w:ascii="Calibri" w:hAnsi="Calibri"/>
                <w:b w:val="0"/>
                <w:i w:val="0"/>
                <w:color w:val="212121"/>
                <w:sz w:val="19"/>
              </w:rPr>
              <w:t>Infrequent intake or heavily overcooked</w:t>
            </w:r>
          </w:p>
        </w:tc>
        <w:tc>
          <w:tcPr>
            <w:tcW w:type="dxa" w:w="1468"/>
            <w:vAlign w:val="top"/>
          </w:tcPr>
          <w:p>
            <w:pPr>
              <w:spacing w:after="60" w:line="259" w:lineRule="auto"/>
            </w:pPr>
            <w:r>
              <w:rPr>
                <w:rFonts w:ascii="Calibri" w:hAnsi="Calibri"/>
                <w:b w:val="0"/>
                <w:i w:val="0"/>
                <w:color w:val="212121"/>
                <w:sz w:val="19"/>
              </w:rPr>
              <w:t>Primary natural folate sources; minimise boiling time</w:t>
            </w:r>
          </w:p>
          <w:p>
            <w:pPr>
              <w:spacing w:after="40" w:line="252" w:lineRule="auto"/>
            </w:pPr>
            <w:hyperlink r:id="rId10">
              <w:r>
                <w:rPr>
                  <w:rFonts w:ascii="Calibri" w:hAnsi="Calibri" w:cs="Calibri"/>
                  <w:sz w:val="18"/>
                  <w:color w:val="1155CC"/>
                  <w:u w:val="single"/>
                </w:rPr>
                <w:t xml:space="preserve">https://ods.od.nih.gov/factsheets/Folate-HealthProfessional/</w:t>
              </w:r>
            </w:hyperlink>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Plasma total homocysteine (µmol/L)</w:t>
            </w:r>
          </w:p>
        </w:tc>
        <w:tc>
          <w:tcPr>
            <w:tcW w:type="dxa" w:w="1655"/>
            <w:vAlign w:val="top"/>
          </w:tcPr>
          <w:p>
            <w:pPr>
              <w:spacing w:after="40" w:before="0" w:line="259" w:lineRule="auto"/>
            </w:pPr>
            <w:r>
              <w:rPr>
                <w:rFonts w:ascii="Calibri" w:hAnsi="Calibri"/>
                <w:b w:val="0"/>
                <w:i w:val="0"/>
                <w:color w:val="212121"/>
                <w:sz w:val="19"/>
              </w:rPr>
              <w:t>Adults; vegetarians; cardiovascular risk</w:t>
            </w:r>
          </w:p>
        </w:tc>
        <w:tc>
          <w:tcPr>
            <w:tcW w:type="dxa" w:w="1512"/>
            <w:vAlign w:val="top"/>
          </w:tcPr>
          <w:p>
            <w:pPr>
              <w:spacing w:after="40" w:before="0" w:line="259" w:lineRule="auto"/>
            </w:pPr>
            <w:r>
              <w:rPr>
                <w:rFonts w:ascii="Calibri" w:hAnsi="Calibri"/>
                <w:b w:val="0"/>
                <w:i w:val="0"/>
                <w:color w:val="212121"/>
                <w:sz w:val="19"/>
              </w:rPr>
              <w:t>&lt; 15 µmol/L (optimal &lt; 10–12)</w:t>
            </w:r>
          </w:p>
        </w:tc>
        <w:tc>
          <w:tcPr>
            <w:tcW w:type="dxa" w:w="1512"/>
            <w:vAlign w:val="top"/>
          </w:tcPr>
          <w:p>
            <w:pPr>
              <w:spacing w:after="40" w:before="0" w:line="259" w:lineRule="auto"/>
            </w:pPr>
            <w:r>
              <w:rPr>
                <w:rFonts w:ascii="Calibri" w:hAnsi="Calibri"/>
                <w:b w:val="0"/>
                <w:i w:val="0"/>
                <w:color w:val="212121"/>
                <w:sz w:val="19"/>
              </w:rPr>
              <w:t>&gt; 15 µmol/L (hyperhomocysteinaemia)</w:t>
            </w:r>
          </w:p>
        </w:tc>
        <w:tc>
          <w:tcPr>
            <w:tcW w:type="dxa" w:w="1468"/>
            <w:vAlign w:val="top"/>
          </w:tcPr>
          <w:p>
            <w:pPr>
              <w:spacing w:after="60" w:line="259" w:lineRule="auto"/>
            </w:pPr>
            <w:r>
              <w:rPr>
                <w:rFonts w:ascii="Calibri" w:hAnsi="Calibri"/>
                <w:b w:val="0"/>
                <w:i w:val="0"/>
                <w:color w:val="212121"/>
                <w:sz w:val="19"/>
              </w:rPr>
              <w:t>Functional marker of folate/B12 status; very high in Indian vegetarians</w:t>
            </w:r>
          </w:p>
          <w:p>
            <w:pPr>
              <w:spacing w:after="40" w:line="252" w:lineRule="auto"/>
            </w:pPr>
            <w:hyperlink r:id="rId12">
              <w:r>
                <w:rPr>
                  <w:rFonts w:ascii="Calibri" w:hAnsi="Calibri" w:cs="Calibri"/>
                  <w:sz w:val="18"/>
                  <w:color w:val="1155CC"/>
                  <w:u w:val="single"/>
                </w:rPr>
                <w:t xml:space="preserve">https://link.springer.com/article/10.1007/s003940200010</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Mean corpuscular volume (MCV, fL)</w:t>
            </w:r>
          </w:p>
        </w:tc>
        <w:tc>
          <w:tcPr>
            <w:tcW w:type="dxa" w:w="1655"/>
            <w:vAlign w:val="top"/>
          </w:tcPr>
          <w:p>
            <w:pPr>
              <w:spacing w:after="40" w:before="0" w:line="259" w:lineRule="auto"/>
            </w:pPr>
            <w:r>
              <w:rPr>
                <w:rFonts w:ascii="Calibri" w:hAnsi="Calibri"/>
                <w:b w:val="0"/>
                <w:i w:val="0"/>
                <w:color w:val="212121"/>
                <w:sz w:val="19"/>
              </w:rPr>
              <w:t>Anaemic / at-risk patients</w:t>
            </w:r>
          </w:p>
        </w:tc>
        <w:tc>
          <w:tcPr>
            <w:tcW w:type="dxa" w:w="1512"/>
            <w:vAlign w:val="top"/>
          </w:tcPr>
          <w:p>
            <w:pPr>
              <w:spacing w:after="40" w:before="0" w:line="259" w:lineRule="auto"/>
            </w:pPr>
            <w:r>
              <w:rPr>
                <w:rFonts w:ascii="Calibri" w:hAnsi="Calibri"/>
                <w:b w:val="0"/>
                <w:i w:val="0"/>
                <w:color w:val="212121"/>
                <w:sz w:val="19"/>
              </w:rPr>
              <w:t>80–100 fL</w:t>
            </w:r>
          </w:p>
        </w:tc>
        <w:tc>
          <w:tcPr>
            <w:tcW w:type="dxa" w:w="1512"/>
            <w:vAlign w:val="top"/>
          </w:tcPr>
          <w:p>
            <w:pPr>
              <w:spacing w:after="40" w:before="0" w:line="259" w:lineRule="auto"/>
            </w:pPr>
            <w:r>
              <w:rPr>
                <w:rFonts w:ascii="Calibri" w:hAnsi="Calibri"/>
                <w:b w:val="0"/>
                <w:i w:val="0"/>
                <w:color w:val="212121"/>
                <w:sz w:val="19"/>
              </w:rPr>
              <w:t>&gt; 100 fL (macrocytosis)</w:t>
            </w:r>
          </w:p>
        </w:tc>
        <w:tc>
          <w:tcPr>
            <w:tcW w:type="dxa" w:w="1468"/>
            <w:vAlign w:val="top"/>
          </w:tcPr>
          <w:p>
            <w:pPr>
              <w:spacing w:after="60" w:line="259" w:lineRule="auto"/>
            </w:pPr>
            <w:r>
              <w:rPr>
                <w:rFonts w:ascii="Calibri" w:hAnsi="Calibri"/>
                <w:b w:val="0"/>
                <w:i w:val="0"/>
                <w:color w:val="212121"/>
                <w:sz w:val="19"/>
              </w:rPr>
              <w:t>Macrocytosis is an early haematological clue to folate/B12 deficiency</w:t>
            </w:r>
          </w:p>
          <w:p>
            <w:pPr>
              <w:spacing w:after="40" w:line="252" w:lineRule="auto"/>
            </w:pPr>
            <w:hyperlink r:id="rId14">
              <w:r>
                <w:rPr>
                  <w:rFonts w:ascii="Calibri" w:hAnsi="Calibri" w:cs="Calibri"/>
                  <w:sz w:val="18"/>
                  <w:color w:val="1155CC"/>
                  <w:u w:val="single"/>
                </w:rPr>
                <w:t xml:space="preserve">https://www.ncbi.nlm.nih.gov/books/NBK535377/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Haemoglobin (g/dL)</w:t>
            </w:r>
          </w:p>
        </w:tc>
        <w:tc>
          <w:tcPr>
            <w:tcW w:type="dxa" w:w="1655"/>
            <w:vAlign w:val="top"/>
          </w:tcPr>
          <w:p>
            <w:pPr>
              <w:spacing w:after="40" w:before="0" w:line="259" w:lineRule="auto"/>
            </w:pPr>
            <w:r>
              <w:rPr>
                <w:rFonts w:ascii="Calibri" w:hAnsi="Calibri"/>
                <w:b w:val="0"/>
                <w:i w:val="0"/>
                <w:color w:val="212121"/>
                <w:sz w:val="19"/>
              </w:rPr>
              <w:t>Women, children, pregnant women</w:t>
            </w:r>
          </w:p>
        </w:tc>
        <w:tc>
          <w:tcPr>
            <w:tcW w:type="dxa" w:w="1512"/>
            <w:vAlign w:val="top"/>
          </w:tcPr>
          <w:p>
            <w:pPr>
              <w:spacing w:after="40" w:before="0" w:line="259" w:lineRule="auto"/>
            </w:pPr>
            <w:r>
              <w:rPr>
                <w:rFonts w:ascii="Calibri" w:hAnsi="Calibri"/>
                <w:b w:val="0"/>
                <w:i w:val="0"/>
                <w:color w:val="212121"/>
                <w:sz w:val="19"/>
              </w:rPr>
              <w:t>M ≥ 13; F ≥ 12; pregnancy ≥ 11 g/dL</w:t>
            </w:r>
          </w:p>
        </w:tc>
        <w:tc>
          <w:tcPr>
            <w:tcW w:type="dxa" w:w="1512"/>
            <w:vAlign w:val="top"/>
          </w:tcPr>
          <w:p>
            <w:pPr>
              <w:spacing w:after="40" w:before="0" w:line="259" w:lineRule="auto"/>
            </w:pPr>
            <w:r>
              <w:rPr>
                <w:rFonts w:ascii="Calibri" w:hAnsi="Calibri"/>
                <w:b w:val="0"/>
                <w:i w:val="0"/>
                <w:color w:val="212121"/>
                <w:sz w:val="19"/>
              </w:rPr>
              <w:t>Below age/sex/pregnancy threshold</w:t>
            </w:r>
          </w:p>
        </w:tc>
        <w:tc>
          <w:tcPr>
            <w:tcW w:type="dxa" w:w="1468"/>
            <w:vAlign w:val="top"/>
          </w:tcPr>
          <w:p>
            <w:pPr>
              <w:spacing w:after="60" w:line="259" w:lineRule="auto"/>
            </w:pPr>
            <w:r>
              <w:rPr>
                <w:rFonts w:ascii="Calibri" w:hAnsi="Calibri"/>
                <w:b w:val="0"/>
                <w:i w:val="0"/>
                <w:color w:val="212121"/>
                <w:sz w:val="19"/>
              </w:rPr>
              <w:t>Detects the anaemia of folate deficiency (often macrocytic)</w:t>
            </w:r>
          </w:p>
          <w:p>
            <w:pPr>
              <w:spacing w:after="40" w:line="252" w:lineRule="auto"/>
            </w:pPr>
            <w:hyperlink r:id="rId14">
              <w:r>
                <w:rPr>
                  <w:rFonts w:ascii="Calibri" w:hAnsi="Calibri" w:cs="Calibri"/>
                  <w:sz w:val="18"/>
                  <w:color w:val="1155CC"/>
                  <w:u w:val="single"/>
                </w:rPr>
                <w:t xml:space="preserve">https://www.ncbi.nlm.nih.gov/books/NBK535377/</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Serum vitamin B12 (pg/mL)</w:t>
            </w:r>
          </w:p>
        </w:tc>
        <w:tc>
          <w:tcPr>
            <w:tcW w:type="dxa" w:w="1655"/>
            <w:vAlign w:val="top"/>
          </w:tcPr>
          <w:p>
            <w:pPr>
              <w:spacing w:after="40" w:before="0" w:line="259" w:lineRule="auto"/>
            </w:pPr>
            <w:r>
              <w:rPr>
                <w:rFonts w:ascii="Calibri" w:hAnsi="Calibri"/>
                <w:b w:val="0"/>
                <w:i w:val="0"/>
                <w:color w:val="212121"/>
                <w:sz w:val="19"/>
              </w:rPr>
              <w:t>All patients before folate replacement</w:t>
            </w:r>
          </w:p>
        </w:tc>
        <w:tc>
          <w:tcPr>
            <w:tcW w:type="dxa" w:w="1512"/>
            <w:vAlign w:val="top"/>
          </w:tcPr>
          <w:p>
            <w:pPr>
              <w:spacing w:after="40" w:before="0" w:line="259" w:lineRule="auto"/>
            </w:pPr>
            <w:r>
              <w:rPr>
                <w:rFonts w:ascii="Calibri" w:hAnsi="Calibri"/>
                <w:b w:val="0"/>
                <w:i w:val="0"/>
                <w:color w:val="212121"/>
                <w:sz w:val="19"/>
              </w:rPr>
              <w:t>&gt; 200–300 pg/mL</w:t>
            </w:r>
          </w:p>
        </w:tc>
        <w:tc>
          <w:tcPr>
            <w:tcW w:type="dxa" w:w="1512"/>
            <w:vAlign w:val="top"/>
          </w:tcPr>
          <w:p>
            <w:pPr>
              <w:spacing w:after="40" w:before="0" w:line="259" w:lineRule="auto"/>
            </w:pPr>
            <w:r>
              <w:rPr>
                <w:rFonts w:ascii="Calibri" w:hAnsi="Calibri"/>
                <w:b w:val="0"/>
                <w:i w:val="0"/>
                <w:color w:val="212121"/>
                <w:sz w:val="19"/>
              </w:rPr>
              <w:t>&lt; 200 pg/mL</w:t>
            </w:r>
          </w:p>
        </w:tc>
        <w:tc>
          <w:tcPr>
            <w:tcW w:type="dxa" w:w="1468"/>
            <w:vAlign w:val="top"/>
          </w:tcPr>
          <w:p>
            <w:pPr>
              <w:spacing w:after="60" w:line="259" w:lineRule="auto"/>
            </w:pPr>
            <w:r>
              <w:rPr>
                <w:rFonts w:ascii="Calibri" w:hAnsi="Calibri"/>
                <w:b w:val="0"/>
                <w:i w:val="0"/>
                <w:color w:val="212121"/>
                <w:sz w:val="19"/>
              </w:rPr>
              <w:t>Must exclude B12 deficiency before treating folate (folate trap)</w:t>
            </w:r>
          </w:p>
          <w:p>
            <w:pPr>
              <w:spacing w:after="40" w:line="252" w:lineRule="auto"/>
            </w:pPr>
            <w:hyperlink r:id="rId14">
              <w:r>
                <w:rPr>
                  <w:rFonts w:ascii="Calibri" w:hAnsi="Calibri" w:cs="Calibri"/>
                  <w:sz w:val="18"/>
                  <w:color w:val="1155CC"/>
                  <w:u w:val="single"/>
                </w:rPr>
                <w:t xml:space="preserve">https://www.ncbi.nlm.nih.gov/books/NBK535377/</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(drinks/week)</w:t>
            </w:r>
          </w:p>
        </w:tc>
        <w:tc>
          <w:tcPr>
            <w:tcW w:type="dxa" w:w="1655"/>
            <w:vAlign w:val="top"/>
          </w:tcPr>
          <w:p>
            <w:pPr>
              <w:spacing w:after="40" w:before="0" w:line="259" w:lineRule="auto"/>
            </w:pPr>
            <w:r>
              <w:rPr>
                <w:rFonts w:ascii="Calibri" w:hAnsi="Calibri"/>
                <w:b w:val="0"/>
                <w:i w:val="0"/>
                <w:color w:val="212121"/>
                <w:sz w:val="19"/>
              </w:rPr>
              <w:t>Heavy drinkers, liver disease</w:t>
            </w:r>
          </w:p>
        </w:tc>
        <w:tc>
          <w:tcPr>
            <w:tcW w:type="dxa" w:w="1512"/>
            <w:vAlign w:val="top"/>
          </w:tcPr>
          <w:p>
            <w:pPr>
              <w:spacing w:after="40" w:before="0" w:line="259" w:lineRule="auto"/>
            </w:pPr>
            <w:r>
              <w:rPr>
                <w:rFonts w:ascii="Calibri" w:hAnsi="Calibri"/>
                <w:b w:val="0"/>
                <w:i w:val="0"/>
                <w:color w:val="212121"/>
                <w:sz w:val="19"/>
              </w:rPr>
              <w:t>≤ 14 units/week (less is better)</w:t>
            </w:r>
          </w:p>
        </w:tc>
        <w:tc>
          <w:tcPr>
            <w:tcW w:type="dxa" w:w="1512"/>
            <w:vAlign w:val="top"/>
          </w:tcPr>
          <w:p>
            <w:pPr>
              <w:spacing w:after="40" w:before="0" w:line="259" w:lineRule="auto"/>
            </w:pPr>
            <w:r>
              <w:rPr>
                <w:rFonts w:ascii="Calibri" w:hAnsi="Calibri"/>
                <w:b w:val="0"/>
                <w:i w:val="0"/>
                <w:color w:val="212121"/>
                <w:sz w:val="19"/>
              </w:rPr>
              <w:t>Heavy / chronic use</w:t>
            </w:r>
          </w:p>
        </w:tc>
        <w:tc>
          <w:tcPr>
            <w:tcW w:type="dxa" w:w="1468"/>
            <w:vAlign w:val="top"/>
          </w:tcPr>
          <w:p>
            <w:pPr>
              <w:spacing w:after="60" w:line="259" w:lineRule="auto"/>
            </w:pPr>
            <w:r>
              <w:rPr>
                <w:rFonts w:ascii="Calibri" w:hAnsi="Calibri"/>
                <w:b w:val="0"/>
                <w:i w:val="0"/>
                <w:color w:val="212121"/>
                <w:sz w:val="19"/>
              </w:rPr>
              <w:t>Alcohol impairs folate absorption, storage and excretion</w:t>
            </w:r>
          </w:p>
          <w:p>
            <w:pPr>
              <w:spacing w:after="40" w:line="252" w:lineRule="auto"/>
            </w:pPr>
            <w:hyperlink r:id="rId14">
              <w:r>
                <w:rPr>
                  <w:rFonts w:ascii="Calibri" w:hAnsi="Calibri" w:cs="Calibri"/>
                  <w:sz w:val="18"/>
                  <w:color w:val="1155CC"/>
                  <w:u w:val="single"/>
                </w:rPr>
                <w:t xml:space="preserve">https://www.ncbi.nlm.nih.gov/books/NBK535377/</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tobacco use per day</w:t>
            </w:r>
          </w:p>
        </w:tc>
        <w:tc>
          <w:tcPr>
            <w:tcW w:type="dxa" w:w="1655"/>
            <w:vAlign w:val="top"/>
          </w:tcPr>
          <w:p>
            <w:pPr>
              <w:spacing w:after="40" w:before="0" w:line="259" w:lineRule="auto"/>
            </w:pPr>
            <w:r>
              <w:rPr>
                <w:rFonts w:ascii="Calibri" w:hAnsi="Calibri"/>
                <w:b w:val="0"/>
                <w:i w:val="0"/>
                <w:color w:val="212121"/>
                <w:sz w:val="19"/>
              </w:rPr>
              <w:t>Smokers, tobacco users</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 1 per day or regular tobacco use</w:t>
            </w:r>
          </w:p>
        </w:tc>
        <w:tc>
          <w:tcPr>
            <w:tcW w:type="dxa" w:w="1468"/>
            <w:vAlign w:val="top"/>
          </w:tcPr>
          <w:p>
            <w:pPr>
              <w:spacing w:after="60" w:line="259" w:lineRule="auto"/>
            </w:pPr>
            <w:r>
              <w:rPr>
                <w:rFonts w:ascii="Calibri" w:hAnsi="Calibri"/>
                <w:b w:val="0"/>
                <w:i w:val="0"/>
                <w:color w:val="212121"/>
                <w:sz w:val="19"/>
              </w:rPr>
              <w:t>Tobacco lowers serum/RBC folate and raises homocysteine</w:t>
            </w:r>
          </w:p>
          <w:p>
            <w:pPr>
              <w:spacing w:after="40" w:line="252" w:lineRule="auto"/>
            </w:pPr>
            <w:hyperlink r:id="rId14">
              <w:r>
                <w:rPr>
                  <w:rFonts w:ascii="Calibri" w:hAnsi="Calibri" w:cs="Calibri"/>
                  <w:sz w:val="18"/>
                  <w:color w:val="1155CC"/>
                  <w:u w:val="single"/>
                </w:rPr>
                <w:t xml:space="preserve">https://www.ncbi.nlm.nih.gov/books/NBK535377/</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folate</w:t>
            </w:r>
          </w:p>
        </w:tc>
        <w:tc>
          <w:tcPr>
            <w:tcW w:type="dxa" w:w="892"/>
            <w:vAlign w:val="top"/>
          </w:tcPr>
          <w:p>
            <w:pPr>
              <w:spacing w:after="40" w:before="0" w:line="259" w:lineRule="auto"/>
            </w:pPr>
            <w:r>
              <w:rPr>
                <w:rFonts w:ascii="Calibri" w:hAnsi="Calibri"/>
                <w:b w:val="0"/>
                <w:i w:val="0"/>
                <w:color w:val="212121"/>
                <w:sz w:val="16"/>
              </w:rPr>
              <w:t>Folate assay</w:t>
            </w:r>
          </w:p>
        </w:tc>
        <w:tc>
          <w:tcPr>
            <w:tcW w:type="dxa" w:w="950"/>
            <w:vAlign w:val="top"/>
          </w:tcPr>
          <w:p>
            <w:pPr>
              <w:spacing w:after="40" w:before="0" w:line="259" w:lineRule="auto"/>
            </w:pPr>
            <w:r>
              <w:rPr>
                <w:rFonts w:ascii="Calibri" w:hAnsi="Calibri"/>
                <w:b w:val="0"/>
                <w:i w:val="0"/>
                <w:color w:val="212121"/>
                <w:sz w:val="16"/>
              </w:rPr>
              <w:t>&gt; 4 ng/mL</w:t>
            </w:r>
          </w:p>
        </w:tc>
        <w:tc>
          <w:tcPr>
            <w:tcW w:type="dxa" w:w="950"/>
            <w:vAlign w:val="top"/>
          </w:tcPr>
          <w:p>
            <w:pPr>
              <w:spacing w:after="40" w:before="0" w:line="259" w:lineRule="auto"/>
            </w:pPr>
            <w:r>
              <w:rPr>
                <w:rFonts w:ascii="Calibri" w:hAnsi="Calibri"/>
                <w:b w:val="0"/>
                <w:i w:val="0"/>
                <w:color w:val="212121"/>
                <w:sz w:val="16"/>
              </w:rPr>
              <w:t>&lt; 3 ng/mL (deficiency); 2–4 ng/mL borderline</w:t>
            </w:r>
          </w:p>
        </w:tc>
        <w:tc>
          <w:tcPr>
            <w:tcW w:type="dxa" w:w="1036"/>
            <w:vAlign w:val="top"/>
          </w:tcPr>
          <w:p>
            <w:pPr>
              <w:spacing w:after="40" w:before="0" w:line="259" w:lineRule="auto"/>
            </w:pPr>
            <w:r>
              <w:rPr>
                <w:rFonts w:ascii="Calibri" w:hAnsi="Calibri"/>
                <w:b w:val="0"/>
                <w:i w:val="0"/>
                <w:color w:val="212121"/>
                <w:sz w:val="16"/>
              </w:rPr>
              <w:t>Confirms low recent folate intake/status; sensitive but fluctuates with diet</w:t>
            </w:r>
          </w:p>
        </w:tc>
        <w:tc>
          <w:tcPr>
            <w:tcW w:type="dxa" w:w="1036"/>
            <w:vAlign w:val="top"/>
          </w:tcPr>
          <w:p>
            <w:pPr>
              <w:spacing w:after="40" w:before="0" w:line="259" w:lineRule="auto"/>
            </w:pPr>
            <w:r>
              <w:rPr>
                <w:rFonts w:ascii="Calibri" w:hAnsi="Calibri"/>
                <w:b w:val="0"/>
                <w:i w:val="0"/>
                <w:color w:val="212121"/>
                <w:sz w:val="16"/>
              </w:rPr>
              <w:t>At-risk adults, adolescents, pregnant women, alcoholics</w:t>
            </w:r>
          </w:p>
        </w:tc>
        <w:tc>
          <w:tcPr>
            <w:tcW w:type="dxa" w:w="720"/>
            <w:vAlign w:val="top"/>
          </w:tcPr>
          <w:p>
            <w:pPr>
              <w:spacing w:after="40" w:before="0" w:line="259" w:lineRule="auto"/>
            </w:pPr>
            <w:r>
              <w:rPr>
                <w:rFonts w:ascii="Calibri" w:hAnsi="Calibri"/>
                <w:b w:val="0"/>
                <w:i w:val="0"/>
                <w:color w:val="212121"/>
                <w:sz w:val="16"/>
              </w:rPr>
              <w:t>Food; Alcohol</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Draw fasting; recent folate-rich meal can normalise it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Red-blood-cell (erythrocyte) folate</w:t>
            </w:r>
          </w:p>
        </w:tc>
        <w:tc>
          <w:tcPr>
            <w:tcW w:type="dxa" w:w="892"/>
            <w:vAlign w:val="top"/>
          </w:tcPr>
          <w:p>
            <w:pPr>
              <w:spacing w:after="40" w:before="0" w:line="259" w:lineRule="auto"/>
            </w:pPr>
            <w:r>
              <w:rPr>
                <w:rFonts w:ascii="Calibri" w:hAnsi="Calibri"/>
                <w:b w:val="0"/>
                <w:i w:val="0"/>
                <w:color w:val="212121"/>
                <w:sz w:val="16"/>
              </w:rPr>
              <w:t>RBC folate assay</w:t>
            </w:r>
          </w:p>
        </w:tc>
        <w:tc>
          <w:tcPr>
            <w:tcW w:type="dxa" w:w="950"/>
            <w:vAlign w:val="top"/>
          </w:tcPr>
          <w:p>
            <w:pPr>
              <w:spacing w:after="40" w:before="0" w:line="259" w:lineRule="auto"/>
            </w:pPr>
            <w:r>
              <w:rPr>
                <w:rFonts w:ascii="Calibri" w:hAnsi="Calibri"/>
                <w:b w:val="0"/>
                <w:i w:val="0"/>
                <w:color w:val="212121"/>
                <w:sz w:val="16"/>
              </w:rPr>
              <w:t>≥ 140 ng/mL (≥ 400 for NTD prevention)</w:t>
            </w:r>
          </w:p>
        </w:tc>
        <w:tc>
          <w:tcPr>
            <w:tcW w:type="dxa" w:w="950"/>
            <w:vAlign w:val="top"/>
          </w:tcPr>
          <w:p>
            <w:pPr>
              <w:spacing w:after="40" w:before="0" w:line="259" w:lineRule="auto"/>
            </w:pPr>
            <w:r>
              <w:rPr>
                <w:rFonts w:ascii="Calibri" w:hAnsi="Calibri"/>
                <w:b w:val="0"/>
                <w:i w:val="0"/>
                <w:color w:val="212121"/>
                <w:sz w:val="16"/>
              </w:rPr>
              <w:t>&lt; 140 ng/mL (&lt; 305 nmol/L)</w:t>
            </w:r>
          </w:p>
        </w:tc>
        <w:tc>
          <w:tcPr>
            <w:tcW w:type="dxa" w:w="1036"/>
            <w:vAlign w:val="top"/>
          </w:tcPr>
          <w:p>
            <w:pPr>
              <w:spacing w:after="40" w:before="0" w:line="259" w:lineRule="auto"/>
            </w:pPr>
            <w:r>
              <w:rPr>
                <w:rFonts w:ascii="Calibri" w:hAnsi="Calibri"/>
                <w:b w:val="0"/>
                <w:i w:val="0"/>
                <w:color w:val="212121"/>
                <w:sz w:val="16"/>
              </w:rPr>
              <w:t>Reflects tissue stores over ~3 months; confirms chronic deficiency</w:t>
            </w:r>
          </w:p>
        </w:tc>
        <w:tc>
          <w:tcPr>
            <w:tcW w:type="dxa" w:w="1036"/>
            <w:vAlign w:val="top"/>
          </w:tcPr>
          <w:p>
            <w:pPr>
              <w:spacing w:after="40" w:before="0" w:line="259" w:lineRule="auto"/>
            </w:pPr>
            <w:r>
              <w:rPr>
                <w:rFonts w:ascii="Calibri" w:hAnsi="Calibri"/>
                <w:b w:val="0"/>
                <w:i w:val="0"/>
                <w:color w:val="212121"/>
                <w:sz w:val="16"/>
              </w:rPr>
              <w:t>Chronic deficiency, women of reproductive age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Less affected by recent intake than serum folate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Haematological</w:t>
            </w:r>
          </w:p>
        </w:tc>
        <w:tc>
          <w:tcPr>
            <w:tcW w:type="dxa" w:w="1036"/>
            <w:vAlign w:val="top"/>
          </w:tcPr>
          <w:p>
            <w:pPr>
              <w:spacing w:after="40" w:before="0" w:line="259" w:lineRule="auto"/>
            </w:pPr>
            <w:r>
              <w:rPr>
                <w:rFonts w:ascii="Calibri" w:hAnsi="Calibri"/>
                <w:b w:val="0"/>
                <w:i w:val="0"/>
                <w:color w:val="212121"/>
                <w:sz w:val="16"/>
              </w:rPr>
              <w:t>Complete blood count with indices</w:t>
            </w:r>
          </w:p>
        </w:tc>
        <w:tc>
          <w:tcPr>
            <w:tcW w:type="dxa" w:w="892"/>
            <w:vAlign w:val="top"/>
          </w:tcPr>
          <w:p>
            <w:pPr>
              <w:spacing w:after="40" w:before="0" w:line="259" w:lineRule="auto"/>
            </w:pPr>
            <w:r>
              <w:rPr>
                <w:rFonts w:ascii="Calibri" w:hAnsi="Calibri"/>
                <w:b w:val="0"/>
                <w:i w:val="0"/>
                <w:color w:val="212121"/>
                <w:sz w:val="16"/>
              </w:rPr>
              <w:t>CBC / MCV</w:t>
            </w:r>
          </w:p>
        </w:tc>
        <w:tc>
          <w:tcPr>
            <w:tcW w:type="dxa" w:w="950"/>
            <w:vAlign w:val="top"/>
          </w:tcPr>
          <w:p>
            <w:pPr>
              <w:spacing w:after="40" w:before="0" w:line="259" w:lineRule="auto"/>
            </w:pPr>
            <w:r>
              <w:rPr>
                <w:rFonts w:ascii="Calibri" w:hAnsi="Calibri"/>
                <w:b w:val="0"/>
                <w:i w:val="0"/>
                <w:color w:val="212121"/>
                <w:sz w:val="16"/>
              </w:rPr>
              <w:t>MCV 80–100 fL; normal Hb</w:t>
            </w:r>
          </w:p>
        </w:tc>
        <w:tc>
          <w:tcPr>
            <w:tcW w:type="dxa" w:w="950"/>
            <w:vAlign w:val="top"/>
          </w:tcPr>
          <w:p>
            <w:pPr>
              <w:spacing w:after="40" w:before="0" w:line="259" w:lineRule="auto"/>
            </w:pPr>
            <w:r>
              <w:rPr>
                <w:rFonts w:ascii="Calibri" w:hAnsi="Calibri"/>
                <w:b w:val="0"/>
                <w:i w:val="0"/>
                <w:color w:val="212121"/>
                <w:sz w:val="16"/>
              </w:rPr>
              <w:t>MCV &gt; 100 fL with low Hb</w:t>
            </w:r>
          </w:p>
        </w:tc>
        <w:tc>
          <w:tcPr>
            <w:tcW w:type="dxa" w:w="1036"/>
            <w:vAlign w:val="top"/>
          </w:tcPr>
          <w:p>
            <w:pPr>
              <w:spacing w:after="40" w:before="0" w:line="259" w:lineRule="auto"/>
            </w:pPr>
            <w:r>
              <w:rPr>
                <w:rFonts w:ascii="Calibri" w:hAnsi="Calibri"/>
                <w:b w:val="0"/>
                <w:i w:val="0"/>
                <w:color w:val="212121"/>
                <w:sz w:val="16"/>
              </w:rPr>
              <w:t>Macrocytic anaemia is the hallmark haematological consequence</w:t>
            </w:r>
          </w:p>
        </w:tc>
        <w:tc>
          <w:tcPr>
            <w:tcW w:type="dxa" w:w="1036"/>
            <w:vAlign w:val="top"/>
          </w:tcPr>
          <w:p>
            <w:pPr>
              <w:spacing w:after="40" w:before="0" w:line="259" w:lineRule="auto"/>
            </w:pPr>
            <w:r>
              <w:rPr>
                <w:rFonts w:ascii="Calibri" w:hAnsi="Calibri"/>
                <w:b w:val="0"/>
                <w:i w:val="0"/>
                <w:color w:val="212121"/>
                <w:sz w:val="16"/>
              </w:rPr>
              <w:t>Anaemic and at-risk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Coexisting iron deficiency can mask macrocytosis (dimorphic picture)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Haematological</w:t>
            </w:r>
          </w:p>
        </w:tc>
        <w:tc>
          <w:tcPr>
            <w:tcW w:type="dxa" w:w="1036"/>
            <w:vAlign w:val="top"/>
          </w:tcPr>
          <w:p>
            <w:pPr>
              <w:spacing w:after="40" w:before="0" w:line="259" w:lineRule="auto"/>
            </w:pPr>
            <w:r>
              <w:rPr>
                <w:rFonts w:ascii="Calibri" w:hAnsi="Calibri"/>
                <w:b w:val="0"/>
                <w:i w:val="0"/>
                <w:color w:val="212121"/>
                <w:sz w:val="16"/>
              </w:rPr>
              <w:t>Peripheral blood smear</w:t>
            </w:r>
          </w:p>
        </w:tc>
        <w:tc>
          <w:tcPr>
            <w:tcW w:type="dxa" w:w="892"/>
            <w:vAlign w:val="top"/>
          </w:tcPr>
          <w:p>
            <w:pPr>
              <w:spacing w:after="40" w:before="0" w:line="259" w:lineRule="auto"/>
            </w:pPr>
            <w:r>
              <w:rPr>
                <w:rFonts w:ascii="Calibri" w:hAnsi="Calibri"/>
                <w:b w:val="0"/>
                <w:i w:val="0"/>
                <w:color w:val="212121"/>
                <w:sz w:val="16"/>
              </w:rPr>
              <w:t>Blood film</w:t>
            </w:r>
          </w:p>
        </w:tc>
        <w:tc>
          <w:tcPr>
            <w:tcW w:type="dxa" w:w="950"/>
            <w:vAlign w:val="top"/>
          </w:tcPr>
          <w:p>
            <w:pPr>
              <w:spacing w:after="40" w:before="0" w:line="259" w:lineRule="auto"/>
            </w:pPr>
            <w:r>
              <w:rPr>
                <w:rFonts w:ascii="Calibri" w:hAnsi="Calibri"/>
                <w:b w:val="0"/>
                <w:i w:val="0"/>
                <w:color w:val="212121"/>
                <w:sz w:val="16"/>
              </w:rPr>
              <w:t>Normocytic red cells; normal neutrophils</w:t>
            </w:r>
          </w:p>
        </w:tc>
        <w:tc>
          <w:tcPr>
            <w:tcW w:type="dxa" w:w="950"/>
            <w:vAlign w:val="top"/>
          </w:tcPr>
          <w:p>
            <w:pPr>
              <w:spacing w:after="40" w:before="0" w:line="259" w:lineRule="auto"/>
            </w:pPr>
            <w:r>
              <w:rPr>
                <w:rFonts w:ascii="Calibri" w:hAnsi="Calibri"/>
                <w:b w:val="0"/>
                <w:i w:val="0"/>
                <w:color w:val="212121"/>
                <w:sz w:val="16"/>
              </w:rPr>
              <w:t>Oval macrocytes; hypersegmented neutrophils (≥5 lobes)</w:t>
            </w:r>
          </w:p>
        </w:tc>
        <w:tc>
          <w:tcPr>
            <w:tcW w:type="dxa" w:w="1036"/>
            <w:vAlign w:val="top"/>
          </w:tcPr>
          <w:p>
            <w:pPr>
              <w:spacing w:after="40" w:before="0" w:line="259" w:lineRule="auto"/>
            </w:pPr>
            <w:r>
              <w:rPr>
                <w:rFonts w:ascii="Calibri" w:hAnsi="Calibri"/>
                <w:b w:val="0"/>
                <w:i w:val="0"/>
                <w:color w:val="212121"/>
                <w:sz w:val="16"/>
              </w:rPr>
              <w:t>Morphological signature of megaloblastic anaemia</w:t>
            </w:r>
          </w:p>
        </w:tc>
        <w:tc>
          <w:tcPr>
            <w:tcW w:type="dxa" w:w="1036"/>
            <w:vAlign w:val="top"/>
          </w:tcPr>
          <w:p>
            <w:pPr>
              <w:spacing w:after="40" w:before="0" w:line="259" w:lineRule="auto"/>
            </w:pPr>
            <w:r>
              <w:rPr>
                <w:rFonts w:ascii="Calibri" w:hAnsi="Calibri"/>
                <w:b w:val="0"/>
                <w:i w:val="0"/>
                <w:color w:val="212121"/>
                <w:sz w:val="16"/>
              </w:rPr>
              <w:t>Macrocytic anaemia, suspected B12/folate deficiency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Hypersegmentation is an early and sensitive clue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vitamin B12</w:t>
            </w:r>
          </w:p>
        </w:tc>
        <w:tc>
          <w:tcPr>
            <w:tcW w:type="dxa" w:w="892"/>
            <w:vAlign w:val="top"/>
          </w:tcPr>
          <w:p>
            <w:pPr>
              <w:spacing w:after="40" w:before="0" w:line="259" w:lineRule="auto"/>
            </w:pPr>
            <w:r>
              <w:rPr>
                <w:rFonts w:ascii="Calibri" w:hAnsi="Calibri"/>
                <w:b w:val="0"/>
                <w:i w:val="0"/>
                <w:color w:val="212121"/>
                <w:sz w:val="16"/>
              </w:rPr>
              <w:t>Cobalamin assay</w:t>
            </w:r>
          </w:p>
        </w:tc>
        <w:tc>
          <w:tcPr>
            <w:tcW w:type="dxa" w:w="950"/>
            <w:vAlign w:val="top"/>
          </w:tcPr>
          <w:p>
            <w:pPr>
              <w:spacing w:after="40" w:before="0" w:line="259" w:lineRule="auto"/>
            </w:pPr>
            <w:r>
              <w:rPr>
                <w:rFonts w:ascii="Calibri" w:hAnsi="Calibri"/>
                <w:b w:val="0"/>
                <w:i w:val="0"/>
                <w:color w:val="212121"/>
                <w:sz w:val="16"/>
              </w:rPr>
              <w:t>&gt; 200–300 pg/mL</w:t>
            </w:r>
          </w:p>
        </w:tc>
        <w:tc>
          <w:tcPr>
            <w:tcW w:type="dxa" w:w="950"/>
            <w:vAlign w:val="top"/>
          </w:tcPr>
          <w:p>
            <w:pPr>
              <w:spacing w:after="40" w:before="0" w:line="259" w:lineRule="auto"/>
            </w:pPr>
            <w:r>
              <w:rPr>
                <w:rFonts w:ascii="Calibri" w:hAnsi="Calibri"/>
                <w:b w:val="0"/>
                <w:i w:val="0"/>
                <w:color w:val="212121"/>
                <w:sz w:val="16"/>
              </w:rPr>
              <w:t>&lt; 200 pg/mL</w:t>
            </w:r>
          </w:p>
        </w:tc>
        <w:tc>
          <w:tcPr>
            <w:tcW w:type="dxa" w:w="1036"/>
            <w:vAlign w:val="top"/>
          </w:tcPr>
          <w:p>
            <w:pPr>
              <w:spacing w:after="40" w:before="0" w:line="259" w:lineRule="auto"/>
            </w:pPr>
            <w:r>
              <w:rPr>
                <w:rFonts w:ascii="Calibri" w:hAnsi="Calibri"/>
                <w:b w:val="0"/>
                <w:i w:val="0"/>
                <w:color w:val="212121"/>
                <w:sz w:val="16"/>
              </w:rPr>
              <w:t>Excludes coexisting/masked B12 deficiency before folate therapy</w:t>
            </w:r>
          </w:p>
        </w:tc>
        <w:tc>
          <w:tcPr>
            <w:tcW w:type="dxa" w:w="1036"/>
            <w:vAlign w:val="top"/>
          </w:tcPr>
          <w:p>
            <w:pPr>
              <w:spacing w:after="40" w:before="0" w:line="259" w:lineRule="auto"/>
            </w:pPr>
            <w:r>
              <w:rPr>
                <w:rFonts w:ascii="Calibri" w:hAnsi="Calibri"/>
                <w:b w:val="0"/>
                <w:i w:val="0"/>
                <w:color w:val="212121"/>
                <w:sz w:val="16"/>
              </w:rPr>
              <w:t>All patients with megaloblastic anaemia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Never replace folate alone until B12 is checked (folate trap)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Plasma total homocysteine</w:t>
            </w:r>
          </w:p>
        </w:tc>
        <w:tc>
          <w:tcPr>
            <w:tcW w:type="dxa" w:w="892"/>
            <w:vAlign w:val="top"/>
          </w:tcPr>
          <w:p>
            <w:pPr>
              <w:spacing w:after="40" w:before="0" w:line="259" w:lineRule="auto"/>
            </w:pPr>
            <w:r>
              <w:rPr>
                <w:rFonts w:ascii="Calibri" w:hAnsi="Calibri"/>
                <w:b w:val="0"/>
                <w:i w:val="0"/>
                <w:color w:val="212121"/>
                <w:sz w:val="16"/>
              </w:rPr>
              <w:t>Homocysteine assay</w:t>
            </w:r>
          </w:p>
        </w:tc>
        <w:tc>
          <w:tcPr>
            <w:tcW w:type="dxa" w:w="950"/>
            <w:vAlign w:val="top"/>
          </w:tcPr>
          <w:p>
            <w:pPr>
              <w:spacing w:after="40" w:before="0" w:line="259" w:lineRule="auto"/>
            </w:pPr>
            <w:r>
              <w:rPr>
                <w:rFonts w:ascii="Calibri" w:hAnsi="Calibri"/>
                <w:b w:val="0"/>
                <w:i w:val="0"/>
                <w:color w:val="212121"/>
                <w:sz w:val="16"/>
              </w:rPr>
              <w:t>&lt; 15 µmol/L</w:t>
            </w:r>
          </w:p>
        </w:tc>
        <w:tc>
          <w:tcPr>
            <w:tcW w:type="dxa" w:w="950"/>
            <w:vAlign w:val="top"/>
          </w:tcPr>
          <w:p>
            <w:pPr>
              <w:spacing w:after="40" w:before="0" w:line="259" w:lineRule="auto"/>
            </w:pPr>
            <w:r>
              <w:rPr>
                <w:rFonts w:ascii="Calibri" w:hAnsi="Calibri"/>
                <w:b w:val="0"/>
                <w:i w:val="0"/>
                <w:color w:val="212121"/>
                <w:sz w:val="16"/>
              </w:rPr>
              <w:t>Elevated (&gt; 15 µmol/L)</w:t>
            </w:r>
          </w:p>
        </w:tc>
        <w:tc>
          <w:tcPr>
            <w:tcW w:type="dxa" w:w="1036"/>
            <w:vAlign w:val="top"/>
          </w:tcPr>
          <w:p>
            <w:pPr>
              <w:spacing w:after="40" w:before="0" w:line="259" w:lineRule="auto"/>
            </w:pPr>
            <w:r>
              <w:rPr>
                <w:rFonts w:ascii="Calibri" w:hAnsi="Calibri"/>
                <w:b w:val="0"/>
                <w:i w:val="0"/>
                <w:color w:val="212121"/>
                <w:sz w:val="16"/>
              </w:rPr>
              <w:t>Rises in folate deficiency; functional marker of tissue status</w:t>
            </w:r>
          </w:p>
        </w:tc>
        <w:tc>
          <w:tcPr>
            <w:tcW w:type="dxa" w:w="1036"/>
            <w:vAlign w:val="top"/>
          </w:tcPr>
          <w:p>
            <w:pPr>
              <w:spacing w:after="40" w:before="0" w:line="259" w:lineRule="auto"/>
            </w:pPr>
            <w:r>
              <w:rPr>
                <w:rFonts w:ascii="Calibri" w:hAnsi="Calibri"/>
                <w:b w:val="0"/>
                <w:i w:val="0"/>
                <w:color w:val="212121"/>
                <w:sz w:val="16"/>
              </w:rPr>
              <w:t>Vegetarians, cardiovascular risk, unexplained thrombosis</w:t>
            </w:r>
          </w:p>
        </w:tc>
        <w:tc>
          <w:tcPr>
            <w:tcW w:type="dxa" w:w="720"/>
            <w:vAlign w:val="top"/>
          </w:tcPr>
          <w:p>
            <w:pPr>
              <w:spacing w:after="40" w:before="0" w:line="259" w:lineRule="auto"/>
            </w:pPr>
            <w:r>
              <w:rPr>
                <w:rFonts w:ascii="Calibri" w:hAnsi="Calibri"/>
                <w:b w:val="0"/>
                <w:i w:val="0"/>
                <w:color w:val="212121"/>
                <w:sz w:val="16"/>
              </w:rPr>
              <w:t>Mental health; 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Also raised in B12 deficiency; interpret with MMA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methylmalonic acid (MMA)</w:t>
            </w:r>
          </w:p>
        </w:tc>
        <w:tc>
          <w:tcPr>
            <w:tcW w:type="dxa" w:w="892"/>
            <w:vAlign w:val="top"/>
          </w:tcPr>
          <w:p>
            <w:pPr>
              <w:spacing w:after="40" w:before="0" w:line="259" w:lineRule="auto"/>
            </w:pPr>
            <w:r>
              <w:rPr>
                <w:rFonts w:ascii="Calibri" w:hAnsi="Calibri"/>
                <w:b w:val="0"/>
                <w:i w:val="0"/>
                <w:color w:val="212121"/>
                <w:sz w:val="16"/>
              </w:rPr>
              <w:t>MMA assay</w:t>
            </w:r>
          </w:p>
        </w:tc>
        <w:tc>
          <w:tcPr>
            <w:tcW w:type="dxa" w:w="950"/>
            <w:vAlign w:val="top"/>
          </w:tcPr>
          <w:p>
            <w:pPr>
              <w:spacing w:after="40" w:before="0" w:line="259" w:lineRule="auto"/>
            </w:pPr>
            <w:r>
              <w:rPr>
                <w:rFonts w:ascii="Calibri" w:hAnsi="Calibri"/>
                <w:b w:val="0"/>
                <w:i w:val="0"/>
                <w:color w:val="212121"/>
                <w:sz w:val="16"/>
              </w:rPr>
              <w:t>Normal</w:t>
            </w:r>
          </w:p>
        </w:tc>
        <w:tc>
          <w:tcPr>
            <w:tcW w:type="dxa" w:w="950"/>
            <w:vAlign w:val="top"/>
          </w:tcPr>
          <w:p>
            <w:pPr>
              <w:spacing w:after="40" w:before="0" w:line="259" w:lineRule="auto"/>
            </w:pPr>
            <w:r>
              <w:rPr>
                <w:rFonts w:ascii="Calibri" w:hAnsi="Calibri"/>
                <w:b w:val="0"/>
                <w:i w:val="0"/>
                <w:color w:val="212121"/>
                <w:sz w:val="16"/>
              </w:rPr>
              <w:t>Normal in folate deficiency; raised only in B12 deficiency</w:t>
            </w:r>
          </w:p>
        </w:tc>
        <w:tc>
          <w:tcPr>
            <w:tcW w:type="dxa" w:w="1036"/>
            <w:vAlign w:val="top"/>
          </w:tcPr>
          <w:p>
            <w:pPr>
              <w:spacing w:after="40" w:before="0" w:line="259" w:lineRule="auto"/>
            </w:pPr>
            <w:r>
              <w:rPr>
                <w:rFonts w:ascii="Calibri" w:hAnsi="Calibri"/>
                <w:b w:val="0"/>
                <w:i w:val="0"/>
                <w:color w:val="212121"/>
                <w:sz w:val="16"/>
              </w:rPr>
              <w:t>Normal MMA with high homocysteine points to folate (not B12) deficiency</w:t>
            </w:r>
          </w:p>
        </w:tc>
        <w:tc>
          <w:tcPr>
            <w:tcW w:type="dxa" w:w="1036"/>
            <w:vAlign w:val="top"/>
          </w:tcPr>
          <w:p>
            <w:pPr>
              <w:spacing w:after="40" w:before="0" w:line="259" w:lineRule="auto"/>
            </w:pPr>
            <w:r>
              <w:rPr>
                <w:rFonts w:ascii="Calibri" w:hAnsi="Calibri"/>
                <w:b w:val="0"/>
                <w:i w:val="0"/>
                <w:color w:val="212121"/>
                <w:sz w:val="16"/>
              </w:rPr>
              <w:t>Distinguishing folate from B12 deficiency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Key discriminator between the two megaloblastic deficiencies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LDH, indirect bilirubin, reticulocytes</w:t>
            </w:r>
          </w:p>
        </w:tc>
        <w:tc>
          <w:tcPr>
            <w:tcW w:type="dxa" w:w="892"/>
            <w:vAlign w:val="top"/>
          </w:tcPr>
          <w:p>
            <w:pPr>
              <w:spacing w:after="40" w:before="0" w:line="259" w:lineRule="auto"/>
            </w:pPr>
            <w:r>
              <w:rPr>
                <w:rFonts w:ascii="Calibri" w:hAnsi="Calibri"/>
                <w:b w:val="0"/>
                <w:i w:val="0"/>
                <w:color w:val="212121"/>
                <w:sz w:val="16"/>
              </w:rPr>
              <w:t>Haemolysis / ineffective-erythropoiesis panel</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Raised LDH &amp; bilirubin with low reticulocytes</w:t>
            </w:r>
          </w:p>
        </w:tc>
        <w:tc>
          <w:tcPr>
            <w:tcW w:type="dxa" w:w="1036"/>
            <w:vAlign w:val="top"/>
          </w:tcPr>
          <w:p>
            <w:pPr>
              <w:spacing w:after="40" w:before="0" w:line="259" w:lineRule="auto"/>
            </w:pPr>
            <w:r>
              <w:rPr>
                <w:rFonts w:ascii="Calibri" w:hAnsi="Calibri"/>
                <w:b w:val="0"/>
                <w:i w:val="0"/>
                <w:color w:val="212121"/>
                <w:sz w:val="16"/>
              </w:rPr>
              <w:t>Reflects intramedullary ineffective erythropoiesis of megaloblastic anaemia</w:t>
            </w:r>
          </w:p>
        </w:tc>
        <w:tc>
          <w:tcPr>
            <w:tcW w:type="dxa" w:w="1036"/>
            <w:vAlign w:val="top"/>
          </w:tcPr>
          <w:p>
            <w:pPr>
              <w:spacing w:after="40" w:before="0" w:line="259" w:lineRule="auto"/>
            </w:pPr>
            <w:r>
              <w:rPr>
                <w:rFonts w:ascii="Calibri" w:hAnsi="Calibri"/>
                <w:b w:val="0"/>
                <w:i w:val="0"/>
                <w:color w:val="212121"/>
                <w:sz w:val="16"/>
              </w:rPr>
              <w:t>Severe megaloblastic anaemia</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Can mimic haemolysis biochemically</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Dietary history</w:t>
            </w:r>
          </w:p>
        </w:tc>
        <w:tc>
          <w:tcPr>
            <w:tcW w:type="dxa" w:w="979"/>
            <w:vAlign w:val="top"/>
          </w:tcPr>
          <w:p>
            <w:pPr>
              <w:spacing w:after="40" w:before="0" w:line="259" w:lineRule="auto"/>
            </w:pPr>
            <w:r>
              <w:rPr>
                <w:rFonts w:ascii="Calibri" w:hAnsi="Calibri"/>
                <w:b w:val="0"/>
                <w:i w:val="0"/>
                <w:color w:val="212121"/>
                <w:sz w:val="16"/>
              </w:rPr>
              <w:t>Green leafy vegetable, legume &amp; fruit intake; cooking practices</w:t>
            </w:r>
          </w:p>
        </w:tc>
        <w:tc>
          <w:tcPr>
            <w:tcW w:type="dxa" w:w="950"/>
            <w:vAlign w:val="top"/>
          </w:tcPr>
          <w:p>
            <w:pPr>
              <w:spacing w:after="40" w:before="0" w:line="259" w:lineRule="auto"/>
            </w:pPr>
            <w:r>
              <w:rPr>
                <w:rFonts w:ascii="Calibri" w:hAnsi="Calibri"/>
                <w:b w:val="0"/>
                <w:i w:val="0"/>
                <w:color w:val="212121"/>
                <w:sz w:val="16"/>
              </w:rPr>
              <w:t>Regular lightly-cooked greens, pulses and fruit</w:t>
            </w:r>
          </w:p>
        </w:tc>
        <w:tc>
          <w:tcPr>
            <w:tcW w:type="dxa" w:w="950"/>
            <w:vAlign w:val="top"/>
          </w:tcPr>
          <w:p>
            <w:pPr>
              <w:spacing w:after="40" w:before="0" w:line="259" w:lineRule="auto"/>
            </w:pPr>
            <w:r>
              <w:rPr>
                <w:rFonts w:ascii="Calibri" w:hAnsi="Calibri"/>
                <w:b w:val="0"/>
                <w:i w:val="0"/>
                <w:color w:val="212121"/>
                <w:sz w:val="16"/>
              </w:rPr>
              <w:t>Low vegetable intake; heavily overcooked/refined diet</w:t>
            </w:r>
          </w:p>
        </w:tc>
        <w:tc>
          <w:tcPr>
            <w:tcW w:type="dxa" w:w="1036"/>
            <w:vAlign w:val="top"/>
          </w:tcPr>
          <w:p>
            <w:pPr>
              <w:spacing w:after="40" w:before="0" w:line="259" w:lineRule="auto"/>
            </w:pPr>
            <w:r>
              <w:rPr>
                <w:rFonts w:ascii="Calibri" w:hAnsi="Calibri"/>
                <w:b w:val="0"/>
                <w:i w:val="0"/>
                <w:color w:val="212121"/>
                <w:sz w:val="16"/>
              </w:rPr>
              <w:t>Identifies the dominant, modifiable cause of deficiency in India</w:t>
            </w:r>
          </w:p>
        </w:tc>
        <w:tc>
          <w:tcPr>
            <w:tcW w:type="dxa" w:w="1036"/>
            <w:vAlign w:val="top"/>
          </w:tcPr>
          <w:p>
            <w:pPr>
              <w:spacing w:after="40" w:before="0" w:line="259" w:lineRule="auto"/>
            </w:pPr>
            <w:r>
              <w:rPr>
                <w:rFonts w:ascii="Calibri" w:hAnsi="Calibri"/>
                <w:b w:val="0"/>
                <w:i w:val="0"/>
                <w:color w:val="212121"/>
                <w:sz w:val="16"/>
              </w:rPr>
              <w:t>Low-income diets, urban processed-food consumers, elderly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about boiling/reheating time — folate is heat-labile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Alcohol history</w:t>
            </w:r>
          </w:p>
        </w:tc>
        <w:tc>
          <w:tcPr>
            <w:tcW w:type="dxa" w:w="979"/>
            <w:vAlign w:val="top"/>
          </w:tcPr>
          <w:p>
            <w:pPr>
              <w:spacing w:after="40" w:before="0" w:line="259" w:lineRule="auto"/>
            </w:pPr>
            <w:r>
              <w:rPr>
                <w:rFonts w:ascii="Calibri" w:hAnsi="Calibri"/>
                <w:b w:val="0"/>
                <w:i w:val="0"/>
                <w:color w:val="212121"/>
                <w:sz w:val="16"/>
              </w:rPr>
              <w:t>Quantity, frequency, chronicity of alcohol use</w:t>
            </w:r>
          </w:p>
        </w:tc>
        <w:tc>
          <w:tcPr>
            <w:tcW w:type="dxa" w:w="950"/>
            <w:vAlign w:val="top"/>
          </w:tcPr>
          <w:p>
            <w:pPr>
              <w:spacing w:after="40" w:before="0" w:line="259" w:lineRule="auto"/>
            </w:pPr>
            <w:r>
              <w:rPr>
                <w:rFonts w:ascii="Calibri" w:hAnsi="Calibri"/>
                <w:b w:val="0"/>
                <w:i w:val="0"/>
                <w:color w:val="212121"/>
                <w:sz w:val="16"/>
              </w:rPr>
              <w:t>No/occasional use</w:t>
            </w:r>
          </w:p>
        </w:tc>
        <w:tc>
          <w:tcPr>
            <w:tcW w:type="dxa" w:w="950"/>
            <w:vAlign w:val="top"/>
          </w:tcPr>
          <w:p>
            <w:pPr>
              <w:spacing w:after="40" w:before="0" w:line="259" w:lineRule="auto"/>
            </w:pPr>
            <w:r>
              <w:rPr>
                <w:rFonts w:ascii="Calibri" w:hAnsi="Calibri"/>
                <w:b w:val="0"/>
                <w:i w:val="0"/>
                <w:color w:val="212121"/>
                <w:sz w:val="16"/>
              </w:rPr>
              <w:t>Chronic or heavy use</w:t>
            </w:r>
          </w:p>
        </w:tc>
        <w:tc>
          <w:tcPr>
            <w:tcW w:type="dxa" w:w="1036"/>
            <w:vAlign w:val="top"/>
          </w:tcPr>
          <w:p>
            <w:pPr>
              <w:spacing w:after="40" w:before="0" w:line="259" w:lineRule="auto"/>
            </w:pPr>
            <w:r>
              <w:rPr>
                <w:rFonts w:ascii="Calibri" w:hAnsi="Calibri"/>
                <w:b w:val="0"/>
                <w:i w:val="0"/>
                <w:color w:val="212121"/>
                <w:sz w:val="16"/>
              </w:rPr>
              <w:t>Alcohol is a leading cause of folate-deficiency anaemia</w:t>
            </w:r>
          </w:p>
        </w:tc>
        <w:tc>
          <w:tcPr>
            <w:tcW w:type="dxa" w:w="1036"/>
            <w:vAlign w:val="top"/>
          </w:tcPr>
          <w:p>
            <w:pPr>
              <w:spacing w:after="40" w:before="0" w:line="259" w:lineRule="auto"/>
            </w:pPr>
            <w:r>
              <w:rPr>
                <w:rFonts w:ascii="Calibri" w:hAnsi="Calibri"/>
                <w:b w:val="0"/>
                <w:i w:val="0"/>
                <w:color w:val="212121"/>
                <w:sz w:val="16"/>
              </w:rPr>
              <w:t>Chronic drinkers, liver disease</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Often coexists with poor diet and liver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Drug history</w:t>
            </w:r>
          </w:p>
        </w:tc>
        <w:tc>
          <w:tcPr>
            <w:tcW w:type="dxa" w:w="979"/>
            <w:vAlign w:val="top"/>
          </w:tcPr>
          <w:p>
            <w:pPr>
              <w:spacing w:after="40" w:before="0" w:line="259" w:lineRule="auto"/>
            </w:pPr>
            <w:r>
              <w:rPr>
                <w:rFonts w:ascii="Calibri" w:hAnsi="Calibri"/>
                <w:b w:val="0"/>
                <w:i w:val="0"/>
                <w:color w:val="212121"/>
                <w:sz w:val="16"/>
              </w:rPr>
              <w:t>Methotrexate, phenytoin, sulfasalazine, trimethoprim, other antifolates</w:t>
            </w:r>
          </w:p>
        </w:tc>
        <w:tc>
          <w:tcPr>
            <w:tcW w:type="dxa" w:w="950"/>
            <w:vAlign w:val="top"/>
          </w:tcPr>
          <w:p>
            <w:pPr>
              <w:spacing w:after="40" w:before="0" w:line="259" w:lineRule="auto"/>
            </w:pPr>
            <w:r>
              <w:rPr>
                <w:rFonts w:ascii="Calibri" w:hAnsi="Calibri"/>
                <w:b w:val="0"/>
                <w:i w:val="0"/>
                <w:color w:val="212121"/>
                <w:sz w:val="16"/>
              </w:rPr>
              <w:t>No interfering drugs</w:t>
            </w:r>
          </w:p>
        </w:tc>
        <w:tc>
          <w:tcPr>
            <w:tcW w:type="dxa" w:w="950"/>
            <w:vAlign w:val="top"/>
          </w:tcPr>
          <w:p>
            <w:pPr>
              <w:spacing w:after="40" w:before="0" w:line="259" w:lineRule="auto"/>
            </w:pPr>
            <w:r>
              <w:rPr>
                <w:rFonts w:ascii="Calibri" w:hAnsi="Calibri"/>
                <w:b w:val="0"/>
                <w:i w:val="0"/>
                <w:color w:val="212121"/>
                <w:sz w:val="16"/>
              </w:rPr>
              <w:t>Current antifolate/enzyme-affecting drug</w:t>
            </w:r>
          </w:p>
        </w:tc>
        <w:tc>
          <w:tcPr>
            <w:tcW w:type="dxa" w:w="1036"/>
            <w:vAlign w:val="top"/>
          </w:tcPr>
          <w:p>
            <w:pPr>
              <w:spacing w:after="40" w:before="0" w:line="259" w:lineRule="auto"/>
            </w:pPr>
            <w:r>
              <w:rPr>
                <w:rFonts w:ascii="Calibri" w:hAnsi="Calibri"/>
                <w:b w:val="0"/>
                <w:i w:val="0"/>
                <w:color w:val="212121"/>
                <w:sz w:val="16"/>
              </w:rPr>
              <w:t>Flags drug-induced deficiency and need for folate co-prescription</w:t>
            </w:r>
          </w:p>
        </w:tc>
        <w:tc>
          <w:tcPr>
            <w:tcW w:type="dxa" w:w="1036"/>
            <w:vAlign w:val="top"/>
          </w:tcPr>
          <w:p>
            <w:pPr>
              <w:spacing w:after="40" w:before="0" w:line="259" w:lineRule="auto"/>
            </w:pPr>
            <w:r>
              <w:rPr>
                <w:rFonts w:ascii="Calibri" w:hAnsi="Calibri"/>
                <w:b w:val="0"/>
                <w:i w:val="0"/>
                <w:color w:val="212121"/>
                <w:sz w:val="16"/>
              </w:rPr>
              <w:t>Rheumatology, epilepsy, IBD, chemotherapy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Weekly folic acid is co-prescribed with low-dose methotrexate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Obstetric &amp; reproductive history</w:t>
            </w:r>
          </w:p>
        </w:tc>
        <w:tc>
          <w:tcPr>
            <w:tcW w:type="dxa" w:w="979"/>
            <w:vAlign w:val="top"/>
          </w:tcPr>
          <w:p>
            <w:pPr>
              <w:spacing w:after="40" w:before="0" w:line="259" w:lineRule="auto"/>
            </w:pPr>
            <w:r>
              <w:rPr>
                <w:rFonts w:ascii="Calibri" w:hAnsi="Calibri"/>
                <w:b w:val="0"/>
                <w:i w:val="0"/>
                <w:color w:val="212121"/>
                <w:sz w:val="16"/>
              </w:rPr>
              <w:t>Pregnancy, multigravidity, prior NTD-affected pregnancy, supplementation</w:t>
            </w:r>
          </w:p>
        </w:tc>
        <w:tc>
          <w:tcPr>
            <w:tcW w:type="dxa" w:w="950"/>
            <w:vAlign w:val="top"/>
          </w:tcPr>
          <w:p>
            <w:pPr>
              <w:spacing w:after="40" w:before="0" w:line="259" w:lineRule="auto"/>
            </w:pPr>
            <w:r>
              <w:rPr>
                <w:rFonts w:ascii="Calibri" w:hAnsi="Calibri"/>
                <w:b w:val="0"/>
                <w:i w:val="0"/>
                <w:color w:val="212121"/>
                <w:sz w:val="16"/>
              </w:rPr>
              <w:t>Adequate periconceptional folate; no prior NTD</w:t>
            </w:r>
          </w:p>
        </w:tc>
        <w:tc>
          <w:tcPr>
            <w:tcW w:type="dxa" w:w="950"/>
            <w:vAlign w:val="top"/>
          </w:tcPr>
          <w:p>
            <w:pPr>
              <w:spacing w:after="40" w:before="0" w:line="259" w:lineRule="auto"/>
            </w:pPr>
            <w:r>
              <w:rPr>
                <w:rFonts w:ascii="Calibri" w:hAnsi="Calibri"/>
                <w:b w:val="0"/>
                <w:i w:val="0"/>
                <w:color w:val="212121"/>
                <w:sz w:val="16"/>
              </w:rPr>
              <w:t>Multigravida, prior NTD, no supplementation</w:t>
            </w:r>
          </w:p>
        </w:tc>
        <w:tc>
          <w:tcPr>
            <w:tcW w:type="dxa" w:w="1036"/>
            <w:vAlign w:val="top"/>
          </w:tcPr>
          <w:p>
            <w:pPr>
              <w:spacing w:after="40" w:before="0" w:line="259" w:lineRule="auto"/>
            </w:pPr>
            <w:r>
              <w:rPr>
                <w:rFonts w:ascii="Calibri" w:hAnsi="Calibri"/>
                <w:b w:val="0"/>
                <w:i w:val="0"/>
                <w:color w:val="212121"/>
                <w:sz w:val="16"/>
              </w:rPr>
              <w:t>Stratifies pregnancy-related folate risk and recurrence</w:t>
            </w:r>
          </w:p>
        </w:tc>
        <w:tc>
          <w:tcPr>
            <w:tcW w:type="dxa" w:w="1036"/>
            <w:vAlign w:val="top"/>
          </w:tcPr>
          <w:p>
            <w:pPr>
              <w:spacing w:after="40" w:before="0" w:line="259" w:lineRule="auto"/>
            </w:pPr>
            <w:r>
              <w:rPr>
                <w:rFonts w:ascii="Calibri" w:hAnsi="Calibri"/>
                <w:b w:val="0"/>
                <w:i w:val="0"/>
                <w:color w:val="212121"/>
                <w:sz w:val="16"/>
              </w:rPr>
              <w:t>Women of reproductive age, pregnant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Multigravidity raises deficiency odds (aOR ~1.84)</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GI / malabsorption review</w:t>
            </w:r>
          </w:p>
        </w:tc>
        <w:tc>
          <w:tcPr>
            <w:tcW w:type="dxa" w:w="979"/>
            <w:vAlign w:val="top"/>
          </w:tcPr>
          <w:p>
            <w:pPr>
              <w:spacing w:after="40" w:before="0" w:line="259" w:lineRule="auto"/>
            </w:pPr>
            <w:r>
              <w:rPr>
                <w:rFonts w:ascii="Calibri" w:hAnsi="Calibri"/>
                <w:b w:val="0"/>
                <w:i w:val="0"/>
                <w:color w:val="212121"/>
                <w:sz w:val="16"/>
              </w:rPr>
              <w:t>Chronic diarrhoea, coeliac/IBD, tropical sprue, bowel surgery</w:t>
            </w:r>
          </w:p>
        </w:tc>
        <w:tc>
          <w:tcPr>
            <w:tcW w:type="dxa" w:w="950"/>
            <w:vAlign w:val="top"/>
          </w:tcPr>
          <w:p>
            <w:pPr>
              <w:spacing w:after="40" w:before="0" w:line="259" w:lineRule="auto"/>
            </w:pPr>
            <w:r>
              <w:rPr>
                <w:rFonts w:ascii="Calibri" w:hAnsi="Calibri"/>
                <w:b w:val="0"/>
                <w:i w:val="0"/>
                <w:color w:val="212121"/>
                <w:sz w:val="16"/>
              </w:rPr>
              <w:t>No malabsorptive symptoms</w:t>
            </w:r>
          </w:p>
        </w:tc>
        <w:tc>
          <w:tcPr>
            <w:tcW w:type="dxa" w:w="950"/>
            <w:vAlign w:val="top"/>
          </w:tcPr>
          <w:p>
            <w:pPr>
              <w:spacing w:after="40" w:before="0" w:line="259" w:lineRule="auto"/>
            </w:pPr>
            <w:r>
              <w:rPr>
                <w:rFonts w:ascii="Calibri" w:hAnsi="Calibri"/>
                <w:b w:val="0"/>
                <w:i w:val="0"/>
                <w:color w:val="212121"/>
                <w:sz w:val="16"/>
              </w:rPr>
              <w:t>Chronic diarrhoea, weight loss, known GI disease</w:t>
            </w:r>
          </w:p>
        </w:tc>
        <w:tc>
          <w:tcPr>
            <w:tcW w:type="dxa" w:w="1036"/>
            <w:vAlign w:val="top"/>
          </w:tcPr>
          <w:p>
            <w:pPr>
              <w:spacing w:after="40" w:before="0" w:line="259" w:lineRule="auto"/>
            </w:pPr>
            <w:r>
              <w:rPr>
                <w:rFonts w:ascii="Calibri" w:hAnsi="Calibri"/>
                <w:b w:val="0"/>
                <w:i w:val="0"/>
                <w:color w:val="212121"/>
                <w:sz w:val="16"/>
              </w:rPr>
              <w:t>Identifies malabsorptive causes needing parenteral or higher-dose replacement</w:t>
            </w:r>
          </w:p>
        </w:tc>
        <w:tc>
          <w:tcPr>
            <w:tcW w:type="dxa" w:w="1036"/>
            <w:vAlign w:val="top"/>
          </w:tcPr>
          <w:p>
            <w:pPr>
              <w:spacing w:after="40" w:before="0" w:line="259" w:lineRule="auto"/>
            </w:pPr>
            <w:r>
              <w:rPr>
                <w:rFonts w:ascii="Calibri" w:hAnsi="Calibri"/>
                <w:b w:val="0"/>
                <w:i w:val="0"/>
                <w:color w:val="212121"/>
                <w:sz w:val="16"/>
              </w:rPr>
              <w:t>Coeliac, IBD, tropical sprue, post-bariatric patients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Consider coeliac serology in unexplained deficiency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Pallor &amp; anaemia signs</w:t>
            </w:r>
          </w:p>
        </w:tc>
        <w:tc>
          <w:tcPr>
            <w:tcW w:type="dxa" w:w="979"/>
            <w:vAlign w:val="top"/>
          </w:tcPr>
          <w:p>
            <w:pPr>
              <w:spacing w:after="40" w:before="0" w:line="259" w:lineRule="auto"/>
            </w:pPr>
            <w:r>
              <w:rPr>
                <w:rFonts w:ascii="Calibri" w:hAnsi="Calibri"/>
                <w:b w:val="0"/>
                <w:i w:val="0"/>
                <w:color w:val="212121"/>
                <w:sz w:val="16"/>
              </w:rPr>
              <w:t>Conjunctival, palmar and nail-bed pallor; tachycardia</w:t>
            </w:r>
          </w:p>
        </w:tc>
        <w:tc>
          <w:tcPr>
            <w:tcW w:type="dxa" w:w="950"/>
            <w:vAlign w:val="top"/>
          </w:tcPr>
          <w:p>
            <w:pPr>
              <w:spacing w:after="40" w:before="0" w:line="259" w:lineRule="auto"/>
            </w:pPr>
            <w:r>
              <w:rPr>
                <w:rFonts w:ascii="Calibri" w:hAnsi="Calibri"/>
                <w:b w:val="0"/>
                <w:i w:val="0"/>
                <w:color w:val="212121"/>
                <w:sz w:val="16"/>
              </w:rPr>
              <w:t>No pallor; normal pulse</w:t>
            </w:r>
          </w:p>
        </w:tc>
        <w:tc>
          <w:tcPr>
            <w:tcW w:type="dxa" w:w="950"/>
            <w:vAlign w:val="top"/>
          </w:tcPr>
          <w:p>
            <w:pPr>
              <w:spacing w:after="40" w:before="0" w:line="259" w:lineRule="auto"/>
            </w:pPr>
            <w:r>
              <w:rPr>
                <w:rFonts w:ascii="Calibri" w:hAnsi="Calibri"/>
                <w:b w:val="0"/>
                <w:i w:val="0"/>
                <w:color w:val="212121"/>
                <w:sz w:val="16"/>
              </w:rPr>
              <w:t>Pallor, tachycardia, flow murmur</w:t>
            </w:r>
          </w:p>
        </w:tc>
        <w:tc>
          <w:tcPr>
            <w:tcW w:type="dxa" w:w="1036"/>
            <w:vAlign w:val="top"/>
          </w:tcPr>
          <w:p>
            <w:pPr>
              <w:spacing w:after="40" w:before="0" w:line="259" w:lineRule="auto"/>
            </w:pPr>
            <w:r>
              <w:rPr>
                <w:rFonts w:ascii="Calibri" w:hAnsi="Calibri"/>
                <w:b w:val="0"/>
                <w:i w:val="0"/>
                <w:color w:val="212121"/>
                <w:sz w:val="16"/>
              </w:rPr>
              <w:t>Indicates anaemia and its severity</w:t>
            </w:r>
          </w:p>
        </w:tc>
        <w:tc>
          <w:tcPr>
            <w:tcW w:type="dxa" w:w="1036"/>
            <w:vAlign w:val="top"/>
          </w:tcPr>
          <w:p>
            <w:pPr>
              <w:spacing w:after="40" w:before="0" w:line="259" w:lineRule="auto"/>
            </w:pPr>
            <w:r>
              <w:rPr>
                <w:rFonts w:ascii="Calibri" w:hAnsi="Calibri"/>
                <w:b w:val="0"/>
                <w:i w:val="0"/>
                <w:color w:val="212121"/>
                <w:sz w:val="16"/>
              </w:rPr>
              <w:t>Symptomatic anaemic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Anaemia may be severe before symptoms due to slow onset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Oral / mucosal examination</w:t>
            </w:r>
          </w:p>
        </w:tc>
        <w:tc>
          <w:tcPr>
            <w:tcW w:type="dxa" w:w="979"/>
            <w:vAlign w:val="top"/>
          </w:tcPr>
          <w:p>
            <w:pPr>
              <w:spacing w:after="40" w:before="0" w:line="259" w:lineRule="auto"/>
            </w:pPr>
            <w:r>
              <w:rPr>
                <w:rFonts w:ascii="Calibri" w:hAnsi="Calibri"/>
                <w:b w:val="0"/>
                <w:i w:val="0"/>
                <w:color w:val="212121"/>
                <w:sz w:val="16"/>
              </w:rPr>
              <w:t>Tongue and mouth</w:t>
            </w:r>
          </w:p>
        </w:tc>
        <w:tc>
          <w:tcPr>
            <w:tcW w:type="dxa" w:w="950"/>
            <w:vAlign w:val="top"/>
          </w:tcPr>
          <w:p>
            <w:pPr>
              <w:spacing w:after="40" w:before="0" w:line="259" w:lineRule="auto"/>
            </w:pPr>
            <w:r>
              <w:rPr>
                <w:rFonts w:ascii="Calibri" w:hAnsi="Calibri"/>
                <w:b w:val="0"/>
                <w:i w:val="0"/>
                <w:color w:val="212121"/>
                <w:sz w:val="16"/>
              </w:rPr>
              <w:t>Normal moist pink tongue</w:t>
            </w:r>
          </w:p>
        </w:tc>
        <w:tc>
          <w:tcPr>
            <w:tcW w:type="dxa" w:w="950"/>
            <w:vAlign w:val="top"/>
          </w:tcPr>
          <w:p>
            <w:pPr>
              <w:spacing w:after="40" w:before="0" w:line="259" w:lineRule="auto"/>
            </w:pPr>
            <w:r>
              <w:rPr>
                <w:rFonts w:ascii="Calibri" w:hAnsi="Calibri"/>
                <w:b w:val="0"/>
                <w:i w:val="0"/>
                <w:color w:val="212121"/>
                <w:sz w:val="16"/>
              </w:rPr>
              <w:t>Smooth beefy-red glossitis; angular stomatitis; ulcers</w:t>
            </w:r>
          </w:p>
        </w:tc>
        <w:tc>
          <w:tcPr>
            <w:tcW w:type="dxa" w:w="1036"/>
            <w:vAlign w:val="top"/>
          </w:tcPr>
          <w:p>
            <w:pPr>
              <w:spacing w:after="40" w:before="0" w:line="259" w:lineRule="auto"/>
            </w:pPr>
            <w:r>
              <w:rPr>
                <w:rFonts w:ascii="Calibri" w:hAnsi="Calibri"/>
                <w:b w:val="0"/>
                <w:i w:val="0"/>
                <w:color w:val="212121"/>
                <w:sz w:val="16"/>
              </w:rPr>
              <w:t>Mucosal atrophy is a classic feature of folate deficiency</w:t>
            </w:r>
          </w:p>
        </w:tc>
        <w:tc>
          <w:tcPr>
            <w:tcW w:type="dxa" w:w="1036"/>
            <w:vAlign w:val="top"/>
          </w:tcPr>
          <w:p>
            <w:pPr>
              <w:spacing w:after="40" w:before="0" w:line="259" w:lineRule="auto"/>
            </w:pPr>
            <w:r>
              <w:rPr>
                <w:rFonts w:ascii="Calibri" w:hAnsi="Calibri"/>
                <w:b w:val="0"/>
                <w:i w:val="0"/>
                <w:color w:val="212121"/>
                <w:sz w:val="16"/>
              </w:rPr>
              <w:t>Chronic deficiency, malnourished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Overlaps with iron and B12 deficiency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Neurological screen</w:t>
            </w:r>
          </w:p>
        </w:tc>
        <w:tc>
          <w:tcPr>
            <w:tcW w:type="dxa" w:w="979"/>
            <w:vAlign w:val="top"/>
          </w:tcPr>
          <w:p>
            <w:pPr>
              <w:spacing w:after="40" w:before="0" w:line="259" w:lineRule="auto"/>
            </w:pPr>
            <w:r>
              <w:rPr>
                <w:rFonts w:ascii="Calibri" w:hAnsi="Calibri"/>
                <w:b w:val="0"/>
                <w:i w:val="0"/>
                <w:color w:val="212121"/>
                <w:sz w:val="16"/>
              </w:rPr>
              <w:t>Peripheral sensation, gait, proprioception, mood/cognition</w:t>
            </w:r>
          </w:p>
        </w:tc>
        <w:tc>
          <w:tcPr>
            <w:tcW w:type="dxa" w:w="950"/>
            <w:vAlign w:val="top"/>
          </w:tcPr>
          <w:p>
            <w:pPr>
              <w:spacing w:after="40" w:before="0" w:line="259" w:lineRule="auto"/>
            </w:pPr>
            <w:r>
              <w:rPr>
                <w:rFonts w:ascii="Calibri" w:hAnsi="Calibri"/>
                <w:b w:val="0"/>
                <w:i w:val="0"/>
                <w:color w:val="212121"/>
                <w:sz w:val="16"/>
              </w:rPr>
              <w:t>Normal sensation and gait</w:t>
            </w:r>
          </w:p>
        </w:tc>
        <w:tc>
          <w:tcPr>
            <w:tcW w:type="dxa" w:w="950"/>
            <w:vAlign w:val="top"/>
          </w:tcPr>
          <w:p>
            <w:pPr>
              <w:spacing w:after="40" w:before="0" w:line="259" w:lineRule="auto"/>
            </w:pPr>
            <w:r>
              <w:rPr>
                <w:rFonts w:ascii="Calibri" w:hAnsi="Calibri"/>
                <w:b w:val="0"/>
                <w:i w:val="0"/>
                <w:color w:val="212121"/>
                <w:sz w:val="16"/>
              </w:rPr>
              <w:t>Mood/cognitive change WITHOUT peripheral neuropathy</w:t>
            </w:r>
          </w:p>
        </w:tc>
        <w:tc>
          <w:tcPr>
            <w:tcW w:type="dxa" w:w="1036"/>
            <w:vAlign w:val="top"/>
          </w:tcPr>
          <w:p>
            <w:pPr>
              <w:spacing w:after="40" w:before="0" w:line="259" w:lineRule="auto"/>
            </w:pPr>
            <w:r>
              <w:rPr>
                <w:rFonts w:ascii="Calibri" w:hAnsi="Calibri"/>
                <w:b w:val="0"/>
                <w:i w:val="0"/>
                <w:color w:val="212121"/>
                <w:sz w:val="16"/>
              </w:rPr>
              <w:t>Absence of neuropathy/ataxia helps distinguish folate from B12 deficiency</w:t>
            </w:r>
          </w:p>
        </w:tc>
        <w:tc>
          <w:tcPr>
            <w:tcW w:type="dxa" w:w="1036"/>
            <w:vAlign w:val="top"/>
          </w:tcPr>
          <w:p>
            <w:pPr>
              <w:spacing w:after="40" w:before="0" w:line="259" w:lineRule="auto"/>
            </w:pPr>
            <w:r>
              <w:rPr>
                <w:rFonts w:ascii="Calibri" w:hAnsi="Calibri"/>
                <w:b w:val="0"/>
                <w:i w:val="0"/>
                <w:color w:val="212121"/>
                <w:sz w:val="16"/>
              </w:rPr>
              <w:t>Elderly, suspected combined deficiency</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Neurological deficits should prompt urgent B12 assessment</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Fatigue / weakness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oxygen-carrying capacity from anaemia causes persistent tiredness and low stamina.</w:t>
            </w:r>
          </w:p>
        </w:tc>
      </w:tr>
      <w:tr>
        <w:trPr>
          <w:cantSplit/>
        </w:trPr>
        <w:tc>
          <w:tcPr>
            <w:tcW w:type="dxa" w:w="2304"/>
            <w:vAlign w:val="top"/>
          </w:tcPr>
          <w:p>
            <w:pPr>
              <w:spacing w:after="40" w:before="0" w:line="259" w:lineRule="auto"/>
            </w:pPr>
            <w:r>
              <w:rPr>
                <w:rFonts w:ascii="Calibri" w:hAnsi="Calibri"/>
                <w:b/>
                <w:i w:val="0"/>
                <w:color w:val="212121"/>
                <w:sz w:val="19"/>
              </w:rPr>
              <w:t>Shortness of breath on exertion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Anaemia reduces effort tolerance, causing breathlessness with activity.</w:t>
            </w:r>
          </w:p>
        </w:tc>
      </w:tr>
      <w:tr>
        <w:trPr>
          <w:cantSplit/>
        </w:trPr>
        <w:tc>
          <w:tcPr>
            <w:tcW w:type="dxa" w:w="2304"/>
            <w:vAlign w:val="top"/>
          </w:tcPr>
          <w:p>
            <w:pPr>
              <w:spacing w:after="40" w:before="0" w:line="259" w:lineRule="auto"/>
            </w:pPr>
            <w:r>
              <w:rPr>
                <w:rFonts w:ascii="Calibri" w:hAnsi="Calibri"/>
                <w:b/>
                <w:i w:val="0"/>
                <w:color w:val="212121"/>
                <w:sz w:val="19"/>
              </w:rPr>
              <w:t>Palpitations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Compensatory increase in heart rate to maintain oxygen delivery in anaemia.</w:t>
            </w:r>
          </w:p>
        </w:tc>
      </w:tr>
      <w:tr>
        <w:trPr>
          <w:cantSplit/>
        </w:trPr>
        <w:tc>
          <w:tcPr>
            <w:tcW w:type="dxa" w:w="2304"/>
            <w:vAlign w:val="top"/>
          </w:tcPr>
          <w:p>
            <w:pPr>
              <w:spacing w:after="40" w:before="0" w:line="259" w:lineRule="auto"/>
            </w:pPr>
            <w:r>
              <w:rPr>
                <w:rFonts w:ascii="Calibri" w:hAnsi="Calibri"/>
                <w:b/>
                <w:i w:val="0"/>
                <w:color w:val="212121"/>
                <w:sz w:val="19"/>
              </w:rPr>
              <w:t>Sore, red, smooth tongue (glossitis)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Painful "beefy" tongue from mucosal-cell turnover failure; a hallmark feature.</w:t>
            </w:r>
          </w:p>
        </w:tc>
      </w:tr>
      <w:tr>
        <w:trPr>
          <w:cantSplit/>
        </w:trPr>
        <w:tc>
          <w:tcPr>
            <w:tcW w:type="dxa" w:w="2304"/>
            <w:vAlign w:val="top"/>
          </w:tcPr>
          <w:p>
            <w:pPr>
              <w:spacing w:after="40" w:before="0" w:line="259" w:lineRule="auto"/>
            </w:pPr>
            <w:r>
              <w:rPr>
                <w:rFonts w:ascii="Calibri" w:hAnsi="Calibri"/>
                <w:b/>
                <w:i w:val="0"/>
                <w:color w:val="212121"/>
                <w:sz w:val="19"/>
              </w:rPr>
              <w:t>Loss of appetite / weight loss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intake and GI mucosal changes lower appetite and weight.</w:t>
            </w:r>
          </w:p>
        </w:tc>
      </w:tr>
      <w:tr>
        <w:trPr>
          <w:cantSplit/>
        </w:trPr>
        <w:tc>
          <w:tcPr>
            <w:tcW w:type="dxa" w:w="2304"/>
            <w:vAlign w:val="top"/>
          </w:tcPr>
          <w:p>
            <w:pPr>
              <w:spacing w:after="40" w:before="0" w:line="259" w:lineRule="auto"/>
            </w:pPr>
            <w:r>
              <w:rPr>
                <w:rFonts w:ascii="Calibri" w:hAnsi="Calibri"/>
                <w:b/>
                <w:i w:val="0"/>
                <w:color w:val="212121"/>
                <w:sz w:val="19"/>
              </w:rPr>
              <w:t>Dizziness / light-headedness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cerebral oxygen delivery in anaemia.</w:t>
            </w:r>
          </w:p>
        </w:tc>
      </w:tr>
      <w:tr>
        <w:trPr>
          <w:cantSplit/>
        </w:trPr>
        <w:tc>
          <w:tcPr>
            <w:tcW w:type="dxa" w:w="2304"/>
            <w:vAlign w:val="top"/>
          </w:tcPr>
          <w:p>
            <w:pPr>
              <w:spacing w:after="40" w:before="0" w:line="259" w:lineRule="auto"/>
            </w:pPr>
            <w:r>
              <w:rPr>
                <w:rFonts w:ascii="Calibri" w:hAnsi="Calibri"/>
                <w:b/>
                <w:i w:val="0"/>
                <w:color w:val="212121"/>
                <w:sz w:val="19"/>
              </w:rPr>
              <w:t>Mouth ulcers &amp; cracked mouth corners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Recurrent aphthous ulcers and angular stomatitis from mucosal atrophy.</w:t>
            </w:r>
          </w:p>
        </w:tc>
      </w:tr>
      <w:tr>
        <w:trPr>
          <w:cantSplit/>
        </w:trPr>
        <w:tc>
          <w:tcPr>
            <w:tcW w:type="dxa" w:w="2304"/>
            <w:vAlign w:val="top"/>
          </w:tcPr>
          <w:p>
            <w:pPr>
              <w:spacing w:after="40" w:before="0" w:line="259" w:lineRule="auto"/>
            </w:pPr>
            <w:r>
              <w:rPr>
                <w:rFonts w:ascii="Calibri" w:hAnsi="Calibri"/>
                <w:b/>
                <w:i w:val="0"/>
                <w:color w:val="212121"/>
                <w:sz w:val="19"/>
              </w:rPr>
              <w:t>Diarrhoea / abdominal upset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GI epithelial turnover failure, especially with malabsorptive causes.</w:t>
            </w:r>
          </w:p>
        </w:tc>
      </w:tr>
      <w:tr>
        <w:trPr>
          <w:cantSplit/>
        </w:trPr>
        <w:tc>
          <w:tcPr>
            <w:tcW w:type="dxa" w:w="2304"/>
            <w:vAlign w:val="top"/>
          </w:tcPr>
          <w:p>
            <w:pPr>
              <w:spacing w:after="40" w:before="0" w:line="259" w:lineRule="auto"/>
            </w:pPr>
            <w:r>
              <w:rPr>
                <w:rFonts w:ascii="Calibri" w:hAnsi="Calibri"/>
                <w:b/>
                <w:i w:val="0"/>
                <w:color w:val="212121"/>
                <w:sz w:val="19"/>
              </w:rPr>
              <w:t>Irritability, low mood / depressive symptoms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Impaired one-carbon metabolism affects neurotransmitter synthesis; low folate is linked to depression.</w:t>
            </w:r>
          </w:p>
        </w:tc>
      </w:tr>
      <w:tr>
        <w:trPr>
          <w:cantSplit/>
        </w:trPr>
        <w:tc>
          <w:tcPr>
            <w:tcW w:type="dxa" w:w="2304"/>
            <w:vAlign w:val="top"/>
          </w:tcPr>
          <w:p>
            <w:pPr>
              <w:spacing w:after="40" w:before="0" w:line="259" w:lineRule="auto"/>
            </w:pPr>
            <w:r>
              <w:rPr>
                <w:rFonts w:ascii="Calibri" w:hAnsi="Calibri"/>
                <w:b/>
                <w:i w:val="0"/>
                <w:color w:val="212121"/>
                <w:sz w:val="19"/>
              </w:rPr>
              <w:t>Poor concentration / forgetfulness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Cognitive slowing associated with deficiency, particularly in the elderly.</w:t>
            </w:r>
          </w:p>
        </w:tc>
      </w:tr>
      <w:tr>
        <w:trPr>
          <w:cantSplit/>
        </w:trPr>
        <w:tc>
          <w:tcPr>
            <w:tcW w:type="dxa" w:w="2304"/>
            <w:vAlign w:val="top"/>
          </w:tcPr>
          <w:p>
            <w:pPr>
              <w:spacing w:after="40" w:before="0" w:line="259" w:lineRule="auto"/>
            </w:pPr>
            <w:r>
              <w:rPr>
                <w:rFonts w:ascii="Calibri" w:hAnsi="Calibri"/>
                <w:b/>
                <w:i w:val="0"/>
                <w:color w:val="212121"/>
                <w:sz w:val="19"/>
              </w:rPr>
              <w:t>Headache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Non-specific, related to anaemia and raised homocysteine.</w:t>
            </w:r>
          </w:p>
        </w:tc>
      </w:tr>
      <w:tr>
        <w:trPr>
          <w:cantSplit/>
        </w:trPr>
        <w:tc>
          <w:tcPr>
            <w:tcW w:type="dxa" w:w="2304"/>
            <w:vAlign w:val="top"/>
          </w:tcPr>
          <w:p>
            <w:pPr>
              <w:spacing w:after="40" w:before="0" w:line="259" w:lineRule="auto"/>
            </w:pPr>
            <w:r>
              <w:rPr>
                <w:rFonts w:ascii="Calibri" w:hAnsi="Calibri"/>
                <w:b/>
                <w:i w:val="0"/>
                <w:color w:val="212121"/>
                <w:sz w:val="19"/>
              </w:rPr>
              <w:t>Reduced taste sensation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Mucosal atrophy of the tongue can blunt taste.</w:t>
            </w:r>
          </w:p>
        </w:tc>
      </w:tr>
      <w:tr>
        <w:trPr>
          <w:cantSplit/>
        </w:trPr>
        <w:tc>
          <w:tcPr>
            <w:tcW w:type="dxa" w:w="2304"/>
            <w:vAlign w:val="top"/>
          </w:tcPr>
          <w:p>
            <w:pPr>
              <w:spacing w:after="40" w:before="0" w:line="259" w:lineRule="auto"/>
            </w:pPr>
            <w:r>
              <w:rPr>
                <w:rFonts w:ascii="Calibri" w:hAnsi="Calibri"/>
                <w:b/>
                <w:i w:val="0"/>
                <w:color w:val="212121"/>
                <w:sz w:val="19"/>
              </w:rPr>
              <w:t>Tingling / numbness (paraesthesia)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Uncommon in isolated folate deficiency; if present, exclude coexisting B12 deficiency.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Pallor (conjunctiva, palms, nail beds)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sign of anaemia, often the first noticeable finding.</w:t>
            </w:r>
          </w:p>
        </w:tc>
      </w:tr>
      <w:tr>
        <w:trPr>
          <w:cantSplit/>
        </w:trPr>
        <w:tc>
          <w:tcPr>
            <w:tcW w:type="dxa" w:w="3456"/>
            <w:vAlign w:val="top"/>
          </w:tcPr>
          <w:p>
            <w:pPr>
              <w:spacing w:after="40" w:before="0" w:line="259" w:lineRule="auto"/>
            </w:pPr>
            <w:r>
              <w:rPr>
                <w:rFonts w:ascii="Calibri" w:hAnsi="Calibri"/>
                <w:b/>
                <w:i w:val="0"/>
                <w:color w:val="212121"/>
                <w:sz w:val="19"/>
              </w:rPr>
              <w:t>Glossitis (smooth, beefy-red tongue)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Atrophic depapillated tongue from failed rapid mucosal-cell division.</w:t>
            </w:r>
          </w:p>
        </w:tc>
      </w:tr>
      <w:tr>
        <w:trPr>
          <w:cantSplit/>
        </w:trPr>
        <w:tc>
          <w:tcPr>
            <w:tcW w:type="dxa" w:w="3456"/>
            <w:vAlign w:val="top"/>
          </w:tcPr>
          <w:p>
            <w:pPr>
              <w:spacing w:after="40" w:before="0" w:line="259" w:lineRule="auto"/>
            </w:pPr>
            <w:r>
              <w:rPr>
                <w:rFonts w:ascii="Calibri" w:hAnsi="Calibri"/>
                <w:b/>
                <w:i w:val="0"/>
                <w:color w:val="212121"/>
                <w:sz w:val="19"/>
              </w:rPr>
              <w:t>Angular stomatitis / cheilosis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Cracking and inflammation at the corners of the mouth.</w:t>
            </w:r>
          </w:p>
        </w:tc>
      </w:tr>
      <w:tr>
        <w:trPr>
          <w:cantSplit/>
        </w:trPr>
        <w:tc>
          <w:tcPr>
            <w:tcW w:type="dxa" w:w="3456"/>
            <w:vAlign w:val="top"/>
          </w:tcPr>
          <w:p>
            <w:pPr>
              <w:spacing w:after="40" w:before="0" w:line="259" w:lineRule="auto"/>
            </w:pPr>
            <w:r>
              <w:rPr>
                <w:rFonts w:ascii="Calibri" w:hAnsi="Calibri"/>
                <w:b/>
                <w:i w:val="0"/>
                <w:color w:val="212121"/>
                <w:sz w:val="19"/>
              </w:rPr>
              <w:t>Tachycardia and systolic flow murmur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Hyperdynamic circulation compensating for anaemia.</w:t>
            </w:r>
          </w:p>
        </w:tc>
      </w:tr>
      <w:tr>
        <w:trPr>
          <w:cantSplit/>
        </w:trPr>
        <w:tc>
          <w:tcPr>
            <w:tcW w:type="dxa" w:w="3456"/>
            <w:vAlign w:val="top"/>
          </w:tcPr>
          <w:p>
            <w:pPr>
              <w:spacing w:after="40" w:before="0" w:line="259" w:lineRule="auto"/>
            </w:pPr>
            <w:r>
              <w:rPr>
                <w:rFonts w:ascii="Calibri" w:hAnsi="Calibri"/>
                <w:b/>
                <w:i w:val="0"/>
                <w:color w:val="212121"/>
                <w:sz w:val="19"/>
              </w:rPr>
              <w:t>Macrocytosis on blood film</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Oval macrocytes (raised MCV) — the haematological signature.</w:t>
            </w:r>
          </w:p>
        </w:tc>
      </w:tr>
      <w:tr>
        <w:trPr>
          <w:cantSplit/>
        </w:trPr>
        <w:tc>
          <w:tcPr>
            <w:tcW w:type="dxa" w:w="3456"/>
            <w:vAlign w:val="top"/>
          </w:tcPr>
          <w:p>
            <w:pPr>
              <w:spacing w:after="40" w:before="0" w:line="259" w:lineRule="auto"/>
            </w:pPr>
            <w:r>
              <w:rPr>
                <w:rFonts w:ascii="Calibri" w:hAnsi="Calibri"/>
                <w:b/>
                <w:i w:val="0"/>
                <w:color w:val="212121"/>
                <w:sz w:val="19"/>
              </w:rPr>
              <w:t>Hypersegmented neutrophils on smear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Neutrophils with ≥5 nuclear lobes; an early, sensitive laboratory sign.</w:t>
            </w:r>
          </w:p>
        </w:tc>
      </w:tr>
      <w:tr>
        <w:trPr>
          <w:cantSplit/>
        </w:trPr>
        <w:tc>
          <w:tcPr>
            <w:tcW w:type="dxa" w:w="3456"/>
            <w:vAlign w:val="top"/>
          </w:tcPr>
          <w:p>
            <w:pPr>
              <w:spacing w:after="40" w:before="0" w:line="259" w:lineRule="auto"/>
            </w:pPr>
            <w:r>
              <w:rPr>
                <w:rFonts w:ascii="Calibri" w:hAnsi="Calibri"/>
                <w:b/>
                <w:i w:val="0"/>
                <w:color w:val="212121"/>
                <w:sz w:val="19"/>
              </w:rPr>
              <w:t>Mild jaundice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Unconjugated hyperbilirubinaemia from ineffective erythropoiesis (intramedullary haemolysis).</w:t>
            </w:r>
          </w:p>
        </w:tc>
      </w:tr>
      <w:tr>
        <w:trPr>
          <w:cantSplit/>
        </w:trPr>
        <w:tc>
          <w:tcPr>
            <w:tcW w:type="dxa" w:w="3456"/>
            <w:vAlign w:val="top"/>
          </w:tcPr>
          <w:p>
            <w:pPr>
              <w:spacing w:after="40" w:before="0" w:line="259" w:lineRule="auto"/>
            </w:pPr>
            <w:r>
              <w:rPr>
                <w:rFonts w:ascii="Calibri" w:hAnsi="Calibri"/>
                <w:b/>
                <w:i w:val="0"/>
                <w:color w:val="212121"/>
                <w:sz w:val="19"/>
              </w:rPr>
              <w:t>Skin / mucosal hyperpigmentation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Reversible hyperpigmentation of knuckles and mucosae reported in deficiency.</w:t>
            </w:r>
          </w:p>
        </w:tc>
      </w:tr>
      <w:tr>
        <w:trPr>
          <w:cantSplit/>
        </w:trPr>
        <w:tc>
          <w:tcPr>
            <w:tcW w:type="dxa" w:w="3456"/>
            <w:vAlign w:val="top"/>
          </w:tcPr>
          <w:p>
            <w:pPr>
              <w:spacing w:after="40" w:before="0" w:line="259" w:lineRule="auto"/>
            </w:pPr>
            <w:r>
              <w:rPr>
                <w:rFonts w:ascii="Calibri" w:hAnsi="Calibri"/>
                <w:b/>
                <w:i w:val="0"/>
                <w:color w:val="212121"/>
                <w:sz w:val="19"/>
              </w:rPr>
              <w:t>Depressed mood / cognitive slowing on assessment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Neuropsychiatric signs correlating with low folate, especially in the elderly.</w:t>
            </w:r>
          </w:p>
        </w:tc>
      </w:tr>
      <w:tr>
        <w:trPr>
          <w:cantSplit/>
        </w:trPr>
        <w:tc>
          <w:tcPr>
            <w:tcW w:type="dxa" w:w="3456"/>
            <w:vAlign w:val="top"/>
          </w:tcPr>
          <w:p>
            <w:pPr>
              <w:spacing w:after="40" w:before="0" w:line="259" w:lineRule="auto"/>
            </w:pPr>
            <w:r>
              <w:rPr>
                <w:rFonts w:ascii="Calibri" w:hAnsi="Calibri"/>
                <w:b/>
                <w:i w:val="0"/>
                <w:color w:val="212121"/>
                <w:sz w:val="19"/>
              </w:rPr>
              <w:t>Absence of peripheral neuropathy / ataxia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useful discriminating sign — neurological deficits point to B12 rather than folate deficiency.</w:t>
            </w:r>
          </w:p>
        </w:tc>
      </w:tr>
      <w:tr>
        <w:trPr>
          <w:cantSplit/>
        </w:trPr>
        <w:tc>
          <w:tcPr>
            <w:tcW w:type="dxa" w:w="3456"/>
            <w:vAlign w:val="top"/>
          </w:tcPr>
          <w:p>
            <w:pPr>
              <w:spacing w:after="40" w:before="0" w:line="259" w:lineRule="auto"/>
            </w:pPr>
            <w:r>
              <w:rPr>
                <w:rFonts w:ascii="Calibri" w:hAnsi="Calibri"/>
                <w:b/>
                <w:i w:val="0"/>
                <w:color w:val="212121"/>
                <w:sz w:val="19"/>
              </w:rPr>
              <w:t>Pancytopenia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Severe deficiency suppresses all cell lines, causing low white cells and platelets in addition to anaemia.</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Megaloblastic (macrocytic) anaemia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Ineffective erythropoiesis with mild haemolysis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Leucopenia and thrombocytopenia (pancytopenia) in severe deficiency</w:t>
            </w:r>
          </w:p>
        </w:tc>
        <w:tc>
          <w:tcPr>
            <w:tcW w:type="dxa" w:w="2980"/>
            <w:vAlign w:val="top"/>
          </w:tcPr>
          <w:p>
            <w:pPr>
              <w:spacing w:after="40" w:before="0" w:line="259" w:lineRule="auto"/>
            </w:pPr>
            <w:r>
              <w:rPr>
                <w:rFonts w:ascii="Calibri" w:hAnsi="Calibri"/>
                <w:b w:val="0"/>
                <w:i w:val="0"/>
                <w:color w:val="212121"/>
                <w:sz w:val="19"/>
              </w:rPr>
              <w:t>Direct haematological consequences of impaired DNA synthesis in the bone marrow</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Hyperhomocysteinaemia with increased thrombotic and cardiovascular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Adverse pregnancy outcomes: low birth weight, preterm delivery (~16.9%), fetal growth restriction (~27.1%), recurrent pregnancy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Glossitis, angular stomatitis and malabsorptive GI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Depression, irritability and cognitive impairment</w:t>
            </w:r>
          </w:p>
        </w:tc>
        <w:tc>
          <w:tcPr>
            <w:tcW w:type="dxa" w:w="2980"/>
            <w:vAlign w:val="top"/>
          </w:tcPr>
          <w:p>
            <w:pPr>
              <w:spacing w:after="40" w:before="0" w:line="259" w:lineRule="auto"/>
            </w:pPr>
            <w:r>
              <w:rPr>
                <w:rFonts w:ascii="Calibri" w:hAnsi="Calibri"/>
                <w:b w:val="0"/>
                <w:i w:val="0"/>
                <w:color w:val="212121"/>
                <w:sz w:val="19"/>
              </w:rPr>
              <w:t>Result from raised homocysteine, mucosal turnover failure and disrupted one-carbon/neurotransmitter metabolism</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Neural tube defects in offspring (spina bifida, anencephaly, encephalocele) — permanent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High-output cardiac failure from severe untreated anaemia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long-term risk of cardiovascular events and stroke via chronic hyperhomocysteinaemia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Possible contribution to cognitive decline / dementia in the elderly</w:t>
            </w:r>
          </w:p>
        </w:tc>
        <w:tc>
          <w:tcPr>
            <w:tcW w:type="dxa" w:w="2980"/>
            <w:vAlign w:val="top"/>
          </w:tcPr>
          <w:p>
            <w:pPr>
              <w:spacing w:after="40" w:before="0" w:line="259" w:lineRule="auto"/>
            </w:pPr>
            <w:r>
              <w:rPr>
                <w:rFonts w:ascii="Calibri" w:hAnsi="Calibri"/>
                <w:b w:val="0"/>
                <w:i w:val="0"/>
                <w:color w:val="212121"/>
                <w:sz w:val="19"/>
              </w:rPr>
              <w:t>Irreversible or disabling outcomes of severe or longstanding deficiency, largely preventable with timely folate repletion</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Vitamin B12 deficiency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Frequently coexists and shares the megaloblastic picture; B12 deficiency also traps folate as inactive methyl-THF ("folate trap") and must be excluded before folate therapy.</w:t>
            </w:r>
          </w:p>
        </w:tc>
      </w:tr>
      <w:tr>
        <w:trPr>
          <w:cantSplit/>
        </w:trPr>
        <w:tc>
          <w:tcPr>
            <w:tcW w:type="dxa" w:w="2232"/>
            <w:vAlign w:val="top"/>
          </w:tcPr>
          <w:p>
            <w:pPr>
              <w:spacing w:after="40" w:before="0" w:line="259" w:lineRule="auto"/>
            </w:pPr>
            <w:r>
              <w:rPr>
                <w:rFonts w:ascii="Calibri" w:hAnsi="Calibri"/>
                <w:b/>
                <w:i w:val="0"/>
                <w:color w:val="212121"/>
                <w:sz w:val="19"/>
              </w:rPr>
              <w:t>Iron deficiency anaemia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Commonly coexists in India, producing a dimorphic anaemia in which iron deficiency can mask the macrocytosis of folate deficiency.</w:t>
            </w:r>
          </w:p>
        </w:tc>
      </w:tr>
      <w:tr>
        <w:trPr>
          <w:cantSplit/>
        </w:trPr>
        <w:tc>
          <w:tcPr>
            <w:tcW w:type="dxa" w:w="2232"/>
            <w:vAlign w:val="top"/>
          </w:tcPr>
          <w:p>
            <w:pPr>
              <w:spacing w:after="40" w:before="0" w:line="259" w:lineRule="auto"/>
            </w:pPr>
            <w:r>
              <w:rPr>
                <w:rFonts w:ascii="Calibri" w:hAnsi="Calibri"/>
                <w:b/>
                <w:i w:val="0"/>
                <w:color w:val="212121"/>
                <w:sz w:val="19"/>
              </w:rPr>
              <w:t>Hyperhomocysteinaemia</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Low folate raises plasma homocysteine, a vascular and thrombotic risk factor; extremely common in Indian vegetarians.</w:t>
            </w:r>
          </w:p>
          <w:p>
            <w:pPr>
              <w:spacing w:after="40" w:before="0" w:line="259" w:lineRule="auto"/>
            </w:pPr>
            <w:r>
              <w:rPr>
                <w:rFonts w:ascii="Calibri" w:hAnsi="Calibri"/>
                <w:b/>
                <w:i w:val="0"/>
                <w:color w:val="212121"/>
                <w:sz w:val="19"/>
              </w:rPr>
              <w:t>Up to 84%</w:t>
            </w:r>
          </w:p>
        </w:tc>
      </w:tr>
      <w:tr>
        <w:trPr>
          <w:cantSplit/>
        </w:trPr>
        <w:tc>
          <w:tcPr>
            <w:tcW w:type="dxa" w:w="2232"/>
            <w:vAlign w:val="top"/>
          </w:tcPr>
          <w:p>
            <w:pPr>
              <w:spacing w:after="40" w:before="0" w:line="259" w:lineRule="auto"/>
            </w:pPr>
            <w:r>
              <w:rPr>
                <w:rFonts w:ascii="Calibri" w:hAnsi="Calibri"/>
                <w:b/>
                <w:i w:val="0"/>
                <w:color w:val="212121"/>
                <w:sz w:val="19"/>
              </w:rPr>
              <w:t>Neural tube defects (in offspring)</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Low periconceptional maternal folate is a leading preventable cause; India's NTD birth prevalence is ~4.1–4.5 per 1000.</w:t>
            </w:r>
          </w:p>
        </w:tc>
      </w:tr>
      <w:tr>
        <w:trPr>
          <w:cantSplit/>
        </w:trPr>
        <w:tc>
          <w:tcPr>
            <w:tcW w:type="dxa" w:w="2232"/>
            <w:vAlign w:val="top"/>
          </w:tcPr>
          <w:p>
            <w:pPr>
              <w:spacing w:after="40" w:before="0" w:line="259" w:lineRule="auto"/>
            </w:pPr>
            <w:r>
              <w:rPr>
                <w:rFonts w:ascii="Calibri" w:hAnsi="Calibri"/>
                <w:b/>
                <w:i w:val="0"/>
                <w:color w:val="212121"/>
                <w:sz w:val="19"/>
              </w:rPr>
              <w:t>Depression</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Low folate status is associated with a higher risk and severity of depression and poorer antidepressant response.</w:t>
            </w:r>
          </w:p>
        </w:tc>
      </w:tr>
      <w:tr>
        <w:trPr>
          <w:cantSplit/>
        </w:trPr>
        <w:tc>
          <w:tcPr>
            <w:tcW w:type="dxa" w:w="2232"/>
            <w:vAlign w:val="top"/>
          </w:tcPr>
          <w:p>
            <w:pPr>
              <w:spacing w:after="40" w:before="0" w:line="259" w:lineRule="auto"/>
            </w:pPr>
            <w:r>
              <w:rPr>
                <w:rFonts w:ascii="Calibri" w:hAnsi="Calibri"/>
                <w:b/>
                <w:i w:val="0"/>
                <w:color w:val="212121"/>
                <w:sz w:val="19"/>
              </w:rPr>
              <w:t>Chronic alcohol-related liver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Alcohol both causes folate deficiency and coexists with it, compounding anaemia and malnutrition.</w:t>
            </w:r>
          </w:p>
        </w:tc>
      </w:tr>
      <w:tr>
        <w:trPr>
          <w:cantSplit/>
        </w:trPr>
        <w:tc>
          <w:tcPr>
            <w:tcW w:type="dxa" w:w="2232"/>
            <w:vAlign w:val="top"/>
          </w:tcPr>
          <w:p>
            <w:pPr>
              <w:spacing w:after="40" w:before="0" w:line="259" w:lineRule="auto"/>
            </w:pPr>
            <w:r>
              <w:rPr>
                <w:rFonts w:ascii="Calibri" w:hAnsi="Calibri"/>
                <w:b/>
                <w:i w:val="0"/>
                <w:color w:val="212121"/>
                <w:sz w:val="19"/>
              </w:rPr>
              <w:t>Coeliac disease &amp; inflammatory bowel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Malabsorptive conditions that both cause folate deficiency and frequently accompany it.</w:t>
            </w:r>
          </w:p>
        </w:tc>
      </w:tr>
      <w:tr>
        <w:trPr>
          <w:cantSplit/>
        </w:trPr>
        <w:tc>
          <w:tcPr>
            <w:tcW w:type="dxa" w:w="2232"/>
            <w:vAlign w:val="top"/>
          </w:tcPr>
          <w:p>
            <w:pPr>
              <w:spacing w:after="40" w:before="0" w:line="259" w:lineRule="auto"/>
            </w:pPr>
            <w:r>
              <w:rPr>
                <w:rFonts w:ascii="Calibri" w:hAnsi="Calibri"/>
                <w:b/>
                <w:i w:val="0"/>
                <w:color w:val="212121"/>
                <w:sz w:val="19"/>
              </w:rPr>
              <w:t>Chronic haemolytic anaemias (thalassaemia, sickle-cell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Increased erythrocyte turnover raises folate demand and can precipitate megaloblastic crisis.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folate-rich foods — green leafy vegetables (spinach, methi, amaranth), legumes/dals, sprouts, citrus fruits, beetroot and liver/eggs for non-vegetarians.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Cook vegetables lightly (steam or brief cooking) rather than prolonged boiling and reheating, which destroy heat-labile folate.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women planning pregnancy should take 400 mcg folic acid daily for at least 1 month before conception and through the first trimester to prevent neural tube defects.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a prior NTD-affected pregnancy, on antiepileptics, obese, or with diabetes need high-dose folic acid (4,000 mcg/day) periconceptionally — seek medical advice.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warning signs (unusual tiredness, breathlessness, sore red tongue, mouth ulcers) and seek testing.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alcohol and certain drugs (methotrexate, phenytoin, sulfasalazine, trimethoprim) deplete folate and need monitoring or co-supplementation.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of reproductive 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&amp; planning-pregnancy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 low-income households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a daily serving of green leafy vegetables and pulses; add sprouts, beetroot, okra and citrus fruit to meals.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light cooking (steaming, stir-frying, short simmering) and avoid discarding cooking water or repeatedly reheating food.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fortified foods where available and pair with vitamin C-rich foods to aid folate stability and absorption.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pregnant and lactating women meet higher needs (600 and 500 mcg DFE/day) through diet plus supplementation.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reliance on refined, processed and restaurant foods that are low in natural folate.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population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&amp; lactating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Low-income diets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Urban processed-food consumers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confirmed deficiency with oral folic acid 1–5 mg/day until haematological recovery, after excluding B12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Always check and correct vitamin B12 first or concurrently to avoid precipitating or masking neurological damage (folate trap).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Continue a folate-rich diet alongside supplementation and identify/treat the underlying cause (alcohol, malabsorption, drugs).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malabsorptive causes use higher oral doses or parenteral folate and treat the primary bowel disease (e.g., coeliac, tropical sprue).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Monitor reticulocyte response (within ~1 week) and normalisation of haemoglobin and MCV to confirm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folate-deficiency anaemia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Alcohol-related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Malabsorption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 with deficiency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to within safe limits (≤14 units/week) or abstain, as alcohol directly impairs folate absorption, storage and excretion.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dietary folate and consider supplementation in anyone with sustained heavy drinking.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chronic drinkers for folate deficiency, anaemia and coexisting liver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brief interventions and de-addiction support for alcohol-use disorder to prevent recurrent deficiency.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 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alcohol-related liver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individuals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complete cessation of smoking and smokeless tobacco, which lower serum and red-cell folate.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Advise higher intake of folate- and antioxidant-rich fruits and vegetables in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Protect household members, especially pregnant women, from second-hand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tobacco-cessation counselling and pharmacotherapy where appropriate.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&amp; 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body weight, since obesity is associated with lower serum folate and higher pregnancy folate needs.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regular activity with a folate-rich diet as part of overall metabolic and cardiovascular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overweight women planning pregnancy, optimise both weight and folate status before conception.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&amp; 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urban workers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adequate sleep (7–9 hours) as part of general nutritional and mental-health wellbeing.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fatigue holistically — persistent tiredness despite adequate sleep should prompt screening for anaemia including folate deficiency.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unexplained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population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patients with depression and low or borderline folate, correct folate status as an adjunct to standard antidepressant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folate/L-methylfolate augmentation in those with poor antidepressant response and confirmed low folate.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elderly patients with cognitive or mood changes for folate and B12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dietary counselling and address alcohol use, which links poor mental health with folate depletion.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cognitive/mood change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Alcohol-related deficiency</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ture.com/articles/s41430-018-0255-2" TargetMode="External"/><Relationship Id="rId10" Type="http://schemas.openxmlformats.org/officeDocument/2006/relationships/hyperlink" Target="https://ods.od.nih.gov/factsheets/Folate-HealthProfessional/" TargetMode="External"/><Relationship Id="rId11" Type="http://schemas.openxmlformats.org/officeDocument/2006/relationships/hyperlink" Target="https://www.nature.com/articles/s41430-025-01627-9" TargetMode="External"/><Relationship Id="rId12" Type="http://schemas.openxmlformats.org/officeDocument/2006/relationships/hyperlink" Target="https://link.springer.com/article/10.1007/s003940200010" TargetMode="External"/><Relationship Id="rId13" Type="http://schemas.openxmlformats.org/officeDocument/2006/relationships/hyperlink" Target="https://link.springer.com/chapter/10.1007/978-981-16-1554-2_10" TargetMode="External"/><Relationship Id="rId14" Type="http://schemas.openxmlformats.org/officeDocument/2006/relationships/hyperlink" Target="https://www.ncbi.nlm.nih.gov/books/NBK535377/" TargetMode="External"/><Relationship Id="rId15" Type="http://schemas.openxmlformats.org/officeDocument/2006/relationships/hyperlink" Target="https://www.merckmanuals.com/professional/nutritional-disorders/vitamin-deficiency-dependency-and-toxicity/folate-deficiency" TargetMode="External"/><Relationship Id="rId16" Type="http://schemas.openxmlformats.org/officeDocument/2006/relationships/hyperlink" Target="https://link.springer.com/article/10.1007/s12291-016-0619-0" TargetMode="External"/><Relationship Id="rId17" Type="http://schemas.openxmlformats.org/officeDocument/2006/relationships/hyperlink" Target="https://www.sciencedirect.com/science/article/pii/S00029165230105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