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Hyperuricemia (asymptomatic)</w:t>
      </w:r>
    </w:p>
    <w:p>
      <w:pPr>
        <w:spacing w:before="0" w:after="160"/>
      </w:pPr>
      <w:r>
        <w:rPr>
          <w:rFonts w:ascii="Calibri" w:hAnsi="Calibri"/>
          <w:b/>
          <w:i w:val="0"/>
          <w:color w:val="212121"/>
          <w:sz w:val="22"/>
        </w:rPr>
        <w:t xml:space="preserve">AKA </w:t>
      </w:r>
      <w:r>
        <w:rPr>
          <w:rFonts w:ascii="Calibri" w:hAnsi="Calibri"/>
          <w:b w:val="0"/>
          <w:i w:val="0"/>
          <w:color w:val="212121"/>
          <w:sz w:val="22"/>
        </w:rPr>
        <w:t>i.e., Asymptomatic hyperuricaemia, High uric acid, Raised serum urate, Pre-gout state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Asymptomatic hyperuricemia is a sustained elevation of serum uric acid above the physiological saturation point for monosodium urate, in a person who has never had gouty arthritis, tophi or urate kidney stones. It is conventionally defined as serum uric acid greater than 7.0 mg/dL in men and greater than 6.0 mg/dL in women, with 6.8 mg/dL being the biochemical threshold above which urate can crystallise in tissues. It is a metabolic marker and a recognised pre-gout state rather than a disease in itself, and it clusters tightly with obesity, insulin resistance, hypertension, dyslipidemia and chronic kidney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Hyperuricemia is common and rising in India in step with urbanisation and richer diets. Community and screening studies report it in roughly one in four to one in three adults - about 24.7% at Indian screening camps and 32.7% in a rural Karnataka cohort - with men affected more than women (about 57% of hyperuricemic individuals are male). Around 85-95% of people with a raised uric acid remain entirely asymptomatic, and only a minority (of the order of 15%) ever progress to clinical gout, which is why it is best regarded as a pre-gout, high-risk metabolic state.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Asymptomatic hyperuricemia is a biochemical diagnosis of exclusion - a raised serum urate in a person with no clinical features of gout or urate stone disease. It is confirmed and characterised using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uric acid &gt; 7.0 mg/dL in men or &gt; 6.0 mg/dL in women (saturation threshold 6.8 mg/dL), ideally on a fasting sample and confirmed on a repeat occasion;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any current or past gouty arthritis, tophi, or symptomatic urate nephrolithiasis on history and examination (this is what makes it asymptomatic);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sampling under standard conditions - avoiding a recent high-purine meal, alcohol, dehydration, strenuous exercise or fasting, all of which transiently raise urate;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24-hour urinary uric acid excretion to separate over-producers (&gt; 800 mg/day on a normal diet, or &gt; 600 mg/day on a purine-restricted diet) from under-excretors (the large majority);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fractional excretion of uric acid (FEUA); a value &lt; 6-7% indicates renal under-excretion;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secondary/precipitating causes - diuretics, low-dose aspirin, chronic kidney disease, and high cell-turnover states (myeloproliferative disease, haemolysis, psoriasis).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Hyperuricemia is classified by the underlying handling defect, by cause, and by clinical stage. Asymptomatic hyperuricemia is the earliest stage of the urate-deposition spectrum:</w:t>
      </w:r>
    </w:p>
    <w:p>
      <w:pPr>
        <w:spacing w:before="0" w:after="80"/>
      </w:pPr>
      <w:r>
        <w:rPr>
          <w:rFonts w:ascii="Calibri" w:hAnsi="Calibri"/>
          <w:b w:val="0"/>
          <w:i w:val="0"/>
          <w:color w:val="212121"/>
          <w:sz w:val="21"/>
        </w:rPr>
        <w:t>(1) By mechanism - Renal/gut under-excretion, which accounts for about 90% of cases and reflects reduced urate clearance by the kidney and intestine; urate over-production (roughly 10%); and mixed patterns where both operate together.</w:t>
      </w:r>
    </w:p>
    <w:p>
      <w:pPr>
        <w:spacing w:before="0" w:after="80"/>
      </w:pPr>
      <w:r>
        <w:rPr>
          <w:rFonts w:ascii="Calibri" w:hAnsi="Calibri"/>
          <w:b w:val="0"/>
          <w:i w:val="0"/>
          <w:color w:val="212121"/>
          <w:sz w:val="21"/>
        </w:rPr>
        <w:t>(2) By cause - Primary (idiopathic or inherited), including common urate-transporter polymorphisms (ABCG2, SLC2A9/GLUT9, URAT1) and rare enzyme defects such as HGPRT deficiency (Lesch-Nyhan) and PRPP synthetase over-activity; versus Secondary (acquired), driven by diet, alcohol, obesity, drugs (thiazide and loop diuretics, low-dose aspirin, niacin, ciclosporin, pyrazinamide), chronic kidney disease and high cell-turnover states.</w:t>
      </w:r>
    </w:p>
    <w:p>
      <w:pPr>
        <w:spacing w:before="0" w:after="80"/>
      </w:pPr>
      <w:r>
        <w:rPr>
          <w:rFonts w:ascii="Calibri" w:hAnsi="Calibri"/>
          <w:b w:val="0"/>
          <w:i w:val="0"/>
          <w:color w:val="212121"/>
          <w:sz w:val="21"/>
        </w:rPr>
        <w:t>(3) By clinical stage - Stage 1: asymptomatic hyperuricemia (this profile); Stage 2: acute gouty arthritis; Stage 3: intercritical (between-attack) gout; and Stage 4: chronic tophaceous gout. Subclinical monosodium urate deposits may already be detectable on ultrasound or dual-energy CT in the asymptomatic stage.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Renal under-excretion: The dominant mechanism (about 90%); inherited variation in urate transporters (ABCG2, SLC2A9, URAT1) and reduced kidney/gut clearance keep urate in the blood.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and insulin resistance: Central adiposity and hyperinsulinaemia both increase urate production and reduce its renal excretion, making raised urate a core feature of metabolic syndrome.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Dietary purine and fructose load: Organ meats, red meat, seafood and, importantly in India, sugar-sweetened beverages and sweets rich in fructose drive urate over-production.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Alcohol: Beer and spirits (and locally-brewed country liquor) raise urate through purine load and by lactate-driven inhibition of renal urate excretion; beer is the worst offender.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Thiazide and loop diuretics, low-dose aspirin, niacin, ciclosporin and pyrazinamide reduce urate excretion - a common cause in elderly and hypertensive Indians.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kidney disease: Falling glomerular filtration reduces urate clearance, so hyperuricemia is both a consequence and a driver of renal decline.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Increased cell turnover: Myeloproliferative and haemolytic disorders, tumour lysis, psoriasis and rhabdomyolysis release large purine loads that overwhelm excretion.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Serum urate rises through early and middle adult life as body weight, alcohol use, rich diet and insulin resistance accumulate. This is the age band where asymptomatic hyperuricemia is first picked up, typically on a routine or metabolic-panel blood test.</w:t>
            </w:r>
          </w:p>
          <w:p>
            <w:pPr>
              <w:spacing w:after="40" w:before="60" w:line="259" w:lineRule="auto"/>
            </w:pPr>
            <w:r>
              <w:rPr>
                <w:rFonts w:ascii="Calibri" w:hAnsi="Calibri"/>
                <w:b w:val="0"/>
                <w:i w:val="0"/>
                <w:color w:val="212121"/>
                <w:sz w:val="19"/>
              </w:rPr>
              <w:t>Indian screening studies report hyperuricemia in about 24.7% of adults; a rural Karnataka cohort (median age 45) found 32.7%.</w:t>
            </w:r>
          </w:p>
          <w:p>
            <w:pPr>
              <w:spacing w:after="40" w:line="252" w:lineRule="auto"/>
            </w:pPr>
            <w:hyperlink r:id="rId9">
              <w:r>
                <w:rPr>
                  <w:rFonts w:ascii="Calibri" w:hAnsi="Calibri" w:cs="Calibri"/>
                  <w:sz w:val="18"/>
                  <w:color w:val="1155CC"/>
                  <w:u w:val="single"/>
                </w:rPr>
                <w:t xml:space="preserve">msjonline.org (IJRMS) - hyperuricemia in Indian subjects</w:t>
              </w:r>
            </w:hyperlink>
          </w:p>
          <w:p>
            <w:pPr>
              <w:spacing w:before="60" w:after="40"/>
            </w:pPr>
            <w:r>
              <w:rPr>
                <w:rFonts w:ascii="Calibri" w:hAnsi="Calibri"/>
                <w:b w:val="0"/>
                <w:i w:val="0"/>
                <w:color w:val="5A5A5A"/>
                <w:sz w:val="18"/>
              </w:rPr>
              <w:t>#uricacid  #pregout  #metabolic  #urbandiet  #routinescreen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Age-related decline in kidney function reduces urate excretion, and widespread use of thiazide/loop diuretics and low-dose aspirin for hypertension and heart disease further raises urate. The elderly therefore have the highest urate burden and the greatest chance of tipping into gout.</w:t>
            </w:r>
          </w:p>
          <w:p>
            <w:pPr>
              <w:spacing w:after="40" w:before="60" w:line="259" w:lineRule="auto"/>
            </w:pPr>
            <w:r>
              <w:rPr>
                <w:rFonts w:ascii="Calibri" w:hAnsi="Calibri"/>
                <w:b w:val="0"/>
                <w:i w:val="0"/>
                <w:color w:val="212121"/>
                <w:sz w:val="19"/>
              </w:rPr>
              <w:t>Diuretic use is estimated to increase gout risk by roughly 80% by lowering urate excretion.</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#ageing  #diuretics  #renalclearance  #polypharmacy  #aspirin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Men have higher baseline urate because they lack the uricosuric effect of oestrogen and carry more visceral fat and alcohol exposure. Hyperuricemia is consistently commoner and more marked in Indian men than women.</w:t>
            </w:r>
          </w:p>
          <w:p>
            <w:pPr>
              <w:spacing w:after="40" w:before="60" w:line="259" w:lineRule="auto"/>
            </w:pPr>
            <w:r>
              <w:rPr>
                <w:rFonts w:ascii="Calibri" w:hAnsi="Calibri"/>
                <w:b w:val="0"/>
                <w:i w:val="0"/>
                <w:color w:val="212121"/>
                <w:sz w:val="19"/>
              </w:rPr>
              <w:t>Among hyperuricemic Indians about 57.3% are male versus 42.7% female.</w:t>
            </w:r>
          </w:p>
          <w:p>
            <w:pPr>
              <w:spacing w:after="40" w:line="252" w:lineRule="auto"/>
            </w:pPr>
            <w:hyperlink r:id="rId9">
              <w:r>
                <w:rPr>
                  <w:rFonts w:ascii="Calibri" w:hAnsi="Calibri" w:cs="Calibri"/>
                  <w:sz w:val="18"/>
                  <w:color w:val="1155CC"/>
                  <w:u w:val="single"/>
                </w:rPr>
                <w:t xml:space="preserve">msjonline.org (IJRMS) - sex distribution of hyperuricemia</w:t>
              </w:r>
            </w:hyperlink>
          </w:p>
          <w:p>
            <w:pPr>
              <w:spacing w:before="60" w:after="40"/>
            </w:pPr>
            <w:r>
              <w:rPr>
                <w:rFonts w:ascii="Calibri" w:hAnsi="Calibri"/>
                <w:b w:val="0"/>
                <w:i w:val="0"/>
                <w:color w:val="5A5A5A"/>
                <w:sz w:val="18"/>
              </w:rPr>
              <w:t>#male  #visceralfat  #alcohol  #oestrogen  #higherurate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 / hormonal status</w:t>
            </w: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Oestrogen promotes renal urate excretion, so premenopausal women are relatively protected. After menopause this protection is lost and urate levels and gout risk rise towards those of men.</w:t>
            </w:r>
          </w:p>
          <w:p>
            <w:pPr>
              <w:spacing w:after="40" w:before="60" w:line="259" w:lineRule="auto"/>
            </w:pPr>
            <w:r>
              <w:rPr>
                <w:rFonts w:ascii="Calibri" w:hAnsi="Calibri"/>
                <w:b w:val="0"/>
                <w:i w:val="0"/>
                <w:color w:val="212121"/>
                <w:sz w:val="19"/>
              </w:rPr>
              <w:t>Oestrogen is uricosuric (it inhibits renal urate reabsorption); its loss at menopause raises serum urate.</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#menopause  #oestrogen  #womenshealth  #lateonset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Affluent / urban adults</w:t>
            </w:r>
          </w:p>
        </w:tc>
        <w:tc>
          <w:tcPr>
            <w:tcW w:type="dxa" w:w="4276"/>
            <w:vAlign w:val="top"/>
          </w:tcPr>
          <w:p>
            <w:pPr>
              <w:spacing w:after="60" w:line="259" w:lineRule="auto"/>
            </w:pPr>
            <w:r>
              <w:rPr>
                <w:rFonts w:ascii="Calibri" w:hAnsi="Calibri"/>
                <w:b w:val="0"/>
                <w:i w:val="0"/>
                <w:color w:val="212121"/>
                <w:sz w:val="19"/>
              </w:rPr>
              <w:t>Higher income in India tracks with more meat, alcohol and sugar-sweetened beverages plus sedentary work - the classic 'disease of plenty' pattern. Hyperuricemia and gout are disproportionately seen in affluent urban groups.</w:t>
            </w:r>
          </w:p>
          <w:p>
            <w:pPr>
              <w:spacing w:after="40" w:before="60" w:line="259" w:lineRule="auto"/>
            </w:pPr>
            <w:r>
              <w:rPr>
                <w:rFonts w:ascii="Calibri" w:hAnsi="Calibri"/>
                <w:b w:val="0"/>
                <w:i w:val="0"/>
                <w:color w:val="212121"/>
                <w:sz w:val="19"/>
              </w:rPr>
              <w:t>ICMR-INDIAB-17 found dyslipidemia in 81.2%, abdominal obesity in 39.5% and hypertension in 35.5% of Indian adults, all clustering with raised urate.</w:t>
            </w:r>
          </w:p>
          <w:p>
            <w:pPr>
              <w:spacing w:after="40" w:line="252" w:lineRule="auto"/>
            </w:pPr>
            <w:hyperlink r:id="rId11">
              <w:r>
                <w:rPr>
                  <w:rFonts w:ascii="Calibri" w:hAnsi="Calibri" w:cs="Calibri"/>
                  <w:sz w:val="18"/>
                  <w:color w:val="1155CC"/>
                  <w:u w:val="single"/>
                </w:rPr>
                <w:t xml:space="preserve">news-medical.net - ICMR-INDIAB-17 (Lancet D&amp;E 2023)</w:t>
              </w:r>
            </w:hyperlink>
          </w:p>
          <w:p>
            <w:pPr>
              <w:spacing w:before="60" w:after="40"/>
            </w:pPr>
            <w:r>
              <w:rPr>
                <w:rFonts w:ascii="Calibri" w:hAnsi="Calibri"/>
                <w:b w:val="0"/>
                <w:i w:val="0"/>
                <w:color w:val="5A5A5A"/>
                <w:sz w:val="18"/>
              </w:rPr>
              <w:t>#affluence  #urban  #dietofplenty  #alcohol  #SSB</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and rapidly-urbanising Indians</w:t>
            </w:r>
          </w:p>
        </w:tc>
        <w:tc>
          <w:tcPr>
            <w:tcW w:type="dxa" w:w="4276"/>
            <w:vAlign w:val="top"/>
          </w:tcPr>
          <w:p>
            <w:pPr>
              <w:spacing w:after="60" w:line="259" w:lineRule="auto"/>
            </w:pPr>
            <w:r>
              <w:rPr>
                <w:rFonts w:ascii="Calibri" w:hAnsi="Calibri"/>
                <w:b w:val="0"/>
                <w:i w:val="0"/>
                <w:color w:val="212121"/>
                <w:sz w:val="19"/>
              </w:rPr>
              <w:t>Urban and transitioning rural populations have adopted energy-dense, high-fructose and high-purine diets with low physical activity, driving up serum urate across regions of India.</w:t>
            </w:r>
          </w:p>
          <w:p>
            <w:pPr>
              <w:spacing w:after="40" w:before="60" w:line="259" w:lineRule="auto"/>
            </w:pPr>
            <w:r>
              <w:rPr>
                <w:rFonts w:ascii="Calibri" w:hAnsi="Calibri"/>
                <w:b w:val="0"/>
                <w:i w:val="0"/>
                <w:color w:val="212121"/>
                <w:sz w:val="19"/>
              </w:rPr>
              <w:t>A rural field-practice cohort in Belagavi, Karnataka reported hyperuricemia in 32.7% of adults aged 30 and above, with urate correlating with waist and hip circumference.</w:t>
            </w:r>
          </w:p>
          <w:p>
            <w:pPr>
              <w:spacing w:after="40" w:line="252" w:lineRule="auto"/>
            </w:pPr>
            <w:hyperlink r:id="rId12">
              <w:r>
                <w:rPr>
                  <w:rFonts w:ascii="Calibri" w:hAnsi="Calibri" w:cs="Calibri"/>
                  <w:sz w:val="18"/>
                  <w:color w:val="1155CC"/>
                  <w:u w:val="single"/>
                </w:rPr>
                <w:t xml:space="preserve">njcmindia.com - rural Belagavi prevalence study</w:t>
              </w:r>
            </w:hyperlink>
          </w:p>
          <w:p>
            <w:pPr>
              <w:spacing w:before="60" w:after="40"/>
            </w:pPr>
            <w:r>
              <w:rPr>
                <w:rFonts w:ascii="Calibri" w:hAnsi="Calibri"/>
                <w:b w:val="0"/>
                <w:i w:val="0"/>
                <w:color w:val="5A5A5A"/>
                <w:sz w:val="18"/>
              </w:rPr>
              <w:t>#urbanisation  #nutritiontransition  #India  #centraladiposity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geography</w:t>
            </w:r>
          </w:p>
        </w:tc>
        <w:tc>
          <w:tcPr>
            <w:tcW w:type="dxa" w:w="2160"/>
            <w:vAlign w:val="top"/>
          </w:tcPr>
          <w:p>
            <w:pPr>
              <w:spacing w:after="40" w:before="0" w:line="259" w:lineRule="auto"/>
            </w:pPr>
            <w:r>
              <w:rPr>
                <w:rFonts w:ascii="Calibri" w:hAnsi="Calibri"/>
                <w:b w:val="0"/>
                <w:i w:val="0"/>
                <w:color w:val="212121"/>
                <w:sz w:val="19"/>
              </w:rPr>
              <w:t>Coastal / seafood-consuming communities</w:t>
            </w:r>
          </w:p>
        </w:tc>
        <w:tc>
          <w:tcPr>
            <w:tcW w:type="dxa" w:w="4276"/>
            <w:vAlign w:val="top"/>
          </w:tcPr>
          <w:p>
            <w:pPr>
              <w:spacing w:after="60" w:line="259" w:lineRule="auto"/>
            </w:pPr>
            <w:r>
              <w:rPr>
                <w:rFonts w:ascii="Calibri" w:hAnsi="Calibri"/>
                <w:b w:val="0"/>
                <w:i w:val="0"/>
                <w:color w:val="212121"/>
                <w:sz w:val="19"/>
              </w:rPr>
              <w:t>Regular consumption of purine-rich seafood and shellfish, common in India's coastal belts, adds a dietary purine load that raises serum urate on top of background metabolic risk.</w:t>
            </w:r>
          </w:p>
          <w:p>
            <w:pPr>
              <w:spacing w:after="40" w:before="60" w:line="259" w:lineRule="auto"/>
            </w:pPr>
            <w:r>
              <w:rPr>
                <w:rFonts w:ascii="Calibri" w:hAnsi="Calibri"/>
                <w:b w:val="0"/>
                <w:i w:val="0"/>
                <w:color w:val="212121"/>
                <w:sz w:val="19"/>
              </w:rPr>
              <w:t>Seafood and shellfish are high-purine foods that raise serum urate and gout risk.</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#seafood  #purines  #coastaldiet  #shellfish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Overweight and obese, sedentary adults</w:t>
            </w:r>
          </w:p>
        </w:tc>
        <w:tc>
          <w:tcPr>
            <w:tcW w:type="dxa" w:w="4276"/>
            <w:vAlign w:val="top"/>
          </w:tcPr>
          <w:p>
            <w:pPr>
              <w:spacing w:after="60" w:line="259" w:lineRule="auto"/>
            </w:pPr>
            <w:r>
              <w:rPr>
                <w:rFonts w:ascii="Calibri" w:hAnsi="Calibri"/>
                <w:b w:val="0"/>
                <w:i w:val="0"/>
                <w:color w:val="212121"/>
                <w:sz w:val="19"/>
              </w:rPr>
              <w:t>Excess weight and physical inactivity raise urate by increasing production and reducing renal excretion via insulin resistance. Weight and waist circumference correlate directly with serum urate, and weight loss lowers it.</w:t>
            </w:r>
          </w:p>
          <w:p>
            <w:pPr>
              <w:spacing w:after="40" w:before="60" w:line="259" w:lineRule="auto"/>
            </w:pPr>
            <w:r>
              <w:rPr>
                <w:rFonts w:ascii="Calibri" w:hAnsi="Calibri"/>
                <w:b w:val="0"/>
                <w:i w:val="0"/>
                <w:color w:val="212121"/>
                <w:sz w:val="19"/>
              </w:rPr>
              <w:t>In newly-diagnosed Indian diabetics, obesity prevalence rose stepwise across serum-urate quartiles from 21% (lowest) to 50% (highest).</w:t>
            </w:r>
          </w:p>
          <w:p>
            <w:pPr>
              <w:spacing w:after="40" w:line="252" w:lineRule="auto"/>
            </w:pPr>
            <w:hyperlink r:id="rId13">
              <w:r>
                <w:rPr>
                  <w:rFonts w:ascii="Calibri" w:hAnsi="Calibri" w:cs="Calibri"/>
                  <w:sz w:val="18"/>
                  <w:color w:val="1155CC"/>
                  <w:u w:val="single"/>
                </w:rPr>
                <w:t xml:space="preserve">dovepress.com (IJGM) - obesity and uric acid, India</w:t>
              </w:r>
            </w:hyperlink>
          </w:p>
          <w:p>
            <w:pPr>
              <w:spacing w:before="60" w:after="40"/>
            </w:pPr>
            <w:r>
              <w:rPr>
                <w:rFonts w:ascii="Calibri" w:hAnsi="Calibri"/>
                <w:b w:val="0"/>
                <w:i w:val="0"/>
                <w:color w:val="5A5A5A"/>
                <w:sz w:val="18"/>
              </w:rPr>
              <w:t>#obesity  #sedentary  #insulinresistance  #waistcircumference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beer / country-liquor drinkers</w:t>
            </w:r>
          </w:p>
        </w:tc>
        <w:tc>
          <w:tcPr>
            <w:tcW w:type="dxa" w:w="4276"/>
            <w:vAlign w:val="top"/>
          </w:tcPr>
          <w:p>
            <w:pPr>
              <w:spacing w:after="60" w:line="259" w:lineRule="auto"/>
            </w:pPr>
            <w:r>
              <w:rPr>
                <w:rFonts w:ascii="Calibri" w:hAnsi="Calibri"/>
                <w:b w:val="0"/>
                <w:i w:val="0"/>
                <w:color w:val="212121"/>
                <w:sz w:val="19"/>
              </w:rPr>
              <w:t>Alcohol raises urate through purine load and by lactate-mediated blocking of renal urate excretion. Beer, which is also purine-rich, carries the greatest risk; spirits add risk while wine is largely neutral.</w:t>
            </w:r>
          </w:p>
          <w:p>
            <w:pPr>
              <w:spacing w:after="40" w:before="60" w:line="259" w:lineRule="auto"/>
            </w:pPr>
            <w:r>
              <w:rPr>
                <w:rFonts w:ascii="Calibri" w:hAnsi="Calibri"/>
                <w:b w:val="0"/>
                <w:i w:val="0"/>
                <w:color w:val="212121"/>
                <w:sz w:val="19"/>
              </w:rPr>
              <w:t>Each daily beer serving raised incident gout risk by 49% (RR 1.49) and each daily spirit measure by 15% (RR 1.15); wine was not associated.</w:t>
            </w:r>
          </w:p>
          <w:p>
            <w:pPr>
              <w:spacing w:after="40" w:line="252" w:lineRule="auto"/>
            </w:pPr>
            <w:hyperlink r:id="rId14">
              <w:r>
                <w:rPr>
                  <w:rFonts w:ascii="Calibri" w:hAnsi="Calibri" w:cs="Calibri"/>
                  <w:sz w:val="18"/>
                  <w:color w:val="1155CC"/>
                  <w:u w:val="single"/>
                </w:rPr>
                <w:t xml:space="preserve">pubmed.ncbi.nlm.nih.gov/15094272 (Choi, Lancet 2004)</w:t>
              </w:r>
            </w:hyperlink>
          </w:p>
          <w:p>
            <w:pPr>
              <w:spacing w:before="60" w:after="40"/>
            </w:pPr>
            <w:r>
              <w:rPr>
                <w:rFonts w:ascii="Calibri" w:hAnsi="Calibri"/>
                <w:b w:val="0"/>
                <w:i w:val="0"/>
                <w:color w:val="5A5A5A"/>
                <w:sz w:val="18"/>
              </w:rPr>
              <w:t>#alcohol  #beer  #countryliquor  #lactate  #gout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(comorbidity risk)</w:t>
            </w:r>
          </w:p>
        </w:tc>
        <w:tc>
          <w:tcPr>
            <w:tcW w:type="dxa" w:w="4276"/>
            <w:vAlign w:val="top"/>
          </w:tcPr>
          <w:p>
            <w:pPr>
              <w:spacing w:after="60" w:line="259" w:lineRule="auto"/>
            </w:pPr>
            <w:r>
              <w:rPr>
                <w:rFonts w:ascii="Calibri" w:hAnsi="Calibri"/>
                <w:b w:val="0"/>
                <w:i w:val="0"/>
                <w:color w:val="212121"/>
                <w:sz w:val="19"/>
              </w:rPr>
              <w:t>Smoking is not a strong direct driver of urate levels and some studies even show an inverse association, but it sharply worsens the cardiovascular and renal complications that hyperuricemia predisposes to, so it remains a target for risk reduction.</w:t>
            </w:r>
          </w:p>
          <w:p>
            <w:pPr>
              <w:spacing w:after="40" w:before="60" w:line="259" w:lineRule="auto"/>
            </w:pPr>
            <w:r>
              <w:rPr>
                <w:rFonts w:ascii="Calibri" w:hAnsi="Calibri"/>
                <w:b w:val="0"/>
                <w:i w:val="0"/>
                <w:color w:val="212121"/>
                <w:sz w:val="19"/>
              </w:rPr>
              <w:t>Evidence for a direct urate-raising effect of smoking is weak and inconsistent; its main harm is amplifying cardiovascular and renal risk.</w:t>
            </w:r>
          </w:p>
          <w:p>
            <w:pPr>
              <w:spacing w:before="60" w:after="40"/>
            </w:pPr>
            <w:r>
              <w:rPr>
                <w:rFonts w:ascii="Calibri" w:hAnsi="Calibri"/>
                <w:b w:val="0"/>
                <w:i w:val="0"/>
                <w:color w:val="5A5A5A"/>
                <w:sz w:val="18"/>
              </w:rPr>
              <w:t>#smoking  #cardiovascular  #renalrisk  #modifiable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High-purine non-vegetarian diet</w:t>
            </w:r>
          </w:p>
        </w:tc>
        <w:tc>
          <w:tcPr>
            <w:tcW w:type="dxa" w:w="4276"/>
            <w:vAlign w:val="top"/>
          </w:tcPr>
          <w:p>
            <w:pPr>
              <w:spacing w:after="60" w:line="259" w:lineRule="auto"/>
            </w:pPr>
            <w:r>
              <w:rPr>
                <w:rFonts w:ascii="Calibri" w:hAnsi="Calibri"/>
                <w:b w:val="0"/>
                <w:i w:val="0"/>
                <w:color w:val="212121"/>
                <w:sz w:val="19"/>
              </w:rPr>
              <w:t>Frequent organ meats (liver, kidney, brain), red meat and seafood deliver large purine loads that are metabolised to uric acid, pushing serum urate up in susceptible people.</w:t>
            </w:r>
          </w:p>
          <w:p>
            <w:pPr>
              <w:spacing w:after="40" w:before="60" w:line="259" w:lineRule="auto"/>
            </w:pPr>
            <w:r>
              <w:rPr>
                <w:rFonts w:ascii="Calibri" w:hAnsi="Calibri"/>
                <w:b w:val="0"/>
                <w:i w:val="0"/>
                <w:color w:val="212121"/>
                <w:sz w:val="19"/>
              </w:rPr>
              <w:t>Organ meats, red meat and shellfish are the principal high-purine foods that raise serum urate.</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#purines  #redmeat  #organmeat  #nonveg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Sugar-sweetened beverages / fructose</w:t>
            </w:r>
          </w:p>
        </w:tc>
        <w:tc>
          <w:tcPr>
            <w:tcW w:type="dxa" w:w="2160"/>
            <w:vAlign w:val="top"/>
          </w:tcPr>
          <w:p>
            <w:pPr>
              <w:spacing w:after="40" w:before="0" w:line="259" w:lineRule="auto"/>
            </w:pPr>
            <w:r>
              <w:rPr>
                <w:rFonts w:ascii="Calibri" w:hAnsi="Calibri"/>
                <w:b w:val="0"/>
                <w:i w:val="0"/>
                <w:color w:val="212121"/>
                <w:sz w:val="19"/>
              </w:rPr>
              <w:t>High SSB and sweets consumers</w:t>
            </w:r>
          </w:p>
        </w:tc>
        <w:tc>
          <w:tcPr>
            <w:tcW w:type="dxa" w:w="4276"/>
            <w:vAlign w:val="top"/>
          </w:tcPr>
          <w:p>
            <w:pPr>
              <w:spacing w:after="60" w:line="259" w:lineRule="auto"/>
            </w:pPr>
            <w:r>
              <w:rPr>
                <w:rFonts w:ascii="Calibri" w:hAnsi="Calibri"/>
                <w:b w:val="0"/>
                <w:i w:val="0"/>
                <w:color w:val="212121"/>
                <w:sz w:val="19"/>
              </w:rPr>
              <w:t>Fructose is uniquely uricogenic - its metabolism consumes ATP and generates urate directly. India's high intake of sugary drinks, packaged juices and sweets is a growing, modifiable driver of hyperuricemia, especially in the young.</w:t>
            </w:r>
          </w:p>
          <w:p>
            <w:pPr>
              <w:spacing w:after="40" w:before="60" w:line="259" w:lineRule="auto"/>
            </w:pPr>
            <w:r>
              <w:rPr>
                <w:rFonts w:ascii="Calibri" w:hAnsi="Calibri"/>
                <w:b w:val="0"/>
                <w:i w:val="0"/>
                <w:color w:val="212121"/>
                <w:sz w:val="19"/>
              </w:rPr>
              <w:t>Sugar-sweetened beverages raise hyperuricemia risk by about 33% (OR 1.33); higher fructose intake raises gout risk by about 66% (OR 1.66).</w:t>
            </w:r>
          </w:p>
          <w:p>
            <w:pPr>
              <w:spacing w:after="40" w:line="252" w:lineRule="auto"/>
            </w:pPr>
            <w:hyperlink r:id="rId15">
              <w:r>
                <w:rPr>
                  <w:rFonts w:ascii="Calibri" w:hAnsi="Calibri" w:cs="Calibri"/>
                  <w:sz w:val="18"/>
                  <w:color w:val="1155CC"/>
                  <w:u w:val="single"/>
                </w:rPr>
                <w:t xml:space="preserve">frontiersin.org - SSB &amp; hyperuricemia meta-analysis</w:t>
              </w:r>
            </w:hyperlink>
          </w:p>
          <w:p>
            <w:pPr>
              <w:spacing w:before="60" w:after="40"/>
            </w:pPr>
            <w:r>
              <w:rPr>
                <w:rFonts w:ascii="Calibri" w:hAnsi="Calibri"/>
                <w:b w:val="0"/>
                <w:i w:val="0"/>
                <w:color w:val="5A5A5A"/>
                <w:sz w:val="18"/>
              </w:rPr>
              <w:t>#fructose  #SSB  #sugarydrinks  #sweets  #uricogenic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gout / hyperuricemia</w:t>
            </w:r>
          </w:p>
        </w:tc>
        <w:tc>
          <w:tcPr>
            <w:tcW w:type="dxa" w:w="4276"/>
            <w:vAlign w:val="top"/>
          </w:tcPr>
          <w:p>
            <w:pPr>
              <w:spacing w:after="60" w:line="259" w:lineRule="auto"/>
            </w:pPr>
            <w:r>
              <w:rPr>
                <w:rFonts w:ascii="Calibri" w:hAnsi="Calibri"/>
                <w:b w:val="0"/>
                <w:i w:val="0"/>
                <w:color w:val="212121"/>
                <w:sz w:val="19"/>
              </w:rPr>
              <w:t>Serum urate is highly heritable. A family history of gout or raised uric acid signals inherited urate-transporter variants and markedly increases an individual's risk even before diet and weight are considered.</w:t>
            </w:r>
          </w:p>
          <w:p>
            <w:pPr>
              <w:spacing w:after="40" w:before="60" w:line="259" w:lineRule="auto"/>
            </w:pPr>
            <w:r>
              <w:rPr>
                <w:rFonts w:ascii="Calibri" w:hAnsi="Calibri"/>
                <w:b w:val="0"/>
                <w:i w:val="0"/>
                <w:color w:val="212121"/>
                <w:sz w:val="19"/>
              </w:rPr>
              <w:t>Serum urate is strongly heritable, largely through common urate-transporter genes.</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#familyhistory  #heritable  #gout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Urate-transporter / enzyme variants</w:t>
            </w:r>
          </w:p>
        </w:tc>
        <w:tc>
          <w:tcPr>
            <w:tcW w:type="dxa" w:w="2160"/>
            <w:vAlign w:val="top"/>
          </w:tcPr>
          <w:p>
            <w:pPr>
              <w:spacing w:after="40" w:before="0" w:line="259" w:lineRule="auto"/>
            </w:pPr>
            <w:r>
              <w:rPr>
                <w:rFonts w:ascii="Calibri" w:hAnsi="Calibri"/>
                <w:b w:val="0"/>
                <w:i w:val="0"/>
                <w:color w:val="212121"/>
                <w:sz w:val="19"/>
              </w:rPr>
              <w:t>Carriers of ABCG2 / SLC2A9 variants; inherited enzyme defects</w:t>
            </w:r>
          </w:p>
        </w:tc>
        <w:tc>
          <w:tcPr>
            <w:tcW w:type="dxa" w:w="4276"/>
            <w:vAlign w:val="top"/>
          </w:tcPr>
          <w:p>
            <w:pPr>
              <w:spacing w:after="60" w:line="259" w:lineRule="auto"/>
            </w:pPr>
            <w:r>
              <w:rPr>
                <w:rFonts w:ascii="Calibri" w:hAnsi="Calibri"/>
                <w:b w:val="0"/>
                <w:i w:val="0"/>
                <w:color w:val="212121"/>
                <w:sz w:val="19"/>
              </w:rPr>
              <w:t>Common polymorphisms in ABCG2, SLC2A9/GLUT9 and URAT1 reduce urate excretion, while rare enzyme defects (HGPRT deficiency, PRPP synthetase over-activity) cause over-production and very early, severe hyperuricemia.</w:t>
            </w:r>
          </w:p>
          <w:p>
            <w:pPr>
              <w:spacing w:after="40" w:before="60" w:line="259" w:lineRule="auto"/>
            </w:pPr>
            <w:r>
              <w:rPr>
                <w:rFonts w:ascii="Calibri" w:hAnsi="Calibri"/>
                <w:b w:val="0"/>
                <w:i w:val="0"/>
                <w:color w:val="212121"/>
                <w:sz w:val="19"/>
              </w:rPr>
              <w:t>ABCG2 and SLC2A9 variants are the strongest common genetic determinants of serum urate.</w:t>
            </w:r>
          </w:p>
          <w:p>
            <w:pPr>
              <w:spacing w:after="40" w:line="252" w:lineRule="auto"/>
            </w:pPr>
            <w:hyperlink r:id="rId10">
              <w:r>
                <w:rPr>
                  <w:rFonts w:ascii="Calibri" w:hAnsi="Calibri" w:cs="Calibri"/>
                  <w:sz w:val="18"/>
                  <w:color w:val="1155CC"/>
                  <w:u w:val="single"/>
                </w:rPr>
                <w:t xml:space="preserve">StatPearls (NCBI) - Hyperuricemia</w:t>
              </w:r>
            </w:hyperlink>
          </w:p>
          <w:p>
            <w:pPr>
              <w:spacing w:before="60" w:after="40"/>
            </w:pPr>
            <w:r>
              <w:rPr>
                <w:rFonts w:ascii="Calibri" w:hAnsi="Calibri"/>
                <w:b w:val="0"/>
                <w:i w:val="0"/>
                <w:color w:val="5A5A5A"/>
                <w:sz w:val="18"/>
              </w:rPr>
              <w:t>#ABCG2  #SLC2A9  #URAT1  #transporters  #monogenic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Obesity / metabolic syndrome</w:t>
            </w:r>
          </w:p>
        </w:tc>
        <w:tc>
          <w:tcPr>
            <w:tcW w:type="dxa" w:w="2160"/>
            <w:vAlign w:val="top"/>
          </w:tcPr>
          <w:p>
            <w:pPr>
              <w:spacing w:after="40" w:before="0" w:line="259" w:lineRule="auto"/>
            </w:pPr>
            <w:r>
              <w:rPr>
                <w:rFonts w:ascii="Calibri" w:hAnsi="Calibri"/>
                <w:b w:val="0"/>
                <w:i w:val="0"/>
                <w:color w:val="212121"/>
                <w:sz w:val="19"/>
              </w:rPr>
              <w:t>Adults with metabolic syndrome</w:t>
            </w:r>
          </w:p>
        </w:tc>
        <w:tc>
          <w:tcPr>
            <w:tcW w:type="dxa" w:w="4276"/>
            <w:vAlign w:val="top"/>
          </w:tcPr>
          <w:p>
            <w:pPr>
              <w:spacing w:after="60" w:line="259" w:lineRule="auto"/>
            </w:pPr>
            <w:r>
              <w:rPr>
                <w:rFonts w:ascii="Calibri" w:hAnsi="Calibri"/>
                <w:b w:val="0"/>
                <w:i w:val="0"/>
                <w:color w:val="212121"/>
                <w:sz w:val="19"/>
              </w:rPr>
              <w:t>Hyperuricemia is a core component and predictor of metabolic syndrome; insulin resistance simultaneously raises urate production and lowers its excretion, so the two travel together.</w:t>
            </w:r>
          </w:p>
          <w:p>
            <w:pPr>
              <w:spacing w:after="40" w:before="60" w:line="259" w:lineRule="auto"/>
            </w:pPr>
            <w:r>
              <w:rPr>
                <w:rFonts w:ascii="Calibri" w:hAnsi="Calibri"/>
                <w:b w:val="0"/>
                <w:i w:val="0"/>
                <w:color w:val="212121"/>
                <w:sz w:val="19"/>
              </w:rPr>
              <w:t>Metabolic syndrome has been reported in about 47% and obesity in about 45% of hyperuricemic Indian cohorts.</w:t>
            </w:r>
          </w:p>
          <w:p>
            <w:pPr>
              <w:spacing w:after="40" w:line="252" w:lineRule="auto"/>
            </w:pPr>
            <w:hyperlink r:id="rId9">
              <w:r>
                <w:rPr>
                  <w:rFonts w:ascii="Calibri" w:hAnsi="Calibri" w:cs="Calibri"/>
                  <w:sz w:val="18"/>
                  <w:color w:val="1155CC"/>
                  <w:u w:val="single"/>
                </w:rPr>
                <w:t xml:space="preserve">msjonline.org (IJRMS) - comorbidity of hyperuricemia</w:t>
              </w:r>
            </w:hyperlink>
          </w:p>
          <w:p>
            <w:pPr>
              <w:spacing w:before="60" w:after="40"/>
            </w:pPr>
            <w:r>
              <w:rPr>
                <w:rFonts w:ascii="Calibri" w:hAnsi="Calibri"/>
                <w:b w:val="0"/>
                <w:i w:val="0"/>
                <w:color w:val="5A5A5A"/>
                <w:sz w:val="18"/>
              </w:rPr>
              <w:t>#metabolicsyndrome  #insulinresistance  #obesity  #cluster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Raised urate impairs nitric-oxide-mediated vasodilation and activates the renin-angiotensin system, and it independently predicts new-onset high blood pressure. Diuretic treatment then raises urate further, creating a vicious cycle.</w:t>
            </w:r>
          </w:p>
          <w:p>
            <w:pPr>
              <w:spacing w:after="40" w:before="60" w:line="259" w:lineRule="auto"/>
            </w:pPr>
            <w:r>
              <w:rPr>
                <w:rFonts w:ascii="Calibri" w:hAnsi="Calibri"/>
                <w:b w:val="0"/>
                <w:i w:val="0"/>
                <w:color w:val="212121"/>
                <w:sz w:val="19"/>
              </w:rPr>
              <w:t>Each 1 mg/dL rise in serum urate is associated with about a 10% higher risk of incident hypertension (RR 1.10).</w:t>
            </w:r>
          </w:p>
          <w:p>
            <w:pPr>
              <w:spacing w:after="40" w:line="252" w:lineRule="auto"/>
            </w:pPr>
            <w:hyperlink r:id="rId16">
              <w:r>
                <w:rPr>
                  <w:rFonts w:ascii="Calibri" w:hAnsi="Calibri" w:cs="Calibri"/>
                  <w:sz w:val="18"/>
                  <w:color w:val="1155CC"/>
                  <w:u w:val="single"/>
                </w:rPr>
                <w:t xml:space="preserve">pubmed.ncbi.nlm.nih.gov/32539677 - urate &amp; incident hypertension meta-analysis</w:t>
              </w:r>
            </w:hyperlink>
          </w:p>
          <w:p>
            <w:pPr>
              <w:spacing w:before="60" w:after="40"/>
            </w:pPr>
            <w:r>
              <w:rPr>
                <w:rFonts w:ascii="Calibri" w:hAnsi="Calibri"/>
                <w:b w:val="0"/>
                <w:i w:val="0"/>
                <w:color w:val="5A5A5A"/>
                <w:sz w:val="18"/>
              </w:rPr>
              <w:t>#hypertension  #nitricoxide  #RAAS  #diuretics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reduced eGFR / CKD</w:t>
            </w:r>
          </w:p>
        </w:tc>
        <w:tc>
          <w:tcPr>
            <w:tcW w:type="dxa" w:w="4276"/>
            <w:vAlign w:val="top"/>
          </w:tcPr>
          <w:p>
            <w:pPr>
              <w:spacing w:after="60" w:line="259" w:lineRule="auto"/>
            </w:pPr>
            <w:r>
              <w:rPr>
                <w:rFonts w:ascii="Calibri" w:hAnsi="Calibri"/>
                <w:b w:val="0"/>
                <w:i w:val="0"/>
                <w:color w:val="212121"/>
                <w:sz w:val="19"/>
              </w:rPr>
              <w:t>Falling glomerular filtration reduces urate excretion, and raised urate in turn promotes renal arteriolopathy and interstitial injury - so hyperuricemia is both a marker and a driver of kidney decline.</w:t>
            </w:r>
          </w:p>
          <w:p>
            <w:pPr>
              <w:spacing w:after="40" w:before="60" w:line="259" w:lineRule="auto"/>
            </w:pPr>
            <w:r>
              <w:rPr>
                <w:rFonts w:ascii="Calibri" w:hAnsi="Calibri"/>
                <w:b w:val="0"/>
                <w:i w:val="0"/>
                <w:color w:val="212121"/>
                <w:sz w:val="19"/>
              </w:rPr>
              <w:t>Hyperuricemia roughly doubles the risk of new-onset CKD (pooled OR 2.35); each 1 mg/dL increase raises risk by about 6% (OR 1.06).</w:t>
            </w:r>
          </w:p>
          <w:p>
            <w:pPr>
              <w:spacing w:after="40" w:line="252" w:lineRule="auto"/>
            </w:pPr>
            <w:hyperlink r:id="rId17">
              <w:r>
                <w:rPr>
                  <w:rFonts w:ascii="Calibri" w:hAnsi="Calibri" w:cs="Calibri"/>
                  <w:sz w:val="18"/>
                  <w:color w:val="1155CC"/>
                  <w:u w:val="single"/>
                </w:rPr>
                <w:t xml:space="preserve">bmcnephrol.biomedcentral.com - hyperuricemia &amp; new-onset CKD</w:t>
              </w:r>
            </w:hyperlink>
          </w:p>
          <w:p>
            <w:pPr>
              <w:spacing w:before="60" w:after="40"/>
            </w:pPr>
            <w:r>
              <w:rPr>
                <w:rFonts w:ascii="Calibri" w:hAnsi="Calibri"/>
                <w:b w:val="0"/>
                <w:i w:val="0"/>
                <w:color w:val="5A5A5A"/>
                <w:sz w:val="18"/>
              </w:rPr>
              <w:t>#CKD  #eGFR  #uratenephropathy  #renaldecline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insulin resistance</w:t>
            </w:r>
          </w:p>
        </w:tc>
        <w:tc>
          <w:tcPr>
            <w:tcW w:type="dxa" w:w="2160"/>
            <w:vAlign w:val="top"/>
          </w:tcPr>
          <w:p>
            <w:pPr>
              <w:spacing w:after="40" w:before="0" w:line="259" w:lineRule="auto"/>
            </w:pPr>
            <w:r>
              <w:rPr>
                <w:rFonts w:ascii="Calibri" w:hAnsi="Calibri"/>
                <w:b w:val="0"/>
                <w:i w:val="0"/>
                <w:color w:val="212121"/>
                <w:sz w:val="19"/>
              </w:rPr>
              <w:t>Adults with type 2 diabetes or prediabetes</w:t>
            </w:r>
          </w:p>
        </w:tc>
        <w:tc>
          <w:tcPr>
            <w:tcW w:type="dxa" w:w="4276"/>
            <w:vAlign w:val="top"/>
          </w:tcPr>
          <w:p>
            <w:pPr>
              <w:spacing w:after="60" w:line="259" w:lineRule="auto"/>
            </w:pPr>
            <w:r>
              <w:rPr>
                <w:rFonts w:ascii="Calibri" w:hAnsi="Calibri"/>
                <w:b w:val="0"/>
                <w:i w:val="0"/>
                <w:color w:val="212121"/>
                <w:sz w:val="19"/>
              </w:rPr>
              <w:t>Insulin resistance reduces renal urate excretion, so dysglycaemia and hyperuricemia co-occur; raised urate also predicts progression from prediabetes to diabetes.</w:t>
            </w:r>
          </w:p>
          <w:p>
            <w:pPr>
              <w:spacing w:after="40" w:before="60" w:line="259" w:lineRule="auto"/>
            </w:pPr>
            <w:r>
              <w:rPr>
                <w:rFonts w:ascii="Calibri" w:hAnsi="Calibri"/>
                <w:b w:val="0"/>
                <w:i w:val="0"/>
                <w:color w:val="212121"/>
                <w:sz w:val="19"/>
              </w:rPr>
              <w:t>Hyperuricemia was present in about 12% of newly-diagnosed Indian diabetics, and hypertension rose across urate tertiles from 36% to 50%.</w:t>
            </w:r>
          </w:p>
          <w:p>
            <w:pPr>
              <w:spacing w:after="40" w:line="252" w:lineRule="auto"/>
            </w:pPr>
            <w:hyperlink r:id="rId18">
              <w:r>
                <w:rPr>
                  <w:rFonts w:ascii="Calibri" w:hAnsi="Calibri" w:cs="Calibri"/>
                  <w:sz w:val="18"/>
                  <w:color w:val="1155CC"/>
                  <w:u w:val="single"/>
                </w:rPr>
                <w:t xml:space="preserve">pmc.ncbi.nlm.nih.gov/PMC9206514 - urate in new-onset Indian diabetics</w:t>
              </w:r>
            </w:hyperlink>
          </w:p>
          <w:p>
            <w:pPr>
              <w:spacing w:before="60" w:after="40"/>
            </w:pPr>
            <w:r>
              <w:rPr>
                <w:rFonts w:ascii="Calibri" w:hAnsi="Calibri"/>
                <w:b w:val="0"/>
                <w:i w:val="0"/>
                <w:color w:val="5A5A5A"/>
                <w:sz w:val="18"/>
              </w:rPr>
              <w:t>#type2diabetes  #insulinresistance  #dysglycaemia  #prediabetes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Dyslipidemia / NAFLD</w:t>
            </w:r>
          </w:p>
        </w:tc>
        <w:tc>
          <w:tcPr>
            <w:tcW w:type="dxa" w:w="2160"/>
            <w:vAlign w:val="top"/>
          </w:tcPr>
          <w:p>
            <w:pPr>
              <w:spacing w:after="40" w:before="0" w:line="259" w:lineRule="auto"/>
            </w:pPr>
            <w:r>
              <w:rPr>
                <w:rFonts w:ascii="Calibri" w:hAnsi="Calibri"/>
                <w:b w:val="0"/>
                <w:i w:val="0"/>
                <w:color w:val="212121"/>
                <w:sz w:val="19"/>
              </w:rPr>
              <w:t>Adults with dyslipidemia or fatty liver</w:t>
            </w:r>
          </w:p>
        </w:tc>
        <w:tc>
          <w:tcPr>
            <w:tcW w:type="dxa" w:w="4276"/>
            <w:vAlign w:val="top"/>
          </w:tcPr>
          <w:p>
            <w:pPr>
              <w:spacing w:after="60" w:line="259" w:lineRule="auto"/>
            </w:pPr>
            <w:r>
              <w:rPr>
                <w:rFonts w:ascii="Calibri" w:hAnsi="Calibri"/>
                <w:b w:val="0"/>
                <w:i w:val="0"/>
                <w:color w:val="212121"/>
                <w:sz w:val="19"/>
              </w:rPr>
              <w:t>High triglycerides, low HDL and hepatic steatosis share the insulin-resistant, over-nutrition background that raises urate; hyperuricemia is closely linked to non-alcoholic fatty liver disease.</w:t>
            </w:r>
          </w:p>
          <w:p>
            <w:pPr>
              <w:spacing w:after="40" w:before="60" w:line="259" w:lineRule="auto"/>
            </w:pPr>
            <w:r>
              <w:rPr>
                <w:rFonts w:ascii="Calibri" w:hAnsi="Calibri"/>
                <w:b w:val="0"/>
                <w:i w:val="0"/>
                <w:color w:val="212121"/>
                <w:sz w:val="19"/>
              </w:rPr>
              <w:t>Dyslipidemia affects the large majority of hyperuricemic and metabolic-syndrome patients (81.2% dyslipidemia nationally in ICMR-INDIAB-17).</w:t>
            </w:r>
          </w:p>
          <w:p>
            <w:pPr>
              <w:spacing w:after="40" w:line="252" w:lineRule="auto"/>
            </w:pPr>
            <w:hyperlink r:id="rId11">
              <w:r>
                <w:rPr>
                  <w:rFonts w:ascii="Calibri" w:hAnsi="Calibri" w:cs="Calibri"/>
                  <w:sz w:val="18"/>
                  <w:color w:val="1155CC"/>
                  <w:u w:val="single"/>
                </w:rPr>
                <w:t xml:space="preserve">news-medical.net - ICMR-INDIAB-17 (Lancet D&amp;E 2023)</w:t>
              </w:r>
            </w:hyperlink>
          </w:p>
          <w:p>
            <w:pPr>
              <w:spacing w:before="60" w:after="40"/>
            </w:pPr>
            <w:r>
              <w:rPr>
                <w:rFonts w:ascii="Calibri" w:hAnsi="Calibri"/>
                <w:b w:val="0"/>
                <w:i w:val="0"/>
                <w:color w:val="5A5A5A"/>
                <w:sz w:val="18"/>
              </w:rPr>
              <w:t>#dyslipidemia  #NAFLD  #triglycerides  #fattyliver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Overweight and physical inactivity raise serum urate by increasing production and reducing renal excretion through insulin resistance; weight and waist circumference correlate directly with urate, and gradual weight loss lowers it. Note that isolated bouts of intense anaerobic exercise with dehydration can transiently raise urate.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High-purine foods (organ meats, red meat, seafood) and, especially in India, fructose-rich sugar-sweetened beverages and sweets markedly raise serum urate; SSBs raise hyperuricemia risk by about 33%.</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Short sleep and obstructive sleep apnoea are associated with higher urate largely through shared obesity and metabolic risk; independent evidence is modest.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has a weak and inconsistent (sometimes inverse) direct relationship with serum urate, but it substantially worsens the cardiovascular and renal complications linked to hyperuricemia.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Beer and spirits raise urate by adding purines and by lactate blocking renal urate excretion; each daily beer serving increases incident gout risk by about 49%, while wine is broadly neutral.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and depression relate to hyperuricemia mainly through shared metabolic-syndrome pathways and behaviours (diet, alcohol, inactivity) rather than a strong direct effect.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hydration increases urinary urate clearance and lowers the risk of uric-acid stone formation; adequate fluid intake is a simple, evidence-supported measure in urate management.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coffee is associated with lower serum urate and gout risk in a dose-dependent way (about 40% lower at 4-5 cups/day), an effect only partly explained by caffeine.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Personal hygiene has little direct bearing on serum urate; foot and skin care become relevant only if the condition progresses to gout or tophi.</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Sudden urate shifts from a purine feast, alcohol binge, dehydration, crash dieting/fasting, strenuous exercise, trauma or starting a diuretic can precipitate the transition from asymptomatic hyperuricemia to a first gout flare.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(obesity)</w:t>
            </w:r>
          </w:p>
        </w:tc>
        <w:tc>
          <w:tcPr>
            <w:tcW w:type="dxa" w:w="1468"/>
            <w:vAlign w:val="top"/>
          </w:tcPr>
          <w:p>
            <w:pPr>
              <w:spacing w:after="60" w:line="259" w:lineRule="auto"/>
            </w:pPr>
            <w:r>
              <w:rPr>
                <w:rFonts w:ascii="Calibri" w:hAnsi="Calibri"/>
                <w:b w:val="0"/>
                <w:i w:val="0"/>
                <w:color w:val="212121"/>
                <w:sz w:val="19"/>
              </w:rPr>
              <w:t>Higher BMI raises urate via insulin resistance; weight loss lowers it</w:t>
            </w:r>
          </w:p>
          <w:p>
            <w:pPr>
              <w:spacing w:after="40" w:line="252" w:lineRule="auto"/>
            </w:pPr>
            <w:hyperlink r:id="rId13">
              <w:r>
                <w:rPr>
                  <w:rFonts w:ascii="Calibri" w:hAnsi="Calibri" w:cs="Calibri"/>
                  <w:sz w:val="18"/>
                  <w:color w:val="1155CC"/>
                  <w:u w:val="single"/>
                </w:rPr>
                <w:t xml:space="preserve">https://www.dovepress.com/prevalence-of-obesity-in-newly-onset-diabetes-mellitus-and-its-relatio-peer-reviewed-fulltext-article-IJGM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(Asian-Indian)</w:t>
            </w:r>
          </w:p>
        </w:tc>
        <w:tc>
          <w:tcPr>
            <w:tcW w:type="dxa" w:w="1655"/>
            <w:vAlign w:val="top"/>
          </w:tcPr>
          <w:p>
            <w:pPr>
              <w:spacing w:after="40" w:before="0" w:line="259" w:lineRule="auto"/>
            </w:pPr>
            <w:r>
              <w:rPr>
                <w:rFonts w:ascii="Calibri" w:hAnsi="Calibri"/>
                <w:b w:val="0"/>
                <w:i w:val="0"/>
                <w:color w:val="212121"/>
                <w:sz w:val="19"/>
              </w:rPr>
              <w:t>Adults, overweight</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60" w:line="259" w:lineRule="auto"/>
            </w:pPr>
            <w:r>
              <w:rPr>
                <w:rFonts w:ascii="Calibri" w:hAnsi="Calibri"/>
                <w:b w:val="0"/>
                <w:i w:val="0"/>
                <w:color w:val="212121"/>
                <w:sz w:val="19"/>
              </w:rPr>
              <w:t>Central adiposity correlates directly with serum urate</w:t>
            </w:r>
          </w:p>
          <w:p>
            <w:pPr>
              <w:spacing w:after="40" w:line="252" w:lineRule="auto"/>
            </w:pPr>
            <w:hyperlink r:id="rId12">
              <w:r>
                <w:rPr>
                  <w:rFonts w:ascii="Calibri" w:hAnsi="Calibri" w:cs="Calibri"/>
                  <w:sz w:val="18"/>
                  <w:color w:val="1155CC"/>
                  <w:u w:val="single"/>
                </w:rPr>
                <w:t xml:space="preserve">https://njcmindia.com/index.php/file/article/view/3381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sedentary</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and weight control lower urate; avoid dehydration with intense bouts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uric acid (mg/dL)</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&lt; 6.0 mg/dL</w:t>
            </w:r>
          </w:p>
        </w:tc>
        <w:tc>
          <w:tcPr>
            <w:tcW w:type="dxa" w:w="1512"/>
            <w:vAlign w:val="top"/>
          </w:tcPr>
          <w:p>
            <w:pPr>
              <w:spacing w:after="40" w:before="0" w:line="259" w:lineRule="auto"/>
            </w:pPr>
            <w:r>
              <w:rPr>
                <w:rFonts w:ascii="Calibri" w:hAnsi="Calibri"/>
                <w:b w:val="0"/>
                <w:i w:val="0"/>
                <w:color w:val="212121"/>
                <w:sz w:val="19"/>
              </w:rPr>
              <w:t>M &gt; 7.0; F &gt; 6.0 (saturation &gt; 6.8)</w:t>
            </w:r>
          </w:p>
        </w:tc>
        <w:tc>
          <w:tcPr>
            <w:tcW w:type="dxa" w:w="1468"/>
            <w:vAlign w:val="top"/>
          </w:tcPr>
          <w:p>
            <w:pPr>
              <w:spacing w:after="60" w:line="259" w:lineRule="auto"/>
            </w:pPr>
            <w:r>
              <w:rPr>
                <w:rFonts w:ascii="Calibri" w:hAnsi="Calibri"/>
                <w:b w:val="0"/>
                <w:i w:val="0"/>
                <w:color w:val="212121"/>
                <w:sz w:val="19"/>
              </w:rPr>
              <w:t>Primary defining metric; target &lt; 6.0 if treated</w:t>
            </w:r>
          </w:p>
          <w:p>
            <w:pPr>
              <w:spacing w:after="40" w:line="252" w:lineRule="auto"/>
            </w:pPr>
            <w:hyperlink r:id="rId10">
              <w:r>
                <w:rPr>
                  <w:rFonts w:ascii="Calibri" w:hAnsi="Calibri" w:cs="Calibri"/>
                  <w:sz w:val="18"/>
                  <w:color w:val="1155CC"/>
                  <w:u w:val="single"/>
                </w:rPr>
                <w:t xml:space="preserve">https://www.ncbi.nlm.nih.gov/books/NBK459218/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None / occasional</w:t>
            </w:r>
          </w:p>
        </w:tc>
        <w:tc>
          <w:tcPr>
            <w:tcW w:type="dxa" w:w="1512"/>
            <w:vAlign w:val="top"/>
          </w:tcPr>
          <w:p>
            <w:pPr>
              <w:spacing w:after="40" w:before="0" w:line="259" w:lineRule="auto"/>
            </w:pPr>
            <w:r>
              <w:rPr>
                <w:rFonts w:ascii="Calibri" w:hAnsi="Calibri"/>
                <w:b w:val="0"/>
                <w:i w:val="0"/>
                <w:color w:val="212121"/>
                <w:sz w:val="19"/>
              </w:rPr>
              <w:t>Daily SSB or sweetened juice</w:t>
            </w:r>
          </w:p>
        </w:tc>
        <w:tc>
          <w:tcPr>
            <w:tcW w:type="dxa" w:w="1468"/>
            <w:vAlign w:val="top"/>
          </w:tcPr>
          <w:p>
            <w:pPr>
              <w:spacing w:after="60" w:line="259" w:lineRule="auto"/>
            </w:pPr>
            <w:r>
              <w:rPr>
                <w:rFonts w:ascii="Calibri" w:hAnsi="Calibri"/>
                <w:b w:val="0"/>
                <w:i w:val="0"/>
                <w:color w:val="212121"/>
                <w:sz w:val="19"/>
              </w:rPr>
              <w:t>Fructose is directly uricogenic; SSBs raise hyperuricemia risk ~33%</w:t>
            </w:r>
          </w:p>
          <w:p>
            <w:pPr>
              <w:spacing w:after="40" w:line="252" w:lineRule="auto"/>
            </w:pPr>
            <w:hyperlink r:id="rId15">
              <w:r>
                <w:rPr>
                  <w:rFonts w:ascii="Calibri" w:hAnsi="Calibri" w:cs="Calibri"/>
                  <w:sz w:val="18"/>
                  <w:color w:val="1155CC"/>
                  <w:u w:val="single"/>
                </w:rPr>
                <w:t xml:space="preserve">https://www.frontiersin.org/journals/nutrition/articles/10.3389/fnut.2025.1669129/full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High-purine food frequency (organ meat, red meat, seafood)</w:t>
            </w:r>
          </w:p>
        </w:tc>
        <w:tc>
          <w:tcPr>
            <w:tcW w:type="dxa" w:w="1655"/>
            <w:vAlign w:val="top"/>
          </w:tcPr>
          <w:p>
            <w:pPr>
              <w:spacing w:after="40" w:before="0" w:line="259" w:lineRule="auto"/>
            </w:pPr>
            <w:r>
              <w:rPr>
                <w:rFonts w:ascii="Calibri" w:hAnsi="Calibri"/>
                <w:b w:val="0"/>
                <w:i w:val="0"/>
                <w:color w:val="212121"/>
                <w:sz w:val="19"/>
              </w:rPr>
              <w:t>Non-vegetarian adults</w:t>
            </w:r>
          </w:p>
        </w:tc>
        <w:tc>
          <w:tcPr>
            <w:tcW w:type="dxa" w:w="1512"/>
            <w:vAlign w:val="top"/>
          </w:tcPr>
          <w:p>
            <w:pPr>
              <w:spacing w:after="40" w:before="0" w:line="259" w:lineRule="auto"/>
            </w:pPr>
            <w:r>
              <w:rPr>
                <w:rFonts w:ascii="Calibri" w:hAnsi="Calibri"/>
                <w:b w:val="0"/>
                <w:i w:val="0"/>
                <w:color w:val="212121"/>
                <w:sz w:val="19"/>
              </w:rPr>
              <w:t>&lt;= 1-2 servings/week</w:t>
            </w:r>
          </w:p>
        </w:tc>
        <w:tc>
          <w:tcPr>
            <w:tcW w:type="dxa" w:w="1512"/>
            <w:vAlign w:val="top"/>
          </w:tcPr>
          <w:p>
            <w:pPr>
              <w:spacing w:after="40" w:before="0" w:line="259" w:lineRule="auto"/>
            </w:pPr>
            <w:r>
              <w:rPr>
                <w:rFonts w:ascii="Calibri" w:hAnsi="Calibri"/>
                <w:b w:val="0"/>
                <w:i w:val="0"/>
                <w:color w:val="212121"/>
                <w:sz w:val="19"/>
              </w:rPr>
              <w:t>Daily / most days</w:t>
            </w:r>
          </w:p>
        </w:tc>
        <w:tc>
          <w:tcPr>
            <w:tcW w:type="dxa" w:w="1468"/>
            <w:vAlign w:val="top"/>
          </w:tcPr>
          <w:p>
            <w:pPr>
              <w:spacing w:after="40" w:before="0" w:line="259" w:lineRule="auto"/>
            </w:pPr>
            <w:r>
              <w:rPr>
                <w:rFonts w:ascii="Calibri" w:hAnsi="Calibri"/>
                <w:b w:val="0"/>
                <w:i w:val="0"/>
                <w:color w:val="212121"/>
                <w:sz w:val="19"/>
              </w:rPr>
              <w:t>Purine load is metabolised to uric acid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Beer / country-liquor intake</w:t>
            </w:r>
          </w:p>
        </w:tc>
        <w:tc>
          <w:tcPr>
            <w:tcW w:type="dxa" w:w="1655"/>
            <w:vAlign w:val="top"/>
          </w:tcPr>
          <w:p>
            <w:pPr>
              <w:spacing w:after="40" w:before="0" w:line="259" w:lineRule="auto"/>
            </w:pPr>
            <w:r>
              <w:rPr>
                <w:rFonts w:ascii="Calibri" w:hAnsi="Calibri"/>
                <w:b w:val="0"/>
                <w:i w:val="0"/>
                <w:color w:val="212121"/>
                <w:sz w:val="19"/>
              </w:rPr>
              <w:t>Adults, men</w:t>
            </w:r>
          </w:p>
        </w:tc>
        <w:tc>
          <w:tcPr>
            <w:tcW w:type="dxa" w:w="1512"/>
            <w:vAlign w:val="top"/>
          </w:tcPr>
          <w:p>
            <w:pPr>
              <w:spacing w:after="40" w:before="0" w:line="259" w:lineRule="auto"/>
            </w:pPr>
            <w:r>
              <w:rPr>
                <w:rFonts w:ascii="Calibri" w:hAnsi="Calibri"/>
                <w:b w:val="0"/>
                <w:i w:val="0"/>
                <w:color w:val="212121"/>
                <w:sz w:val="19"/>
              </w:rPr>
              <w:t>0 servings</w:t>
            </w:r>
          </w:p>
        </w:tc>
        <w:tc>
          <w:tcPr>
            <w:tcW w:type="dxa" w:w="1512"/>
            <w:vAlign w:val="top"/>
          </w:tcPr>
          <w:p>
            <w:pPr>
              <w:spacing w:after="40" w:before="0" w:line="259" w:lineRule="auto"/>
            </w:pPr>
            <w:r>
              <w:rPr>
                <w:rFonts w:ascii="Calibri" w:hAnsi="Calibri"/>
                <w:b w:val="0"/>
                <w:i w:val="0"/>
                <w:color w:val="212121"/>
                <w:sz w:val="19"/>
              </w:rPr>
              <w:t>Any regular beer or spirits</w:t>
            </w:r>
          </w:p>
        </w:tc>
        <w:tc>
          <w:tcPr>
            <w:tcW w:type="dxa" w:w="1468"/>
            <w:vAlign w:val="top"/>
          </w:tcPr>
          <w:p>
            <w:pPr>
              <w:spacing w:after="60" w:line="259" w:lineRule="auto"/>
            </w:pPr>
            <w:r>
              <w:rPr>
                <w:rFonts w:ascii="Calibri" w:hAnsi="Calibri"/>
                <w:b w:val="0"/>
                <w:i w:val="0"/>
                <w:color w:val="212121"/>
                <w:sz w:val="19"/>
              </w:rPr>
              <w:t>Each daily beer raises gout risk ~49%; wine broadly neutral</w:t>
            </w:r>
          </w:p>
          <w:p>
            <w:pPr>
              <w:spacing w:after="40" w:line="252" w:lineRule="auto"/>
            </w:pPr>
            <w:hyperlink r:id="rId14">
              <w:r>
                <w:rPr>
                  <w:rFonts w:ascii="Calibri" w:hAnsi="Calibri" w:cs="Calibri"/>
                  <w:sz w:val="18"/>
                  <w:color w:val="1155CC"/>
                  <w:u w:val="single"/>
                </w:rPr>
                <w:t xml:space="preserve">https://pubmed.ncbi.nlm.nih.gov/15094272/</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All adults, stone-formers</w:t>
            </w:r>
          </w:p>
        </w:tc>
        <w:tc>
          <w:tcPr>
            <w:tcW w:type="dxa" w:w="1512"/>
            <w:vAlign w:val="top"/>
          </w:tcPr>
          <w:p>
            <w:pPr>
              <w:spacing w:after="40" w:before="0" w:line="259" w:lineRule="auto"/>
            </w:pPr>
            <w:r>
              <w:rPr>
                <w:rFonts w:ascii="Calibri" w:hAnsi="Calibri"/>
                <w:b w:val="0"/>
                <w:i w:val="0"/>
                <w:color w:val="212121"/>
                <w:sz w:val="19"/>
              </w:rPr>
              <w:t>&gt;= 2.0-2.5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Dilutes urine and increases urate clearance, lowering stone risk</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consumption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2-4 cups/day (if tolerated)</w:t>
            </w:r>
          </w:p>
        </w:tc>
        <w:tc>
          <w:tcPr>
            <w:tcW w:type="dxa" w:w="1512"/>
            <w:vAlign w:val="top"/>
          </w:tcPr>
          <w:p>
            <w:pPr>
              <w:spacing w:after="40" w:before="0" w:line="259" w:lineRule="auto"/>
            </w:pPr>
            <w:r>
              <w:rPr>
                <w:rFonts w:ascii="Calibri" w:hAnsi="Calibri"/>
                <w:b w:val="0"/>
                <w:i w:val="0"/>
                <w:color w:val="212121"/>
                <w:sz w:val="19"/>
              </w:rPr>
              <w:t>NA</w:t>
            </w:r>
          </w:p>
        </w:tc>
        <w:tc>
          <w:tcPr>
            <w:tcW w:type="dxa" w:w="1468"/>
            <w:vAlign w:val="top"/>
          </w:tcPr>
          <w:p>
            <w:pPr>
              <w:spacing w:after="60" w:line="259" w:lineRule="auto"/>
            </w:pPr>
            <w:r>
              <w:rPr>
                <w:rFonts w:ascii="Calibri" w:hAnsi="Calibri"/>
                <w:b w:val="0"/>
                <w:i w:val="0"/>
                <w:color w:val="212121"/>
                <w:sz w:val="19"/>
              </w:rPr>
              <w:t>Regular coffee associated with ~40% lower gout risk at 4-5 cups/day</w:t>
            </w:r>
          </w:p>
          <w:p>
            <w:pPr>
              <w:spacing w:after="40" w:line="252" w:lineRule="auto"/>
            </w:pPr>
            <w:hyperlink r:id="rId19">
              <w:r>
                <w:rPr>
                  <w:rFonts w:ascii="Calibri" w:hAnsi="Calibri" w:cs="Calibri"/>
                  <w:sz w:val="18"/>
                  <w:color w:val="1155CC"/>
                  <w:u w:val="single"/>
                </w:rPr>
                <w:t xml:space="preserve">https://pubmed.ncbi.nlm.nih.gov/17530645/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h/night or untreated OSA</w:t>
            </w:r>
          </w:p>
        </w:tc>
        <w:tc>
          <w:tcPr>
            <w:tcW w:type="dxa" w:w="1468"/>
            <w:vAlign w:val="top"/>
          </w:tcPr>
          <w:p>
            <w:pPr>
              <w:spacing w:after="40" w:before="0" w:line="259" w:lineRule="auto"/>
            </w:pPr>
            <w:r>
              <w:rPr>
                <w:rFonts w:ascii="Calibri" w:hAnsi="Calibri"/>
                <w:b w:val="0"/>
                <w:i w:val="0"/>
                <w:color w:val="212121"/>
                <w:sz w:val="19"/>
              </w:rPr>
              <w:t>Short sleep/OSA cluster with obesity and higher urate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Weak direct urate effect but worsens cardiovascular/renal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 (fasting)</w:t>
            </w:r>
          </w:p>
        </w:tc>
        <w:tc>
          <w:tcPr>
            <w:tcW w:type="dxa" w:w="892"/>
            <w:vAlign w:val="top"/>
          </w:tcPr>
          <w:p>
            <w:pPr>
              <w:spacing w:after="40" w:before="0" w:line="259" w:lineRule="auto"/>
            </w:pPr>
            <w:r>
              <w:rPr>
                <w:rFonts w:ascii="Calibri" w:hAnsi="Calibri"/>
                <w:b w:val="0"/>
                <w:i w:val="0"/>
                <w:color w:val="212121"/>
                <w:sz w:val="16"/>
              </w:rPr>
              <w:t>Serum urate assay</w:t>
            </w:r>
          </w:p>
        </w:tc>
        <w:tc>
          <w:tcPr>
            <w:tcW w:type="dxa" w:w="950"/>
            <w:vAlign w:val="top"/>
          </w:tcPr>
          <w:p>
            <w:pPr>
              <w:spacing w:after="40" w:before="0" w:line="259" w:lineRule="auto"/>
            </w:pPr>
            <w:r>
              <w:rPr>
                <w:rFonts w:ascii="Calibri" w:hAnsi="Calibri"/>
                <w:b w:val="0"/>
                <w:i w:val="0"/>
                <w:color w:val="212121"/>
                <w:sz w:val="16"/>
              </w:rPr>
              <w:t>M 3.5-7.0; F 2.5-6.0 mg/dL</w:t>
            </w:r>
          </w:p>
        </w:tc>
        <w:tc>
          <w:tcPr>
            <w:tcW w:type="dxa" w:w="950"/>
            <w:vAlign w:val="top"/>
          </w:tcPr>
          <w:p>
            <w:pPr>
              <w:spacing w:after="40" w:before="0" w:line="259" w:lineRule="auto"/>
            </w:pPr>
            <w:r>
              <w:rPr>
                <w:rFonts w:ascii="Calibri" w:hAnsi="Calibri"/>
                <w:b w:val="0"/>
                <w:i w:val="0"/>
                <w:color w:val="212121"/>
                <w:sz w:val="16"/>
              </w:rPr>
              <w:t>M &gt; 7.0; F &gt; 6.0 (&gt;6.8 saturation)</w:t>
            </w:r>
          </w:p>
        </w:tc>
        <w:tc>
          <w:tcPr>
            <w:tcW w:type="dxa" w:w="1036"/>
            <w:vAlign w:val="top"/>
          </w:tcPr>
          <w:p>
            <w:pPr>
              <w:spacing w:after="40" w:before="0" w:line="259" w:lineRule="auto"/>
            </w:pPr>
            <w:r>
              <w:rPr>
                <w:rFonts w:ascii="Calibri" w:hAnsi="Calibri"/>
                <w:b w:val="0"/>
                <w:i w:val="0"/>
                <w:color w:val="212121"/>
                <w:sz w:val="16"/>
              </w:rPr>
              <w:t>Defining test; confirm on a repeat fasting sample</w:t>
            </w:r>
          </w:p>
        </w:tc>
        <w:tc>
          <w:tcPr>
            <w:tcW w:type="dxa" w:w="1036"/>
            <w:vAlign w:val="top"/>
          </w:tcPr>
          <w:p>
            <w:pPr>
              <w:spacing w:after="40" w:before="0" w:line="259" w:lineRule="auto"/>
            </w:pPr>
            <w:r>
              <w:rPr>
                <w:rFonts w:ascii="Calibri" w:hAnsi="Calibri"/>
                <w:b w:val="0"/>
                <w:i w:val="0"/>
                <w:color w:val="212121"/>
                <w:sz w:val="16"/>
              </w:rPr>
              <w:t>All at-risk adults, metabolic syndrome, CKD</w:t>
            </w:r>
          </w:p>
        </w:tc>
        <w:tc>
          <w:tcPr>
            <w:tcW w:type="dxa" w:w="720"/>
            <w:vAlign w:val="top"/>
          </w:tcPr>
          <w:p>
            <w:pPr>
              <w:spacing w:after="40" w:before="0" w:line="259" w:lineRule="auto"/>
            </w:pPr>
            <w:r>
              <w:rPr>
                <w:rFonts w:ascii="Calibri" w:hAnsi="Calibri"/>
                <w:b w:val="0"/>
                <w:i w:val="0"/>
                <w:color w:val="212121"/>
                <w:sz w:val="16"/>
              </w:rPr>
              <w:t>Food; Alcohol;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Avoid recent purine meal, alcohol, dehydration before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24-hour urinary uric acid</w:t>
            </w:r>
          </w:p>
        </w:tc>
        <w:tc>
          <w:tcPr>
            <w:tcW w:type="dxa" w:w="892"/>
            <w:vAlign w:val="top"/>
          </w:tcPr>
          <w:p>
            <w:pPr>
              <w:spacing w:after="40" w:before="0" w:line="259" w:lineRule="auto"/>
            </w:pPr>
            <w:r>
              <w:rPr>
                <w:rFonts w:ascii="Calibri" w:hAnsi="Calibri"/>
                <w:b w:val="0"/>
                <w:i w:val="0"/>
                <w:color w:val="212121"/>
                <w:sz w:val="16"/>
              </w:rPr>
              <w:t>24-h urine collection</w:t>
            </w:r>
          </w:p>
        </w:tc>
        <w:tc>
          <w:tcPr>
            <w:tcW w:type="dxa" w:w="950"/>
            <w:vAlign w:val="top"/>
          </w:tcPr>
          <w:p>
            <w:pPr>
              <w:spacing w:after="40" w:before="0" w:line="259" w:lineRule="auto"/>
            </w:pPr>
            <w:r>
              <w:rPr>
                <w:rFonts w:ascii="Calibri" w:hAnsi="Calibri"/>
                <w:b w:val="0"/>
                <w:i w:val="0"/>
                <w:color w:val="212121"/>
                <w:sz w:val="16"/>
              </w:rPr>
              <w:t>&lt; 800 mg/day (normal diet)</w:t>
            </w:r>
          </w:p>
        </w:tc>
        <w:tc>
          <w:tcPr>
            <w:tcW w:type="dxa" w:w="950"/>
            <w:vAlign w:val="top"/>
          </w:tcPr>
          <w:p>
            <w:pPr>
              <w:spacing w:after="40" w:before="0" w:line="259" w:lineRule="auto"/>
            </w:pPr>
            <w:r>
              <w:rPr>
                <w:rFonts w:ascii="Calibri" w:hAnsi="Calibri"/>
                <w:b w:val="0"/>
                <w:i w:val="0"/>
                <w:color w:val="212121"/>
                <w:sz w:val="16"/>
              </w:rPr>
              <w:t>&gt; 800 mg/day (&gt;600 on purine-restricted diet)</w:t>
            </w:r>
          </w:p>
        </w:tc>
        <w:tc>
          <w:tcPr>
            <w:tcW w:type="dxa" w:w="1036"/>
            <w:vAlign w:val="top"/>
          </w:tcPr>
          <w:p>
            <w:pPr>
              <w:spacing w:after="40" w:before="0" w:line="259" w:lineRule="auto"/>
            </w:pPr>
            <w:r>
              <w:rPr>
                <w:rFonts w:ascii="Calibri" w:hAnsi="Calibri"/>
                <w:b w:val="0"/>
                <w:i w:val="0"/>
                <w:color w:val="212121"/>
                <w:sz w:val="16"/>
              </w:rPr>
              <w:t>Separates over-producers from under-excretors; flags stone risk</w:t>
            </w:r>
          </w:p>
        </w:tc>
        <w:tc>
          <w:tcPr>
            <w:tcW w:type="dxa" w:w="1036"/>
            <w:vAlign w:val="top"/>
          </w:tcPr>
          <w:p>
            <w:pPr>
              <w:spacing w:after="40" w:before="0" w:line="259" w:lineRule="auto"/>
            </w:pPr>
            <w:r>
              <w:rPr>
                <w:rFonts w:ascii="Calibri" w:hAnsi="Calibri"/>
                <w:b w:val="0"/>
                <w:i w:val="0"/>
                <w:color w:val="212121"/>
                <w:sz w:val="16"/>
              </w:rPr>
              <w:t>Young/severe hyperuricemia, stone-formers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Classification</w:t>
            </w:r>
          </w:p>
        </w:tc>
        <w:tc>
          <w:tcPr>
            <w:tcW w:type="dxa" w:w="720"/>
            <w:vAlign w:val="top"/>
          </w:tcPr>
          <w:p>
            <w:pPr>
              <w:spacing w:after="40" w:before="0" w:line="259" w:lineRule="auto"/>
            </w:pPr>
            <w:r>
              <w:rPr>
                <w:rFonts w:ascii="Calibri" w:hAnsi="Calibri"/>
                <w:b w:val="0"/>
                <w:i w:val="0"/>
                <w:color w:val="212121"/>
                <w:sz w:val="16"/>
              </w:rPr>
              <w:t>Interpret with dietary purine context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Fractional excretion of uric acid (FEUA)</w:t>
            </w:r>
          </w:p>
        </w:tc>
        <w:tc>
          <w:tcPr>
            <w:tcW w:type="dxa" w:w="892"/>
            <w:vAlign w:val="top"/>
          </w:tcPr>
          <w:p>
            <w:pPr>
              <w:spacing w:after="40" w:before="0" w:line="259" w:lineRule="auto"/>
            </w:pPr>
            <w:r>
              <w:rPr>
                <w:rFonts w:ascii="Calibri" w:hAnsi="Calibri"/>
                <w:b w:val="0"/>
                <w:i w:val="0"/>
                <w:color w:val="212121"/>
                <w:sz w:val="16"/>
              </w:rPr>
              <w:t>Paired serum/urine urate &amp; creatinine</w:t>
            </w:r>
          </w:p>
        </w:tc>
        <w:tc>
          <w:tcPr>
            <w:tcW w:type="dxa" w:w="950"/>
            <w:vAlign w:val="top"/>
          </w:tcPr>
          <w:p>
            <w:pPr>
              <w:spacing w:after="40" w:before="0" w:line="259" w:lineRule="auto"/>
            </w:pPr>
            <w:r>
              <w:rPr>
                <w:rFonts w:ascii="Calibri" w:hAnsi="Calibri"/>
                <w:b w:val="0"/>
                <w:i w:val="0"/>
                <w:color w:val="212121"/>
                <w:sz w:val="16"/>
              </w:rPr>
              <w:t>6-10%</w:t>
            </w:r>
          </w:p>
        </w:tc>
        <w:tc>
          <w:tcPr>
            <w:tcW w:type="dxa" w:w="950"/>
            <w:vAlign w:val="top"/>
          </w:tcPr>
          <w:p>
            <w:pPr>
              <w:spacing w:after="40" w:before="0" w:line="259" w:lineRule="auto"/>
            </w:pPr>
            <w:r>
              <w:rPr>
                <w:rFonts w:ascii="Calibri" w:hAnsi="Calibri"/>
                <w:b w:val="0"/>
                <w:i w:val="0"/>
                <w:color w:val="212121"/>
                <w:sz w:val="16"/>
              </w:rPr>
              <w:t>&lt; 6-7% (under-excretion)</w:t>
            </w:r>
          </w:p>
        </w:tc>
        <w:tc>
          <w:tcPr>
            <w:tcW w:type="dxa" w:w="1036"/>
            <w:vAlign w:val="top"/>
          </w:tcPr>
          <w:p>
            <w:pPr>
              <w:spacing w:after="40" w:before="0" w:line="259" w:lineRule="auto"/>
            </w:pPr>
            <w:r>
              <w:rPr>
                <w:rFonts w:ascii="Calibri" w:hAnsi="Calibri"/>
                <w:b w:val="0"/>
                <w:i w:val="0"/>
                <w:color w:val="212121"/>
                <w:sz w:val="16"/>
              </w:rPr>
              <w:t>Confirms renal under-excretion (the majority mechanism)</w:t>
            </w:r>
          </w:p>
        </w:tc>
        <w:tc>
          <w:tcPr>
            <w:tcW w:type="dxa" w:w="1036"/>
            <w:vAlign w:val="top"/>
          </w:tcPr>
          <w:p>
            <w:pPr>
              <w:spacing w:after="40" w:before="0" w:line="259" w:lineRule="auto"/>
            </w:pPr>
            <w:r>
              <w:rPr>
                <w:rFonts w:ascii="Calibri" w:hAnsi="Calibri"/>
                <w:b w:val="0"/>
                <w:i w:val="0"/>
                <w:color w:val="212121"/>
                <w:sz w:val="16"/>
              </w:rPr>
              <w:t>Adults with hyperuricemia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Mechanistic</w:t>
            </w:r>
          </w:p>
        </w:tc>
        <w:tc>
          <w:tcPr>
            <w:tcW w:type="dxa" w:w="720"/>
            <w:vAlign w:val="top"/>
          </w:tcPr>
          <w:p>
            <w:pPr>
              <w:spacing w:after="40" w:before="0" w:line="259" w:lineRule="auto"/>
            </w:pPr>
            <w:r>
              <w:rPr>
                <w:rFonts w:ascii="Calibri" w:hAnsi="Calibri"/>
                <w:b w:val="0"/>
                <w:i w:val="0"/>
                <w:color w:val="212121"/>
                <w:sz w:val="16"/>
              </w:rPr>
              <w:t>Under-excretion accounts for ~90% of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&gt;= 90 mL/min/1.73m2</w:t>
            </w:r>
          </w:p>
        </w:tc>
        <w:tc>
          <w:tcPr>
            <w:tcW w:type="dxa" w:w="950"/>
            <w:vAlign w:val="top"/>
          </w:tcPr>
          <w:p>
            <w:pPr>
              <w:spacing w:after="40" w:before="0" w:line="259" w:lineRule="auto"/>
            </w:pPr>
            <w:r>
              <w:rPr>
                <w:rFonts w:ascii="Calibri" w:hAnsi="Calibri"/>
                <w:b w:val="0"/>
                <w:i w:val="0"/>
                <w:color w:val="212121"/>
                <w:sz w:val="16"/>
              </w:rPr>
              <w:t>eGFR &lt; 60 (CKD)</w:t>
            </w:r>
          </w:p>
        </w:tc>
        <w:tc>
          <w:tcPr>
            <w:tcW w:type="dxa" w:w="1036"/>
            <w:vAlign w:val="top"/>
          </w:tcPr>
          <w:p>
            <w:pPr>
              <w:spacing w:after="40" w:before="0" w:line="259" w:lineRule="auto"/>
            </w:pPr>
            <w:r>
              <w:rPr>
                <w:rFonts w:ascii="Calibri" w:hAnsi="Calibri"/>
                <w:b w:val="0"/>
                <w:i w:val="0"/>
                <w:color w:val="212121"/>
                <w:sz w:val="16"/>
              </w:rPr>
              <w:t>Reduced clearance both causes and results from hyperuricemia</w:t>
            </w:r>
          </w:p>
        </w:tc>
        <w:tc>
          <w:tcPr>
            <w:tcW w:type="dxa" w:w="1036"/>
            <w:vAlign w:val="top"/>
          </w:tcPr>
          <w:p>
            <w:pPr>
              <w:spacing w:after="40" w:before="0" w:line="259" w:lineRule="auto"/>
            </w:pPr>
            <w:r>
              <w:rPr>
                <w:rFonts w:ascii="Calibri" w:hAnsi="Calibri"/>
                <w:b w:val="0"/>
                <w:i w:val="0"/>
                <w:color w:val="212121"/>
                <w:sz w:val="16"/>
              </w:rPr>
              <w:t>Elderly, hypertensive, diabetic, CKD</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drug choice and 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126; HbA1c &gt;= 6.5%</w:t>
            </w:r>
          </w:p>
        </w:tc>
        <w:tc>
          <w:tcPr>
            <w:tcW w:type="dxa" w:w="1036"/>
            <w:vAlign w:val="top"/>
          </w:tcPr>
          <w:p>
            <w:pPr>
              <w:spacing w:after="40" w:before="0" w:line="259" w:lineRule="auto"/>
            </w:pPr>
            <w:r>
              <w:rPr>
                <w:rFonts w:ascii="Calibri" w:hAnsi="Calibri"/>
                <w:b w:val="0"/>
                <w:i w:val="0"/>
                <w:color w:val="212121"/>
                <w:sz w:val="16"/>
              </w:rPr>
              <w:t>Screens for the near-universal comorbid dysglycaemia</w:t>
            </w:r>
          </w:p>
        </w:tc>
        <w:tc>
          <w:tcPr>
            <w:tcW w:type="dxa" w:w="1036"/>
            <w:vAlign w:val="top"/>
          </w:tcPr>
          <w:p>
            <w:pPr>
              <w:spacing w:after="40" w:before="0" w:line="259" w:lineRule="auto"/>
            </w:pPr>
            <w:r>
              <w:rPr>
                <w:rFonts w:ascii="Calibri" w:hAnsi="Calibri"/>
                <w:b w:val="0"/>
                <w:i w:val="0"/>
                <w:color w:val="212121"/>
                <w:sz w:val="16"/>
              </w:rPr>
              <w:t>Obese, metabolic syndrome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Hyperuricemia clusters with insulin resistance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HDL M&gt;40/F&gt;50 mg/dL</w:t>
            </w:r>
          </w:p>
        </w:tc>
        <w:tc>
          <w:tcPr>
            <w:tcW w:type="dxa" w:w="950"/>
            <w:vAlign w:val="top"/>
          </w:tcPr>
          <w:p>
            <w:pPr>
              <w:spacing w:after="40" w:before="0" w:line="259" w:lineRule="auto"/>
            </w:pPr>
            <w:r>
              <w:rPr>
                <w:rFonts w:ascii="Calibri" w:hAnsi="Calibri"/>
                <w:b w:val="0"/>
                <w:i w:val="0"/>
                <w:color w:val="212121"/>
                <w:sz w:val="16"/>
              </w:rPr>
              <w:t>TG &gt;= 150; low HDL</w:t>
            </w:r>
          </w:p>
        </w:tc>
        <w:tc>
          <w:tcPr>
            <w:tcW w:type="dxa" w:w="1036"/>
            <w:vAlign w:val="top"/>
          </w:tcPr>
          <w:p>
            <w:pPr>
              <w:spacing w:after="40" w:before="0" w:line="259" w:lineRule="auto"/>
            </w:pPr>
            <w:r>
              <w:rPr>
                <w:rFonts w:ascii="Calibri" w:hAnsi="Calibri"/>
                <w:b w:val="0"/>
                <w:i w:val="0"/>
                <w:color w:val="212121"/>
                <w:sz w:val="16"/>
              </w:rPr>
              <w:t>Detects the dyslipidemia that co-travels with raised urate</w:t>
            </w:r>
          </w:p>
        </w:tc>
        <w:tc>
          <w:tcPr>
            <w:tcW w:type="dxa" w:w="1036"/>
            <w:vAlign w:val="top"/>
          </w:tcPr>
          <w:p>
            <w:pPr>
              <w:spacing w:after="40" w:before="0" w:line="259" w:lineRule="auto"/>
            </w:pPr>
            <w:r>
              <w:rPr>
                <w:rFonts w:ascii="Calibri" w:hAnsi="Calibri"/>
                <w:b w:val="0"/>
                <w:i w:val="0"/>
                <w:color w:val="212121"/>
                <w:sz w:val="16"/>
              </w:rPr>
              <w:t>Metabolic syndrome, NAFLD adults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Part of full cardiometabolic risk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Urinalysis &amp; urine pH</w:t>
            </w:r>
          </w:p>
        </w:tc>
        <w:tc>
          <w:tcPr>
            <w:tcW w:type="dxa" w:w="892"/>
            <w:vAlign w:val="top"/>
          </w:tcPr>
          <w:p>
            <w:pPr>
              <w:spacing w:after="40" w:before="0" w:line="259" w:lineRule="auto"/>
            </w:pPr>
            <w:r>
              <w:rPr>
                <w:rFonts w:ascii="Calibri" w:hAnsi="Calibri"/>
                <w:b w:val="0"/>
                <w:i w:val="0"/>
                <w:color w:val="212121"/>
                <w:sz w:val="16"/>
              </w:rPr>
              <w:t>Dipstick / microscopy</w:t>
            </w:r>
          </w:p>
        </w:tc>
        <w:tc>
          <w:tcPr>
            <w:tcW w:type="dxa" w:w="950"/>
            <w:vAlign w:val="top"/>
          </w:tcPr>
          <w:p>
            <w:pPr>
              <w:spacing w:after="40" w:before="0" w:line="259" w:lineRule="auto"/>
            </w:pPr>
            <w:r>
              <w:rPr>
                <w:rFonts w:ascii="Calibri" w:hAnsi="Calibri"/>
                <w:b w:val="0"/>
                <w:i w:val="0"/>
                <w:color w:val="212121"/>
                <w:sz w:val="16"/>
              </w:rPr>
              <w:t>pH ~6.0; no crystals</w:t>
            </w:r>
          </w:p>
        </w:tc>
        <w:tc>
          <w:tcPr>
            <w:tcW w:type="dxa" w:w="950"/>
            <w:vAlign w:val="top"/>
          </w:tcPr>
          <w:p>
            <w:pPr>
              <w:spacing w:after="40" w:before="0" w:line="259" w:lineRule="auto"/>
            </w:pPr>
            <w:r>
              <w:rPr>
                <w:rFonts w:ascii="Calibri" w:hAnsi="Calibri"/>
                <w:b w:val="0"/>
                <w:i w:val="0"/>
                <w:color w:val="212121"/>
                <w:sz w:val="16"/>
              </w:rPr>
              <w:t>pH &lt; 5.5; urate crystals</w:t>
            </w:r>
          </w:p>
        </w:tc>
        <w:tc>
          <w:tcPr>
            <w:tcW w:type="dxa" w:w="1036"/>
            <w:vAlign w:val="top"/>
          </w:tcPr>
          <w:p>
            <w:pPr>
              <w:spacing w:after="40" w:before="0" w:line="259" w:lineRule="auto"/>
            </w:pPr>
            <w:r>
              <w:rPr>
                <w:rFonts w:ascii="Calibri" w:hAnsi="Calibri"/>
                <w:b w:val="0"/>
                <w:i w:val="0"/>
                <w:color w:val="212121"/>
                <w:sz w:val="16"/>
              </w:rPr>
              <w:t>Persistently acidic urine favours uric-acid stone formation</w:t>
            </w:r>
          </w:p>
        </w:tc>
        <w:tc>
          <w:tcPr>
            <w:tcW w:type="dxa" w:w="1036"/>
            <w:vAlign w:val="top"/>
          </w:tcPr>
          <w:p>
            <w:pPr>
              <w:spacing w:after="40" w:before="0" w:line="259" w:lineRule="auto"/>
            </w:pPr>
            <w:r>
              <w:rPr>
                <w:rFonts w:ascii="Calibri" w:hAnsi="Calibri"/>
                <w:b w:val="0"/>
                <w:i w:val="0"/>
                <w:color w:val="212121"/>
                <w:sz w:val="16"/>
              </w:rPr>
              <w:t>Stone-formers, over-producers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Low urine pH is a modifiable stone risk factor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ultrasound (if indicated)</w:t>
            </w:r>
          </w:p>
        </w:tc>
        <w:tc>
          <w:tcPr>
            <w:tcW w:type="dxa" w:w="892"/>
            <w:vAlign w:val="top"/>
          </w:tcPr>
          <w:p>
            <w:pPr>
              <w:spacing w:after="40" w:before="0" w:line="259" w:lineRule="auto"/>
            </w:pPr>
            <w:r>
              <w:rPr>
                <w:rFonts w:ascii="Calibri" w:hAnsi="Calibri"/>
                <w:b w:val="0"/>
                <w:i w:val="0"/>
                <w:color w:val="212121"/>
                <w:sz w:val="16"/>
              </w:rPr>
              <w:t>KUB ultrasonography</w:t>
            </w:r>
          </w:p>
        </w:tc>
        <w:tc>
          <w:tcPr>
            <w:tcW w:type="dxa" w:w="950"/>
            <w:vAlign w:val="top"/>
          </w:tcPr>
          <w:p>
            <w:pPr>
              <w:spacing w:after="40" w:before="0" w:line="259" w:lineRule="auto"/>
            </w:pPr>
            <w:r>
              <w:rPr>
                <w:rFonts w:ascii="Calibri" w:hAnsi="Calibri"/>
                <w:b w:val="0"/>
                <w:i w:val="0"/>
                <w:color w:val="212121"/>
                <w:sz w:val="16"/>
              </w:rPr>
              <w:t>No calculi</w:t>
            </w:r>
          </w:p>
        </w:tc>
        <w:tc>
          <w:tcPr>
            <w:tcW w:type="dxa" w:w="950"/>
            <w:vAlign w:val="top"/>
          </w:tcPr>
          <w:p>
            <w:pPr>
              <w:spacing w:after="40" w:before="0" w:line="259" w:lineRule="auto"/>
            </w:pPr>
            <w:r>
              <w:rPr>
                <w:rFonts w:ascii="Calibri" w:hAnsi="Calibri"/>
                <w:b w:val="0"/>
                <w:i w:val="0"/>
                <w:color w:val="212121"/>
                <w:sz w:val="16"/>
              </w:rPr>
              <w:t>Radiolucent urate calculi / nephrocalcinosis</w:t>
            </w:r>
          </w:p>
        </w:tc>
        <w:tc>
          <w:tcPr>
            <w:tcW w:type="dxa" w:w="1036"/>
            <w:vAlign w:val="top"/>
          </w:tcPr>
          <w:p>
            <w:pPr>
              <w:spacing w:after="40" w:before="0" w:line="259" w:lineRule="auto"/>
            </w:pPr>
            <w:r>
              <w:rPr>
                <w:rFonts w:ascii="Calibri" w:hAnsi="Calibri"/>
                <w:b w:val="0"/>
                <w:i w:val="0"/>
                <w:color w:val="212121"/>
                <w:sz w:val="16"/>
              </w:rPr>
              <w:t>Detects subclinical urate stones in over-producers</w:t>
            </w:r>
          </w:p>
        </w:tc>
        <w:tc>
          <w:tcPr>
            <w:tcW w:type="dxa" w:w="1036"/>
            <w:vAlign w:val="top"/>
          </w:tcPr>
          <w:p>
            <w:pPr>
              <w:spacing w:after="40" w:before="0" w:line="259" w:lineRule="auto"/>
            </w:pPr>
            <w:r>
              <w:rPr>
                <w:rFonts w:ascii="Calibri" w:hAnsi="Calibri"/>
                <w:b w:val="0"/>
                <w:i w:val="0"/>
                <w:color w:val="212121"/>
                <w:sz w:val="16"/>
              </w:rPr>
              <w:t>Over-producers, high 24-h urate, flank pain</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Uric-acid stones are radiolucent on plain X-ray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screen (to confirm asymptomatic status)</w:t>
            </w:r>
          </w:p>
        </w:tc>
        <w:tc>
          <w:tcPr>
            <w:tcW w:type="dxa" w:w="979"/>
            <w:vAlign w:val="top"/>
          </w:tcPr>
          <w:p>
            <w:pPr>
              <w:spacing w:after="40" w:before="0" w:line="259" w:lineRule="auto"/>
            </w:pPr>
            <w:r>
              <w:rPr>
                <w:rFonts w:ascii="Calibri" w:hAnsi="Calibri"/>
                <w:b w:val="0"/>
                <w:i w:val="0"/>
                <w:color w:val="212121"/>
                <w:sz w:val="16"/>
              </w:rPr>
              <w:t>Joint pain (esp. first MTP), renal colic, prior flares</w:t>
            </w:r>
          </w:p>
        </w:tc>
        <w:tc>
          <w:tcPr>
            <w:tcW w:type="dxa" w:w="950"/>
            <w:vAlign w:val="top"/>
          </w:tcPr>
          <w:p>
            <w:pPr>
              <w:spacing w:after="40" w:before="0" w:line="259" w:lineRule="auto"/>
            </w:pPr>
            <w:r>
              <w:rPr>
                <w:rFonts w:ascii="Calibri" w:hAnsi="Calibri"/>
                <w:b w:val="0"/>
                <w:i w:val="0"/>
                <w:color w:val="212121"/>
                <w:sz w:val="16"/>
              </w:rPr>
              <w:t>None ever</w:t>
            </w:r>
          </w:p>
        </w:tc>
        <w:tc>
          <w:tcPr>
            <w:tcW w:type="dxa" w:w="950"/>
            <w:vAlign w:val="top"/>
          </w:tcPr>
          <w:p>
            <w:pPr>
              <w:spacing w:after="40" w:before="0" w:line="259" w:lineRule="auto"/>
            </w:pPr>
            <w:r>
              <w:rPr>
                <w:rFonts w:ascii="Calibri" w:hAnsi="Calibri"/>
                <w:b w:val="0"/>
                <w:i w:val="0"/>
                <w:color w:val="212121"/>
                <w:sz w:val="16"/>
              </w:rPr>
              <w:t>Any prior gout flare or urate stone</w:t>
            </w:r>
          </w:p>
        </w:tc>
        <w:tc>
          <w:tcPr>
            <w:tcW w:type="dxa" w:w="1036"/>
            <w:vAlign w:val="top"/>
          </w:tcPr>
          <w:p>
            <w:pPr>
              <w:spacing w:after="40" w:before="0" w:line="259" w:lineRule="auto"/>
            </w:pPr>
            <w:r>
              <w:rPr>
                <w:rFonts w:ascii="Calibri" w:hAnsi="Calibri"/>
                <w:b w:val="0"/>
                <w:i w:val="0"/>
                <w:color w:val="212121"/>
                <w:sz w:val="16"/>
              </w:rPr>
              <w:t>Presence of any of these reclassifies from asymptomatic to gout/stone disease</w:t>
            </w:r>
          </w:p>
        </w:tc>
        <w:tc>
          <w:tcPr>
            <w:tcW w:type="dxa" w:w="1036"/>
            <w:vAlign w:val="top"/>
          </w:tcPr>
          <w:p>
            <w:pPr>
              <w:spacing w:after="40" w:before="0" w:line="259" w:lineRule="auto"/>
            </w:pPr>
            <w:r>
              <w:rPr>
                <w:rFonts w:ascii="Calibri" w:hAnsi="Calibri"/>
                <w:b w:val="0"/>
                <w:i w:val="0"/>
                <w:color w:val="212121"/>
                <w:sz w:val="16"/>
              </w:rPr>
              <w:t>All adults with raised urate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Defining</w:t>
            </w:r>
          </w:p>
        </w:tc>
        <w:tc>
          <w:tcPr>
            <w:tcW w:type="dxa" w:w="720"/>
            <w:vAlign w:val="top"/>
          </w:tcPr>
          <w:p>
            <w:pPr>
              <w:spacing w:after="40" w:before="0" w:line="259" w:lineRule="auto"/>
            </w:pPr>
            <w:r>
              <w:rPr>
                <w:rFonts w:ascii="Calibri" w:hAnsi="Calibri"/>
                <w:b w:val="0"/>
                <w:i w:val="0"/>
                <w:color w:val="212121"/>
                <w:sz w:val="16"/>
              </w:rPr>
              <w:t>Asymptomatic status is a diagnosis of exclusion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Purine load, seafood/organ meat, SSB/fructose</w:t>
            </w:r>
          </w:p>
        </w:tc>
        <w:tc>
          <w:tcPr>
            <w:tcW w:type="dxa" w:w="950"/>
            <w:vAlign w:val="top"/>
          </w:tcPr>
          <w:p>
            <w:pPr>
              <w:spacing w:after="40" w:before="0" w:line="259" w:lineRule="auto"/>
            </w:pPr>
            <w:r>
              <w:rPr>
                <w:rFonts w:ascii="Calibri" w:hAnsi="Calibri"/>
                <w:b w:val="0"/>
                <w:i w:val="0"/>
                <w:color w:val="212121"/>
                <w:sz w:val="16"/>
              </w:rPr>
              <w:t>Low-purine, low-SSB pattern</w:t>
            </w:r>
          </w:p>
        </w:tc>
        <w:tc>
          <w:tcPr>
            <w:tcW w:type="dxa" w:w="950"/>
            <w:vAlign w:val="top"/>
          </w:tcPr>
          <w:p>
            <w:pPr>
              <w:spacing w:after="40" w:before="0" w:line="259" w:lineRule="auto"/>
            </w:pPr>
            <w:r>
              <w:rPr>
                <w:rFonts w:ascii="Calibri" w:hAnsi="Calibri"/>
                <w:b w:val="0"/>
                <w:i w:val="0"/>
                <w:color w:val="212121"/>
                <w:sz w:val="16"/>
              </w:rPr>
              <w:t>Frequent high-purine foods, daily SSB</w:t>
            </w:r>
          </w:p>
        </w:tc>
        <w:tc>
          <w:tcPr>
            <w:tcW w:type="dxa" w:w="1036"/>
            <w:vAlign w:val="top"/>
          </w:tcPr>
          <w:p>
            <w:pPr>
              <w:spacing w:after="40" w:before="0" w:line="259" w:lineRule="auto"/>
            </w:pPr>
            <w:r>
              <w:rPr>
                <w:rFonts w:ascii="Calibri" w:hAnsi="Calibri"/>
                <w:b w:val="0"/>
                <w:i w:val="0"/>
                <w:color w:val="212121"/>
                <w:sz w:val="16"/>
              </w:rPr>
              <w:t>Identifies modifiable dietary drivers</w:t>
            </w:r>
          </w:p>
        </w:tc>
        <w:tc>
          <w:tcPr>
            <w:tcW w:type="dxa" w:w="1036"/>
            <w:vAlign w:val="top"/>
          </w:tcPr>
          <w:p>
            <w:pPr>
              <w:spacing w:after="40" w:before="0" w:line="259" w:lineRule="auto"/>
            </w:pPr>
            <w:r>
              <w:rPr>
                <w:rFonts w:ascii="Calibri" w:hAnsi="Calibri"/>
                <w:b w:val="0"/>
                <w:i w:val="0"/>
                <w:color w:val="212121"/>
                <w:sz w:val="16"/>
              </w:rPr>
              <w:t>Non-vegetarian, high-SSB, affluent urban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India-specific: sugary drinks and sweets are key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history</w:t>
            </w:r>
          </w:p>
        </w:tc>
        <w:tc>
          <w:tcPr>
            <w:tcW w:type="dxa" w:w="979"/>
            <w:vAlign w:val="top"/>
          </w:tcPr>
          <w:p>
            <w:pPr>
              <w:spacing w:after="40" w:before="0" w:line="259" w:lineRule="auto"/>
            </w:pPr>
            <w:r>
              <w:rPr>
                <w:rFonts w:ascii="Calibri" w:hAnsi="Calibri"/>
                <w:b w:val="0"/>
                <w:i w:val="0"/>
                <w:color w:val="212121"/>
                <w:sz w:val="16"/>
              </w:rPr>
              <w:t>Beer / spirits / country liquor, quantity</w:t>
            </w:r>
          </w:p>
        </w:tc>
        <w:tc>
          <w:tcPr>
            <w:tcW w:type="dxa" w:w="950"/>
            <w:vAlign w:val="top"/>
          </w:tcPr>
          <w:p>
            <w:pPr>
              <w:spacing w:after="40" w:before="0" w:line="259" w:lineRule="auto"/>
            </w:pPr>
            <w:r>
              <w:rPr>
                <w:rFonts w:ascii="Calibri" w:hAnsi="Calibri"/>
                <w:b w:val="0"/>
                <w:i w:val="0"/>
                <w:color w:val="212121"/>
                <w:sz w:val="16"/>
              </w:rPr>
              <w:t>Nil / minimal</w:t>
            </w:r>
          </w:p>
        </w:tc>
        <w:tc>
          <w:tcPr>
            <w:tcW w:type="dxa" w:w="950"/>
            <w:vAlign w:val="top"/>
          </w:tcPr>
          <w:p>
            <w:pPr>
              <w:spacing w:after="40" w:before="0" w:line="259" w:lineRule="auto"/>
            </w:pPr>
            <w:r>
              <w:rPr>
                <w:rFonts w:ascii="Calibri" w:hAnsi="Calibri"/>
                <w:b w:val="0"/>
                <w:i w:val="0"/>
                <w:color w:val="212121"/>
                <w:sz w:val="16"/>
              </w:rPr>
              <w:t>Regular beer or spirits</w:t>
            </w:r>
          </w:p>
        </w:tc>
        <w:tc>
          <w:tcPr>
            <w:tcW w:type="dxa" w:w="1036"/>
            <w:vAlign w:val="top"/>
          </w:tcPr>
          <w:p>
            <w:pPr>
              <w:spacing w:after="40" w:before="0" w:line="259" w:lineRule="auto"/>
            </w:pPr>
            <w:r>
              <w:rPr>
                <w:rFonts w:ascii="Calibri" w:hAnsi="Calibri"/>
                <w:b w:val="0"/>
                <w:i w:val="0"/>
                <w:color w:val="212121"/>
                <w:sz w:val="16"/>
              </w:rPr>
              <w:t>Beer and spirits raise urate; beer is worst</w:t>
            </w:r>
          </w:p>
        </w:tc>
        <w:tc>
          <w:tcPr>
            <w:tcW w:type="dxa" w:w="1036"/>
            <w:vAlign w:val="top"/>
          </w:tcPr>
          <w:p>
            <w:pPr>
              <w:spacing w:after="40" w:before="0" w:line="259" w:lineRule="auto"/>
            </w:pPr>
            <w:r>
              <w:rPr>
                <w:rFonts w:ascii="Calibri" w:hAnsi="Calibri"/>
                <w:b w:val="0"/>
                <w:i w:val="0"/>
                <w:color w:val="212121"/>
                <w:sz w:val="16"/>
              </w:rPr>
              <w:t>Adult men, social/heavy drinkers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in standard drinks/week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Diuretics, low-dose aspirin, niacin, ciclosporin, pyrazinamide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urate-raising drug</w:t>
            </w:r>
          </w:p>
        </w:tc>
        <w:tc>
          <w:tcPr>
            <w:tcW w:type="dxa" w:w="1036"/>
            <w:vAlign w:val="top"/>
          </w:tcPr>
          <w:p>
            <w:pPr>
              <w:spacing w:after="40" w:before="0" w:line="259" w:lineRule="auto"/>
            </w:pPr>
            <w:r>
              <w:rPr>
                <w:rFonts w:ascii="Calibri" w:hAnsi="Calibri"/>
                <w:b w:val="0"/>
                <w:i w:val="0"/>
                <w:color w:val="212121"/>
                <w:sz w:val="16"/>
              </w:rPr>
              <w:t>Common, reversible secondary cause, especially in the elderly</w:t>
            </w:r>
          </w:p>
        </w:tc>
        <w:tc>
          <w:tcPr>
            <w:tcW w:type="dxa" w:w="1036"/>
            <w:vAlign w:val="top"/>
          </w:tcPr>
          <w:p>
            <w:pPr>
              <w:spacing w:after="40" w:before="0" w:line="259" w:lineRule="auto"/>
            </w:pPr>
            <w:r>
              <w:rPr>
                <w:rFonts w:ascii="Calibri" w:hAnsi="Calibri"/>
                <w:b w:val="0"/>
                <w:i w:val="0"/>
                <w:color w:val="212121"/>
                <w:sz w:val="16"/>
              </w:rPr>
              <w:t>Hypertensive, cardiac, transplant, TB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Review whether the drug can be substituted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Gout, hyperuricemia, urate stones in relatives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&gt;= 1 affected first-degree relative</w:t>
            </w:r>
          </w:p>
        </w:tc>
        <w:tc>
          <w:tcPr>
            <w:tcW w:type="dxa" w:w="1036"/>
            <w:vAlign w:val="top"/>
          </w:tcPr>
          <w:p>
            <w:pPr>
              <w:spacing w:after="40" w:before="0" w:line="259" w:lineRule="auto"/>
            </w:pPr>
            <w:r>
              <w:rPr>
                <w:rFonts w:ascii="Calibri" w:hAnsi="Calibri"/>
                <w:b w:val="0"/>
                <w:i w:val="0"/>
                <w:color w:val="212121"/>
                <w:sz w:val="16"/>
              </w:rPr>
              <w:t>Signals heritable urate-transporter variants</w:t>
            </w:r>
          </w:p>
        </w:tc>
        <w:tc>
          <w:tcPr>
            <w:tcW w:type="dxa" w:w="1036"/>
            <w:vAlign w:val="top"/>
          </w:tcPr>
          <w:p>
            <w:pPr>
              <w:spacing w:after="40" w:before="0" w:line="259" w:lineRule="auto"/>
            </w:pPr>
            <w:r>
              <w:rPr>
                <w:rFonts w:ascii="Calibri" w:hAnsi="Calibri"/>
                <w:b w:val="0"/>
                <w:i w:val="0"/>
                <w:color w:val="212121"/>
                <w:sz w:val="16"/>
              </w:rPr>
              <w:t>Young-onset or severe hyperuricemia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 &amp; blood pressure</w:t>
            </w:r>
          </w:p>
        </w:tc>
        <w:tc>
          <w:tcPr>
            <w:tcW w:type="dxa" w:w="979"/>
            <w:vAlign w:val="top"/>
          </w:tcPr>
          <w:p>
            <w:pPr>
              <w:spacing w:after="40" w:before="0" w:line="259" w:lineRule="auto"/>
            </w:pPr>
            <w:r>
              <w:rPr>
                <w:rFonts w:ascii="Calibri" w:hAnsi="Calibri"/>
                <w:b w:val="0"/>
                <w:i w:val="0"/>
                <w:color w:val="212121"/>
                <w:sz w:val="16"/>
              </w:rPr>
              <w:t>BMI, waist circumference, BP</w:t>
            </w:r>
          </w:p>
        </w:tc>
        <w:tc>
          <w:tcPr>
            <w:tcW w:type="dxa" w:w="950"/>
            <w:vAlign w:val="top"/>
          </w:tcPr>
          <w:p>
            <w:pPr>
              <w:spacing w:after="40" w:before="0" w:line="259" w:lineRule="auto"/>
            </w:pPr>
            <w:r>
              <w:rPr>
                <w:rFonts w:ascii="Calibri" w:hAnsi="Calibri"/>
                <w:b w:val="0"/>
                <w:i w:val="0"/>
                <w:color w:val="212121"/>
                <w:sz w:val="16"/>
              </w:rPr>
              <w:t>BMI &lt; 23; WC M&lt;90/F&lt;80; BP &lt; 130/85</w:t>
            </w:r>
          </w:p>
        </w:tc>
        <w:tc>
          <w:tcPr>
            <w:tcW w:type="dxa" w:w="950"/>
            <w:vAlign w:val="top"/>
          </w:tcPr>
          <w:p>
            <w:pPr>
              <w:spacing w:after="40" w:before="0" w:line="259" w:lineRule="auto"/>
            </w:pPr>
            <w:r>
              <w:rPr>
                <w:rFonts w:ascii="Calibri" w:hAnsi="Calibri"/>
                <w:b w:val="0"/>
                <w:i w:val="0"/>
                <w:color w:val="212121"/>
                <w:sz w:val="16"/>
              </w:rPr>
              <w:t>Raised BMI/WC; BP &gt;= 140/90</w:t>
            </w:r>
          </w:p>
        </w:tc>
        <w:tc>
          <w:tcPr>
            <w:tcW w:type="dxa" w:w="1036"/>
            <w:vAlign w:val="top"/>
          </w:tcPr>
          <w:p>
            <w:pPr>
              <w:spacing w:after="40" w:before="0" w:line="259" w:lineRule="auto"/>
            </w:pPr>
            <w:r>
              <w:rPr>
                <w:rFonts w:ascii="Calibri" w:hAnsi="Calibri"/>
                <w:b w:val="0"/>
                <w:i w:val="0"/>
                <w:color w:val="212121"/>
                <w:sz w:val="16"/>
              </w:rPr>
              <w:t>Quantifies the clustering metabolic-syndrome burden</w:t>
            </w:r>
          </w:p>
        </w:tc>
        <w:tc>
          <w:tcPr>
            <w:tcW w:type="dxa" w:w="1036"/>
            <w:vAlign w:val="top"/>
          </w:tcPr>
          <w:p>
            <w:pPr>
              <w:spacing w:after="40" w:before="0" w:line="259" w:lineRule="auto"/>
            </w:pPr>
            <w:r>
              <w:rPr>
                <w:rFonts w:ascii="Calibri" w:hAnsi="Calibri"/>
                <w:b w:val="0"/>
                <w:i w:val="0"/>
                <w:color w:val="212121"/>
                <w:sz w:val="16"/>
              </w:rPr>
              <w:t>Obese, hypertensive, metabolic syndrome adults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Joint &amp; soft-tissue examination</w:t>
            </w:r>
          </w:p>
        </w:tc>
        <w:tc>
          <w:tcPr>
            <w:tcW w:type="dxa" w:w="979"/>
            <w:vAlign w:val="top"/>
          </w:tcPr>
          <w:p>
            <w:pPr>
              <w:spacing w:after="40" w:before="0" w:line="259" w:lineRule="auto"/>
            </w:pPr>
            <w:r>
              <w:rPr>
                <w:rFonts w:ascii="Calibri" w:hAnsi="Calibri"/>
                <w:b w:val="0"/>
                <w:i w:val="0"/>
                <w:color w:val="212121"/>
                <w:sz w:val="16"/>
              </w:rPr>
              <w:t>Tophi, first MTP, ear helix, olecranon</w:t>
            </w:r>
          </w:p>
        </w:tc>
        <w:tc>
          <w:tcPr>
            <w:tcW w:type="dxa" w:w="950"/>
            <w:vAlign w:val="top"/>
          </w:tcPr>
          <w:p>
            <w:pPr>
              <w:spacing w:after="40" w:before="0" w:line="259" w:lineRule="auto"/>
            </w:pPr>
            <w:r>
              <w:rPr>
                <w:rFonts w:ascii="Calibri" w:hAnsi="Calibri"/>
                <w:b w:val="0"/>
                <w:i w:val="0"/>
                <w:color w:val="212121"/>
                <w:sz w:val="16"/>
              </w:rPr>
              <w:t>No tophi, no synovitis</w:t>
            </w:r>
          </w:p>
        </w:tc>
        <w:tc>
          <w:tcPr>
            <w:tcW w:type="dxa" w:w="950"/>
            <w:vAlign w:val="top"/>
          </w:tcPr>
          <w:p>
            <w:pPr>
              <w:spacing w:after="40" w:before="0" w:line="259" w:lineRule="auto"/>
            </w:pPr>
            <w:r>
              <w:rPr>
                <w:rFonts w:ascii="Calibri" w:hAnsi="Calibri"/>
                <w:b w:val="0"/>
                <w:i w:val="0"/>
                <w:color w:val="212121"/>
                <w:sz w:val="16"/>
              </w:rPr>
              <w:t>Tophus or active synovitis</w:t>
            </w:r>
          </w:p>
        </w:tc>
        <w:tc>
          <w:tcPr>
            <w:tcW w:type="dxa" w:w="1036"/>
            <w:vAlign w:val="top"/>
          </w:tcPr>
          <w:p>
            <w:pPr>
              <w:spacing w:after="40" w:before="0" w:line="259" w:lineRule="auto"/>
            </w:pPr>
            <w:r>
              <w:rPr>
                <w:rFonts w:ascii="Calibri" w:hAnsi="Calibri"/>
                <w:b w:val="0"/>
                <w:i w:val="0"/>
                <w:color w:val="212121"/>
                <w:sz w:val="16"/>
              </w:rPr>
              <w:t>Any tophus/synovitis means it is no longer asymptomatic</w:t>
            </w:r>
          </w:p>
        </w:tc>
        <w:tc>
          <w:tcPr>
            <w:tcW w:type="dxa" w:w="1036"/>
            <w:vAlign w:val="top"/>
          </w:tcPr>
          <w:p>
            <w:pPr>
              <w:spacing w:after="40" w:before="0" w:line="259" w:lineRule="auto"/>
            </w:pPr>
            <w:r>
              <w:rPr>
                <w:rFonts w:ascii="Calibri" w:hAnsi="Calibri"/>
                <w:b w:val="0"/>
                <w:i w:val="0"/>
                <w:color w:val="212121"/>
                <w:sz w:val="16"/>
              </w:rPr>
              <w:t>Long-standing or marked hyperuricemia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Defining</w:t>
            </w:r>
          </w:p>
        </w:tc>
        <w:tc>
          <w:tcPr>
            <w:tcW w:type="dxa" w:w="720"/>
            <w:vAlign w:val="top"/>
          </w:tcPr>
          <w:p>
            <w:pPr>
              <w:spacing w:after="40" w:before="0" w:line="259" w:lineRule="auto"/>
            </w:pPr>
            <w:r>
              <w:rPr>
                <w:rFonts w:ascii="Calibri" w:hAnsi="Calibri"/>
                <w:b w:val="0"/>
                <w:i w:val="0"/>
                <w:color w:val="212121"/>
                <w:sz w:val="16"/>
              </w:rPr>
              <w:t>Examine classic deposition sites carefully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metabolic comorbidity</w:t>
            </w:r>
          </w:p>
        </w:tc>
        <w:tc>
          <w:tcPr>
            <w:tcW w:type="dxa" w:w="979"/>
            <w:vAlign w:val="top"/>
          </w:tcPr>
          <w:p>
            <w:pPr>
              <w:spacing w:after="40" w:before="0" w:line="259" w:lineRule="auto"/>
            </w:pPr>
            <w:r>
              <w:rPr>
                <w:rFonts w:ascii="Calibri" w:hAnsi="Calibri"/>
                <w:b w:val="0"/>
                <w:i w:val="0"/>
                <w:color w:val="212121"/>
                <w:sz w:val="16"/>
              </w:rPr>
              <w:t>Acanthosis nigricans, central obesity, xanthelasma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 to insulin resistance and dyslipidemia</w:t>
            </w:r>
          </w:p>
        </w:tc>
        <w:tc>
          <w:tcPr>
            <w:tcW w:type="dxa" w:w="1036"/>
            <w:vAlign w:val="top"/>
          </w:tcPr>
          <w:p>
            <w:pPr>
              <w:spacing w:after="40" w:before="0" w:line="259" w:lineRule="auto"/>
            </w:pPr>
            <w:r>
              <w:rPr>
                <w:rFonts w:ascii="Calibri" w:hAnsi="Calibri"/>
                <w:b w:val="0"/>
                <w:i w:val="0"/>
                <w:color w:val="212121"/>
                <w:sz w:val="16"/>
              </w:rPr>
              <w:t>Metabolic syndrome, NAFLD, diabetic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Prompts full cardiometabolic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 symptoms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By definition there are no symptoms; the raised urate is a biochemical finding only.</w:t>
            </w:r>
          </w:p>
        </w:tc>
      </w:tr>
      <w:tr>
        <w:trPr>
          <w:cantSplit/>
        </w:trPr>
        <w:tc>
          <w:tcPr>
            <w:tcW w:type="dxa" w:w="2304"/>
            <w:vAlign w:val="top"/>
          </w:tcPr>
          <w:p>
            <w:pPr>
              <w:spacing w:after="40" w:before="0" w:line="259" w:lineRule="auto"/>
            </w:pPr>
            <w:r>
              <w:rPr>
                <w:rFonts w:ascii="Calibri" w:hAnsi="Calibri"/>
                <w:b/>
                <w:i w:val="0"/>
                <w:color w:val="212121"/>
                <w:sz w:val="19"/>
              </w:rPr>
              <w:t>Incidental laboratory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cases are detected on a routine or metabolic-panel blood test done for another reason.</w:t>
            </w:r>
          </w:p>
        </w:tc>
      </w:tr>
      <w:tr>
        <w:trPr>
          <w:cantSplit/>
        </w:trPr>
        <w:tc>
          <w:tcPr>
            <w:tcW w:type="dxa" w:w="2304"/>
            <w:vAlign w:val="top"/>
          </w:tcPr>
          <w:p>
            <w:pPr>
              <w:spacing w:after="40" w:before="0" w:line="259" w:lineRule="auto"/>
            </w:pPr>
            <w:r>
              <w:rPr>
                <w:rFonts w:ascii="Calibri" w:hAnsi="Calibri"/>
                <w:b/>
                <w:i w:val="0"/>
                <w:color w:val="212121"/>
                <w:sz w:val="19"/>
              </w:rPr>
              <w:t>Vague, non-specific joint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 mild aches without true arthritis; not diagnostic and often due to other causes.</w:t>
            </w:r>
          </w:p>
        </w:tc>
      </w:tr>
      <w:tr>
        <w:trPr>
          <w:cantSplit/>
        </w:trPr>
        <w:tc>
          <w:tcPr>
            <w:tcW w:type="dxa" w:w="2304"/>
            <w:vAlign w:val="top"/>
          </w:tcPr>
          <w:p>
            <w:pPr>
              <w:spacing w:after="40" w:before="0" w:line="259" w:lineRule="auto"/>
            </w:pPr>
            <w:r>
              <w:rPr>
                <w:rFonts w:ascii="Calibri" w:hAnsi="Calibri"/>
                <w:b/>
                <w:i w:val="0"/>
                <w:color w:val="212121"/>
                <w:sz w:val="19"/>
              </w:rPr>
              <w:t>Symptoms of associated conditions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Fatigue, raised blood pressure or dysglycaemia symptoms usually reflect the accompanying metabolic syndrome, not urate itself.</w:t>
            </w:r>
          </w:p>
        </w:tc>
      </w:tr>
      <w:tr>
        <w:trPr>
          <w:cantSplit/>
        </w:trPr>
        <w:tc>
          <w:tcPr>
            <w:tcW w:type="dxa" w:w="2304"/>
            <w:vAlign w:val="top"/>
          </w:tcPr>
          <w:p>
            <w:pPr>
              <w:spacing w:after="40" w:before="0" w:line="259" w:lineRule="auto"/>
            </w:pPr>
            <w:r>
              <w:rPr>
                <w:rFonts w:ascii="Calibri" w:hAnsi="Calibri"/>
                <w:b/>
                <w:i w:val="0"/>
                <w:color w:val="212121"/>
                <w:sz w:val="19"/>
              </w:rPr>
              <w:t>Renal colic / loin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uric-acid stone; indicates the condition is no longer purely asymptomatic.</w:t>
            </w:r>
          </w:p>
        </w:tc>
      </w:tr>
      <w:tr>
        <w:trPr>
          <w:cantSplit/>
        </w:trPr>
        <w:tc>
          <w:tcPr>
            <w:tcW w:type="dxa" w:w="2304"/>
            <w:vAlign w:val="top"/>
          </w:tcPr>
          <w:p>
            <w:pPr>
              <w:spacing w:after="40" w:before="0" w:line="259" w:lineRule="auto"/>
            </w:pPr>
            <w:r>
              <w:rPr>
                <w:rFonts w:ascii="Calibri" w:hAnsi="Calibri"/>
                <w:b/>
                <w:i w:val="0"/>
                <w:color w:val="212121"/>
                <w:sz w:val="19"/>
              </w:rPr>
              <w:t>First-metatarsophalangeal (big-toe) pain - podagra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first acute gout flare marks transition out of the asymptomatic stage.</w:t>
            </w:r>
          </w:p>
        </w:tc>
      </w:tr>
      <w:tr>
        <w:trPr>
          <w:cantSplit/>
        </w:trPr>
        <w:tc>
          <w:tcPr>
            <w:tcW w:type="dxa" w:w="2304"/>
            <w:vAlign w:val="top"/>
          </w:tcPr>
          <w:p>
            <w:pPr>
              <w:spacing w:after="40" w:before="0" w:line="259" w:lineRule="auto"/>
            </w:pPr>
            <w:r>
              <w:rPr>
                <w:rFonts w:ascii="Calibri" w:hAnsi="Calibri"/>
                <w:b/>
                <w:i w:val="0"/>
                <w:color w:val="212121"/>
                <w:sz w:val="19"/>
              </w:rPr>
              <w:t>Acute mono-arthritis of ankle/knee/midfoot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red, hot, painful joint signalling first gouty attack, often after a provoking factor.</w:t>
            </w:r>
          </w:p>
        </w:tc>
      </w:tr>
      <w:tr>
        <w:trPr>
          <w:cantSplit/>
        </w:trPr>
        <w:tc>
          <w:tcPr>
            <w:tcW w:type="dxa" w:w="2304"/>
            <w:vAlign w:val="top"/>
          </w:tcPr>
          <w:p>
            <w:pPr>
              <w:spacing w:after="40" w:before="0" w:line="259" w:lineRule="auto"/>
            </w:pPr>
            <w:r>
              <w:rPr>
                <w:rFonts w:ascii="Calibri" w:hAnsi="Calibri"/>
                <w:b/>
                <w:i w:val="0"/>
                <w:color w:val="212121"/>
                <w:sz w:val="19"/>
              </w:rPr>
              <w:t>Haematuria / gravel in urine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Passage of uric-acid gravel or blood with a stone.</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reflect early urate-related renal involvement or coexisting metabolic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 abnormal physical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Examination is typically normal; the diagnosis rests on the blood urate level.</w:t>
            </w:r>
          </w:p>
        </w:tc>
      </w:tr>
      <w:tr>
        <w:trPr>
          <w:cantSplit/>
        </w:trPr>
        <w:tc>
          <w:tcPr>
            <w:tcW w:type="dxa" w:w="3456"/>
            <w:vAlign w:val="top"/>
          </w:tcPr>
          <w:p>
            <w:pPr>
              <w:spacing w:after="40" w:before="0" w:line="259" w:lineRule="auto"/>
            </w:pPr>
            <w:r>
              <w:rPr>
                <w:rFonts w:ascii="Calibri" w:hAnsi="Calibri"/>
                <w:b/>
                <w:i w:val="0"/>
                <w:color w:val="212121"/>
                <w:sz w:val="19"/>
              </w:rPr>
              <w:t>Raised serum uric acid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objective finding: urate above 7.0 mg/dL (men) or 6.0 mg/dL (women).</w:t>
            </w:r>
          </w:p>
        </w:tc>
      </w:tr>
      <w:tr>
        <w:trPr>
          <w:cantSplit/>
        </w:trPr>
        <w:tc>
          <w:tcPr>
            <w:tcW w:type="dxa" w:w="3456"/>
            <w:vAlign w:val="top"/>
          </w:tcPr>
          <w:p>
            <w:pPr>
              <w:spacing w:after="40" w:before="0" w:line="259" w:lineRule="auto"/>
            </w:pPr>
            <w:r>
              <w:rPr>
                <w:rFonts w:ascii="Calibri" w:hAnsi="Calibri"/>
                <w:b/>
                <w:i w:val="0"/>
                <w:color w:val="212121"/>
                <w:sz w:val="19"/>
              </w:rPr>
              <w:t>Features of metabolic syndrome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Central obesity, raised BMI/waist and elevated blood pressure frequently accompany raised urate.</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Velvety neck/axillary pigmentation marking the insulin resistance that co-occurs with hyperuricemia.</w:t>
            </w:r>
          </w:p>
        </w:tc>
      </w:tr>
      <w:tr>
        <w:trPr>
          <w:cantSplit/>
        </w:trPr>
        <w:tc>
          <w:tcPr>
            <w:tcW w:type="dxa" w:w="3456"/>
            <w:vAlign w:val="top"/>
          </w:tcPr>
          <w:p>
            <w:pPr>
              <w:spacing w:after="40" w:before="0" w:line="259" w:lineRule="auto"/>
            </w:pPr>
            <w:r>
              <w:rPr>
                <w:rFonts w:ascii="Calibri" w:hAnsi="Calibri"/>
                <w:b/>
                <w:i w:val="0"/>
                <w:color w:val="212121"/>
                <w:sz w:val="19"/>
              </w:rPr>
              <w:t>Uric-acid crystals in urine sediment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Rhomboid urate crystals on microscopy, more likely with acidic urine and over-production.</w:t>
            </w:r>
          </w:p>
        </w:tc>
      </w:tr>
      <w:tr>
        <w:trPr>
          <w:cantSplit/>
        </w:trPr>
        <w:tc>
          <w:tcPr>
            <w:tcW w:type="dxa" w:w="3456"/>
            <w:vAlign w:val="top"/>
          </w:tcPr>
          <w:p>
            <w:pPr>
              <w:spacing w:after="40" w:before="0" w:line="259" w:lineRule="auto"/>
            </w:pPr>
            <w:r>
              <w:rPr>
                <w:rFonts w:ascii="Calibri" w:hAnsi="Calibri"/>
                <w:b/>
                <w:i w:val="0"/>
                <w:color w:val="212121"/>
                <w:sz w:val="19"/>
              </w:rPr>
              <w:t>Subclinical urate deposits on imaging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Double-contour sign on joint ultrasound or urate deposits on dual-energy CT before any clinical gout.</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Hyperuricemia independently predicts and accompanies hypertension.</w:t>
            </w:r>
          </w:p>
        </w:tc>
      </w:tr>
      <w:tr>
        <w:trPr>
          <w:cantSplit/>
        </w:trPr>
        <w:tc>
          <w:tcPr>
            <w:tcW w:type="dxa" w:w="3456"/>
            <w:vAlign w:val="top"/>
          </w:tcPr>
          <w:p>
            <w:pPr>
              <w:spacing w:after="40" w:before="0" w:line="259" w:lineRule="auto"/>
            </w:pPr>
            <w:r>
              <w:rPr>
                <w:rFonts w:ascii="Calibri" w:hAnsi="Calibri"/>
                <w:b/>
                <w:i w:val="0"/>
                <w:color w:val="212121"/>
                <w:sz w:val="19"/>
              </w:rPr>
              <w:t>Tophus (if present)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palpable urate deposit means deposition disease is established and it is no longer asymptomatic.</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acute gouty arthritis (podagra / mono-arthritis)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Uric-acid nephrolithiasis (radiolucent kidney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Subclinical monosodium urate crystal deposition in joints/soft tissue</w:t>
            </w:r>
          </w:p>
        </w:tc>
        <w:tc>
          <w:tcPr>
            <w:tcW w:type="dxa" w:w="2980"/>
            <w:vAlign w:val="top"/>
          </w:tcPr>
          <w:p>
            <w:pPr>
              <w:spacing w:after="40" w:before="0" w:line="259" w:lineRule="auto"/>
            </w:pPr>
            <w:r>
              <w:rPr>
                <w:rFonts w:ascii="Calibri" w:hAnsi="Calibri"/>
                <w:b w:val="0"/>
                <w:i w:val="0"/>
                <w:color w:val="212121"/>
                <w:sz w:val="19"/>
              </w:rPr>
              <w:t>Direct consequences of urate supersaturation and crystal formation once the saturation threshold is exceeded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urate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Incident and worsened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Aggravated insulin resistance, type 2 diabetes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Dyslipidemia and non-alcoholic fatty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risk (coronary and cerebrovascular disease)</w:t>
            </w:r>
          </w:p>
        </w:tc>
        <w:tc>
          <w:tcPr>
            <w:tcW w:type="dxa" w:w="2980"/>
            <w:vAlign w:val="top"/>
          </w:tcPr>
          <w:p>
            <w:pPr>
              <w:spacing w:after="40" w:before="0" w:line="259" w:lineRule="auto"/>
            </w:pPr>
            <w:r>
              <w:rPr>
                <w:rFonts w:ascii="Calibri" w:hAnsi="Calibri"/>
                <w:b w:val="0"/>
                <w:i w:val="0"/>
                <w:color w:val="212121"/>
                <w:sz w:val="19"/>
              </w:rPr>
              <w:t>Result from sustained hyperuricemia acting together with, and amplifying, the clustered cardiometabolic risk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tophaceous gout with joint destruction and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Recurrent/obstructing urate stones and obstructive 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cardiovascular events (myocardial infarction, stroke) and related disability</w:t>
            </w:r>
          </w:p>
        </w:tc>
        <w:tc>
          <w:tcPr>
            <w:tcW w:type="dxa" w:w="2980"/>
            <w:vAlign w:val="top"/>
          </w:tcPr>
          <w:p>
            <w:pPr>
              <w:spacing w:after="40" w:before="0" w:line="259" w:lineRule="auto"/>
            </w:pPr>
            <w:r>
              <w:rPr>
                <w:rFonts w:ascii="Calibri" w:hAnsi="Calibri"/>
                <w:b w:val="0"/>
                <w:i w:val="0"/>
                <w:color w:val="212121"/>
                <w:sz w:val="19"/>
              </w:rPr>
              <w:t>Irreversible, disabling end-points of longstanding untreated hyperuricemia and its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Hyperuricemia is a core component and independent predictor; the two share insulin resistance.</w:t>
            </w:r>
          </w:p>
          <w:p>
            <w:pPr>
              <w:spacing w:after="40" w:before="0" w:line="259" w:lineRule="auto"/>
            </w:pPr>
            <w:r>
              <w:rPr>
                <w:rFonts w:ascii="Calibri" w:hAnsi="Calibri"/>
                <w:b/>
                <w:i w:val="0"/>
                <w:color w:val="212121"/>
                <w:sz w:val="19"/>
              </w:rPr>
              <w:t>Up to ~47%</w:t>
            </w:r>
          </w:p>
        </w:tc>
      </w:tr>
      <w:tr>
        <w:trPr>
          <w:cantSplit/>
        </w:trPr>
        <w:tc>
          <w:tcPr>
            <w:tcW w:type="dxa" w:w="2232"/>
            <w:vAlign w:val="top"/>
          </w:tcPr>
          <w:p>
            <w:pPr>
              <w:spacing w:after="40" w:before="0" w:line="259" w:lineRule="auto"/>
            </w:pPr>
            <w:r>
              <w:rPr>
                <w:rFonts w:ascii="Calibri" w:hAnsi="Calibri"/>
                <w:b/>
                <w:i w:val="0"/>
                <w:color w:val="212121"/>
                <w:sz w:val="19"/>
              </w:rPr>
              <w:t>Obesity / abdominal 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adiposity raises urate production and lowers excretion; urate rises across weight quartiles.</w:t>
            </w:r>
          </w:p>
          <w:p>
            <w:pPr>
              <w:spacing w:after="40" w:before="0" w:line="259" w:lineRule="auto"/>
            </w:pPr>
            <w:r>
              <w:rPr>
                <w:rFonts w:ascii="Calibri" w:hAnsi="Calibri"/>
                <w:b/>
                <w:i w:val="0"/>
                <w:color w:val="212121"/>
                <w:sz w:val="19"/>
              </w:rPr>
              <w:t>Up to ~45%</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Raised urate impairs vasodilation and activates RAAS, independently predicting new-onset high blood pressure.</w:t>
            </w:r>
          </w:p>
          <w:p>
            <w:pPr>
              <w:spacing w:after="40" w:before="0" w:line="259" w:lineRule="auto"/>
            </w:pPr>
            <w:r>
              <w:rPr>
                <w:rFonts w:ascii="Calibri" w:hAnsi="Calibri"/>
                <w:b/>
                <w:i w:val="0"/>
                <w:color w:val="212121"/>
                <w:sz w:val="19"/>
              </w:rPr>
              <w:t>~26-56%</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clearance and urate-driven renal injury; hyperuricemia roughly doubles new-onset CKD risk.</w:t>
            </w:r>
          </w:p>
          <w:p>
            <w:pPr>
              <w:spacing w:after="40" w:before="0" w:line="259" w:lineRule="auto"/>
            </w:pPr>
            <w:r>
              <w:rPr>
                <w:rFonts w:ascii="Calibri" w:hAnsi="Calibri"/>
                <w:b/>
                <w:i w:val="0"/>
                <w:color w:val="212121"/>
                <w:sz w:val="19"/>
              </w:rPr>
              <w:t>OR ~2.35</w:t>
            </w:r>
          </w:p>
        </w:tc>
      </w:tr>
      <w:tr>
        <w:trPr>
          <w:cantSplit/>
        </w:trPr>
        <w:tc>
          <w:tcPr>
            <w:tcW w:type="dxa" w:w="2232"/>
            <w:vAlign w:val="top"/>
          </w:tcPr>
          <w:p>
            <w:pPr>
              <w:spacing w:after="40" w:before="0" w:line="259" w:lineRule="auto"/>
            </w:pPr>
            <w:r>
              <w:rPr>
                <w:rFonts w:ascii="Calibri" w:hAnsi="Calibri"/>
                <w:b/>
                <w:i w:val="0"/>
                <w:color w:val="212121"/>
                <w:sz w:val="19"/>
              </w:rPr>
              <w:t>Type 2 diabetes / insulin resistance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Insulin resistance lowers urate excretion; urate predicts progression to diabetes.</w:t>
            </w:r>
          </w:p>
          <w:p>
            <w:pPr>
              <w:spacing w:after="40" w:before="0" w:line="259" w:lineRule="auto"/>
            </w:pPr>
            <w:r>
              <w:rPr>
                <w:rFonts w:ascii="Calibri" w:hAnsi="Calibri"/>
                <w:b/>
                <w:i w:val="0"/>
                <w:color w:val="212121"/>
                <w:sz w:val="19"/>
              </w:rPr>
              <w:t>~12% in new-onset diabetics</w:t>
            </w:r>
          </w:p>
        </w:tc>
      </w:tr>
      <w:tr>
        <w:trPr>
          <w:cantSplit/>
        </w:trPr>
        <w:tc>
          <w:tcPr>
            <w:tcW w:type="dxa" w:w="2232"/>
            <w:vAlign w:val="top"/>
          </w:tcPr>
          <w:p>
            <w:pPr>
              <w:spacing w:after="40" w:before="0" w:line="259" w:lineRule="auto"/>
            </w:pPr>
            <w:r>
              <w:rPr>
                <w:rFonts w:ascii="Calibri" w:hAnsi="Calibri"/>
                <w:b/>
                <w:i w:val="0"/>
                <w:color w:val="212121"/>
                <w:sz w:val="19"/>
              </w:rPr>
              <w:t>Dyslipidemia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triglycerides and low HDL co-travel with raised urate in the metabolic cluster.</w:t>
            </w:r>
          </w:p>
          <w:p>
            <w:pPr>
              <w:spacing w:after="40" w:before="0" w:line="259" w:lineRule="auto"/>
            </w:pPr>
            <w:r>
              <w:rPr>
                <w:rFonts w:ascii="Calibri" w:hAnsi="Calibri"/>
                <w:b/>
                <w:i w:val="0"/>
                <w:color w:val="212121"/>
                <w:sz w:val="19"/>
              </w:rPr>
              <w:t>Up to ~81% (national)</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Hepatic steatosis shares the insulin-resistant, over-nutrition background of hyperuricemia.</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Hyperuricemia is associated with higher coronary and cerebrovascular risk, partly via hypertension and metabolic syndrome.</w:t>
            </w:r>
          </w:p>
        </w:tc>
      </w:tr>
      <w:tr>
        <w:trPr>
          <w:cantSplit/>
        </w:trPr>
        <w:tc>
          <w:tcPr>
            <w:tcW w:type="dxa" w:w="2232"/>
            <w:vAlign w:val="top"/>
          </w:tcPr>
          <w:p>
            <w:pPr>
              <w:spacing w:after="40" w:before="0" w:line="259" w:lineRule="auto"/>
            </w:pPr>
            <w:r>
              <w:rPr>
                <w:rFonts w:ascii="Calibri" w:hAnsi="Calibri"/>
                <w:b/>
                <w:i w:val="0"/>
                <w:color w:val="212121"/>
                <w:sz w:val="19"/>
              </w:rPr>
              <w:t>Gout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Asymptomatic hyperuricemia is the obligatory precursor; about 15% eventually develop clinical gout.</w:t>
            </w:r>
          </w:p>
          <w:p>
            <w:pPr>
              <w:spacing w:after="40" w:before="0" w:line="259" w:lineRule="auto"/>
            </w:pPr>
            <w:r>
              <w:rPr>
                <w:rFonts w:ascii="Calibri" w:hAnsi="Calibri"/>
                <w:b/>
                <w:i w:val="0"/>
                <w:color w:val="212121"/>
                <w:sz w:val="19"/>
              </w:rPr>
              <w:t>~15% progress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a high uric acid without gout is a warning sign of metabolic risk, not a disease needing lifelong medication in most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recognition of a first gout flare (sudden red, hot, painful joint - often the big toe) and of renal colic, and to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weight, waist, blood pressure, sugar and lipid control as the main levers, since raised urate rarely occurs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India-specific dietary drivers: sugary drinks, packaged juices, sweets, organ meats and beer/country liquor.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periodic monitoring of serum urate, kidney function, glucose, lipids and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against crash diets, prolonged fasting, dehydration and sudden purine feasts, which can precipitate a flare.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raised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Affluent 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history of gout</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such as brisk walking, cycling or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gradual 5-10% weight loss in overweight/obese individuals, focusing on central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preserve muscle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during exercise and avoid extreme, dehydrating anaerobic bouts that can transiently spike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with short activity breaks through the day.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sugar-sweetened beverages, packaged fruit juices and sweets - fructose directly raises uric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high-purine foods: organ meats (liver, kidney, brain), red meat and shellfish/seafood.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DASH-style, vegetable- and fibre-rich diet with whole grains and millets (ragi, jowar, bajra).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low-fat dairy, which is associated with lower urate and gout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whole fruits in moderation and prefer water over sweetened drinks; adequate vitamin-C-rich foods may modestly lower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protein across meals and avoid large purine feasts.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High-SSB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Non-vegetarian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Affluent 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Prediabetic/metabolic syndrome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beer and country liquor, which carry the highest urate and gout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spirits; if any alcohol is taken, small amounts of wine carry the least urate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alcohol-free days each week and avoid binge drinking, a common flare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when drinking to offset urate-retaining effects.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high urate or family history of gout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snorers and 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to support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cardiovascular and kidney risk that compound hyperuricemia.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counselling and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and 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CKD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which can drive unhealthy diet, alcohol use and inactivity.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depression, which clusters with metabolic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relaxation, physical activity and social support as part of overall cardiometabolic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comorbid depression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Water</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at least 2-2.5 litres of fluid daily (mainly water) to increase urate excretion and dilute the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fluids further in hot weather, during exercise and for known stone-formers.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alkalinising the urine (under medical advice) if uric-acid stones or persistently acidic urine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Uric-acid stone-formers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Over-producers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hot climates / manual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those who progress or have very high urate, combine strict dietary change with clinician-guided urate-lowering therapy targeting serum urate &lt; 6.0 mg/dL.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and, where possible, substitute urate-raising drugs (thiazide/loop diuretics, low-dose aspirin, niacin).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 weight loss and the DASH-style, low-SSB, low-purine pattern long term.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management of coexisting hypertension, diabetes, dyslipidemia and CKD.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Progressing to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Very high serum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Urate stone-formers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 hypertensive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sjonline.org/index.php/ijrms/article/download/7690/5464/30116" TargetMode="External"/><Relationship Id="rId10" Type="http://schemas.openxmlformats.org/officeDocument/2006/relationships/hyperlink" Target="https://www.ncbi.nlm.nih.gov/books/NBK459218/" TargetMode="External"/><Relationship Id="rId11" Type="http://schemas.openxmlformats.org/officeDocument/2006/relationships/hyperlink" Target="https://www.news-medical.net/news/20240423/Survey-unveils-Indias-rising-tide-of-metabolic-diseases.aspx" TargetMode="External"/><Relationship Id="rId12" Type="http://schemas.openxmlformats.org/officeDocument/2006/relationships/hyperlink" Target="https://njcmindia.com/index.php/file/article/view/3381" TargetMode="External"/><Relationship Id="rId13" Type="http://schemas.openxmlformats.org/officeDocument/2006/relationships/hyperlink" Target="https://www.dovepress.com/prevalence-of-obesity-in-newly-onset-diabetes-mellitus-and-its-relatio-peer-reviewed-fulltext-article-IJGM" TargetMode="External"/><Relationship Id="rId14" Type="http://schemas.openxmlformats.org/officeDocument/2006/relationships/hyperlink" Target="https://pubmed.ncbi.nlm.nih.gov/15094272/" TargetMode="External"/><Relationship Id="rId15" Type="http://schemas.openxmlformats.org/officeDocument/2006/relationships/hyperlink" Target="https://www.frontiersin.org/journals/nutrition/articles/10.3389/fnut.2025.1669129/full" TargetMode="External"/><Relationship Id="rId16" Type="http://schemas.openxmlformats.org/officeDocument/2006/relationships/hyperlink" Target="https://pubmed.ncbi.nlm.nih.gov/32539677/" TargetMode="External"/><Relationship Id="rId17" Type="http://schemas.openxmlformats.org/officeDocument/2006/relationships/hyperlink" Target="https://bmcnephrol.biomedcentral.com/articles/10.1186/1471-2369-15-122" TargetMode="External"/><Relationship Id="rId18" Type="http://schemas.openxmlformats.org/officeDocument/2006/relationships/hyperlink" Target="https://pmc.ncbi.nlm.nih.gov/articles/PMC9206514/" TargetMode="External"/><Relationship Id="rId19" Type="http://schemas.openxmlformats.org/officeDocument/2006/relationships/hyperlink" Target="https://pubmed.ncbi.nlm.nih.gov/17530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