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Transient Ischemic Attack</w:t>
      </w:r>
    </w:p>
    <w:p>
      <w:pPr>
        <w:spacing w:before="0" w:after="160"/>
      </w:pPr>
      <w:r>
        <w:rPr>
          <w:rFonts w:ascii="Calibri" w:hAnsi="Calibri"/>
          <w:b/>
          <w:i w:val="0"/>
          <w:color w:val="212121"/>
          <w:sz w:val="22"/>
        </w:rPr>
        <w:t xml:space="preserve">AKA </w:t>
      </w:r>
      <w:r>
        <w:rPr>
          <w:rFonts w:ascii="Calibri" w:hAnsi="Calibri"/>
          <w:b w:val="0"/>
          <w:i w:val="0"/>
          <w:color w:val="212121"/>
          <w:sz w:val="22"/>
        </w:rPr>
        <w:t>i.e., Mini-stroke, Mini stroke, Warning stroke, Transient cerebral ischemia, TIA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transient ischemic attack (TIA) is a brief episode of focal neurological dysfunction caused by temporary interruption of blood supply to the brain, spinal cord or retina, without acute infarction on imaging. Symptoms develop suddenly, are typically maximal at onset, and resolve completely, usually within minutes to under an hour. Although the deficit is fleeting, a TIA is a medical emergency and a warning sign that heralds a high short-term risk of a disabling ischemic stroke, especially within the first 48 hours.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TIA is under-recognised in India even as cerebrovascular disease rises sharply. Stroke incidence increased from about 76 to 88 per 100,000 population between 1990 and 2021, and ischemic events, which TIA forewarns, make up roughly 70-80% of all strokes. The global pooled prevalence of TIA is about 1.95% of adults, rising above 5% after age 65. Indians tend to present nearly 15 years younger (mean stroke age ~58 years) than Western populations, so TIA in midlife is common and frequently missed.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TIA is now defined on a tissue basis (transient symptoms with NO acute infarct on imaging) rather than purely on symptom duration. Diagnosis and urgent risk-stratification rest 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Sudden focal neurological deficit of vascular origin (e.g., unilateral weakness, dysphasia, monocular visual loss) that resolves completely, typically within minutes to under 1 hour;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acute infarction on neuroimaging (tissue-based definition); diffusion-weighted MRI within 24 hours is the most sensitive test to separate true TIA from minor ischemic stroke;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Non-contrast CT head to exclude haemorrhage and mimics, with CT/MR angiography (CTA/MRA) or carotid Doppler to identify large-artery (carotid/vertebrobasilar) stenosis;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12-lead ECG plus prolonged cardiac monitoring (Holter or extended telemetry) to detect paroxysmal atrial fibrillation, and echocardiography to seek a cardioembolic source;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Risk stratification with the ABCD2 score (Age &gt;60, Blood pressure &gt;=140/90, Clinical features, Duration, Diabetes) to gauge early stroke risk and triage urgency; a score &gt;=4 warrants admission;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TIA mimics: hypoglycaemia, seizure with Todd paresis, migraine with aura, syncope, and functional or demyelinating disorders, which account for nearly half of suspected cases.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TIA is classified by the underlying mechanism (mirroring the TOAST ischemic-stroke subtypes), which determines the workup and secondary-prevention strategy:</w:t>
      </w:r>
    </w:p>
    <w:p>
      <w:pPr>
        <w:spacing w:before="0" w:after="80"/>
      </w:pPr>
      <w:r>
        <w:rPr>
          <w:rFonts w:ascii="Calibri" w:hAnsi="Calibri"/>
          <w:b w:val="0"/>
          <w:i w:val="0"/>
          <w:color w:val="212121"/>
          <w:sz w:val="21"/>
        </w:rPr>
        <w:t>(1) Large-artery atherosclerosis: atherothrombotic or artery-to-artery embolic disease of the carotid or vertebrobasilar vessels, often signalled by amaurosis fugax or a carotid bruit;</w:t>
      </w:r>
    </w:p>
    <w:p>
      <w:pPr>
        <w:spacing w:before="0" w:after="80"/>
      </w:pPr>
      <w:r>
        <w:rPr>
          <w:rFonts w:ascii="Calibri" w:hAnsi="Calibri"/>
          <w:b w:val="0"/>
          <w:i w:val="0"/>
          <w:color w:val="212121"/>
          <w:sz w:val="21"/>
        </w:rPr>
        <w:t>(2) Cardioembolic TIA: most commonly from atrial fibrillation, but also rheumatic/valvular heart disease (still important in India), recent myocardial infarction, or prosthetic valves;</w:t>
      </w:r>
    </w:p>
    <w:p>
      <w:pPr>
        <w:spacing w:before="0" w:after="80"/>
      </w:pPr>
      <w:r>
        <w:rPr>
          <w:rFonts w:ascii="Calibri" w:hAnsi="Calibri"/>
          <w:b w:val="0"/>
          <w:i w:val="0"/>
          <w:color w:val="212121"/>
          <w:sz w:val="21"/>
        </w:rPr>
        <w:t>(3) Small-vessel (lacunar) TIA: due to lipohyalinosis of penetrating arterioles, strongly linked to chronic hypertension and diabetes;</w:t>
      </w:r>
    </w:p>
    <w:p>
      <w:pPr>
        <w:spacing w:before="0" w:after="80"/>
      </w:pPr>
      <w:r>
        <w:rPr>
          <w:rFonts w:ascii="Calibri" w:hAnsi="Calibri"/>
          <w:b w:val="0"/>
          <w:i w:val="0"/>
          <w:color w:val="212121"/>
          <w:sz w:val="21"/>
        </w:rPr>
        <w:t>(4) TIA of other or undetermined aetiology: including arterial dissection (a leading cause in young Indians), vasculitis, and hypercoagulable states, plus cryptogenic/embolic stroke of undetermined source (ESUS);</w:t>
      </w:r>
    </w:p>
    <w:p>
      <w:pPr>
        <w:spacing w:before="0" w:after="80"/>
      </w:pPr>
      <w:r>
        <w:rPr>
          <w:rFonts w:ascii="Calibri" w:hAnsi="Calibri"/>
          <w:b w:val="0"/>
          <w:i w:val="0"/>
          <w:color w:val="212121"/>
          <w:sz w:val="21"/>
        </w:rPr>
        <w:t>By vascular territory it is further described as anterior (carotid) or posterior (vertebrobasilar) circulation; repeated stereotyped attacks in short succession are termed crescendo TIA and carry a very high stroke risk.</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Atherosclerosis: Atheromatous plaque in the carotid, vertebral or intracranial arteries causes stenosis and artery-to-artery emboli; the dominant substrate of TIA.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Cardioembolism: Atrial fibrillation and valvular/rheumatic heart disease dislodge thrombi that transiently occlude cerebral vessels.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Hypertension: Chronic high blood pressure damages small penetrating arterioles (lipohyalinosis) and accelerates large-vessel atherosclerosis; the single strongest modifiable risk factor.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Diabetes and dysglycaemia: Endothelial injury and accelerated atherosclerosis raise ischemic risk and worsen outcomes.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Dyslipidaemia: High LDL/apolipoprotein B and low HDL promote plaque formation and instability.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Prothrombotic and haematological states: Polycythaemia, thrombophilias and hyperhomocysteinaemia, and in the young, arterial dissection or vasculitis.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Lifestyle exposures: Tobacco (including smokeless), physical inactivity, harmful alcohol use and diets high in salt and saturated fat compound vascular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(midlife, 35-55)</w:t>
            </w:r>
          </w:p>
        </w:tc>
        <w:tc>
          <w:tcPr>
            <w:tcW w:type="dxa" w:w="4276"/>
            <w:vAlign w:val="top"/>
          </w:tcPr>
          <w:p>
            <w:pPr>
              <w:spacing w:after="60" w:line="259" w:lineRule="auto"/>
            </w:pPr>
            <w:r>
              <w:rPr>
                <w:rFonts w:ascii="Calibri" w:hAnsi="Calibri"/>
                <w:b w:val="0"/>
                <w:i w:val="0"/>
                <w:color w:val="212121"/>
                <w:sz w:val="19"/>
              </w:rPr>
              <w:t>Cerebrovascular risk climbs from midlife as cumulative hypertension, dysglycaemia and atherosclerosis develop; Indians experience cerebrovascular events markedly earlier than Western populations, so warning TIAs appear in working-age adults.</w:t>
            </w:r>
          </w:p>
          <w:p>
            <w:pPr>
              <w:spacing w:after="40" w:before="60" w:line="259" w:lineRule="auto"/>
            </w:pPr>
            <w:r>
              <w:rPr>
                <w:rFonts w:ascii="Calibri" w:hAnsi="Calibri"/>
                <w:b w:val="0"/>
                <w:i w:val="0"/>
                <w:color w:val="212121"/>
                <w:sz w:val="19"/>
              </w:rPr>
              <w:t>Mean age of stroke in India is ~58.3 years, about 15 years younger than in high-income countries, and nearly one-fifth of hospitalised stroke patients are under 40.</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#tia  #ministroke  #prematureatherosclerosis  #midliferisk  #youngstroke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(&gt;65)</w:t>
            </w:r>
          </w:p>
        </w:tc>
        <w:tc>
          <w:tcPr>
            <w:tcW w:type="dxa" w:w="4276"/>
            <w:vAlign w:val="top"/>
          </w:tcPr>
          <w:p>
            <w:pPr>
              <w:spacing w:after="60" w:line="259" w:lineRule="auto"/>
            </w:pPr>
            <w:r>
              <w:rPr>
                <w:rFonts w:ascii="Calibri" w:hAnsi="Calibri"/>
                <w:b w:val="0"/>
                <w:i w:val="0"/>
                <w:color w:val="212121"/>
                <w:sz w:val="19"/>
              </w:rPr>
              <w:t>Advancing age brings stiff, atherosclerotic vessels, higher atrial fibrillation prevalence and reduced cerebrovascular reserve, sharply raising TIA and stroke risk.</w:t>
            </w:r>
          </w:p>
          <w:p>
            <w:pPr>
              <w:spacing w:after="40" w:before="60" w:line="259" w:lineRule="auto"/>
            </w:pPr>
            <w:r>
              <w:rPr>
                <w:rFonts w:ascii="Calibri" w:hAnsi="Calibri"/>
                <w:b w:val="0"/>
                <w:i w:val="0"/>
                <w:color w:val="212121"/>
                <w:sz w:val="19"/>
              </w:rPr>
              <w:t>Pooled TIA prevalence rises to 5.13% in people over 65, and TIA incidence exceeds 300 per 100,000 person-years in the very old.</w:t>
            </w:r>
          </w:p>
          <w:p>
            <w:pPr>
              <w:spacing w:after="40" w:line="252" w:lineRule="auto"/>
            </w:pPr>
            <w:hyperlink r:id="rId10">
              <w:r>
                <w:rPr>
                  <w:rFonts w:ascii="Calibri" w:hAnsi="Calibri" w:cs="Calibri"/>
                  <w:sz w:val="18"/>
                  <w:color w:val="1155CC"/>
                  <w:u w:val="single"/>
                </w:rPr>
                <w:t xml:space="preserve">link.springer.com — TIA prevalence &amp; incidence meta-analysis</w:t>
              </w:r>
            </w:hyperlink>
          </w:p>
          <w:p>
            <w:pPr>
              <w:spacing w:before="60" w:after="40"/>
            </w:pPr>
            <w:r>
              <w:rPr>
                <w:rFonts w:ascii="Calibri" w:hAnsi="Calibri"/>
                <w:b w:val="0"/>
                <w:i w:val="0"/>
                <w:color w:val="5A5A5A"/>
                <w:sz w:val="18"/>
              </w:rPr>
              <w:t>#ageing  #atrialfibrillation  #vascularreserve  #elderly  #cardioembolism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develop atherosclerotic and cerebrovascular disease earlier, partly from higher smoking and alcohol use and greater central adiposity affecting vascular health.</w:t>
            </w:r>
          </w:p>
          <w:p>
            <w:pPr>
              <w:spacing w:after="40" w:before="60" w:line="259" w:lineRule="auto"/>
            </w:pPr>
            <w:r>
              <w:rPr>
                <w:rFonts w:ascii="Calibri" w:hAnsi="Calibri"/>
                <w:b w:val="0"/>
                <w:i w:val="0"/>
                <w:color w:val="212121"/>
                <w:sz w:val="19"/>
              </w:rPr>
              <w:t>Indian stroke registries show a male predominance, with roughly 67% of hospitalised stroke cases occurring in men.</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#male  #visceralfat  #smoking  #alcohol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populations</w:t>
            </w:r>
          </w:p>
        </w:tc>
        <w:tc>
          <w:tcPr>
            <w:tcW w:type="dxa" w:w="4276"/>
            <w:vAlign w:val="top"/>
          </w:tcPr>
          <w:p>
            <w:pPr>
              <w:spacing w:after="60" w:line="259" w:lineRule="auto"/>
            </w:pPr>
            <w:r>
              <w:rPr>
                <w:rFonts w:ascii="Calibri" w:hAnsi="Calibri"/>
                <w:b w:val="0"/>
                <w:i w:val="0"/>
                <w:color w:val="212121"/>
                <w:sz w:val="19"/>
              </w:rPr>
              <w:t>Low awareness, delayed presentation, undertreated hypertension and poor access to imaging mean transient warning symptoms are missed, allowing progression to disabling stroke.</w:t>
            </w:r>
          </w:p>
          <w:p>
            <w:pPr>
              <w:spacing w:after="40" w:before="60" w:line="259" w:lineRule="auto"/>
            </w:pPr>
            <w:r>
              <w:rPr>
                <w:rFonts w:ascii="Calibri" w:hAnsi="Calibri"/>
                <w:b w:val="0"/>
                <w:i w:val="0"/>
                <w:color w:val="212121"/>
                <w:sz w:val="19"/>
              </w:rPr>
              <w:t>Rural West Bengal stroke incidence reaches ~124 per 100,000, and India bears about 13% of the world's stroke-related disability-adjusted life years.</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#healthaccess  #ruralhealth  #awarenessgap  #delayedcare  #dalys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(Indian)</w:t>
            </w:r>
          </w:p>
        </w:tc>
        <w:tc>
          <w:tcPr>
            <w:tcW w:type="dxa" w:w="4276"/>
            <w:vAlign w:val="top"/>
          </w:tcPr>
          <w:p>
            <w:pPr>
              <w:spacing w:after="60" w:line="259" w:lineRule="auto"/>
            </w:pPr>
            <w:r>
              <w:rPr>
                <w:rFonts w:ascii="Calibri" w:hAnsi="Calibri"/>
                <w:b w:val="0"/>
                <w:i w:val="0"/>
                <w:color w:val="212121"/>
                <w:sz w:val="19"/>
              </w:rPr>
              <w:t>South Asians carry a high burden of hypertension, diabetes and premature atherosclerosis, with a predisposition to central obesity and insulin resistance that accelerates cerebrovascular disease.</w:t>
            </w:r>
          </w:p>
          <w:p>
            <w:pPr>
              <w:spacing w:after="40" w:before="60" w:line="259" w:lineRule="auto"/>
            </w:pPr>
            <w:r>
              <w:rPr>
                <w:rFonts w:ascii="Calibri" w:hAnsi="Calibri"/>
                <w:b w:val="0"/>
                <w:i w:val="0"/>
                <w:color w:val="212121"/>
                <w:sz w:val="19"/>
              </w:rPr>
              <w:t>Hypertension (60.8%) and diabetes (35.7%) are the commonest risk factors among Indian stroke patients.</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#southasian  #insulinresistance  #centralobesity  #hypertension  #diabetes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Eastern &amp; North-Eastern India</w:t>
            </w:r>
          </w:p>
        </w:tc>
        <w:tc>
          <w:tcPr>
            <w:tcW w:type="dxa" w:w="4276"/>
            <w:vAlign w:val="top"/>
          </w:tcPr>
          <w:p>
            <w:pPr>
              <w:spacing w:after="60" w:line="259" w:lineRule="auto"/>
            </w:pPr>
            <w:r>
              <w:rPr>
                <w:rFonts w:ascii="Calibri" w:hAnsi="Calibri"/>
                <w:b w:val="0"/>
                <w:i w:val="0"/>
                <w:color w:val="212121"/>
                <w:sz w:val="19"/>
              </w:rPr>
              <w:t>India's 'stroke belt' states carry the heaviest cerebrovascular burden, driven by high blood pressure, tobacco including smokeless forms, and high-sodium diets.</w:t>
            </w:r>
          </w:p>
          <w:p>
            <w:pPr>
              <w:spacing w:after="40" w:before="60" w:line="259" w:lineRule="auto"/>
            </w:pPr>
            <w:r>
              <w:rPr>
                <w:rFonts w:ascii="Calibri" w:hAnsi="Calibri"/>
                <w:b w:val="0"/>
                <w:i w:val="0"/>
                <w:color w:val="212121"/>
                <w:sz w:val="19"/>
              </w:rPr>
              <w:t>West Bengal, Assam, Odisha and Chhattisgarh report the highest stroke burden; high systolic blood pressure contributes about 56% of stroke deaths nationally.</w:t>
            </w:r>
          </w:p>
          <w:p>
            <w:pPr>
              <w:spacing w:after="40" w:line="252" w:lineRule="auto"/>
            </w:pPr>
            <w:hyperlink r:id="rId11">
              <w:r>
                <w:rPr>
                  <w:rFonts w:ascii="Calibri" w:hAnsi="Calibri" w:cs="Calibri"/>
                  <w:sz w:val="18"/>
                  <w:color w:val="1155CC"/>
                  <w:u w:val="single"/>
                </w:rPr>
                <w:t xml:space="preserve">nature.com — GBD stroke burden in India</w:t>
              </w:r>
            </w:hyperlink>
          </w:p>
          <w:p>
            <w:pPr>
              <w:spacing w:before="60" w:after="40"/>
            </w:pPr>
            <w:r>
              <w:rPr>
                <w:rFonts w:ascii="Calibri" w:hAnsi="Calibri"/>
                <w:b w:val="0"/>
                <w:i w:val="0"/>
                <w:color w:val="5A5A5A"/>
                <w:sz w:val="18"/>
              </w:rPr>
              <w:t>#strokebelt  #westbengal  #highsodium  #smokelesstobacco  #regionalburden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urban homemakers, elderly adults</w:t>
            </w:r>
          </w:p>
        </w:tc>
        <w:tc>
          <w:tcPr>
            <w:tcW w:type="dxa" w:w="4276"/>
            <w:vAlign w:val="top"/>
          </w:tcPr>
          <w:p>
            <w:pPr>
              <w:spacing w:after="60" w:line="259" w:lineRule="auto"/>
            </w:pPr>
            <w:r>
              <w:rPr>
                <w:rFonts w:ascii="Calibri" w:hAnsi="Calibri"/>
                <w:b w:val="0"/>
                <w:i w:val="0"/>
                <w:color w:val="212121"/>
                <w:sz w:val="19"/>
              </w:rPr>
              <w:t>Physical inactivity promotes hypertension, obesity, dysglycaemia and atherogenic lipids, all upstream drivers of cerebral ischaemia and TIA.</w:t>
            </w:r>
          </w:p>
          <w:p>
            <w:pPr>
              <w:spacing w:after="40" w:before="60" w:line="259" w:lineRule="auto"/>
            </w:pPr>
            <w:r>
              <w:rPr>
                <w:rFonts w:ascii="Calibri" w:hAnsi="Calibri"/>
                <w:b w:val="0"/>
                <w:i w:val="0"/>
                <w:color w:val="212121"/>
                <w:sz w:val="19"/>
              </w:rPr>
              <w:t>Physical inactivity carries a population-attributable risk of ~35.8% for stroke in the global INTERSTROKE study, second only to hypertension.</w:t>
            </w:r>
          </w:p>
          <w:p>
            <w:pPr>
              <w:spacing w:after="40" w:line="252" w:lineRule="auto"/>
            </w:pPr>
            <w:hyperlink r:id="rId12">
              <w:r>
                <w:rPr>
                  <w:rFonts w:ascii="Calibri" w:hAnsi="Calibri" w:cs="Calibri"/>
                  <w:sz w:val="18"/>
                  <w:color w:val="1155CC"/>
                  <w:u w:val="single"/>
                </w:rPr>
                <w:t xml:space="preserve">eurekalert.org — INTERSTROKE modifiable risk factors</w:t>
              </w:r>
            </w:hyperlink>
          </w:p>
          <w:p>
            <w:pPr>
              <w:spacing w:before="60" w:after="40"/>
            </w:pPr>
            <w:r>
              <w:rPr>
                <w:rFonts w:ascii="Calibri" w:hAnsi="Calibri"/>
                <w:b w:val="0"/>
                <w:i w:val="0"/>
                <w:color w:val="5A5A5A"/>
                <w:sz w:val="18"/>
              </w:rPr>
              <w:t>#sedentary  #physicalinactivity  #screenbound  #urbanlifestyle  #metabolicrisk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 &amp; smokeless-tobacco users</w:t>
            </w:r>
          </w:p>
        </w:tc>
        <w:tc>
          <w:tcPr>
            <w:tcW w:type="dxa" w:w="4276"/>
            <w:vAlign w:val="top"/>
          </w:tcPr>
          <w:p>
            <w:pPr>
              <w:spacing w:after="60" w:line="259" w:lineRule="auto"/>
            </w:pPr>
            <w:r>
              <w:rPr>
                <w:rFonts w:ascii="Calibri" w:hAnsi="Calibri"/>
                <w:b w:val="0"/>
                <w:i w:val="0"/>
                <w:color w:val="212121"/>
                <w:sz w:val="19"/>
              </w:rPr>
              <w:t>Tobacco accelerates atherosclerosis, raises blood pressure, promotes thrombosis and impairs endothelial function; smokeless tobacco is highly prevalent across India.</w:t>
            </w:r>
          </w:p>
          <w:p>
            <w:pPr>
              <w:spacing w:after="40" w:before="60" w:line="259" w:lineRule="auto"/>
            </w:pPr>
            <w:r>
              <w:rPr>
                <w:rFonts w:ascii="Calibri" w:hAnsi="Calibri"/>
                <w:b w:val="0"/>
                <w:i w:val="0"/>
                <w:color w:val="212121"/>
                <w:sz w:val="19"/>
              </w:rPr>
              <w:t>Smoking is present in about 32% of Indian stroke patients and contributes roughly 12% of stroke deaths nationally.</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#smoking  #tobacco  #gutkha  #endothelialdysfunction  #thrombosis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&amp; binge drinkers</w:t>
            </w:r>
          </w:p>
        </w:tc>
        <w:tc>
          <w:tcPr>
            <w:tcW w:type="dxa" w:w="4276"/>
            <w:vAlign w:val="top"/>
          </w:tcPr>
          <w:p>
            <w:pPr>
              <w:spacing w:after="60" w:line="259" w:lineRule="auto"/>
            </w:pPr>
            <w:r>
              <w:rPr>
                <w:rFonts w:ascii="Calibri" w:hAnsi="Calibri"/>
                <w:b w:val="0"/>
                <w:i w:val="0"/>
                <w:color w:val="212121"/>
                <w:sz w:val="19"/>
              </w:rPr>
              <w:t>Heavy and binge drinking raise blood pressure, provoke atrial fibrillation ('holiday heart') and cardioembolism, and increase both ischemic and haemorrhagic events.</w:t>
            </w:r>
          </w:p>
          <w:p>
            <w:pPr>
              <w:spacing w:after="40" w:before="60" w:line="259" w:lineRule="auto"/>
            </w:pPr>
            <w:r>
              <w:rPr>
                <w:rFonts w:ascii="Calibri" w:hAnsi="Calibri"/>
                <w:b w:val="0"/>
                <w:i w:val="0"/>
                <w:color w:val="212121"/>
                <w:sz w:val="19"/>
              </w:rPr>
              <w:t>Harmful alcohol use carries about 5.8% population-attributable risk for stroke in the INTERSTROKE study.</w:t>
            </w:r>
          </w:p>
          <w:p>
            <w:pPr>
              <w:spacing w:after="40" w:line="252" w:lineRule="auto"/>
            </w:pPr>
            <w:hyperlink r:id="rId12">
              <w:r>
                <w:rPr>
                  <w:rFonts w:ascii="Calibri" w:hAnsi="Calibri" w:cs="Calibri"/>
                  <w:sz w:val="18"/>
                  <w:color w:val="1155CC"/>
                  <w:u w:val="single"/>
                </w:rPr>
                <w:t xml:space="preserve">eurekalert.org — INTERSTROKE modifiable risk factors</w:t>
              </w:r>
            </w:hyperlink>
          </w:p>
          <w:p>
            <w:pPr>
              <w:spacing w:before="60" w:after="40"/>
            </w:pPr>
            <w:r>
              <w:rPr>
                <w:rFonts w:ascii="Calibri" w:hAnsi="Calibri"/>
                <w:b w:val="0"/>
                <w:i w:val="0"/>
                <w:color w:val="5A5A5A"/>
                <w:sz w:val="18"/>
              </w:rPr>
              <w:t>#alcohol  #bingedrinking  #holidayheart  #atrialfibrillation  #bloodpressure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Adults with BMI 23-27.5 (Asian cut-offs)</w:t>
            </w:r>
          </w:p>
        </w:tc>
        <w:tc>
          <w:tcPr>
            <w:tcW w:type="dxa" w:w="4276"/>
            <w:vAlign w:val="top"/>
          </w:tcPr>
          <w:p>
            <w:pPr>
              <w:spacing w:after="60" w:line="259" w:lineRule="auto"/>
            </w:pPr>
            <w:r>
              <w:rPr>
                <w:rFonts w:ascii="Calibri" w:hAnsi="Calibri"/>
                <w:b w:val="0"/>
                <w:i w:val="0"/>
                <w:color w:val="212121"/>
                <w:sz w:val="19"/>
              </w:rPr>
              <w:t>Excess weight drives hypertension, insulin resistance and dyslipidaemia; South Asians accrue cardiometabolic and cerebrovascular risk at lower BMI thresholds.</w:t>
            </w:r>
          </w:p>
          <w:p>
            <w:pPr>
              <w:spacing w:after="40" w:before="60" w:line="259" w:lineRule="auto"/>
            </w:pPr>
            <w:r>
              <w:rPr>
                <w:rFonts w:ascii="Calibri" w:hAnsi="Calibri"/>
                <w:b w:val="0"/>
                <w:i w:val="0"/>
                <w:color w:val="212121"/>
                <w:sz w:val="19"/>
              </w:rPr>
              <w:t>The mean BMI of Indian stroke patients is ~25.8 kg/m2, within the overweight range on Asian criteria.</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#overweight  #asianbmi  #insulinresistance  #dyslipidaemia  #cardiometabolic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Adults with central/abdominal obesity</w:t>
            </w:r>
          </w:p>
        </w:tc>
        <w:tc>
          <w:tcPr>
            <w:tcW w:type="dxa" w:w="4276"/>
            <w:vAlign w:val="top"/>
          </w:tcPr>
          <w:p>
            <w:pPr>
              <w:spacing w:after="60" w:line="259" w:lineRule="auto"/>
            </w:pPr>
            <w:r>
              <w:rPr>
                <w:rFonts w:ascii="Calibri" w:hAnsi="Calibri"/>
                <w:b w:val="0"/>
                <w:i w:val="0"/>
                <w:color w:val="212121"/>
                <w:sz w:val="19"/>
              </w:rPr>
              <w:t>Visceral adiposity is strongly atherogenic and pro-thrombotic, and clusters with hypertension, dysglycaemia and obstructive sleep apnoea to raise TIA risk.</w:t>
            </w:r>
          </w:p>
          <w:p>
            <w:pPr>
              <w:spacing w:after="40" w:before="60" w:line="259" w:lineRule="auto"/>
            </w:pPr>
            <w:r>
              <w:rPr>
                <w:rFonts w:ascii="Calibri" w:hAnsi="Calibri"/>
                <w:b w:val="0"/>
                <w:i w:val="0"/>
                <w:color w:val="212121"/>
                <w:sz w:val="19"/>
              </w:rPr>
              <w:t>Obesity carries about 18.6% population-attributable risk for stroke in the INTERSTROKE study.</w:t>
            </w:r>
          </w:p>
          <w:p>
            <w:pPr>
              <w:spacing w:after="40" w:line="252" w:lineRule="auto"/>
            </w:pPr>
            <w:hyperlink r:id="rId12">
              <w:r>
                <w:rPr>
                  <w:rFonts w:ascii="Calibri" w:hAnsi="Calibri" w:cs="Calibri"/>
                  <w:sz w:val="18"/>
                  <w:color w:val="1155CC"/>
                  <w:u w:val="single"/>
                </w:rPr>
                <w:t xml:space="preserve">eurekalert.org — INTERSTROKE modifiable risk factors</w:t>
              </w:r>
            </w:hyperlink>
          </w:p>
          <w:p>
            <w:pPr>
              <w:spacing w:before="60" w:after="40"/>
            </w:pPr>
            <w:r>
              <w:rPr>
                <w:rFonts w:ascii="Calibri" w:hAnsi="Calibri"/>
                <w:b w:val="0"/>
                <w:i w:val="0"/>
                <w:color w:val="5A5A5A"/>
                <w:sz w:val="18"/>
              </w:rPr>
              <w:t>#obesity  #visceralfat  #waisthip  #prothrombotic  #osa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salt / low fruit &amp; vegetable</w:t>
            </w:r>
          </w:p>
        </w:tc>
        <w:tc>
          <w:tcPr>
            <w:tcW w:type="dxa" w:w="2160"/>
            <w:vAlign w:val="top"/>
          </w:tcPr>
          <w:p>
            <w:pPr>
              <w:spacing w:after="40" w:before="0" w:line="259" w:lineRule="auto"/>
            </w:pPr>
            <w:r>
              <w:rPr>
                <w:rFonts w:ascii="Calibri" w:hAnsi="Calibri"/>
                <w:b w:val="0"/>
                <w:i w:val="0"/>
                <w:color w:val="212121"/>
                <w:sz w:val="19"/>
              </w:rPr>
              <w:t>Traditional high-sodium diets</w:t>
            </w:r>
          </w:p>
        </w:tc>
        <w:tc>
          <w:tcPr>
            <w:tcW w:type="dxa" w:w="4276"/>
            <w:vAlign w:val="top"/>
          </w:tcPr>
          <w:p>
            <w:pPr>
              <w:spacing w:after="60" w:line="259" w:lineRule="auto"/>
            </w:pPr>
            <w:r>
              <w:rPr>
                <w:rFonts w:ascii="Calibri" w:hAnsi="Calibri"/>
                <w:b w:val="0"/>
                <w:i w:val="0"/>
                <w:color w:val="212121"/>
                <w:sz w:val="19"/>
              </w:rPr>
              <w:t>High dietary sodium raises blood pressure while low potassium, fibre and micronutrient intake worsens vascular and endothelial health.</w:t>
            </w:r>
          </w:p>
          <w:p>
            <w:pPr>
              <w:spacing w:after="40" w:before="60" w:line="259" w:lineRule="auto"/>
            </w:pPr>
            <w:r>
              <w:rPr>
                <w:rFonts w:ascii="Calibri" w:hAnsi="Calibri"/>
                <w:b w:val="0"/>
                <w:i w:val="0"/>
                <w:color w:val="212121"/>
                <w:sz w:val="19"/>
              </w:rPr>
              <w:t>Dietary risks contribute about 19% of stroke deaths and 22% of DALYs in India (low fruit intake ~12%, high sodium ~6%).</w:t>
            </w:r>
          </w:p>
          <w:p>
            <w:pPr>
              <w:spacing w:after="40" w:line="252" w:lineRule="auto"/>
            </w:pPr>
            <w:hyperlink r:id="rId11">
              <w:r>
                <w:rPr>
                  <w:rFonts w:ascii="Calibri" w:hAnsi="Calibri" w:cs="Calibri"/>
                  <w:sz w:val="18"/>
                  <w:color w:val="1155CC"/>
                  <w:u w:val="single"/>
                </w:rPr>
                <w:t xml:space="preserve">nature.com — GBD stroke burden in India</w:t>
              </w:r>
            </w:hyperlink>
          </w:p>
          <w:p>
            <w:pPr>
              <w:spacing w:before="60" w:after="40"/>
            </w:pPr>
            <w:r>
              <w:rPr>
                <w:rFonts w:ascii="Calibri" w:hAnsi="Calibri"/>
                <w:b w:val="0"/>
                <w:i w:val="0"/>
                <w:color w:val="5A5A5A"/>
                <w:sz w:val="18"/>
              </w:rPr>
              <w:t>#highsodium  #saltintake  #lowfibre  #bloodpressure  #dietaryrisk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saturated/trans fat, fried &amp; processed foods</w:t>
            </w:r>
          </w:p>
        </w:tc>
        <w:tc>
          <w:tcPr>
            <w:tcW w:type="dxa" w:w="4276"/>
            <w:vAlign w:val="top"/>
          </w:tcPr>
          <w:p>
            <w:pPr>
              <w:spacing w:after="60" w:line="259" w:lineRule="auto"/>
            </w:pPr>
            <w:r>
              <w:rPr>
                <w:rFonts w:ascii="Calibri" w:hAnsi="Calibri"/>
                <w:b w:val="0"/>
                <w:i w:val="0"/>
                <w:color w:val="212121"/>
                <w:sz w:val="19"/>
              </w:rPr>
              <w:t>Atherogenic diets rich in saturated and trans fats and refined carbohydrate raise LDL/apolipoprotein B and promote arterial plaque, the substrate of large-artery TIA.</w:t>
            </w:r>
          </w:p>
          <w:p>
            <w:pPr>
              <w:spacing w:after="40" w:before="60" w:line="259" w:lineRule="auto"/>
            </w:pPr>
            <w:r>
              <w:rPr>
                <w:rFonts w:ascii="Calibri" w:hAnsi="Calibri"/>
                <w:b w:val="0"/>
                <w:i w:val="0"/>
                <w:color w:val="212121"/>
                <w:sz w:val="19"/>
              </w:rPr>
              <w:t>Poor diet and high lipids carry about 23% and 27% population-attributable risk respectively for stroke in INTERSTROKE.</w:t>
            </w:r>
          </w:p>
          <w:p>
            <w:pPr>
              <w:spacing w:after="40" w:line="252" w:lineRule="auto"/>
            </w:pPr>
            <w:hyperlink r:id="rId12">
              <w:r>
                <w:rPr>
                  <w:rFonts w:ascii="Calibri" w:hAnsi="Calibri" w:cs="Calibri"/>
                  <w:sz w:val="18"/>
                  <w:color w:val="1155CC"/>
                  <w:u w:val="single"/>
                </w:rPr>
                <w:t xml:space="preserve">eurekalert.org — INTERSTROKE modifiable risk factors</w:t>
              </w:r>
            </w:hyperlink>
          </w:p>
          <w:p>
            <w:pPr>
              <w:spacing w:before="60" w:after="40"/>
            </w:pPr>
            <w:r>
              <w:rPr>
                <w:rFonts w:ascii="Calibri" w:hAnsi="Calibri"/>
                <w:b w:val="0"/>
                <w:i w:val="0"/>
                <w:color w:val="5A5A5A"/>
                <w:sz w:val="18"/>
              </w:rPr>
              <w:t>#saturatedfat  #transfat  #friedfood  #ldl  #atherogenicdiet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stroke/TIA or premature CAD</w:t>
            </w:r>
          </w:p>
        </w:tc>
        <w:tc>
          <w:tcPr>
            <w:tcW w:type="dxa" w:w="4276"/>
            <w:vAlign w:val="top"/>
          </w:tcPr>
          <w:p>
            <w:pPr>
              <w:spacing w:after="60" w:line="259" w:lineRule="auto"/>
            </w:pPr>
            <w:r>
              <w:rPr>
                <w:rFonts w:ascii="Calibri" w:hAnsi="Calibri"/>
                <w:b w:val="0"/>
                <w:i w:val="0"/>
                <w:color w:val="212121"/>
                <w:sz w:val="19"/>
              </w:rPr>
              <w:t>Heritable clustering of hypertension, diabetes, dyslipidaemia and prothrombotic tendencies raises an individual's cerebrovascular risk beyond lifestyle alone.</w:t>
            </w:r>
          </w:p>
          <w:p>
            <w:pPr>
              <w:spacing w:after="40" w:before="60" w:line="259" w:lineRule="auto"/>
            </w:pPr>
            <w:r>
              <w:rPr>
                <w:rFonts w:ascii="Calibri" w:hAnsi="Calibri"/>
                <w:b w:val="0"/>
                <w:i w:val="0"/>
                <w:color w:val="212121"/>
                <w:sz w:val="19"/>
              </w:rPr>
              <w:t>A family history of stroke or premature vascular disease is a recognised independent risk marker for TIA and ischemic stroke.</w:t>
            </w:r>
          </w:p>
          <w:p>
            <w:pPr>
              <w:spacing w:before="60" w:after="40"/>
            </w:pPr>
            <w:r>
              <w:rPr>
                <w:rFonts w:ascii="Calibri" w:hAnsi="Calibri"/>
                <w:b w:val="0"/>
                <w:i w:val="0"/>
                <w:color w:val="5A5A5A"/>
                <w:sz w:val="18"/>
              </w:rPr>
              <w:t>#familyhistory  #inherited  #geneticrisk  #prematurecad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Thrombophilia &amp; monogenic disease</w:t>
            </w:r>
          </w:p>
        </w:tc>
        <w:tc>
          <w:tcPr>
            <w:tcW w:type="dxa" w:w="2160"/>
            <w:vAlign w:val="top"/>
          </w:tcPr>
          <w:p>
            <w:pPr>
              <w:spacing w:after="40" w:before="0" w:line="259" w:lineRule="auto"/>
            </w:pPr>
            <w:r>
              <w:rPr>
                <w:rFonts w:ascii="Calibri" w:hAnsi="Calibri"/>
                <w:b w:val="0"/>
                <w:i w:val="0"/>
                <w:color w:val="212121"/>
                <w:sz w:val="19"/>
              </w:rPr>
              <w:t>Young adults with hypercoagulability, CADASIL or sickle cell disease</w:t>
            </w:r>
          </w:p>
        </w:tc>
        <w:tc>
          <w:tcPr>
            <w:tcW w:type="dxa" w:w="4276"/>
            <w:vAlign w:val="top"/>
          </w:tcPr>
          <w:p>
            <w:pPr>
              <w:spacing w:after="60" w:line="259" w:lineRule="auto"/>
            </w:pPr>
            <w:r>
              <w:rPr>
                <w:rFonts w:ascii="Calibri" w:hAnsi="Calibri"/>
                <w:b w:val="0"/>
                <w:i w:val="0"/>
                <w:color w:val="212121"/>
                <w:sz w:val="19"/>
              </w:rPr>
              <w:t>In younger Indians, arterial dissection, inherited prothrombotic states and hereditary small-vessel disorders (e.g., CADASIL) and sickle cell disease are important, often overlooked, causes of TIA.</w:t>
            </w:r>
          </w:p>
          <w:p>
            <w:pPr>
              <w:spacing w:after="40" w:before="60" w:line="259" w:lineRule="auto"/>
            </w:pPr>
            <w:r>
              <w:rPr>
                <w:rFonts w:ascii="Calibri" w:hAnsi="Calibri"/>
                <w:b w:val="0"/>
                <w:i w:val="0"/>
                <w:color w:val="212121"/>
                <w:sz w:val="19"/>
              </w:rPr>
              <w:t>About 16.7% of Indian ischemic strokes occur in adults aged 18-45, where genetic and prothrombotic causes are disproportionately represented.</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#thrombophilia  #cadasil  #sicklecell  #dissection  #youngstroke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hypertension</w:t>
            </w:r>
          </w:p>
        </w:tc>
        <w:tc>
          <w:tcPr>
            <w:tcW w:type="dxa" w:w="4276"/>
            <w:vAlign w:val="top"/>
          </w:tcPr>
          <w:p>
            <w:pPr>
              <w:spacing w:after="60" w:line="259" w:lineRule="auto"/>
            </w:pPr>
            <w:r>
              <w:rPr>
                <w:rFonts w:ascii="Calibri" w:hAnsi="Calibri"/>
                <w:b w:val="0"/>
                <w:i w:val="0"/>
                <w:color w:val="212121"/>
                <w:sz w:val="19"/>
              </w:rPr>
              <w:t>The chief driver of both large-artery and small-vessel cerebral ischaemia; sustained high pressure damages arterioles and destabilises atherosclerotic plaque.</w:t>
            </w:r>
          </w:p>
          <w:p>
            <w:pPr>
              <w:spacing w:after="40" w:before="60" w:line="259" w:lineRule="auto"/>
            </w:pPr>
            <w:r>
              <w:rPr>
                <w:rFonts w:ascii="Calibri" w:hAnsi="Calibri"/>
                <w:b w:val="0"/>
                <w:i w:val="0"/>
                <w:color w:val="212121"/>
                <w:sz w:val="19"/>
              </w:rPr>
              <w:t>Hypertension is present in ~61% of Indian stroke patients and has the highest population-attributable risk (~48%) for stroke of any single factor.</w:t>
            </w:r>
          </w:p>
          <w:p>
            <w:pPr>
              <w:spacing w:after="40" w:line="252" w:lineRule="auto"/>
            </w:pPr>
            <w:hyperlink r:id="rId12">
              <w:r>
                <w:rPr>
                  <w:rFonts w:ascii="Calibri" w:hAnsi="Calibri" w:cs="Calibri"/>
                  <w:sz w:val="18"/>
                  <w:color w:val="1155CC"/>
                  <w:u w:val="single"/>
                </w:rPr>
                <w:t xml:space="preserve">eurekalert.org — INTERSTROKE modifiable risk factors</w:t>
              </w:r>
            </w:hyperlink>
          </w:p>
          <w:p>
            <w:pPr>
              <w:spacing w:before="60" w:after="40"/>
            </w:pPr>
            <w:r>
              <w:rPr>
                <w:rFonts w:ascii="Calibri" w:hAnsi="Calibri"/>
                <w:b w:val="0"/>
                <w:i w:val="0"/>
                <w:color w:val="5A5A5A"/>
                <w:sz w:val="18"/>
              </w:rPr>
              <w:t>#hypertension  #bloodpressure  #lipohyalinosis  #smallvessel  #topriskfactor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Atrial fibrillation</w:t>
            </w:r>
          </w:p>
        </w:tc>
        <w:tc>
          <w:tcPr>
            <w:tcW w:type="dxa" w:w="2160"/>
            <w:vAlign w:val="top"/>
          </w:tcPr>
          <w:p>
            <w:pPr>
              <w:spacing w:after="40" w:before="0" w:line="259" w:lineRule="auto"/>
            </w:pPr>
            <w:r>
              <w:rPr>
                <w:rFonts w:ascii="Calibri" w:hAnsi="Calibri"/>
                <w:b w:val="0"/>
                <w:i w:val="0"/>
                <w:color w:val="212121"/>
                <w:sz w:val="19"/>
              </w:rPr>
              <w:t>Patients with AF or rheumatic valvular disease</w:t>
            </w:r>
          </w:p>
        </w:tc>
        <w:tc>
          <w:tcPr>
            <w:tcW w:type="dxa" w:w="4276"/>
            <w:vAlign w:val="top"/>
          </w:tcPr>
          <w:p>
            <w:pPr>
              <w:spacing w:after="60" w:line="259" w:lineRule="auto"/>
            </w:pPr>
            <w:r>
              <w:rPr>
                <w:rFonts w:ascii="Calibri" w:hAnsi="Calibri"/>
                <w:b w:val="0"/>
                <w:i w:val="0"/>
                <w:color w:val="212121"/>
                <w:sz w:val="19"/>
              </w:rPr>
              <w:t>Atrial fibrillation causes left-atrial blood stasis and cardioembolic TIA/stroke; it is frequently paroxysmal and missed on a single ECG, and rheumatic valve disease adds risk in India.</w:t>
            </w:r>
          </w:p>
          <w:p>
            <w:pPr>
              <w:spacing w:after="40" w:before="60" w:line="259" w:lineRule="auto"/>
            </w:pPr>
            <w:r>
              <w:rPr>
                <w:rFonts w:ascii="Calibri" w:hAnsi="Calibri"/>
                <w:b w:val="0"/>
                <w:i w:val="0"/>
                <w:color w:val="212121"/>
                <w:sz w:val="19"/>
              </w:rPr>
              <w:t>Atrial fibrillation (~4%) and rheumatic heart disease (~5.6%) are notable cardioembolic sources in Indian stroke cohorts, with AF detection rising with prolonged monitoring.</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#atrialfibrillation  #cardioembolism  #rheumaticheart  #anticoagulation  #paroxysmalaf</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 / prediabetes</w:t>
            </w:r>
          </w:p>
        </w:tc>
        <w:tc>
          <w:tcPr>
            <w:tcW w:type="dxa" w:w="4276"/>
            <w:vAlign w:val="top"/>
          </w:tcPr>
          <w:p>
            <w:pPr>
              <w:spacing w:after="60" w:line="259" w:lineRule="auto"/>
            </w:pPr>
            <w:r>
              <w:rPr>
                <w:rFonts w:ascii="Calibri" w:hAnsi="Calibri"/>
                <w:b w:val="0"/>
                <w:i w:val="0"/>
                <w:color w:val="212121"/>
                <w:sz w:val="19"/>
              </w:rPr>
              <w:t>Chronic hyperglycaemia accelerates atherosclerosis, causes endothelial dysfunction and small-vessel disease, and worsens the outcome of any cerebral ischaemia.</w:t>
            </w:r>
          </w:p>
          <w:p>
            <w:pPr>
              <w:spacing w:after="40" w:before="60" w:line="259" w:lineRule="auto"/>
            </w:pPr>
            <w:r>
              <w:rPr>
                <w:rFonts w:ascii="Calibri" w:hAnsi="Calibri"/>
                <w:b w:val="0"/>
                <w:i w:val="0"/>
                <w:color w:val="212121"/>
                <w:sz w:val="19"/>
              </w:rPr>
              <w:t>About 36% of Indian stroke patients have diabetes, and dysglycaemia is a component of the ABCD2 risk score after TIA.</w:t>
            </w:r>
          </w:p>
          <w:p>
            <w:pPr>
              <w:spacing w:after="40" w:line="252" w:lineRule="auto"/>
            </w:pPr>
            <w:hyperlink r:id="rId9">
              <w:r>
                <w:rPr>
                  <w:rFonts w:ascii="Calibri" w:hAnsi="Calibri" w:cs="Calibri"/>
                  <w:sz w:val="18"/>
                  <w:color w:val="1155CC"/>
                  <w:u w:val="single"/>
                </w:rPr>
                <w:t xml:space="preserve">pmc.ncbi.nlm.nih.gov — Mounting Stroke Crisis in India</w:t>
              </w:r>
            </w:hyperlink>
          </w:p>
          <w:p>
            <w:pPr>
              <w:spacing w:before="60" w:after="40"/>
            </w:pPr>
            <w:r>
              <w:rPr>
                <w:rFonts w:ascii="Calibri" w:hAnsi="Calibri"/>
                <w:b w:val="0"/>
                <w:i w:val="0"/>
                <w:color w:val="5A5A5A"/>
                <w:sz w:val="18"/>
              </w:rPr>
              <w:t>#diabetes  #hyperglycaemia  #endothelium  #smallvessel  #abcd2</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Carotid artery stenosis</w:t>
            </w:r>
          </w:p>
        </w:tc>
        <w:tc>
          <w:tcPr>
            <w:tcW w:type="dxa" w:w="2160"/>
            <w:vAlign w:val="top"/>
          </w:tcPr>
          <w:p>
            <w:pPr>
              <w:spacing w:after="40" w:before="0" w:line="259" w:lineRule="auto"/>
            </w:pPr>
            <w:r>
              <w:rPr>
                <w:rFonts w:ascii="Calibri" w:hAnsi="Calibri"/>
                <w:b w:val="0"/>
                <w:i w:val="0"/>
                <w:color w:val="212121"/>
                <w:sz w:val="19"/>
              </w:rPr>
              <w:t>Patients with &gt;=50-70% carotid stenosis</w:t>
            </w:r>
          </w:p>
        </w:tc>
        <w:tc>
          <w:tcPr>
            <w:tcW w:type="dxa" w:w="4276"/>
            <w:vAlign w:val="top"/>
          </w:tcPr>
          <w:p>
            <w:pPr>
              <w:spacing w:after="60" w:line="259" w:lineRule="auto"/>
            </w:pPr>
            <w:r>
              <w:rPr>
                <w:rFonts w:ascii="Calibri" w:hAnsi="Calibri"/>
                <w:b w:val="0"/>
                <w:i w:val="0"/>
                <w:color w:val="212121"/>
                <w:sz w:val="19"/>
              </w:rPr>
              <w:t>Atherosclerotic plaque at the carotid bifurcation is a leading source of artery-to-artery emboli causing anterior-circulation TIA and amaurosis fugax, and is often surgically treatable.</w:t>
            </w:r>
          </w:p>
          <w:p>
            <w:pPr>
              <w:spacing w:after="40" w:before="60" w:line="259" w:lineRule="auto"/>
            </w:pPr>
            <w:r>
              <w:rPr>
                <w:rFonts w:ascii="Calibri" w:hAnsi="Calibri"/>
                <w:b w:val="0"/>
                <w:i w:val="0"/>
                <w:color w:val="212121"/>
                <w:sz w:val="19"/>
              </w:rPr>
              <w:t>Symptomatic high-grade (&gt;=70%) carotid stenosis carries a high early stroke risk; endarterectomy substantially reduces subsequent ipsilateral stroke.</w:t>
            </w:r>
          </w:p>
          <w:p>
            <w:pPr>
              <w:spacing w:after="40" w:line="252" w:lineRule="auto"/>
            </w:pPr>
            <w:hyperlink r:id="rId13">
              <w:r>
                <w:rPr>
                  <w:rFonts w:ascii="Calibri" w:hAnsi="Calibri" w:cs="Calibri"/>
                  <w:sz w:val="18"/>
                  <w:color w:val="1155CC"/>
                  <w:u w:val="single"/>
                </w:rPr>
                <w:t xml:space="preserve">ncbi.nlm.nih.gov — Carotid Endarterectomy (StatPearls)</w:t>
              </w:r>
            </w:hyperlink>
          </w:p>
          <w:p>
            <w:pPr>
              <w:spacing w:before="60" w:after="40"/>
            </w:pPr>
            <w:r>
              <w:rPr>
                <w:rFonts w:ascii="Calibri" w:hAnsi="Calibri"/>
                <w:b w:val="0"/>
                <w:i w:val="0"/>
                <w:color w:val="5A5A5A"/>
                <w:sz w:val="18"/>
              </w:rPr>
              <w:t>#carotidstenosis  #amaurosisfugax  #arterytoartery  #endarterectomy  #largeartery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is the second-strongest modifiable stroke risk factor (population-attributable risk ~35.8% in INTERSTROKE). Regular activity lowers blood pressure, improves lipids and glucose, and reduces recurrent cerebrovascular events after TIA.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Diets high in sodium, saturated/trans fats and refined carbohydrate and low in fruit, vegetables and fibre drive hypertension and atherosclerosis; dietary risks account for ~19% of stroke deaths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Both short (&lt;=5-6 h) and long (&gt;=8-9 h) sleep raise stroke risk (pooled RR 1.15 and 1.45 respectively), and obstructive sleep apnoea further elevates blood pressure, atrial fibrillation and cerebrovascular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 use, including smokeless forms common in India, accelerate atherosclerosis and thrombosis; smoking contributes about 12% of stroke deaths, and risk falls substantially within a few years of cessation.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and binge drinking raise blood pressure and provoke atrial fibrillation and cardioembolism; harmful use carries ~5.8% population-attributable risk for stroke, while any protective signal at low intake is small and disputed.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psychosocial stress and depression are independent stroke risk factors (~5.8% population-attributable risk) and impair adherence to blood-pressure, antiplatelet and lifestyle measures after a TIA.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Dehydration increases blood viscosity and can precipitate cerebral ischaemia, particularly in the elderly, but direct evidence that hydration prevents TIA is limited.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coffee or tea intake shows neutral-to-slightly-favourable vascular associations; very high intake can transiently raise blood pressure and trigger palpitations in susceptible people.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oral hygiene and chronic periodontitis contribute low-grade inflammation linked to atherosclerosis; the relationship to TIA is indirect.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triggers include paroxysmal atrial fibrillation, dehydration, hypertensive surges, cervical arterial manipulation or trauma (dissection), and hypercoagulable or low-flow states.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elderly, post-TIA</w:t>
            </w:r>
          </w:p>
        </w:tc>
        <w:tc>
          <w:tcPr>
            <w:tcW w:type="dxa" w:w="1512"/>
            <w:vAlign w:val="top"/>
          </w:tcPr>
          <w:p>
            <w:pPr>
              <w:spacing w:after="40" w:before="0" w:line="259" w:lineRule="auto"/>
            </w:pPr>
            <w:r>
              <w:rPr>
                <w:rFonts w:ascii="Calibri" w:hAnsi="Calibri"/>
                <w:b w:val="0"/>
                <w:i w:val="0"/>
                <w:color w:val="212121"/>
                <w:sz w:val="19"/>
              </w:rPr>
              <w:t>&gt;=150 min/week</w:t>
            </w:r>
          </w:p>
        </w:tc>
        <w:tc>
          <w:tcPr>
            <w:tcW w:type="dxa" w:w="1512"/>
            <w:vAlign w:val="top"/>
          </w:tcPr>
          <w:p>
            <w:pPr>
              <w:spacing w:after="40" w:before="0" w:line="259" w:lineRule="auto"/>
            </w:pPr>
            <w:r>
              <w:rPr>
                <w:rFonts w:ascii="Calibri" w:hAnsi="Calibri"/>
                <w:b w:val="0"/>
                <w:i w:val="0"/>
                <w:color w:val="212121"/>
                <w:sz w:val="19"/>
              </w:rPr>
              <w:t>&lt;150 min/week</w:t>
            </w:r>
          </w:p>
        </w:tc>
        <w:tc>
          <w:tcPr>
            <w:tcW w:type="dxa" w:w="1468"/>
            <w:vAlign w:val="top"/>
          </w:tcPr>
          <w:p>
            <w:pPr>
              <w:spacing w:after="40" w:before="0" w:line="259" w:lineRule="auto"/>
            </w:pPr>
            <w:r>
              <w:rPr>
                <w:rFonts w:ascii="Calibri" w:hAnsi="Calibri"/>
                <w:b w:val="0"/>
                <w:i w:val="0"/>
                <w:color w:val="212121"/>
                <w:sz w:val="19"/>
              </w:rPr>
              <w:t>Inactivity raises stroke and recurrence risk; activity lowers BP and improves lipids/glucose.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 kg/m2)</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w:t>
            </w:r>
          </w:p>
        </w:tc>
        <w:tc>
          <w:tcPr>
            <w:tcW w:type="dxa" w:w="1512"/>
            <w:vAlign w:val="top"/>
          </w:tcPr>
          <w:p>
            <w:pPr>
              <w:spacing w:after="40" w:before="0" w:line="259" w:lineRule="auto"/>
            </w:pPr>
            <w:r>
              <w:rPr>
                <w:rFonts w:ascii="Calibri" w:hAnsi="Calibri"/>
                <w:b w:val="0"/>
                <w:i w:val="0"/>
                <w:color w:val="212121"/>
                <w:sz w:val="19"/>
              </w:rPr>
              <w:t>&gt;=23 (overweight); &gt;=25 (obese)</w:t>
            </w:r>
          </w:p>
        </w:tc>
        <w:tc>
          <w:tcPr>
            <w:tcW w:type="dxa" w:w="1468"/>
            <w:vAlign w:val="top"/>
          </w:tcPr>
          <w:p>
            <w:pPr>
              <w:spacing w:after="40" w:before="0" w:line="259" w:lineRule="auto"/>
            </w:pPr>
            <w:r>
              <w:rPr>
                <w:rFonts w:ascii="Calibri" w:hAnsi="Calibri"/>
                <w:b w:val="0"/>
                <w:i w:val="0"/>
                <w:color w:val="212121"/>
                <w:sz w:val="19"/>
              </w:rPr>
              <w:t>South Asians accrue cardiometabolic risk at lower BMI.</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overweight/obese</w:t>
            </w:r>
          </w:p>
        </w:tc>
        <w:tc>
          <w:tcPr>
            <w:tcW w:type="dxa" w:w="1512"/>
            <w:vAlign w:val="top"/>
          </w:tcPr>
          <w:p>
            <w:pPr>
              <w:spacing w:after="40" w:before="0" w:line="259" w:lineRule="auto"/>
            </w:pPr>
            <w:r>
              <w:rPr>
                <w:rFonts w:ascii="Calibri" w:hAnsi="Calibri"/>
                <w:b w:val="0"/>
                <w:i w:val="0"/>
                <w:color w:val="212121"/>
                <w:sz w:val="19"/>
              </w:rPr>
              <w:t>M &lt;90 cm; F &lt;80 cm</w:t>
            </w:r>
          </w:p>
        </w:tc>
        <w:tc>
          <w:tcPr>
            <w:tcW w:type="dxa" w:w="1512"/>
            <w:vAlign w:val="top"/>
          </w:tcPr>
          <w:p>
            <w:pPr>
              <w:spacing w:after="40" w:before="0" w:line="259" w:lineRule="auto"/>
            </w:pPr>
            <w:r>
              <w:rPr>
                <w:rFonts w:ascii="Calibri" w:hAnsi="Calibri"/>
                <w:b w:val="0"/>
                <w:i w:val="0"/>
                <w:color w:val="212121"/>
                <w:sz w:val="19"/>
              </w:rPr>
              <w:t>M &gt;=90 cm; F &gt;=80 cm</w:t>
            </w:r>
          </w:p>
        </w:tc>
        <w:tc>
          <w:tcPr>
            <w:tcW w:type="dxa" w:w="1468"/>
            <w:vAlign w:val="top"/>
          </w:tcPr>
          <w:p>
            <w:pPr>
              <w:spacing w:after="40" w:before="0" w:line="259" w:lineRule="auto"/>
            </w:pPr>
            <w:r>
              <w:rPr>
                <w:rFonts w:ascii="Calibri" w:hAnsi="Calibri"/>
                <w:b w:val="0"/>
                <w:i w:val="0"/>
                <w:color w:val="212121"/>
                <w:sz w:val="19"/>
              </w:rPr>
              <w:t>Central obesity is strongly atherogenic and pro-thrombotic.</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Systolic blood pressure (mmHg)</w:t>
            </w:r>
          </w:p>
        </w:tc>
        <w:tc>
          <w:tcPr>
            <w:tcW w:type="dxa" w:w="1655"/>
            <w:vAlign w:val="top"/>
          </w:tcPr>
          <w:p>
            <w:pPr>
              <w:spacing w:after="40" w:before="0" w:line="259" w:lineRule="auto"/>
            </w:pPr>
            <w:r>
              <w:rPr>
                <w:rFonts w:ascii="Calibri" w:hAnsi="Calibri"/>
                <w:b w:val="0"/>
                <w:i w:val="0"/>
                <w:color w:val="212121"/>
                <w:sz w:val="19"/>
              </w:rPr>
              <w:t>Adults, hypertensives</w:t>
            </w:r>
          </w:p>
        </w:tc>
        <w:tc>
          <w:tcPr>
            <w:tcW w:type="dxa" w:w="1512"/>
            <w:vAlign w:val="top"/>
          </w:tcPr>
          <w:p>
            <w:pPr>
              <w:spacing w:after="40" w:before="0" w:line="259" w:lineRule="auto"/>
            </w:pPr>
            <w:r>
              <w:rPr>
                <w:rFonts w:ascii="Calibri" w:hAnsi="Calibri"/>
                <w:b w:val="0"/>
                <w:i w:val="0"/>
                <w:color w:val="212121"/>
                <w:sz w:val="19"/>
              </w:rPr>
              <w:t>&lt;120</w:t>
            </w:r>
          </w:p>
        </w:tc>
        <w:tc>
          <w:tcPr>
            <w:tcW w:type="dxa" w:w="1512"/>
            <w:vAlign w:val="top"/>
          </w:tcPr>
          <w:p>
            <w:pPr>
              <w:spacing w:after="40" w:before="0" w:line="259" w:lineRule="auto"/>
            </w:pPr>
            <w:r>
              <w:rPr>
                <w:rFonts w:ascii="Calibri" w:hAnsi="Calibri"/>
                <w:b w:val="0"/>
                <w:i w:val="0"/>
                <w:color w:val="212121"/>
                <w:sz w:val="19"/>
              </w:rPr>
              <w:t>&gt;=140 (or &gt;=130 with risk)</w:t>
            </w:r>
          </w:p>
        </w:tc>
        <w:tc>
          <w:tcPr>
            <w:tcW w:type="dxa" w:w="1468"/>
            <w:vAlign w:val="top"/>
          </w:tcPr>
          <w:p>
            <w:pPr>
              <w:spacing w:after="60" w:line="259" w:lineRule="auto"/>
            </w:pPr>
            <w:r>
              <w:rPr>
                <w:rFonts w:ascii="Calibri" w:hAnsi="Calibri"/>
                <w:b w:val="0"/>
                <w:i w:val="0"/>
                <w:color w:val="212121"/>
                <w:sz w:val="19"/>
              </w:rPr>
              <w:t>Leading TIA/stroke risk factor; contributes ~56% of stroke deaths in India.</w:t>
            </w:r>
          </w:p>
          <w:p>
            <w:pPr>
              <w:spacing w:after="40" w:line="252" w:lineRule="auto"/>
            </w:pPr>
            <w:hyperlink r:id="rId11">
              <w:r>
                <w:rPr>
                  <w:rFonts w:ascii="Calibri" w:hAnsi="Calibri" w:cs="Calibri"/>
                  <w:sz w:val="18"/>
                  <w:color w:val="1155CC"/>
                  <w:u w:val="single"/>
                </w:rPr>
                <w:t xml:space="preserve">https://www.nature.com/articles/s41598-024-72551-4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salt (g/day)</w:t>
            </w:r>
          </w:p>
        </w:tc>
        <w:tc>
          <w:tcPr>
            <w:tcW w:type="dxa" w:w="1655"/>
            <w:vAlign w:val="top"/>
          </w:tcPr>
          <w:p>
            <w:pPr>
              <w:spacing w:after="40" w:before="0" w:line="259" w:lineRule="auto"/>
            </w:pPr>
            <w:r>
              <w:rPr>
                <w:rFonts w:ascii="Calibri" w:hAnsi="Calibri"/>
                <w:b w:val="0"/>
                <w:i w:val="0"/>
                <w:color w:val="212121"/>
                <w:sz w:val="19"/>
              </w:rPr>
              <w:t>Adults, hypertensives</w:t>
            </w:r>
          </w:p>
        </w:tc>
        <w:tc>
          <w:tcPr>
            <w:tcW w:type="dxa" w:w="1512"/>
            <w:vAlign w:val="top"/>
          </w:tcPr>
          <w:p>
            <w:pPr>
              <w:spacing w:after="40" w:before="0" w:line="259" w:lineRule="auto"/>
            </w:pPr>
            <w:r>
              <w:rPr>
                <w:rFonts w:ascii="Calibri" w:hAnsi="Calibri"/>
                <w:b w:val="0"/>
                <w:i w:val="0"/>
                <w:color w:val="212121"/>
                <w:sz w:val="19"/>
              </w:rPr>
              <w:t>&lt;5 g/day (WHO)</w:t>
            </w:r>
          </w:p>
        </w:tc>
        <w:tc>
          <w:tcPr>
            <w:tcW w:type="dxa" w:w="1512"/>
            <w:vAlign w:val="top"/>
          </w:tcPr>
          <w:p>
            <w:pPr>
              <w:spacing w:after="40" w:before="0" w:line="259" w:lineRule="auto"/>
            </w:pPr>
            <w:r>
              <w:rPr>
                <w:rFonts w:ascii="Calibri" w:hAnsi="Calibri"/>
                <w:b w:val="0"/>
                <w:i w:val="0"/>
                <w:color w:val="212121"/>
                <w:sz w:val="19"/>
              </w:rPr>
              <w:t>&gt;5 g/day</w:t>
            </w:r>
          </w:p>
        </w:tc>
        <w:tc>
          <w:tcPr>
            <w:tcW w:type="dxa" w:w="1468"/>
            <w:vAlign w:val="top"/>
          </w:tcPr>
          <w:p>
            <w:pPr>
              <w:spacing w:after="60" w:line="259" w:lineRule="auto"/>
            </w:pPr>
            <w:r>
              <w:rPr>
                <w:rFonts w:ascii="Calibri" w:hAnsi="Calibri"/>
                <w:b w:val="0"/>
                <w:i w:val="0"/>
                <w:color w:val="212121"/>
                <w:sz w:val="19"/>
              </w:rPr>
              <w:t>High sodium raises BP; dietary risks cause ~19% of stroke deaths in India.</w:t>
            </w:r>
          </w:p>
          <w:p>
            <w:pPr>
              <w:spacing w:after="40" w:line="252" w:lineRule="auto"/>
            </w:pPr>
            <w:hyperlink r:id="rId11">
              <w:r>
                <w:rPr>
                  <w:rFonts w:ascii="Calibri" w:hAnsi="Calibri" w:cs="Calibri"/>
                  <w:sz w:val="18"/>
                  <w:color w:val="1155CC"/>
                  <w:u w:val="single"/>
                </w:rPr>
                <w:t xml:space="preserve">https://www.nature.com/articles/s41598-024-72551-4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LDL cholesterol (mg/dL)</w:t>
            </w:r>
          </w:p>
        </w:tc>
        <w:tc>
          <w:tcPr>
            <w:tcW w:type="dxa" w:w="1655"/>
            <w:vAlign w:val="top"/>
          </w:tcPr>
          <w:p>
            <w:pPr>
              <w:spacing w:after="40" w:before="0" w:line="259" w:lineRule="auto"/>
            </w:pPr>
            <w:r>
              <w:rPr>
                <w:rFonts w:ascii="Calibri" w:hAnsi="Calibri"/>
                <w:b w:val="0"/>
                <w:i w:val="0"/>
                <w:color w:val="212121"/>
                <w:sz w:val="19"/>
              </w:rPr>
              <w:t>High-risk &amp; post-TIA adults</w:t>
            </w:r>
          </w:p>
        </w:tc>
        <w:tc>
          <w:tcPr>
            <w:tcW w:type="dxa" w:w="1512"/>
            <w:vAlign w:val="top"/>
          </w:tcPr>
          <w:p>
            <w:pPr>
              <w:spacing w:after="40" w:before="0" w:line="259" w:lineRule="auto"/>
            </w:pPr>
            <w:r>
              <w:rPr>
                <w:rFonts w:ascii="Calibri" w:hAnsi="Calibri"/>
                <w:b w:val="0"/>
                <w:i w:val="0"/>
                <w:color w:val="212121"/>
                <w:sz w:val="19"/>
              </w:rPr>
              <w:t>&lt;70 (secondary-prevention target)</w:t>
            </w:r>
          </w:p>
        </w:tc>
        <w:tc>
          <w:tcPr>
            <w:tcW w:type="dxa" w:w="1512"/>
            <w:vAlign w:val="top"/>
          </w:tcPr>
          <w:p>
            <w:pPr>
              <w:spacing w:after="40" w:before="0" w:line="259" w:lineRule="auto"/>
            </w:pPr>
            <w:r>
              <w:rPr>
                <w:rFonts w:ascii="Calibri" w:hAnsi="Calibri"/>
                <w:b w:val="0"/>
                <w:i w:val="0"/>
                <w:color w:val="212121"/>
                <w:sz w:val="19"/>
              </w:rPr>
              <w:t>&gt;=100</w:t>
            </w:r>
          </w:p>
        </w:tc>
        <w:tc>
          <w:tcPr>
            <w:tcW w:type="dxa" w:w="1468"/>
            <w:vAlign w:val="top"/>
          </w:tcPr>
          <w:p>
            <w:pPr>
              <w:spacing w:after="40" w:before="0" w:line="259" w:lineRule="auto"/>
            </w:pPr>
            <w:r>
              <w:rPr>
                <w:rFonts w:ascii="Calibri" w:hAnsi="Calibri"/>
                <w:b w:val="0"/>
                <w:i w:val="0"/>
                <w:color w:val="212121"/>
                <w:sz w:val="19"/>
              </w:rPr>
              <w:t>High LDL/apoB promotes plaque; statins reduce recurrent events.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7-8 h/night</w:t>
            </w:r>
          </w:p>
        </w:tc>
        <w:tc>
          <w:tcPr>
            <w:tcW w:type="dxa" w:w="1512"/>
            <w:vAlign w:val="top"/>
          </w:tcPr>
          <w:p>
            <w:pPr>
              <w:spacing w:after="40" w:before="0" w:line="259" w:lineRule="auto"/>
            </w:pPr>
            <w:r>
              <w:rPr>
                <w:rFonts w:ascii="Calibri" w:hAnsi="Calibri"/>
                <w:b w:val="0"/>
                <w:i w:val="0"/>
                <w:color w:val="212121"/>
                <w:sz w:val="19"/>
              </w:rPr>
              <w:t>&lt;=5-6 h or &gt;=9 h</w:t>
            </w:r>
          </w:p>
        </w:tc>
        <w:tc>
          <w:tcPr>
            <w:tcW w:type="dxa" w:w="1468"/>
            <w:vAlign w:val="top"/>
          </w:tcPr>
          <w:p>
            <w:pPr>
              <w:spacing w:after="60" w:line="259" w:lineRule="auto"/>
            </w:pPr>
            <w:r>
              <w:rPr>
                <w:rFonts w:ascii="Calibri" w:hAnsi="Calibri"/>
                <w:b w:val="0"/>
                <w:i w:val="0"/>
                <w:color w:val="212121"/>
                <w:sz w:val="19"/>
              </w:rPr>
              <w:t>U-shaped stroke risk (RR ~1.15 short, ~1.45 long sleep).</w:t>
            </w:r>
          </w:p>
          <w:p>
            <w:pPr>
              <w:spacing w:after="40" w:line="252" w:lineRule="auto"/>
            </w:pPr>
            <w:hyperlink r:id="rId14">
              <w:r>
                <w:rPr>
                  <w:rFonts w:ascii="Calibri" w:hAnsi="Calibri" w:cs="Calibri"/>
                  <w:sz w:val="18"/>
                  <w:color w:val="1155CC"/>
                  <w:u w:val="single"/>
                </w:rPr>
                <w:t xml:space="preserve">https://pubmed.ncbi.nlm.nih.gov/25716357/</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(cigarettes/day or smokeless)</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(complete abstinence)</w:t>
            </w:r>
          </w:p>
        </w:tc>
        <w:tc>
          <w:tcPr>
            <w:tcW w:type="dxa" w:w="1512"/>
            <w:vAlign w:val="top"/>
          </w:tcPr>
          <w:p>
            <w:pPr>
              <w:spacing w:after="40" w:before="0" w:line="259" w:lineRule="auto"/>
            </w:pPr>
            <w:r>
              <w:rPr>
                <w:rFonts w:ascii="Calibri" w:hAnsi="Calibri"/>
                <w:b w:val="0"/>
                <w:i w:val="0"/>
                <w:color w:val="212121"/>
                <w:sz w:val="19"/>
              </w:rPr>
              <w:t>&gt;=1/day or any smokeless use</w:t>
            </w:r>
          </w:p>
        </w:tc>
        <w:tc>
          <w:tcPr>
            <w:tcW w:type="dxa" w:w="1468"/>
            <w:vAlign w:val="top"/>
          </w:tcPr>
          <w:p>
            <w:pPr>
              <w:spacing w:after="40" w:before="0" w:line="259" w:lineRule="auto"/>
            </w:pPr>
            <w:r>
              <w:rPr>
                <w:rFonts w:ascii="Calibri" w:hAnsi="Calibri"/>
                <w:b w:val="0"/>
                <w:i w:val="0"/>
                <w:color w:val="212121"/>
                <w:sz w:val="19"/>
              </w:rPr>
              <w:t>Any tobacco accelerates atherosclerosis and thrombosis.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None-to-minimal</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40" w:before="0" w:line="259" w:lineRule="auto"/>
            </w:pPr>
            <w:r>
              <w:rPr>
                <w:rFonts w:ascii="Calibri" w:hAnsi="Calibri"/>
                <w:b w:val="0"/>
                <w:i w:val="0"/>
                <w:color w:val="212121"/>
                <w:sz w:val="19"/>
              </w:rPr>
              <w:t>Heavy use raises BP and provokes atrial fibrillation.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Pulse rhythm (AF screen)</w:t>
            </w:r>
          </w:p>
        </w:tc>
        <w:tc>
          <w:tcPr>
            <w:tcW w:type="dxa" w:w="1655"/>
            <w:vAlign w:val="top"/>
          </w:tcPr>
          <w:p>
            <w:pPr>
              <w:spacing w:after="40" w:before="0" w:line="259" w:lineRule="auto"/>
            </w:pPr>
            <w:r>
              <w:rPr>
                <w:rFonts w:ascii="Calibri" w:hAnsi="Calibri"/>
                <w:b w:val="0"/>
                <w:i w:val="0"/>
                <w:color w:val="212121"/>
                <w:sz w:val="19"/>
              </w:rPr>
              <w:t>Adults &gt;65, palpitations</w:t>
            </w:r>
          </w:p>
        </w:tc>
        <w:tc>
          <w:tcPr>
            <w:tcW w:type="dxa" w:w="1512"/>
            <w:vAlign w:val="top"/>
          </w:tcPr>
          <w:p>
            <w:pPr>
              <w:spacing w:after="40" w:before="0" w:line="259" w:lineRule="auto"/>
            </w:pPr>
            <w:r>
              <w:rPr>
                <w:rFonts w:ascii="Calibri" w:hAnsi="Calibri"/>
                <w:b w:val="0"/>
                <w:i w:val="0"/>
                <w:color w:val="212121"/>
                <w:sz w:val="19"/>
              </w:rPr>
              <w:t>Regular, 60-100 bpm</w:t>
            </w:r>
          </w:p>
        </w:tc>
        <w:tc>
          <w:tcPr>
            <w:tcW w:type="dxa" w:w="1512"/>
            <w:vAlign w:val="top"/>
          </w:tcPr>
          <w:p>
            <w:pPr>
              <w:spacing w:after="40" w:before="0" w:line="259" w:lineRule="auto"/>
            </w:pPr>
            <w:r>
              <w:rPr>
                <w:rFonts w:ascii="Calibri" w:hAnsi="Calibri"/>
                <w:b w:val="0"/>
                <w:i w:val="0"/>
                <w:color w:val="212121"/>
                <w:sz w:val="19"/>
              </w:rPr>
              <w:t>Irregularly irregular pulse</w:t>
            </w:r>
          </w:p>
        </w:tc>
        <w:tc>
          <w:tcPr>
            <w:tcW w:type="dxa" w:w="1468"/>
            <w:vAlign w:val="top"/>
          </w:tcPr>
          <w:p>
            <w:pPr>
              <w:spacing w:after="40" w:before="0" w:line="259" w:lineRule="auto"/>
            </w:pPr>
            <w:r>
              <w:rPr>
                <w:rFonts w:ascii="Calibri" w:hAnsi="Calibri"/>
                <w:b w:val="0"/>
                <w:i w:val="0"/>
                <w:color w:val="212121"/>
                <w:sz w:val="19"/>
              </w:rPr>
              <w:t>Detects atrial fibrillation, a major cardioembolic source.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At-risk &amp; diabetic adults</w:t>
            </w:r>
          </w:p>
        </w:tc>
        <w:tc>
          <w:tcPr>
            <w:tcW w:type="dxa" w:w="1512"/>
            <w:vAlign w:val="top"/>
          </w:tcPr>
          <w:p>
            <w:pPr>
              <w:spacing w:after="40" w:before="0" w:line="259" w:lineRule="auto"/>
            </w:pPr>
            <w:r>
              <w:rPr>
                <w:rFonts w:ascii="Calibri" w:hAnsi="Calibri"/>
                <w:b w:val="0"/>
                <w:i w:val="0"/>
                <w:color w:val="212121"/>
                <w:sz w:val="19"/>
              </w:rPr>
              <w:t>&lt;5.7%</w:t>
            </w:r>
          </w:p>
        </w:tc>
        <w:tc>
          <w:tcPr>
            <w:tcW w:type="dxa" w:w="1512"/>
            <w:vAlign w:val="top"/>
          </w:tcPr>
          <w:p>
            <w:pPr>
              <w:spacing w:after="40" w:before="0" w:line="259" w:lineRule="auto"/>
            </w:pPr>
            <w:r>
              <w:rPr>
                <w:rFonts w:ascii="Calibri" w:hAnsi="Calibri"/>
                <w:b w:val="0"/>
                <w:i w:val="0"/>
                <w:color w:val="212121"/>
                <w:sz w:val="19"/>
              </w:rPr>
              <w:t>&gt;=6.5%</w:t>
            </w:r>
          </w:p>
        </w:tc>
        <w:tc>
          <w:tcPr>
            <w:tcW w:type="dxa" w:w="1468"/>
            <w:vAlign w:val="top"/>
          </w:tcPr>
          <w:p>
            <w:pPr>
              <w:spacing w:after="40" w:before="0" w:line="259" w:lineRule="auto"/>
            </w:pPr>
            <w:r>
              <w:rPr>
                <w:rFonts w:ascii="Calibri" w:hAnsi="Calibri"/>
                <w:b w:val="0"/>
                <w:i w:val="0"/>
                <w:color w:val="212121"/>
                <w:sz w:val="19"/>
              </w:rPr>
              <w:t>Dysglycaemia accelerates cerebral atherosclerosis and small-vessel disease.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Diffusion-weighted MRI brain</w:t>
            </w:r>
          </w:p>
        </w:tc>
        <w:tc>
          <w:tcPr>
            <w:tcW w:type="dxa" w:w="892"/>
            <w:vAlign w:val="top"/>
          </w:tcPr>
          <w:p>
            <w:pPr>
              <w:spacing w:after="40" w:before="0" w:line="259" w:lineRule="auto"/>
            </w:pPr>
            <w:r>
              <w:rPr>
                <w:rFonts w:ascii="Calibri" w:hAnsi="Calibri"/>
                <w:b w:val="0"/>
                <w:i w:val="0"/>
                <w:color w:val="212121"/>
                <w:sz w:val="16"/>
              </w:rPr>
              <w:t>MRI Brain (DWI)</w:t>
            </w:r>
          </w:p>
        </w:tc>
        <w:tc>
          <w:tcPr>
            <w:tcW w:type="dxa" w:w="950"/>
            <w:vAlign w:val="top"/>
          </w:tcPr>
          <w:p>
            <w:pPr>
              <w:spacing w:after="40" w:before="0" w:line="259" w:lineRule="auto"/>
            </w:pPr>
            <w:r>
              <w:rPr>
                <w:rFonts w:ascii="Calibri" w:hAnsi="Calibri"/>
                <w:b w:val="0"/>
                <w:i w:val="0"/>
                <w:color w:val="212121"/>
                <w:sz w:val="16"/>
              </w:rPr>
              <w:t>No acute infarct (true TIA)</w:t>
            </w:r>
          </w:p>
        </w:tc>
        <w:tc>
          <w:tcPr>
            <w:tcW w:type="dxa" w:w="950"/>
            <w:vAlign w:val="top"/>
          </w:tcPr>
          <w:p>
            <w:pPr>
              <w:spacing w:after="40" w:before="0" w:line="259" w:lineRule="auto"/>
            </w:pPr>
            <w:r>
              <w:rPr>
                <w:rFonts w:ascii="Calibri" w:hAnsi="Calibri"/>
                <w:b w:val="0"/>
                <w:i w:val="0"/>
                <w:color w:val="212121"/>
                <w:sz w:val="16"/>
              </w:rPr>
              <w:t>Restricted diffusion = acute infarct (minor stroke)</w:t>
            </w:r>
          </w:p>
        </w:tc>
        <w:tc>
          <w:tcPr>
            <w:tcW w:type="dxa" w:w="1036"/>
            <w:vAlign w:val="top"/>
          </w:tcPr>
          <w:p>
            <w:pPr>
              <w:spacing w:after="40" w:before="0" w:line="259" w:lineRule="auto"/>
            </w:pPr>
            <w:r>
              <w:rPr>
                <w:rFonts w:ascii="Calibri" w:hAnsi="Calibri"/>
                <w:b w:val="0"/>
                <w:i w:val="0"/>
                <w:color w:val="212121"/>
                <w:sz w:val="16"/>
              </w:rPr>
              <w:t>Tissue-based confirmation; distinguishes TIA from minor stroke and localises territory</w:t>
            </w:r>
          </w:p>
        </w:tc>
        <w:tc>
          <w:tcPr>
            <w:tcW w:type="dxa" w:w="1036"/>
            <w:vAlign w:val="top"/>
          </w:tcPr>
          <w:p>
            <w:pPr>
              <w:spacing w:after="40" w:before="0" w:line="259" w:lineRule="auto"/>
            </w:pPr>
            <w:r>
              <w:rPr>
                <w:rFonts w:ascii="Calibri" w:hAnsi="Calibri"/>
                <w:b w:val="0"/>
                <w:i w:val="0"/>
                <w:color w:val="212121"/>
                <w:sz w:val="16"/>
              </w:rPr>
              <w:t>All suspected TIA, high ABCD2, recurrent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Best within 24 h; most sensitive imaging.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Non-contrast head CT</w:t>
            </w:r>
          </w:p>
        </w:tc>
        <w:tc>
          <w:tcPr>
            <w:tcW w:type="dxa" w:w="892"/>
            <w:vAlign w:val="top"/>
          </w:tcPr>
          <w:p>
            <w:pPr>
              <w:spacing w:after="40" w:before="0" w:line="259" w:lineRule="auto"/>
            </w:pPr>
            <w:r>
              <w:rPr>
                <w:rFonts w:ascii="Calibri" w:hAnsi="Calibri"/>
                <w:b w:val="0"/>
                <w:i w:val="0"/>
                <w:color w:val="212121"/>
                <w:sz w:val="16"/>
              </w:rPr>
              <w:t>CT Head</w:t>
            </w:r>
          </w:p>
        </w:tc>
        <w:tc>
          <w:tcPr>
            <w:tcW w:type="dxa" w:w="950"/>
            <w:vAlign w:val="top"/>
          </w:tcPr>
          <w:p>
            <w:pPr>
              <w:spacing w:after="40" w:before="0" w:line="259" w:lineRule="auto"/>
            </w:pPr>
            <w:r>
              <w:rPr>
                <w:rFonts w:ascii="Calibri" w:hAnsi="Calibri"/>
                <w:b w:val="0"/>
                <w:i w:val="0"/>
                <w:color w:val="212121"/>
                <w:sz w:val="16"/>
              </w:rPr>
              <w:t>No haemorrhage or established infarct</w:t>
            </w:r>
          </w:p>
        </w:tc>
        <w:tc>
          <w:tcPr>
            <w:tcW w:type="dxa" w:w="950"/>
            <w:vAlign w:val="top"/>
          </w:tcPr>
          <w:p>
            <w:pPr>
              <w:spacing w:after="40" w:before="0" w:line="259" w:lineRule="auto"/>
            </w:pPr>
            <w:r>
              <w:rPr>
                <w:rFonts w:ascii="Calibri" w:hAnsi="Calibri"/>
                <w:b w:val="0"/>
                <w:i w:val="0"/>
                <w:color w:val="212121"/>
                <w:sz w:val="16"/>
              </w:rPr>
              <w:t>Haemorrhage or mimic identified</w:t>
            </w:r>
          </w:p>
        </w:tc>
        <w:tc>
          <w:tcPr>
            <w:tcW w:type="dxa" w:w="1036"/>
            <w:vAlign w:val="top"/>
          </w:tcPr>
          <w:p>
            <w:pPr>
              <w:spacing w:after="40" w:before="0" w:line="259" w:lineRule="auto"/>
            </w:pPr>
            <w:r>
              <w:rPr>
                <w:rFonts w:ascii="Calibri" w:hAnsi="Calibri"/>
                <w:b w:val="0"/>
                <w:i w:val="0"/>
                <w:color w:val="212121"/>
                <w:sz w:val="16"/>
              </w:rPr>
              <w:t>First-line to exclude intracranial haemorrhage and structural mimics</w:t>
            </w:r>
          </w:p>
        </w:tc>
        <w:tc>
          <w:tcPr>
            <w:tcW w:type="dxa" w:w="1036"/>
            <w:vAlign w:val="top"/>
          </w:tcPr>
          <w:p>
            <w:pPr>
              <w:spacing w:after="40" w:before="0" w:line="259" w:lineRule="auto"/>
            </w:pPr>
            <w:r>
              <w:rPr>
                <w:rFonts w:ascii="Calibri" w:hAnsi="Calibri"/>
                <w:b w:val="0"/>
                <w:i w:val="0"/>
                <w:color w:val="212121"/>
                <w:sz w:val="16"/>
              </w:rPr>
              <w:t>All acute focal deficits, emergency triage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Insensitive for acute ischaemia; used to rule out bleed.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Carotid/vertebral imaging</w:t>
            </w:r>
          </w:p>
        </w:tc>
        <w:tc>
          <w:tcPr>
            <w:tcW w:type="dxa" w:w="892"/>
            <w:vAlign w:val="top"/>
          </w:tcPr>
          <w:p>
            <w:pPr>
              <w:spacing w:after="40" w:before="0" w:line="259" w:lineRule="auto"/>
            </w:pPr>
            <w:r>
              <w:rPr>
                <w:rFonts w:ascii="Calibri" w:hAnsi="Calibri"/>
                <w:b w:val="0"/>
                <w:i w:val="0"/>
                <w:color w:val="212121"/>
                <w:sz w:val="16"/>
              </w:rPr>
              <w:t>Carotid Doppler / CTA / MRA</w:t>
            </w:r>
          </w:p>
        </w:tc>
        <w:tc>
          <w:tcPr>
            <w:tcW w:type="dxa" w:w="950"/>
            <w:vAlign w:val="top"/>
          </w:tcPr>
          <w:p>
            <w:pPr>
              <w:spacing w:after="40" w:before="0" w:line="259" w:lineRule="auto"/>
            </w:pPr>
            <w:r>
              <w:rPr>
                <w:rFonts w:ascii="Calibri" w:hAnsi="Calibri"/>
                <w:b w:val="0"/>
                <w:i w:val="0"/>
                <w:color w:val="212121"/>
                <w:sz w:val="16"/>
              </w:rPr>
              <w:t>&lt;50% stenosis</w:t>
            </w:r>
          </w:p>
        </w:tc>
        <w:tc>
          <w:tcPr>
            <w:tcW w:type="dxa" w:w="950"/>
            <w:vAlign w:val="top"/>
          </w:tcPr>
          <w:p>
            <w:pPr>
              <w:spacing w:after="40" w:before="0" w:line="259" w:lineRule="auto"/>
            </w:pPr>
            <w:r>
              <w:rPr>
                <w:rFonts w:ascii="Calibri" w:hAnsi="Calibri"/>
                <w:b w:val="0"/>
                <w:i w:val="0"/>
                <w:color w:val="212121"/>
                <w:sz w:val="16"/>
              </w:rPr>
              <w:t>&gt;=50-70% stenosis or occlusion</w:t>
            </w:r>
          </w:p>
        </w:tc>
        <w:tc>
          <w:tcPr>
            <w:tcW w:type="dxa" w:w="1036"/>
            <w:vAlign w:val="top"/>
          </w:tcPr>
          <w:p>
            <w:pPr>
              <w:spacing w:after="40" w:before="0" w:line="259" w:lineRule="auto"/>
            </w:pPr>
            <w:r>
              <w:rPr>
                <w:rFonts w:ascii="Calibri" w:hAnsi="Calibri"/>
                <w:b w:val="0"/>
                <w:i w:val="0"/>
                <w:color w:val="212121"/>
                <w:sz w:val="16"/>
              </w:rPr>
              <w:t>Identifies surgically treatable large-artery source of emboli</w:t>
            </w:r>
          </w:p>
        </w:tc>
        <w:tc>
          <w:tcPr>
            <w:tcW w:type="dxa" w:w="1036"/>
            <w:vAlign w:val="top"/>
          </w:tcPr>
          <w:p>
            <w:pPr>
              <w:spacing w:after="40" w:before="0" w:line="259" w:lineRule="auto"/>
            </w:pPr>
            <w:r>
              <w:rPr>
                <w:rFonts w:ascii="Calibri" w:hAnsi="Calibri"/>
                <w:b w:val="0"/>
                <w:i w:val="0"/>
                <w:color w:val="212121"/>
                <w:sz w:val="16"/>
              </w:rPr>
              <w:t>Anterior-circulation TIA, amaurosis fugax, carotid bruit</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Symptomatic &gt;=70% stenosis: consider endarterectomy.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Cardiac rhythm</w:t>
            </w:r>
          </w:p>
        </w:tc>
        <w:tc>
          <w:tcPr>
            <w:tcW w:type="dxa" w:w="892"/>
            <w:vAlign w:val="top"/>
          </w:tcPr>
          <w:p>
            <w:pPr>
              <w:spacing w:after="40" w:before="0" w:line="259" w:lineRule="auto"/>
            </w:pPr>
            <w:r>
              <w:rPr>
                <w:rFonts w:ascii="Calibri" w:hAnsi="Calibri"/>
                <w:b w:val="0"/>
                <w:i w:val="0"/>
                <w:color w:val="212121"/>
                <w:sz w:val="16"/>
              </w:rPr>
              <w:t>12-lead ECG</w:t>
            </w:r>
          </w:p>
        </w:tc>
        <w:tc>
          <w:tcPr>
            <w:tcW w:type="dxa" w:w="950"/>
            <w:vAlign w:val="top"/>
          </w:tcPr>
          <w:p>
            <w:pPr>
              <w:spacing w:after="40" w:before="0" w:line="259" w:lineRule="auto"/>
            </w:pPr>
            <w:r>
              <w:rPr>
                <w:rFonts w:ascii="Calibri" w:hAnsi="Calibri"/>
                <w:b w:val="0"/>
                <w:i w:val="0"/>
                <w:color w:val="212121"/>
                <w:sz w:val="16"/>
              </w:rPr>
              <w:t>Sinus rhythm</w:t>
            </w:r>
          </w:p>
        </w:tc>
        <w:tc>
          <w:tcPr>
            <w:tcW w:type="dxa" w:w="950"/>
            <w:vAlign w:val="top"/>
          </w:tcPr>
          <w:p>
            <w:pPr>
              <w:spacing w:after="40" w:before="0" w:line="259" w:lineRule="auto"/>
            </w:pPr>
            <w:r>
              <w:rPr>
                <w:rFonts w:ascii="Calibri" w:hAnsi="Calibri"/>
                <w:b w:val="0"/>
                <w:i w:val="0"/>
                <w:color w:val="212121"/>
                <w:sz w:val="16"/>
              </w:rPr>
              <w:t>Atrial fibrillation/flutter, ischaemic changes</w:t>
            </w:r>
          </w:p>
        </w:tc>
        <w:tc>
          <w:tcPr>
            <w:tcW w:type="dxa" w:w="1036"/>
            <w:vAlign w:val="top"/>
          </w:tcPr>
          <w:p>
            <w:pPr>
              <w:spacing w:after="40" w:before="0" w:line="259" w:lineRule="auto"/>
            </w:pPr>
            <w:r>
              <w:rPr>
                <w:rFonts w:ascii="Calibri" w:hAnsi="Calibri"/>
                <w:b w:val="0"/>
                <w:i w:val="0"/>
                <w:color w:val="212121"/>
                <w:sz w:val="16"/>
              </w:rPr>
              <w:t>Detects a cardioembolic source and coexisting cardiac disease</w:t>
            </w:r>
          </w:p>
        </w:tc>
        <w:tc>
          <w:tcPr>
            <w:tcW w:type="dxa" w:w="1036"/>
            <w:vAlign w:val="top"/>
          </w:tcPr>
          <w:p>
            <w:pPr>
              <w:spacing w:after="40" w:before="0" w:line="259" w:lineRule="auto"/>
            </w:pPr>
            <w:r>
              <w:rPr>
                <w:rFonts w:ascii="Calibri" w:hAnsi="Calibri"/>
                <w:b w:val="0"/>
                <w:i w:val="0"/>
                <w:color w:val="212121"/>
                <w:sz w:val="16"/>
              </w:rPr>
              <w:t>All TIA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Single ECG may miss paroxysmal AF.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Prolonged rhythm monitoring</w:t>
            </w:r>
          </w:p>
        </w:tc>
        <w:tc>
          <w:tcPr>
            <w:tcW w:type="dxa" w:w="892"/>
            <w:vAlign w:val="top"/>
          </w:tcPr>
          <w:p>
            <w:pPr>
              <w:spacing w:after="40" w:before="0" w:line="259" w:lineRule="auto"/>
            </w:pPr>
            <w:r>
              <w:rPr>
                <w:rFonts w:ascii="Calibri" w:hAnsi="Calibri"/>
                <w:b w:val="0"/>
                <w:i w:val="0"/>
                <w:color w:val="212121"/>
                <w:sz w:val="16"/>
              </w:rPr>
              <w:t>Holter / extended telemetry</w:t>
            </w:r>
          </w:p>
        </w:tc>
        <w:tc>
          <w:tcPr>
            <w:tcW w:type="dxa" w:w="950"/>
            <w:vAlign w:val="top"/>
          </w:tcPr>
          <w:p>
            <w:pPr>
              <w:spacing w:after="40" w:before="0" w:line="259" w:lineRule="auto"/>
            </w:pPr>
            <w:r>
              <w:rPr>
                <w:rFonts w:ascii="Calibri" w:hAnsi="Calibri"/>
                <w:b w:val="0"/>
                <w:i w:val="0"/>
                <w:color w:val="212121"/>
                <w:sz w:val="16"/>
              </w:rPr>
              <w:t>No arrhythmia</w:t>
            </w:r>
          </w:p>
        </w:tc>
        <w:tc>
          <w:tcPr>
            <w:tcW w:type="dxa" w:w="950"/>
            <w:vAlign w:val="top"/>
          </w:tcPr>
          <w:p>
            <w:pPr>
              <w:spacing w:after="40" w:before="0" w:line="259" w:lineRule="auto"/>
            </w:pPr>
            <w:r>
              <w:rPr>
                <w:rFonts w:ascii="Calibri" w:hAnsi="Calibri"/>
                <w:b w:val="0"/>
                <w:i w:val="0"/>
                <w:color w:val="212121"/>
                <w:sz w:val="16"/>
              </w:rPr>
              <w:t>Paroxysmal atrial fibrillation</w:t>
            </w:r>
          </w:p>
        </w:tc>
        <w:tc>
          <w:tcPr>
            <w:tcW w:type="dxa" w:w="1036"/>
            <w:vAlign w:val="top"/>
          </w:tcPr>
          <w:p>
            <w:pPr>
              <w:spacing w:after="40" w:before="0" w:line="259" w:lineRule="auto"/>
            </w:pPr>
            <w:r>
              <w:rPr>
                <w:rFonts w:ascii="Calibri" w:hAnsi="Calibri"/>
                <w:b w:val="0"/>
                <w:i w:val="0"/>
                <w:color w:val="212121"/>
                <w:sz w:val="16"/>
              </w:rPr>
              <w:t>Extended monitoring markedly increases AF detection and changes therapy to anticoagulation</w:t>
            </w:r>
          </w:p>
        </w:tc>
        <w:tc>
          <w:tcPr>
            <w:tcW w:type="dxa" w:w="1036"/>
            <w:vAlign w:val="top"/>
          </w:tcPr>
          <w:p>
            <w:pPr>
              <w:spacing w:after="40" w:before="0" w:line="259" w:lineRule="auto"/>
            </w:pPr>
            <w:r>
              <w:rPr>
                <w:rFonts w:ascii="Calibri" w:hAnsi="Calibri"/>
                <w:b w:val="0"/>
                <w:i w:val="0"/>
                <w:color w:val="212121"/>
                <w:sz w:val="16"/>
              </w:rPr>
              <w:t>Cryptogenic TIA, elderly, 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Longer monitoring yields higher AF pickup.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Cardiac structure/source</w:t>
            </w:r>
          </w:p>
        </w:tc>
        <w:tc>
          <w:tcPr>
            <w:tcW w:type="dxa" w:w="892"/>
            <w:vAlign w:val="top"/>
          </w:tcPr>
          <w:p>
            <w:pPr>
              <w:spacing w:after="40" w:before="0" w:line="259" w:lineRule="auto"/>
            </w:pPr>
            <w:r>
              <w:rPr>
                <w:rFonts w:ascii="Calibri" w:hAnsi="Calibri"/>
                <w:b w:val="0"/>
                <w:i w:val="0"/>
                <w:color w:val="212121"/>
                <w:sz w:val="16"/>
              </w:rPr>
              <w:t>Echocardiography (TTE/TEE)</w:t>
            </w:r>
          </w:p>
        </w:tc>
        <w:tc>
          <w:tcPr>
            <w:tcW w:type="dxa" w:w="950"/>
            <w:vAlign w:val="top"/>
          </w:tcPr>
          <w:p>
            <w:pPr>
              <w:spacing w:after="40" w:before="0" w:line="259" w:lineRule="auto"/>
            </w:pPr>
            <w:r>
              <w:rPr>
                <w:rFonts w:ascii="Calibri" w:hAnsi="Calibri"/>
                <w:b w:val="0"/>
                <w:i w:val="0"/>
                <w:color w:val="212121"/>
                <w:sz w:val="16"/>
              </w:rPr>
              <w:t>No cardiac source</w:t>
            </w:r>
          </w:p>
        </w:tc>
        <w:tc>
          <w:tcPr>
            <w:tcW w:type="dxa" w:w="950"/>
            <w:vAlign w:val="top"/>
          </w:tcPr>
          <w:p>
            <w:pPr>
              <w:spacing w:after="40" w:before="0" w:line="259" w:lineRule="auto"/>
            </w:pPr>
            <w:r>
              <w:rPr>
                <w:rFonts w:ascii="Calibri" w:hAnsi="Calibri"/>
                <w:b w:val="0"/>
                <w:i w:val="0"/>
                <w:color w:val="212121"/>
                <w:sz w:val="16"/>
              </w:rPr>
              <w:t>Thrombus, valvular/rheumatic disease, PFO, low ejection fraction</w:t>
            </w:r>
          </w:p>
        </w:tc>
        <w:tc>
          <w:tcPr>
            <w:tcW w:type="dxa" w:w="1036"/>
            <w:vAlign w:val="top"/>
          </w:tcPr>
          <w:p>
            <w:pPr>
              <w:spacing w:after="40" w:before="0" w:line="259" w:lineRule="auto"/>
            </w:pPr>
            <w:r>
              <w:rPr>
                <w:rFonts w:ascii="Calibri" w:hAnsi="Calibri"/>
                <w:b w:val="0"/>
                <w:i w:val="0"/>
                <w:color w:val="212121"/>
                <w:sz w:val="16"/>
              </w:rPr>
              <w:t>Defines cardioembolic mechanism, important in India where rheumatic disease persists</w:t>
            </w:r>
          </w:p>
        </w:tc>
        <w:tc>
          <w:tcPr>
            <w:tcW w:type="dxa" w:w="1036"/>
            <w:vAlign w:val="top"/>
          </w:tcPr>
          <w:p>
            <w:pPr>
              <w:spacing w:after="40" w:before="0" w:line="259" w:lineRule="auto"/>
            </w:pPr>
            <w:r>
              <w:rPr>
                <w:rFonts w:ascii="Calibri" w:hAnsi="Calibri"/>
                <w:b w:val="0"/>
                <w:i w:val="0"/>
                <w:color w:val="212121"/>
                <w:sz w:val="16"/>
              </w:rPr>
              <w:t>Suspected cardioembolism, young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TEE more sensitive for atrial/valve sources.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Glycaemic status</w:t>
            </w:r>
          </w:p>
        </w:tc>
        <w:tc>
          <w:tcPr>
            <w:tcW w:type="dxa" w:w="892"/>
            <w:vAlign w:val="top"/>
          </w:tcPr>
          <w:p>
            <w:pPr>
              <w:spacing w:after="40" w:before="0" w:line="259" w:lineRule="auto"/>
            </w:pPr>
            <w:r>
              <w:rPr>
                <w:rFonts w:ascii="Calibri" w:hAnsi="Calibri"/>
                <w:b w:val="0"/>
                <w:i w:val="0"/>
                <w:color w:val="212121"/>
                <w:sz w:val="16"/>
              </w:rPr>
              <w:t>Fasting glucose &amp; HbA1c</w:t>
            </w:r>
          </w:p>
        </w:tc>
        <w:tc>
          <w:tcPr>
            <w:tcW w:type="dxa" w:w="950"/>
            <w:vAlign w:val="top"/>
          </w:tcPr>
          <w:p>
            <w:pPr>
              <w:spacing w:after="40" w:before="0" w:line="259" w:lineRule="auto"/>
            </w:pPr>
            <w:r>
              <w:rPr>
                <w:rFonts w:ascii="Calibri" w:hAnsi="Calibri"/>
                <w:b w:val="0"/>
                <w:i w:val="0"/>
                <w:color w:val="212121"/>
                <w:sz w:val="16"/>
              </w:rPr>
              <w:t>Glucose &lt;100 mg/dL; HbA1c &lt;5.7%</w:t>
            </w:r>
          </w:p>
        </w:tc>
        <w:tc>
          <w:tcPr>
            <w:tcW w:type="dxa" w:w="950"/>
            <w:vAlign w:val="top"/>
          </w:tcPr>
          <w:p>
            <w:pPr>
              <w:spacing w:after="40" w:before="0" w:line="259" w:lineRule="auto"/>
            </w:pPr>
            <w:r>
              <w:rPr>
                <w:rFonts w:ascii="Calibri" w:hAnsi="Calibri"/>
                <w:b w:val="0"/>
                <w:i w:val="0"/>
                <w:color w:val="212121"/>
                <w:sz w:val="16"/>
              </w:rPr>
              <w:t>Glucose &gt;=126 mg/dL; HbA1c &gt;=6.5%</w:t>
            </w:r>
          </w:p>
        </w:tc>
        <w:tc>
          <w:tcPr>
            <w:tcW w:type="dxa" w:w="1036"/>
            <w:vAlign w:val="top"/>
          </w:tcPr>
          <w:p>
            <w:pPr>
              <w:spacing w:after="40" w:before="0" w:line="259" w:lineRule="auto"/>
            </w:pPr>
            <w:r>
              <w:rPr>
                <w:rFonts w:ascii="Calibri" w:hAnsi="Calibri"/>
                <w:b w:val="0"/>
                <w:i w:val="0"/>
                <w:color w:val="212121"/>
                <w:sz w:val="16"/>
              </w:rPr>
              <w:t>Identifies diabetes, a major and modifiable risk factor and ABCD2 component</w:t>
            </w:r>
          </w:p>
        </w:tc>
        <w:tc>
          <w:tcPr>
            <w:tcW w:type="dxa" w:w="1036"/>
            <w:vAlign w:val="top"/>
          </w:tcPr>
          <w:p>
            <w:pPr>
              <w:spacing w:after="40" w:before="0" w:line="259" w:lineRule="auto"/>
            </w:pPr>
            <w:r>
              <w:rPr>
                <w:rFonts w:ascii="Calibri" w:hAnsi="Calibri"/>
                <w:b w:val="0"/>
                <w:i w:val="0"/>
                <w:color w:val="212121"/>
                <w:sz w:val="16"/>
              </w:rPr>
              <w:t>All TIA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Also excludes hypoglycaemia as a mimic.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Lipid profile</w:t>
            </w:r>
          </w:p>
        </w:tc>
        <w:tc>
          <w:tcPr>
            <w:tcW w:type="dxa" w:w="892"/>
            <w:vAlign w:val="top"/>
          </w:tcPr>
          <w:p>
            <w:pPr>
              <w:spacing w:after="40" w:before="0" w:line="259" w:lineRule="auto"/>
            </w:pPr>
            <w:r>
              <w:rPr>
                <w:rFonts w:ascii="Calibri" w:hAnsi="Calibri"/>
                <w:b w:val="0"/>
                <w:i w:val="0"/>
                <w:color w:val="212121"/>
                <w:sz w:val="16"/>
              </w:rPr>
              <w:t>Fasting Lipids</w:t>
            </w:r>
          </w:p>
        </w:tc>
        <w:tc>
          <w:tcPr>
            <w:tcW w:type="dxa" w:w="950"/>
            <w:vAlign w:val="top"/>
          </w:tcPr>
          <w:p>
            <w:pPr>
              <w:spacing w:after="40" w:before="0" w:line="259" w:lineRule="auto"/>
            </w:pPr>
            <w:r>
              <w:rPr>
                <w:rFonts w:ascii="Calibri" w:hAnsi="Calibri"/>
                <w:b w:val="0"/>
                <w:i w:val="0"/>
                <w:color w:val="212121"/>
                <w:sz w:val="16"/>
              </w:rPr>
              <w:t>LDL &lt;100 mg/dL</w:t>
            </w:r>
          </w:p>
        </w:tc>
        <w:tc>
          <w:tcPr>
            <w:tcW w:type="dxa" w:w="950"/>
            <w:vAlign w:val="top"/>
          </w:tcPr>
          <w:p>
            <w:pPr>
              <w:spacing w:after="40" w:before="0" w:line="259" w:lineRule="auto"/>
            </w:pPr>
            <w:r>
              <w:rPr>
                <w:rFonts w:ascii="Calibri" w:hAnsi="Calibri"/>
                <w:b w:val="0"/>
                <w:i w:val="0"/>
                <w:color w:val="212121"/>
                <w:sz w:val="16"/>
              </w:rPr>
              <w:t>LDL &gt;=100; low HDL; high triglycerides</w:t>
            </w:r>
          </w:p>
        </w:tc>
        <w:tc>
          <w:tcPr>
            <w:tcW w:type="dxa" w:w="1036"/>
            <w:vAlign w:val="top"/>
          </w:tcPr>
          <w:p>
            <w:pPr>
              <w:spacing w:after="40" w:before="0" w:line="259" w:lineRule="auto"/>
            </w:pPr>
            <w:r>
              <w:rPr>
                <w:rFonts w:ascii="Calibri" w:hAnsi="Calibri"/>
                <w:b w:val="0"/>
                <w:i w:val="0"/>
                <w:color w:val="212121"/>
                <w:sz w:val="16"/>
              </w:rPr>
              <w:t>Guides high-intensity statin therapy for secondary prevention</w:t>
            </w:r>
          </w:p>
        </w:tc>
        <w:tc>
          <w:tcPr>
            <w:tcW w:type="dxa" w:w="1036"/>
            <w:vAlign w:val="top"/>
          </w:tcPr>
          <w:p>
            <w:pPr>
              <w:spacing w:after="40" w:before="0" w:line="259" w:lineRule="auto"/>
            </w:pPr>
            <w:r>
              <w:rPr>
                <w:rFonts w:ascii="Calibri" w:hAnsi="Calibri"/>
                <w:b w:val="0"/>
                <w:i w:val="0"/>
                <w:color w:val="212121"/>
                <w:sz w:val="16"/>
              </w:rPr>
              <w:t>All TIA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Target LDL &lt;70 mg/dL after TIA.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Haematology &amp; thrombophilia</w:t>
            </w:r>
          </w:p>
        </w:tc>
        <w:tc>
          <w:tcPr>
            <w:tcW w:type="dxa" w:w="892"/>
            <w:vAlign w:val="top"/>
          </w:tcPr>
          <w:p>
            <w:pPr>
              <w:spacing w:after="40" w:before="0" w:line="259" w:lineRule="auto"/>
            </w:pPr>
            <w:r>
              <w:rPr>
                <w:rFonts w:ascii="Calibri" w:hAnsi="Calibri"/>
                <w:b w:val="0"/>
                <w:i w:val="0"/>
                <w:color w:val="212121"/>
                <w:sz w:val="16"/>
              </w:rPr>
              <w:t>CBC, ESR, coagulation, homocysteine</w:t>
            </w:r>
          </w:p>
        </w:tc>
        <w:tc>
          <w:tcPr>
            <w:tcW w:type="dxa" w:w="950"/>
            <w:vAlign w:val="top"/>
          </w:tcPr>
          <w:p>
            <w:pPr>
              <w:spacing w:after="40" w:before="0" w:line="259" w:lineRule="auto"/>
            </w:pPr>
            <w:r>
              <w:rPr>
                <w:rFonts w:ascii="Calibri" w:hAnsi="Calibri"/>
                <w:b w:val="0"/>
                <w:i w:val="0"/>
                <w:color w:val="212121"/>
                <w:sz w:val="16"/>
              </w:rPr>
              <w:t>Within normal limits</w:t>
            </w:r>
          </w:p>
        </w:tc>
        <w:tc>
          <w:tcPr>
            <w:tcW w:type="dxa" w:w="950"/>
            <w:vAlign w:val="top"/>
          </w:tcPr>
          <w:p>
            <w:pPr>
              <w:spacing w:after="40" w:before="0" w:line="259" w:lineRule="auto"/>
            </w:pPr>
            <w:r>
              <w:rPr>
                <w:rFonts w:ascii="Calibri" w:hAnsi="Calibri"/>
                <w:b w:val="0"/>
                <w:i w:val="0"/>
                <w:color w:val="212121"/>
                <w:sz w:val="16"/>
              </w:rPr>
              <w:t>Polycythaemia, thrombocytosis, raised ESR (vasculitis), coagulopathy, hyperhomocysteinaemia</w:t>
            </w:r>
          </w:p>
        </w:tc>
        <w:tc>
          <w:tcPr>
            <w:tcW w:type="dxa" w:w="1036"/>
            <w:vAlign w:val="top"/>
          </w:tcPr>
          <w:p>
            <w:pPr>
              <w:spacing w:after="40" w:before="0" w:line="259" w:lineRule="auto"/>
            </w:pPr>
            <w:r>
              <w:rPr>
                <w:rFonts w:ascii="Calibri" w:hAnsi="Calibri"/>
                <w:b w:val="0"/>
                <w:i w:val="0"/>
                <w:color w:val="212121"/>
                <w:sz w:val="16"/>
              </w:rPr>
              <w:t>Screens haematological, inflammatory and prothrombotic causes, especially in young patients</w:t>
            </w:r>
          </w:p>
        </w:tc>
        <w:tc>
          <w:tcPr>
            <w:tcW w:type="dxa" w:w="1036"/>
            <w:vAlign w:val="top"/>
          </w:tcPr>
          <w:p>
            <w:pPr>
              <w:spacing w:after="40" w:before="0" w:line="259" w:lineRule="auto"/>
            </w:pPr>
            <w:r>
              <w:rPr>
                <w:rFonts w:ascii="Calibri" w:hAnsi="Calibri"/>
                <w:b w:val="0"/>
                <w:i w:val="0"/>
                <w:color w:val="212121"/>
                <w:sz w:val="16"/>
              </w:rPr>
              <w:t>Young stroke, cryptogenic TIA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Extend workup in patients under 45.</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Sudden focal deficit now resolved (weakness, dysphasia, amaurosis fugax, vertigo)</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Transient focal neurological deficit</w:t>
            </w:r>
          </w:p>
        </w:tc>
        <w:tc>
          <w:tcPr>
            <w:tcW w:type="dxa" w:w="1036"/>
            <w:vAlign w:val="top"/>
          </w:tcPr>
          <w:p>
            <w:pPr>
              <w:spacing w:after="40" w:before="0" w:line="259" w:lineRule="auto"/>
            </w:pPr>
            <w:r>
              <w:rPr>
                <w:rFonts w:ascii="Calibri" w:hAnsi="Calibri"/>
                <w:b w:val="0"/>
                <w:i w:val="0"/>
                <w:color w:val="212121"/>
                <w:sz w:val="16"/>
              </w:rPr>
              <w:t>Hallmark of TIA; maximal at onset with full recovery</w:t>
            </w:r>
          </w:p>
        </w:tc>
        <w:tc>
          <w:tcPr>
            <w:tcW w:type="dxa" w:w="1036"/>
            <w:vAlign w:val="top"/>
          </w:tcPr>
          <w:p>
            <w:pPr>
              <w:spacing w:after="40" w:before="0" w:line="259" w:lineRule="auto"/>
            </w:pPr>
            <w:r>
              <w:rPr>
                <w:rFonts w:ascii="Calibri" w:hAnsi="Calibri"/>
                <w:b w:val="0"/>
                <w:i w:val="0"/>
                <w:color w:val="212121"/>
                <w:sz w:val="16"/>
              </w:rPr>
              <w:t>Adults/elderly with transient focal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Take a witness account; symptoms may have fully resolved.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ABCD2 risk score</w:t>
            </w:r>
          </w:p>
        </w:tc>
        <w:tc>
          <w:tcPr>
            <w:tcW w:type="dxa" w:w="979"/>
            <w:vAlign w:val="top"/>
          </w:tcPr>
          <w:p>
            <w:pPr>
              <w:spacing w:after="40" w:before="0" w:line="259" w:lineRule="auto"/>
            </w:pPr>
            <w:r>
              <w:rPr>
                <w:rFonts w:ascii="Calibri" w:hAnsi="Calibri"/>
                <w:b w:val="0"/>
                <w:i w:val="0"/>
                <w:color w:val="212121"/>
                <w:sz w:val="16"/>
              </w:rPr>
              <w:t>Age, Blood pressure, Clinical features, Duration, Diabetes</w:t>
            </w:r>
          </w:p>
        </w:tc>
        <w:tc>
          <w:tcPr>
            <w:tcW w:type="dxa" w:w="950"/>
            <w:vAlign w:val="top"/>
          </w:tcPr>
          <w:p>
            <w:pPr>
              <w:spacing w:after="40" w:before="0" w:line="259" w:lineRule="auto"/>
            </w:pPr>
            <w:r>
              <w:rPr>
                <w:rFonts w:ascii="Calibri" w:hAnsi="Calibri"/>
                <w:b w:val="0"/>
                <w:i w:val="0"/>
                <w:color w:val="212121"/>
                <w:sz w:val="16"/>
              </w:rPr>
              <w:t>0-3 (lower early risk)</w:t>
            </w:r>
          </w:p>
        </w:tc>
        <w:tc>
          <w:tcPr>
            <w:tcW w:type="dxa" w:w="950"/>
            <w:vAlign w:val="top"/>
          </w:tcPr>
          <w:p>
            <w:pPr>
              <w:spacing w:after="40" w:before="0" w:line="259" w:lineRule="auto"/>
            </w:pPr>
            <w:r>
              <w:rPr>
                <w:rFonts w:ascii="Calibri" w:hAnsi="Calibri"/>
                <w:b w:val="0"/>
                <w:i w:val="0"/>
                <w:color w:val="212121"/>
                <w:sz w:val="16"/>
              </w:rPr>
              <w:t>&gt;=4 (high early stroke risk)</w:t>
            </w:r>
          </w:p>
        </w:tc>
        <w:tc>
          <w:tcPr>
            <w:tcW w:type="dxa" w:w="1036"/>
            <w:vAlign w:val="top"/>
          </w:tcPr>
          <w:p>
            <w:pPr>
              <w:spacing w:after="40" w:before="0" w:line="259" w:lineRule="auto"/>
            </w:pPr>
            <w:r>
              <w:rPr>
                <w:rFonts w:ascii="Calibri" w:hAnsi="Calibri"/>
                <w:b w:val="0"/>
                <w:i w:val="0"/>
                <w:color w:val="212121"/>
                <w:sz w:val="16"/>
              </w:rPr>
              <w:t>Triages urgency; score &gt;=4 warrants admission and expedited workup</w:t>
            </w:r>
          </w:p>
        </w:tc>
        <w:tc>
          <w:tcPr>
            <w:tcW w:type="dxa" w:w="1036"/>
            <w:vAlign w:val="top"/>
          </w:tcPr>
          <w:p>
            <w:pPr>
              <w:spacing w:after="40" w:before="0" w:line="259" w:lineRule="auto"/>
            </w:pPr>
            <w:r>
              <w:rPr>
                <w:rFonts w:ascii="Calibri" w:hAnsi="Calibri"/>
                <w:b w:val="0"/>
                <w:i w:val="0"/>
                <w:color w:val="212121"/>
                <w:sz w:val="16"/>
              </w:rPr>
              <w:t>All TIA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2-day stroke risk rises steeply with score.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Vascular risk &amp; family history</w:t>
            </w:r>
          </w:p>
        </w:tc>
        <w:tc>
          <w:tcPr>
            <w:tcW w:type="dxa" w:w="979"/>
            <w:vAlign w:val="top"/>
          </w:tcPr>
          <w:p>
            <w:pPr>
              <w:spacing w:after="40" w:before="0" w:line="259" w:lineRule="auto"/>
            </w:pPr>
            <w:r>
              <w:rPr>
                <w:rFonts w:ascii="Calibri" w:hAnsi="Calibri"/>
                <w:b w:val="0"/>
                <w:i w:val="0"/>
                <w:color w:val="212121"/>
                <w:sz w:val="16"/>
              </w:rPr>
              <w:t>Hypertension, diabetes, AF, smoking, prior TIA, family history</w:t>
            </w:r>
          </w:p>
        </w:tc>
        <w:tc>
          <w:tcPr>
            <w:tcW w:type="dxa" w:w="950"/>
            <w:vAlign w:val="top"/>
          </w:tcPr>
          <w:p>
            <w:pPr>
              <w:spacing w:after="40" w:before="0" w:line="259" w:lineRule="auto"/>
            </w:pPr>
            <w:r>
              <w:rPr>
                <w:rFonts w:ascii="Calibri" w:hAnsi="Calibri"/>
                <w:b w:val="0"/>
                <w:i w:val="0"/>
                <w:color w:val="212121"/>
                <w:sz w:val="16"/>
              </w:rPr>
              <w:t>No risk factors</w:t>
            </w:r>
          </w:p>
        </w:tc>
        <w:tc>
          <w:tcPr>
            <w:tcW w:type="dxa" w:w="950"/>
            <w:vAlign w:val="top"/>
          </w:tcPr>
          <w:p>
            <w:pPr>
              <w:spacing w:after="40" w:before="0" w:line="259" w:lineRule="auto"/>
            </w:pPr>
            <w:r>
              <w:rPr>
                <w:rFonts w:ascii="Calibri" w:hAnsi="Calibri"/>
                <w:b w:val="0"/>
                <w:i w:val="0"/>
                <w:color w:val="212121"/>
                <w:sz w:val="16"/>
              </w:rPr>
              <w:t>&gt;=1 present</w:t>
            </w:r>
          </w:p>
        </w:tc>
        <w:tc>
          <w:tcPr>
            <w:tcW w:type="dxa" w:w="1036"/>
            <w:vAlign w:val="top"/>
          </w:tcPr>
          <w:p>
            <w:pPr>
              <w:spacing w:after="40" w:before="0" w:line="259" w:lineRule="auto"/>
            </w:pPr>
            <w:r>
              <w:rPr>
                <w:rFonts w:ascii="Calibri" w:hAnsi="Calibri"/>
                <w:b w:val="0"/>
                <w:i w:val="0"/>
                <w:color w:val="212121"/>
                <w:sz w:val="16"/>
              </w:rPr>
              <w:t>Defines mechanism and secondary-prevention targets</w:t>
            </w:r>
          </w:p>
        </w:tc>
        <w:tc>
          <w:tcPr>
            <w:tcW w:type="dxa" w:w="1036"/>
            <w:vAlign w:val="top"/>
          </w:tcPr>
          <w:p>
            <w:pPr>
              <w:spacing w:after="40" w:before="0" w:line="259" w:lineRule="auto"/>
            </w:pPr>
            <w:r>
              <w:rPr>
                <w:rFonts w:ascii="Calibri" w:hAnsi="Calibri"/>
                <w:b w:val="0"/>
                <w:i w:val="0"/>
                <w:color w:val="212121"/>
                <w:sz w:val="16"/>
              </w:rPr>
              <w:t>First-degree relatives of stroke patients, high-risk adults</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examination (FAST/NIHSS)</w:t>
            </w:r>
          </w:p>
        </w:tc>
        <w:tc>
          <w:tcPr>
            <w:tcW w:type="dxa" w:w="979"/>
            <w:vAlign w:val="top"/>
          </w:tcPr>
          <w:p>
            <w:pPr>
              <w:spacing w:after="40" w:before="0" w:line="259" w:lineRule="auto"/>
            </w:pPr>
            <w:r>
              <w:rPr>
                <w:rFonts w:ascii="Calibri" w:hAnsi="Calibri"/>
                <w:b w:val="0"/>
                <w:i w:val="0"/>
                <w:color w:val="212121"/>
                <w:sz w:val="16"/>
              </w:rPr>
              <w:t>Face, arm, speech, gaze and visual fields</w:t>
            </w:r>
          </w:p>
        </w:tc>
        <w:tc>
          <w:tcPr>
            <w:tcW w:type="dxa" w:w="950"/>
            <w:vAlign w:val="top"/>
          </w:tcPr>
          <w:p>
            <w:pPr>
              <w:spacing w:after="40" w:before="0" w:line="259" w:lineRule="auto"/>
            </w:pPr>
            <w:r>
              <w:rPr>
                <w:rFonts w:ascii="Calibri" w:hAnsi="Calibri"/>
                <w:b w:val="0"/>
                <w:i w:val="0"/>
                <w:color w:val="212121"/>
                <w:sz w:val="16"/>
              </w:rPr>
              <w:t>Normal examination</w:t>
            </w:r>
          </w:p>
        </w:tc>
        <w:tc>
          <w:tcPr>
            <w:tcW w:type="dxa" w:w="950"/>
            <w:vAlign w:val="top"/>
          </w:tcPr>
          <w:p>
            <w:pPr>
              <w:spacing w:after="40" w:before="0" w:line="259" w:lineRule="auto"/>
            </w:pPr>
            <w:r>
              <w:rPr>
                <w:rFonts w:ascii="Calibri" w:hAnsi="Calibri"/>
                <w:b w:val="0"/>
                <w:i w:val="0"/>
                <w:color w:val="212121"/>
                <w:sz w:val="16"/>
              </w:rPr>
              <w:t>Any residual deficit indicates stroke rather than TIA</w:t>
            </w:r>
          </w:p>
        </w:tc>
        <w:tc>
          <w:tcPr>
            <w:tcW w:type="dxa" w:w="1036"/>
            <w:vAlign w:val="top"/>
          </w:tcPr>
          <w:p>
            <w:pPr>
              <w:spacing w:after="40" w:before="0" w:line="259" w:lineRule="auto"/>
            </w:pPr>
            <w:r>
              <w:rPr>
                <w:rFonts w:ascii="Calibri" w:hAnsi="Calibri"/>
                <w:b w:val="0"/>
                <w:i w:val="0"/>
                <w:color w:val="212121"/>
                <w:sz w:val="16"/>
              </w:rPr>
              <w:t>Confirms complete resolution versus ongoing deficit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A normal exam does not exclude TIA.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Cardiovascular examination</w:t>
            </w:r>
          </w:p>
        </w:tc>
        <w:tc>
          <w:tcPr>
            <w:tcW w:type="dxa" w:w="979"/>
            <w:vAlign w:val="top"/>
          </w:tcPr>
          <w:p>
            <w:pPr>
              <w:spacing w:after="40" w:before="0" w:line="259" w:lineRule="auto"/>
            </w:pPr>
            <w:r>
              <w:rPr>
                <w:rFonts w:ascii="Calibri" w:hAnsi="Calibri"/>
                <w:b w:val="0"/>
                <w:i w:val="0"/>
                <w:color w:val="212121"/>
                <w:sz w:val="16"/>
              </w:rPr>
              <w:t>Pulse rhythm, BP in both arms, carotid bruit, cardiac murmur</w:t>
            </w:r>
          </w:p>
        </w:tc>
        <w:tc>
          <w:tcPr>
            <w:tcW w:type="dxa" w:w="950"/>
            <w:vAlign w:val="top"/>
          </w:tcPr>
          <w:p>
            <w:pPr>
              <w:spacing w:after="40" w:before="0" w:line="259" w:lineRule="auto"/>
            </w:pPr>
            <w:r>
              <w:rPr>
                <w:rFonts w:ascii="Calibri" w:hAnsi="Calibri"/>
                <w:b w:val="0"/>
                <w:i w:val="0"/>
                <w:color w:val="212121"/>
                <w:sz w:val="16"/>
              </w:rPr>
              <w:t>Regular pulse, no bruit or murmur</w:t>
            </w:r>
          </w:p>
        </w:tc>
        <w:tc>
          <w:tcPr>
            <w:tcW w:type="dxa" w:w="950"/>
            <w:vAlign w:val="top"/>
          </w:tcPr>
          <w:p>
            <w:pPr>
              <w:spacing w:after="40" w:before="0" w:line="259" w:lineRule="auto"/>
            </w:pPr>
            <w:r>
              <w:rPr>
                <w:rFonts w:ascii="Calibri" w:hAnsi="Calibri"/>
                <w:b w:val="0"/>
                <w:i w:val="0"/>
                <w:color w:val="212121"/>
                <w:sz w:val="16"/>
              </w:rPr>
              <w:t>Irregularly irregular pulse (AF), carotid bruit, valvular murmur (RHD)</w:t>
            </w:r>
          </w:p>
        </w:tc>
        <w:tc>
          <w:tcPr>
            <w:tcW w:type="dxa" w:w="1036"/>
            <w:vAlign w:val="top"/>
          </w:tcPr>
          <w:p>
            <w:pPr>
              <w:spacing w:after="40" w:before="0" w:line="259" w:lineRule="auto"/>
            </w:pPr>
            <w:r>
              <w:rPr>
                <w:rFonts w:ascii="Calibri" w:hAnsi="Calibri"/>
                <w:b w:val="0"/>
                <w:i w:val="0"/>
                <w:color w:val="212121"/>
                <w:sz w:val="16"/>
              </w:rPr>
              <w:t>Localises cardioembolic or large-artery source</w:t>
            </w:r>
          </w:p>
        </w:tc>
        <w:tc>
          <w:tcPr>
            <w:tcW w:type="dxa" w:w="1036"/>
            <w:vAlign w:val="top"/>
          </w:tcPr>
          <w:p>
            <w:pPr>
              <w:spacing w:after="40" w:before="0" w:line="259" w:lineRule="auto"/>
            </w:pPr>
            <w:r>
              <w:rPr>
                <w:rFonts w:ascii="Calibri" w:hAnsi="Calibri"/>
                <w:b w:val="0"/>
                <w:i w:val="0"/>
                <w:color w:val="212121"/>
                <w:sz w:val="16"/>
              </w:rPr>
              <w:t>Elderly, palpitations, suspected cardioembolism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Check BP in both arms for subclavian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Fundoscopy</w:t>
            </w:r>
          </w:p>
        </w:tc>
        <w:tc>
          <w:tcPr>
            <w:tcW w:type="dxa" w:w="979"/>
            <w:vAlign w:val="top"/>
          </w:tcPr>
          <w:p>
            <w:pPr>
              <w:spacing w:after="40" w:before="0" w:line="259" w:lineRule="auto"/>
            </w:pPr>
            <w:r>
              <w:rPr>
                <w:rFonts w:ascii="Calibri" w:hAnsi="Calibri"/>
                <w:b w:val="0"/>
                <w:i w:val="0"/>
                <w:color w:val="212121"/>
                <w:sz w:val="16"/>
              </w:rPr>
              <w:t>Retinal examination</w:t>
            </w:r>
          </w:p>
        </w:tc>
        <w:tc>
          <w:tcPr>
            <w:tcW w:type="dxa" w:w="950"/>
            <w:vAlign w:val="top"/>
          </w:tcPr>
          <w:p>
            <w:pPr>
              <w:spacing w:after="40" w:before="0" w:line="259" w:lineRule="auto"/>
            </w:pPr>
            <w:r>
              <w:rPr>
                <w:rFonts w:ascii="Calibri" w:hAnsi="Calibri"/>
                <w:b w:val="0"/>
                <w:i w:val="0"/>
                <w:color w:val="212121"/>
                <w:sz w:val="16"/>
              </w:rPr>
              <w:t>Normal retina</w:t>
            </w:r>
          </w:p>
        </w:tc>
        <w:tc>
          <w:tcPr>
            <w:tcW w:type="dxa" w:w="950"/>
            <w:vAlign w:val="top"/>
          </w:tcPr>
          <w:p>
            <w:pPr>
              <w:spacing w:after="40" w:before="0" w:line="259" w:lineRule="auto"/>
            </w:pPr>
            <w:r>
              <w:rPr>
                <w:rFonts w:ascii="Calibri" w:hAnsi="Calibri"/>
                <w:b w:val="0"/>
                <w:i w:val="0"/>
                <w:color w:val="212121"/>
                <w:sz w:val="16"/>
              </w:rPr>
              <w:t>Hollenhorst (cholesterol) plaque or retinal emboli</w:t>
            </w:r>
          </w:p>
        </w:tc>
        <w:tc>
          <w:tcPr>
            <w:tcW w:type="dxa" w:w="1036"/>
            <w:vAlign w:val="top"/>
          </w:tcPr>
          <w:p>
            <w:pPr>
              <w:spacing w:after="40" w:before="0" w:line="259" w:lineRule="auto"/>
            </w:pPr>
            <w:r>
              <w:rPr>
                <w:rFonts w:ascii="Calibri" w:hAnsi="Calibri"/>
                <w:b w:val="0"/>
                <w:i w:val="0"/>
                <w:color w:val="212121"/>
                <w:sz w:val="16"/>
              </w:rPr>
              <w:t>Direct evidence of a carotid embolic source in amaurosis fugax</w:t>
            </w:r>
          </w:p>
        </w:tc>
        <w:tc>
          <w:tcPr>
            <w:tcW w:type="dxa" w:w="1036"/>
            <w:vAlign w:val="top"/>
          </w:tcPr>
          <w:p>
            <w:pPr>
              <w:spacing w:after="40" w:before="0" w:line="259" w:lineRule="auto"/>
            </w:pPr>
            <w:r>
              <w:rPr>
                <w:rFonts w:ascii="Calibri" w:hAnsi="Calibri"/>
                <w:b w:val="0"/>
                <w:i w:val="0"/>
                <w:color w:val="212121"/>
                <w:sz w:val="16"/>
              </w:rPr>
              <w:t>Transient monocular visual loss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Points to ipsilateral carotid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Sudden unilateral weakness (face, arm or leg)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Contralateral motor pathway ischaemia; the classic FAST warning sign, resolving within minutes.</w:t>
            </w:r>
          </w:p>
        </w:tc>
      </w:tr>
      <w:tr>
        <w:trPr>
          <w:cantSplit/>
        </w:trPr>
        <w:tc>
          <w:tcPr>
            <w:tcW w:type="dxa" w:w="2304"/>
            <w:vAlign w:val="top"/>
          </w:tcPr>
          <w:p>
            <w:pPr>
              <w:spacing w:after="40" w:before="0" w:line="259" w:lineRule="auto"/>
            </w:pPr>
            <w:r>
              <w:rPr>
                <w:rFonts w:ascii="Calibri" w:hAnsi="Calibri"/>
                <w:b/>
                <w:i w:val="0"/>
                <w:color w:val="212121"/>
                <w:sz w:val="19"/>
              </w:rPr>
              <w:t>Facial droop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Lower-face weakness on one side, often the first noticed feature.</w:t>
            </w:r>
          </w:p>
        </w:tc>
      </w:tr>
      <w:tr>
        <w:trPr>
          <w:cantSplit/>
        </w:trPr>
        <w:tc>
          <w:tcPr>
            <w:tcW w:type="dxa" w:w="2304"/>
            <w:vAlign w:val="top"/>
          </w:tcPr>
          <w:p>
            <w:pPr>
              <w:spacing w:after="40" w:before="0" w:line="259" w:lineRule="auto"/>
            </w:pPr>
            <w:r>
              <w:rPr>
                <w:rFonts w:ascii="Calibri" w:hAnsi="Calibri"/>
                <w:b/>
                <w:i w:val="0"/>
                <w:color w:val="212121"/>
                <w:sz w:val="19"/>
              </w:rPr>
              <w:t>Slurred speech (dysarthria)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articulation from motor-pathway or brainstem ischaemia.</w:t>
            </w:r>
          </w:p>
        </w:tc>
      </w:tr>
      <w:tr>
        <w:trPr>
          <w:cantSplit/>
        </w:trPr>
        <w:tc>
          <w:tcPr>
            <w:tcW w:type="dxa" w:w="2304"/>
            <w:vAlign w:val="top"/>
          </w:tcPr>
          <w:p>
            <w:pPr>
              <w:spacing w:after="40" w:before="0" w:line="259" w:lineRule="auto"/>
            </w:pPr>
            <w:r>
              <w:rPr>
                <w:rFonts w:ascii="Calibri" w:hAnsi="Calibri"/>
                <w:b/>
                <w:i w:val="0"/>
                <w:color w:val="212121"/>
                <w:sz w:val="19"/>
              </w:rPr>
              <w:t>Language difficulty (aphasia/dysphasia)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Trouble producing or understanding speech when the dominant hemisphere is affected.</w:t>
            </w:r>
          </w:p>
        </w:tc>
      </w:tr>
      <w:tr>
        <w:trPr>
          <w:cantSplit/>
        </w:trPr>
        <w:tc>
          <w:tcPr>
            <w:tcW w:type="dxa" w:w="2304"/>
            <w:vAlign w:val="top"/>
          </w:tcPr>
          <w:p>
            <w:pPr>
              <w:spacing w:after="40" w:before="0" w:line="259" w:lineRule="auto"/>
            </w:pPr>
            <w:r>
              <w:rPr>
                <w:rFonts w:ascii="Calibri" w:hAnsi="Calibri"/>
                <w:b/>
                <w:i w:val="0"/>
                <w:color w:val="212121"/>
                <w:sz w:val="19"/>
              </w:rPr>
              <w:t>Transient monocular visual loss (amaurosis fugax)</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'curtain' descending over one eye from retinal/ophthalmic artery embolism; strongly suggests carotid disease.</w:t>
            </w:r>
          </w:p>
        </w:tc>
      </w:tr>
      <w:tr>
        <w:trPr>
          <w:cantSplit/>
        </w:trPr>
        <w:tc>
          <w:tcPr>
            <w:tcW w:type="dxa" w:w="2304"/>
            <w:vAlign w:val="top"/>
          </w:tcPr>
          <w:p>
            <w:pPr>
              <w:spacing w:after="40" w:before="0" w:line="259" w:lineRule="auto"/>
            </w:pPr>
            <w:r>
              <w:rPr>
                <w:rFonts w:ascii="Calibri" w:hAnsi="Calibri"/>
                <w:b/>
                <w:i w:val="0"/>
                <w:color w:val="212121"/>
                <w:sz w:val="19"/>
              </w:rPr>
              <w:t>Numbness or tingling on one side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Sensory cortex or thalamic ischaemia; often accompanies weakness.</w:t>
            </w:r>
          </w:p>
        </w:tc>
      </w:tr>
      <w:tr>
        <w:trPr>
          <w:cantSplit/>
        </w:trPr>
        <w:tc>
          <w:tcPr>
            <w:tcW w:type="dxa" w:w="2304"/>
            <w:vAlign w:val="top"/>
          </w:tcPr>
          <w:p>
            <w:pPr>
              <w:spacing w:after="40" w:before="0" w:line="259" w:lineRule="auto"/>
            </w:pPr>
            <w:r>
              <w:rPr>
                <w:rFonts w:ascii="Calibri" w:hAnsi="Calibri"/>
                <w:b/>
                <w:i w:val="0"/>
                <w:color w:val="212121"/>
                <w:sz w:val="19"/>
              </w:rPr>
              <w:t>Vertigo, imbalance or unsteady gait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Posterior (vertebrobasilar) circulation ischaemia; must be distinguished from peripheral vertigo.</w:t>
            </w:r>
          </w:p>
        </w:tc>
      </w:tr>
      <w:tr>
        <w:trPr>
          <w:cantSplit/>
        </w:trPr>
        <w:tc>
          <w:tcPr>
            <w:tcW w:type="dxa" w:w="2304"/>
            <w:vAlign w:val="top"/>
          </w:tcPr>
          <w:p>
            <w:pPr>
              <w:spacing w:after="40" w:before="0" w:line="259" w:lineRule="auto"/>
            </w:pPr>
            <w:r>
              <w:rPr>
                <w:rFonts w:ascii="Calibri" w:hAnsi="Calibri"/>
                <w:b/>
                <w:i w:val="0"/>
                <w:color w:val="212121"/>
                <w:sz w:val="19"/>
              </w:rPr>
              <w:t>Double vision (diplopia) or visual field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Brainstem or occipital ischaemia affecting eye movement or visual pathways.</w:t>
            </w:r>
          </w:p>
        </w:tc>
      </w:tr>
      <w:tr>
        <w:trPr>
          <w:cantSplit/>
        </w:trPr>
        <w:tc>
          <w:tcPr>
            <w:tcW w:type="dxa" w:w="2304"/>
            <w:vAlign w:val="top"/>
          </w:tcPr>
          <w:p>
            <w:pPr>
              <w:spacing w:after="40" w:before="0" w:line="259" w:lineRule="auto"/>
            </w:pPr>
            <w:r>
              <w:rPr>
                <w:rFonts w:ascii="Calibri" w:hAnsi="Calibri"/>
                <w:b/>
                <w:i w:val="0"/>
                <w:color w:val="212121"/>
                <w:sz w:val="19"/>
              </w:rPr>
              <w:t>Difficulty swallowing (dysphagia) with facial numbness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Brainstem TIA involving lower cranial nerves.</w:t>
            </w:r>
          </w:p>
        </w:tc>
      </w:tr>
      <w:tr>
        <w:trPr>
          <w:cantSplit/>
        </w:trPr>
        <w:tc>
          <w:tcPr>
            <w:tcW w:type="dxa" w:w="2304"/>
            <w:vAlign w:val="top"/>
          </w:tcPr>
          <w:p>
            <w:pPr>
              <w:spacing w:after="40" w:before="0" w:line="259" w:lineRule="auto"/>
            </w:pPr>
            <w:r>
              <w:rPr>
                <w:rFonts w:ascii="Calibri" w:hAnsi="Calibri"/>
                <w:b/>
                <w:i w:val="0"/>
                <w:color w:val="212121"/>
                <w:sz w:val="19"/>
              </w:rPr>
              <w:t>Sudden confusion or difficulty understanding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Cortical ischaemia; overlaps with receptive aphasia.</w:t>
            </w:r>
          </w:p>
        </w:tc>
      </w:tr>
      <w:tr>
        <w:trPr>
          <w:cantSplit/>
        </w:trPr>
        <w:tc>
          <w:tcPr>
            <w:tcW w:type="dxa" w:w="2304"/>
            <w:vAlign w:val="top"/>
          </w:tcPr>
          <w:p>
            <w:pPr>
              <w:spacing w:after="40" w:before="0" w:line="259" w:lineRule="auto"/>
            </w:pPr>
            <w:r>
              <w:rPr>
                <w:rFonts w:ascii="Calibri" w:hAnsi="Calibri"/>
                <w:b/>
                <w:i w:val="0"/>
                <w:color w:val="212121"/>
                <w:sz w:val="19"/>
              </w:rPr>
              <w:t>Drop attack / transient loss of coordination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Vertebrobasilar insufficiency causing sudden loss of tone without loss of consciousness.</w:t>
            </w:r>
          </w:p>
        </w:tc>
      </w:tr>
      <w:tr>
        <w:trPr>
          <w:cantSplit/>
        </w:trPr>
        <w:tc>
          <w:tcPr>
            <w:tcW w:type="dxa" w:w="2304"/>
            <w:vAlign w:val="top"/>
          </w:tcPr>
          <w:p>
            <w:pPr>
              <w:spacing w:after="40" w:before="0" w:line="259" w:lineRule="auto"/>
            </w:pPr>
            <w:r>
              <w:rPr>
                <w:rFonts w:ascii="Calibri" w:hAnsi="Calibri"/>
                <w:b/>
                <w:i w:val="0"/>
                <w:color w:val="212121"/>
                <w:sz w:val="19"/>
              </w:rPr>
              <w:t>Transient amnestic episode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Usually transient global amnesia (a mimic), but posterior ischaemia can rarely present with memory disturbance.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Facial asymmetry / droop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during the event; may have resolved by the time of assessment.</w:t>
            </w:r>
          </w:p>
        </w:tc>
      </w:tr>
      <w:tr>
        <w:trPr>
          <w:cantSplit/>
        </w:trPr>
        <w:tc>
          <w:tcPr>
            <w:tcW w:type="dxa" w:w="3456"/>
            <w:vAlign w:val="top"/>
          </w:tcPr>
          <w:p>
            <w:pPr>
              <w:spacing w:after="40" w:before="0" w:line="259" w:lineRule="auto"/>
            </w:pPr>
            <w:r>
              <w:rPr>
                <w:rFonts w:ascii="Calibri" w:hAnsi="Calibri"/>
                <w:b/>
                <w:i w:val="0"/>
                <w:color w:val="212121"/>
                <w:sz w:val="19"/>
              </w:rPr>
              <w:t>Pronator drift or subtle hemiparesis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Residual mild motor weakness detected on formal examination.</w:t>
            </w:r>
          </w:p>
        </w:tc>
      </w:tr>
      <w:tr>
        <w:trPr>
          <w:cantSplit/>
        </w:trPr>
        <w:tc>
          <w:tcPr>
            <w:tcW w:type="dxa" w:w="3456"/>
            <w:vAlign w:val="top"/>
          </w:tcPr>
          <w:p>
            <w:pPr>
              <w:spacing w:after="40" w:before="0" w:line="259" w:lineRule="auto"/>
            </w:pPr>
            <w:r>
              <w:rPr>
                <w:rFonts w:ascii="Calibri" w:hAnsi="Calibri"/>
                <w:b/>
                <w:i w:val="0"/>
                <w:color w:val="212121"/>
                <w:sz w:val="19"/>
              </w:rPr>
              <w:t>Dysarthria or aphasia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Speech abnormality demonstrable during or shortly after the episode.</w:t>
            </w:r>
          </w:p>
        </w:tc>
      </w:tr>
      <w:tr>
        <w:trPr>
          <w:cantSplit/>
        </w:trPr>
        <w:tc>
          <w:tcPr>
            <w:tcW w:type="dxa" w:w="3456"/>
            <w:vAlign w:val="top"/>
          </w:tcPr>
          <w:p>
            <w:pPr>
              <w:spacing w:after="40" w:before="0" w:line="259" w:lineRule="auto"/>
            </w:pPr>
            <w:r>
              <w:rPr>
                <w:rFonts w:ascii="Calibri" w:hAnsi="Calibri"/>
                <w:b/>
                <w:i w:val="0"/>
                <w:color w:val="212121"/>
                <w:sz w:val="19"/>
              </w:rPr>
              <w:t>Carotid bruit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Turbulent flow over a stenosed carotid artery, indicating a large-artery embolic source.</w:t>
            </w:r>
          </w:p>
        </w:tc>
      </w:tr>
      <w:tr>
        <w:trPr>
          <w:cantSplit/>
        </w:trPr>
        <w:tc>
          <w:tcPr>
            <w:tcW w:type="dxa" w:w="3456"/>
            <w:vAlign w:val="top"/>
          </w:tcPr>
          <w:p>
            <w:pPr>
              <w:spacing w:after="40" w:before="0" w:line="259" w:lineRule="auto"/>
            </w:pPr>
            <w:r>
              <w:rPr>
                <w:rFonts w:ascii="Calibri" w:hAnsi="Calibri"/>
                <w:b/>
                <w:i w:val="0"/>
                <w:color w:val="212121"/>
                <w:sz w:val="19"/>
              </w:rPr>
              <w:t>Irregularly irregular 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Atrial fibrillation, a major cardioembolic source, sometimes detected for the first time.</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underlying hypertension, the leading modifiable risk factor.</w:t>
            </w:r>
          </w:p>
        </w:tc>
      </w:tr>
      <w:tr>
        <w:trPr>
          <w:cantSplit/>
        </w:trPr>
        <w:tc>
          <w:tcPr>
            <w:tcW w:type="dxa" w:w="3456"/>
            <w:vAlign w:val="top"/>
          </w:tcPr>
          <w:p>
            <w:pPr>
              <w:spacing w:after="40" w:before="0" w:line="259" w:lineRule="auto"/>
            </w:pPr>
            <w:r>
              <w:rPr>
                <w:rFonts w:ascii="Calibri" w:hAnsi="Calibri"/>
                <w:b/>
                <w:i w:val="0"/>
                <w:color w:val="212121"/>
                <w:sz w:val="19"/>
              </w:rPr>
              <w:t>Normal neurological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By the time of assessment the exam is frequently normal; this does not exclude TIA.</w:t>
            </w:r>
          </w:p>
        </w:tc>
      </w:tr>
      <w:tr>
        <w:trPr>
          <w:cantSplit/>
        </w:trPr>
        <w:tc>
          <w:tcPr>
            <w:tcW w:type="dxa" w:w="3456"/>
            <w:vAlign w:val="top"/>
          </w:tcPr>
          <w:p>
            <w:pPr>
              <w:spacing w:after="40" w:before="0" w:line="259" w:lineRule="auto"/>
            </w:pPr>
            <w:r>
              <w:rPr>
                <w:rFonts w:ascii="Calibri" w:hAnsi="Calibri"/>
                <w:b/>
                <w:i w:val="0"/>
                <w:color w:val="212121"/>
                <w:sz w:val="19"/>
              </w:rPr>
              <w:t>Hollenhorst plaque on fundoscopy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Bright cholesterol embolus lodged in a retinal arteriole, indicating carotid origin.</w:t>
            </w:r>
          </w:p>
        </w:tc>
      </w:tr>
      <w:tr>
        <w:trPr>
          <w:cantSplit/>
        </w:trPr>
        <w:tc>
          <w:tcPr>
            <w:tcW w:type="dxa" w:w="3456"/>
            <w:vAlign w:val="top"/>
          </w:tcPr>
          <w:p>
            <w:pPr>
              <w:spacing w:after="40" w:before="0" w:line="259" w:lineRule="auto"/>
            </w:pPr>
            <w:r>
              <w:rPr>
                <w:rFonts w:ascii="Calibri" w:hAnsi="Calibri"/>
                <w:b/>
                <w:i w:val="0"/>
                <w:color w:val="212121"/>
                <w:sz w:val="19"/>
              </w:rPr>
              <w:t>Homonymous visual field defect on confrontation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posterior-circulation or optic-tract involvement.</w:t>
            </w:r>
          </w:p>
        </w:tc>
      </w:tr>
      <w:tr>
        <w:trPr>
          <w:cantSplit/>
        </w:trPr>
        <w:tc>
          <w:tcPr>
            <w:tcW w:type="dxa" w:w="3456"/>
            <w:vAlign w:val="top"/>
          </w:tcPr>
          <w:p>
            <w:pPr>
              <w:spacing w:after="40" w:before="0" w:line="259" w:lineRule="auto"/>
            </w:pPr>
            <w:r>
              <w:rPr>
                <w:rFonts w:ascii="Calibri" w:hAnsi="Calibri"/>
                <w:b/>
                <w:i w:val="0"/>
                <w:color w:val="212121"/>
                <w:sz w:val="19"/>
              </w:rPr>
              <w:t>Sensory loss to pinprick or light touch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Residual sensory deficit corresponding to the affected territory.</w:t>
            </w:r>
          </w:p>
        </w:tc>
      </w:tr>
      <w:tr>
        <w:trPr>
          <w:cantSplit/>
        </w:trPr>
        <w:tc>
          <w:tcPr>
            <w:tcW w:type="dxa" w:w="3456"/>
            <w:vAlign w:val="top"/>
          </w:tcPr>
          <w:p>
            <w:pPr>
              <w:spacing w:after="40" w:before="0" w:line="259" w:lineRule="auto"/>
            </w:pPr>
            <w:r>
              <w:rPr>
                <w:rFonts w:ascii="Calibri" w:hAnsi="Calibri"/>
                <w:b/>
                <w:i w:val="0"/>
                <w:color w:val="212121"/>
                <w:sz w:val="19"/>
              </w:rPr>
              <w:t>Cardiac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Valvular or rheumatic heart disease as a cardioembolic source, still relevant in India.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a completed ischemic stroke (risk highest in the first 48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crescendo 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Minor stroke with residual neurological deficit</w:t>
            </w:r>
          </w:p>
        </w:tc>
        <w:tc>
          <w:tcPr>
            <w:tcW w:type="dxa" w:w="2980"/>
            <w:vAlign w:val="top"/>
          </w:tcPr>
          <w:p>
            <w:pPr>
              <w:spacing w:after="40" w:before="0" w:line="259" w:lineRule="auto"/>
            </w:pPr>
            <w:r>
              <w:rPr>
                <w:rFonts w:ascii="Calibri" w:hAnsi="Calibri"/>
                <w:b w:val="0"/>
                <w:i w:val="0"/>
                <w:color w:val="212121"/>
                <w:sz w:val="19"/>
              </w:rPr>
              <w:t>Direct consequence of the underlying cerebral ischaemia; TIA is a warning of imminent stroke, with roughly 1 in 5 untreated patients suffering a stroke within 3 months and about half of those within 2 days.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Vascular cognitive impairment and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cardioembolic events where atrial fibrillation is untreated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Myocardial infarction and other atherothrombotic events from shared atherosclerosis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injury related to transient or residual deficits</w:t>
            </w:r>
          </w:p>
        </w:tc>
        <w:tc>
          <w:tcPr>
            <w:tcW w:type="dxa" w:w="2980"/>
            <w:vAlign w:val="top"/>
          </w:tcPr>
          <w:p>
            <w:pPr>
              <w:spacing w:after="40" w:before="0" w:line="259" w:lineRule="auto"/>
            </w:pPr>
            <w:r>
              <w:rPr>
                <w:rFonts w:ascii="Calibri" w:hAnsi="Calibri"/>
                <w:b w:val="0"/>
                <w:i w:val="0"/>
                <w:color w:val="212121"/>
                <w:sz w:val="19"/>
              </w:rPr>
              <w:t>Arise from ongoing vascular disease and the shared atherosclerotic and embolic substrate across cerebral, cardiac and peripheral beds.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loss of independence after a subsequent disabling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burden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cardiovascular mortality</w:t>
            </w:r>
          </w:p>
        </w:tc>
        <w:tc>
          <w:tcPr>
            <w:tcW w:type="dxa" w:w="2980"/>
            <w:vAlign w:val="top"/>
          </w:tcPr>
          <w:p>
            <w:pPr>
              <w:spacing w:after="40" w:before="0" w:line="259" w:lineRule="auto"/>
            </w:pPr>
            <w:r>
              <w:rPr>
                <w:rFonts w:ascii="Calibri" w:hAnsi="Calibri"/>
                <w:b w:val="0"/>
                <w:i w:val="0"/>
                <w:color w:val="212121"/>
                <w:sz w:val="19"/>
              </w:rPr>
              <w:t>Downstream disabling outcomes that follow if progression to major stroke is not prevented by urgent secondary prevention.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Chief driver of large-artery and small-vessel cerebral ischaemia and the strongest modifiable risk factor; present in most patients and central to secondary prevention.</w:t>
            </w:r>
          </w:p>
          <w:p>
            <w:pPr>
              <w:spacing w:after="40" w:before="0" w:line="259" w:lineRule="auto"/>
            </w:pPr>
            <w:r>
              <w:rPr>
                <w:rFonts w:ascii="Calibri" w:hAnsi="Calibri"/>
                <w:b/>
                <w:i w:val="0"/>
                <w:color w:val="212121"/>
                <w:sz w:val="19"/>
              </w:rPr>
              <w:t>~61%</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Major cardioembolic source, often paroxysmal; its detection mandates anticoagulation rather than antiplatelet therapy.</w:t>
            </w:r>
          </w:p>
          <w:p>
            <w:pPr>
              <w:spacing w:after="40" w:before="0" w:line="259" w:lineRule="auto"/>
            </w:pPr>
            <w:r>
              <w:rPr>
                <w:rFonts w:ascii="Calibri" w:hAnsi="Calibri"/>
                <w:b/>
                <w:i w:val="0"/>
                <w:color w:val="212121"/>
                <w:sz w:val="19"/>
              </w:rPr>
              <w:t>~4%</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Accelerates atherosclerosis and small-vessel disease, contributes to the ABCD2 score, and worsens outcomes.</w:t>
            </w:r>
          </w:p>
          <w:p>
            <w:pPr>
              <w:spacing w:after="40" w:before="0" w:line="259" w:lineRule="auto"/>
            </w:pPr>
            <w:r>
              <w:rPr>
                <w:rFonts w:ascii="Calibri" w:hAnsi="Calibri"/>
                <w:b/>
                <w:i w:val="0"/>
                <w:color w:val="212121"/>
                <w:sz w:val="19"/>
              </w:rPr>
              <w:t>~36%</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High LDL/apolipoprotein B promotes carotid and intracranial plaque; high-intensity statins reduce recurrence.</w:t>
            </w:r>
          </w:p>
          <w:p>
            <w:pPr>
              <w:spacing w:after="40" w:before="0" w:line="259" w:lineRule="auto"/>
            </w:pPr>
            <w:r>
              <w:rPr>
                <w:rFonts w:ascii="Calibri" w:hAnsi="Calibri"/>
                <w:b/>
                <w:i w:val="0"/>
                <w:color w:val="212121"/>
                <w:sz w:val="19"/>
              </w:rPr>
              <w:t>~14%</w:t>
            </w:r>
          </w:p>
        </w:tc>
      </w:tr>
      <w:tr>
        <w:trPr>
          <w:cantSplit/>
        </w:trPr>
        <w:tc>
          <w:tcPr>
            <w:tcW w:type="dxa" w:w="2232"/>
            <w:vAlign w:val="top"/>
          </w:tcPr>
          <w:p>
            <w:pPr>
              <w:spacing w:after="40" w:before="0" w:line="259" w:lineRule="auto"/>
            </w:pPr>
            <w:r>
              <w:rPr>
                <w:rFonts w:ascii="Calibri" w:hAnsi="Calibri"/>
                <w:b/>
                <w:i w:val="0"/>
                <w:color w:val="212121"/>
                <w:sz w:val="19"/>
              </w:rPr>
              <w:t>Carotid artery stenosis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Atherosclerotic plaque is a source of artery-to-artery emboli; symptomatic high-grade stenosis may warrant endarterectomy or stenting.</w:t>
            </w:r>
          </w:p>
        </w:tc>
      </w:tr>
      <w:tr>
        <w:trPr>
          <w:cantSplit/>
        </w:trPr>
        <w:tc>
          <w:tcPr>
            <w:tcW w:type="dxa" w:w="2232"/>
            <w:vAlign w:val="top"/>
          </w:tcPr>
          <w:p>
            <w:pPr>
              <w:spacing w:after="40" w:before="0" w:line="259" w:lineRule="auto"/>
            </w:pPr>
            <w:r>
              <w:rPr>
                <w:rFonts w:ascii="Calibri" w:hAnsi="Calibri"/>
                <w:b/>
                <w:i w:val="0"/>
                <w:color w:val="212121"/>
                <w:sz w:val="19"/>
              </w:rPr>
              <w:t>Coronary artery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atherosclerotic substrate; co-prevalent and prognostically important, guiding aggressive risk-factor control.</w:t>
            </w:r>
          </w:p>
          <w:p>
            <w:pPr>
              <w:spacing w:after="40" w:before="0" w:line="259" w:lineRule="auto"/>
            </w:pPr>
            <w:r>
              <w:rPr>
                <w:rFonts w:ascii="Calibri" w:hAnsi="Calibri"/>
                <w:b/>
                <w:i w:val="0"/>
                <w:color w:val="212121"/>
                <w:sz w:val="19"/>
              </w:rPr>
              <w:t>~17%</w:t>
            </w:r>
          </w:p>
        </w:tc>
      </w:tr>
      <w:tr>
        <w:trPr>
          <w:cantSplit/>
        </w:trPr>
        <w:tc>
          <w:tcPr>
            <w:tcW w:type="dxa" w:w="2232"/>
            <w:vAlign w:val="top"/>
          </w:tcPr>
          <w:p>
            <w:pPr>
              <w:spacing w:after="40" w:before="0" w:line="259" w:lineRule="auto"/>
            </w:pPr>
            <w:r>
              <w:rPr>
                <w:rFonts w:ascii="Calibri" w:hAnsi="Calibri"/>
                <w:b/>
                <w:i w:val="0"/>
                <w:color w:val="212121"/>
                <w:sz w:val="19"/>
              </w:rPr>
              <w:t>Rheumatic / valvular heart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important cardioembolic source in India that alters anticoagulation decisions.</w:t>
            </w:r>
          </w:p>
          <w:p>
            <w:pPr>
              <w:spacing w:after="40" w:before="0" w:line="259" w:lineRule="auto"/>
            </w:pPr>
            <w:r>
              <w:rPr>
                <w:rFonts w:ascii="Calibri" w:hAnsi="Calibri"/>
                <w:b/>
                <w:i w:val="0"/>
                <w:color w:val="212121"/>
                <w:sz w:val="19"/>
              </w:rPr>
              <w:t>~6%</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Intermittent hypoxia raises blood pressure and promotes atrial fibrillation and atherosclerosis; treatment may reduce vascular events.</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vascular risk factors, independently raises stroke risk, and affects antithrombotic drug selection and dosing.</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Bidirectionally linked to cerebrovascular disease and impairs adherence to blood-pressure, antiplatelet and lifestyle measures after TIA.</w:t>
            </w:r>
          </w:p>
        </w:tc>
      </w:tr>
      <w:tr>
        <w:trPr>
          <w:cantSplit/>
        </w:trPr>
        <w:tc>
          <w:tcPr>
            <w:tcW w:type="dxa" w:w="2232"/>
            <w:vAlign w:val="top"/>
          </w:tcPr>
          <w:p>
            <w:pPr>
              <w:spacing w:after="40" w:before="0" w:line="259" w:lineRule="auto"/>
            </w:pPr>
            <w:r>
              <w:rPr>
                <w:rFonts w:ascii="Calibri" w:hAnsi="Calibri"/>
                <w:b/>
                <w:i w:val="0"/>
                <w:color w:val="212121"/>
                <w:sz w:val="19"/>
              </w:rPr>
              <w:t>Migraine with aura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common TIA mimic and, particularly with aura in younger women, associated with a modestly increased ischemic stroke risk.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any sudden face droop, arm weakness or speech difficulty as an emergency (BE-FAST) and seek immediate stroke-unit care, even if symptoms resolve.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TIA is a warning: about 1 in 5 untreated patients has a stroke within 3 months, half of them within 2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and control the key drivers: blood pressure, blood sugar, cholesterol, atrial fibrillation and tobacco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strictly to prescribed antiplatelet or anticoagulant and statin therapy and attend follow-up for carotid and cardiac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blood pressure and pulse checked regularly to detect hypertension and atrial fibrillation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hypertensive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 or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stroke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at least 150 minutes/week of moderate aerobic activity (brisk walking, cycling, swimming), split into manageable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and balance training 2-3 days/week to improve metabolic and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movement breaks, especially for desk-based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 TIA, follow a supervised, graded activity plan and target a 5-10% weight reduction if overweight.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and diabetic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salt to under 5 g/day; avoid papad, pickles, processed and restaurant foods that hide sodium.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DASH- or Mediterranean-style pattern rich in fruit, vegetables, whole grains, millets, pulses and nuts.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fried foods, bakery items, red and processed meat, and trans/saturated fats to lower LDL.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potassium-rich vegetables and fibre daily, and prefer whole fruit over juices and sugary drinks.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high-LDL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structured low-sodium, LDL-lowering diet as part of secondary prevention after 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diet with high-intensity statin therapy to reach an LDL target below 70 mg/dL.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Standardise carbohydrate intake and glycaemic load if diabetic to support HbA1c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avoid binge patterns that raise blood pressure and provoke atrial fibrillation.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good-quality sleep; both short (&lt;=5-6 h) and long (&gt;=9 h) sleep raise stroke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(snoring, witnessed apnoeas, daytime sleepiness), which drives hypertension and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treat insomnia to support blood-pressure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completely, including bidis, cigarettes and smokeless forms (gutkha, khaini).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counselling plus nicotine-replacement or pharmacotherapy to sustain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raises cerebrovascular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stroke risk falls substantially within a few years of cessation.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after 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 exposed to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binge drinking, which raise blood pressure and trigger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intake to minimal levels; there is no clearly safe amount for stroke prevention.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which undermines blood-pressure and medication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TIA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with relaxation, yoga, breathing exercises and adequate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independent risk factors and reduce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social and family support to sustain lifestyle change and medication adherence after a 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post-event anxiety about recurrence through education and structured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under chronic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living alone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1052531/" TargetMode="External"/><Relationship Id="rId10" Type="http://schemas.openxmlformats.org/officeDocument/2006/relationships/hyperlink" Target="https://link.springer.com/article/10.1186/s12883-026-04770-3" TargetMode="External"/><Relationship Id="rId11" Type="http://schemas.openxmlformats.org/officeDocument/2006/relationships/hyperlink" Target="https://www.nature.com/articles/s41598-024-72551-4" TargetMode="External"/><Relationship Id="rId12" Type="http://schemas.openxmlformats.org/officeDocument/2006/relationships/hyperlink" Target="https://www.eurekalert.org/news-releases/746329" TargetMode="External"/><Relationship Id="rId13" Type="http://schemas.openxmlformats.org/officeDocument/2006/relationships/hyperlink" Target="https://www.ncbi.nlm.nih.gov/books/NBK470582/" TargetMode="External"/><Relationship Id="rId14" Type="http://schemas.openxmlformats.org/officeDocument/2006/relationships/hyperlink" Target="https://pubmed.ncbi.nlm.nih.gov/25716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