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Angina Pectoris (stable/unstable)</w:t>
      </w:r>
    </w:p>
    <w:p>
      <w:pPr>
        <w:spacing w:before="0" w:after="160"/>
      </w:pPr>
      <w:r>
        <w:rPr>
          <w:rFonts w:ascii="Calibri" w:hAnsi="Calibri"/>
          <w:b/>
          <w:i w:val="0"/>
          <w:color w:val="212121"/>
          <w:sz w:val="22"/>
        </w:rPr>
        <w:t xml:space="preserve">AKA </w:t>
      </w:r>
      <w:r>
        <w:rPr>
          <w:rFonts w:ascii="Calibri" w:hAnsi="Calibri"/>
          <w:b w:val="0"/>
          <w:i w:val="0"/>
          <w:color w:val="212121"/>
          <w:sz w:val="22"/>
        </w:rPr>
        <w:t>i.e., Angina, Anginal chest pain, Ischaemic chest pain; includes stable (effort) angina, unstable angina, variant / Prinzmetal (vasospastic) angina and microvascular angina; lay terms: chest tightness, 'heart cramp', 'gas-like' chest pain</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Angina pectoris is chest pain or discomfort caused by transient myocardial ischaemia - a mismatch between the heart muscle's oxygen demand and the supply delivered through the coronary arteries, most often because of atherosclerotic narrowing. It is a clinical syndrome, not a disease in itself, and signals underlying coronary artery disease. Stable (chronic) angina is predictable, brought on by exertion or stress and relieved within minutes by rest or nitroglycerin, whereas unstable angina is an acute coronary syndrome - new-onset, rest or rapidly worsening (crescendo) pain from an unstable plaque - that carries a high short-term risk of myocardial infarction and is a medical emergency.</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In India, community data from the Longitudinal Ageing Study in India (LASI) show that about 6.0% of adults aged 45 and over have symptomatic angina on the Rose questionnaire, and - unusually - the burden is higher in women (7.0%) than men (4.7%) and in rural (6.7%) than urban (4.2%) areas. Prevalence climbs with age to over 6% beyond 70 years, yet much of the underlying heart disease is undiagnosed, roughly 50% in men and 65% in women. Because Indians develop coronary disease 5-10 years earlier than Western populations (the mean age of acute coronary events in the CREATE registry was about 58 years), angina frequently appears in economically productive middle age.</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Angina is a clinical diagnosis based on the character of the chest discomfort, supported by objective evidence of ischaemia or coronary disease and, critically, by biomarkers that separate unstable angina from myocardial infarction. Diagnosis rests on one or more of the following:</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typical angina, defined by all three features - (i) substernal chest discomfort of characteristic quality and duration (usually 2-5 minutes), (ii) provoked by exertion or emotional stress, and (iii) relieved by rest or sublingual nitroglycerin; two of three features indicate atypical angina;</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resting 12-lead ECG - often normal between episodes, but may show ST-segment depression or T-wave inversion during pain (transient ST-elevation suggests vasospastic/Prinzmetal angina);</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provocative (stress) testing - treadmill/exercise ECG, stress echocardiography or myocardial perfusion imaging demonstrating inducible ischaemia in suspected stable angina;</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cardiac troponin (high-sensitivity) - normal in unstable angina but elevated in NSTEMI, so serial troponin is the key test that distinguishes unstable angina from myocardial infarction;</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coronary imaging - CT coronary angiography with calcium (CAC) scoring for anatomy and plaque burden, and invasive coronary angiography (the anatomical gold standard) for high-risk or refractory cases;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for unstable angina, a clinical pattern of rest pain, new-onset severe angina, or a crescendo (accelerating) pattern, with ischaemic ECG changes but no troponin rise, defines the diagnosis.</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Angina pectoris is classified by its clinical pattern and underlying mechanism, and its severity is graded by the Canadian Cardiovascular Society (CCS) scale:</w:t>
      </w:r>
    </w:p>
    <w:p>
      <w:pPr>
        <w:spacing w:before="0" w:after="80"/>
      </w:pPr>
      <w:r>
        <w:rPr>
          <w:rFonts w:ascii="Calibri" w:hAnsi="Calibri"/>
          <w:b w:val="0"/>
          <w:i w:val="0"/>
          <w:color w:val="212121"/>
          <w:sz w:val="21"/>
        </w:rPr>
        <w:t>(1) Stable (chronic / effort) angina - caused by a fixed atherosclerotic stenosis, producing predictable, exertional discomfort that is relieved by rest or nitrates; severity is graded CCS Class I (angina only on strenuous exertion) through Class IV (angina on any activity or at rest);</w:t>
      </w:r>
    </w:p>
    <w:p>
      <w:pPr>
        <w:spacing w:before="0" w:after="80"/>
      </w:pPr>
      <w:r>
        <w:rPr>
          <w:rFonts w:ascii="Calibri" w:hAnsi="Calibri"/>
          <w:b w:val="0"/>
          <w:i w:val="0"/>
          <w:color w:val="212121"/>
          <w:sz w:val="21"/>
        </w:rPr>
        <w:t>(2) Unstable angina - an acute coronary syndrome from plaque rupture or erosion with thrombosis, presenting as rest angina, new-onset severe angina, or a crescendo pattern, with ischaemic ECG changes but without the troponin rise that would define NSTEMI; the Braunwald classification stratifies it by severity, clinical circumstance and treatment intensity;</w:t>
      </w:r>
    </w:p>
    <w:p>
      <w:pPr>
        <w:spacing w:before="0" w:after="80"/>
      </w:pPr>
      <w:r>
        <w:rPr>
          <w:rFonts w:ascii="Calibri" w:hAnsi="Calibri"/>
          <w:b w:val="0"/>
          <w:i w:val="0"/>
          <w:color w:val="212121"/>
          <w:sz w:val="21"/>
        </w:rPr>
        <w:t>(3) Variant / Prinzmetal (vasospastic) angina - caused by focal coronary artery spasm, typically producing rest pain at night or in the early morning with transient ST-elevation, and responding to calcium-channel blockers and nitrates rather than to revascularisation;</w:t>
      </w:r>
    </w:p>
    <w:p>
      <w:pPr>
        <w:spacing w:before="0" w:after="80"/>
      </w:pPr>
      <w:r>
        <w:rPr>
          <w:rFonts w:ascii="Calibri" w:hAnsi="Calibri"/>
          <w:b w:val="0"/>
          <w:i w:val="0"/>
          <w:color w:val="212121"/>
          <w:sz w:val="21"/>
        </w:rPr>
        <w:t>(4) Microvascular angina (ischaemia with non-obstructive coronary arteries, INOCA; formerly cardiac syndrome X) - angina due to coronary microvascular dysfunction despite unobstructed epicardial arteries, disproportionately affecting women and often under-recognised.</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Coronary atherosclerosis: Fixed, cholesterol-rich plaque narrowing the epicardial arteries is the dominant cause; when a stenosis limits flow during exertion the resulting supply-demand mismatch produces stable angina.</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Plaque instability and thrombosis: Rupture or erosion of a vulnerable plaque with superimposed clot acutely reduces coronary flow and precipitates unstable angina and myocardial infarction.</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Coronary vasospasm: Focal spasm of an epicardial artery causes variant (Prinzmetal) angina, often at rest and unrelated to exertion; smoking and stimulants are important triggers.</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Coronary microvascular dysfunction: Impaired dilatation and increased resistance of the small coronary vessels causes microvascular angina with non-obstructive arteries, especially in women.</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Increased myocardial oxygen demand or reduced supply: Anaemia, tachyarrhythmia, thyrotoxicosis, fever, severe hypertension and aortic stenosis can precipitate or worsen 'secondary' angina in a compromised coronary bed.</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Cardiometabolic risk factors: Dyslipidaemia, hypertension, diabetes/insulin resistance and tobacco use drive and accelerate the underlying atherosclerosis - and cluster strongly in South Asians.</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Adults (working-age)</w:t>
            </w:r>
          </w:p>
        </w:tc>
        <w:tc>
          <w:tcPr>
            <w:tcW w:type="dxa" w:w="4276"/>
            <w:vAlign w:val="top"/>
          </w:tcPr>
          <w:p>
            <w:pPr>
              <w:spacing w:after="60" w:line="259" w:lineRule="auto"/>
            </w:pPr>
            <w:r>
              <w:rPr>
                <w:rFonts w:ascii="Calibri" w:hAnsi="Calibri"/>
                <w:b w:val="0"/>
                <w:i w:val="0"/>
                <w:color w:val="212121"/>
                <w:sz w:val="19"/>
              </w:rPr>
              <w:t>Atherosclerosis accumulates silently over years, so effort angina emerges through middle age as lipids, blood pressure, tobacco and insulin resistance progressively narrow the coronaries. In Indians the disease strikes about a decade earlier than in the West, so angina commonly appears in economically productive adults in their 40s and 50s.</w:t>
            </w:r>
          </w:p>
          <w:p>
            <w:pPr>
              <w:spacing w:after="40" w:before="60" w:line="259" w:lineRule="auto"/>
            </w:pPr>
            <w:r>
              <w:rPr>
                <w:rFonts w:ascii="Calibri" w:hAnsi="Calibri"/>
                <w:b w:val="0"/>
                <w:i w:val="0"/>
                <w:color w:val="212121"/>
                <w:sz w:val="19"/>
              </w:rPr>
              <w:t>In the Indian CREATE registry of acute coronary syndromes the mean age of presentation was about 58 years, and 53% of patients came from the lower-middle class.</w:t>
            </w:r>
          </w:p>
          <w:p>
            <w:pPr>
              <w:spacing w:after="40" w:line="252" w:lineRule="auto"/>
            </w:pPr>
            <w:hyperlink r:id="rId9">
              <w:r>
                <w:rPr>
                  <w:rFonts w:ascii="Calibri" w:hAnsi="Calibri" w:cs="Calibri"/>
                  <w:sz w:val="18"/>
                  <w:color w:val="1155CC"/>
                  <w:u w:val="single"/>
                </w:rPr>
                <w:t xml:space="preserve">cadiresearch.org - acute coronary syndrome in India (CREATE)</w:t>
              </w:r>
            </w:hyperlink>
          </w:p>
          <w:p>
            <w:pPr>
              <w:spacing w:before="60" w:after="40"/>
            </w:pPr>
            <w:r>
              <w:rPr>
                <w:rFonts w:ascii="Calibri" w:hAnsi="Calibri"/>
                <w:b w:val="0"/>
                <w:i w:val="0"/>
                <w:color w:val="5A5A5A"/>
                <w:sz w:val="18"/>
              </w:rPr>
              <w:t>#prematureCAD  #effortangina  #workingage  #southasian</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w:t>
            </w:r>
          </w:p>
        </w:tc>
        <w:tc>
          <w:tcPr>
            <w:tcW w:type="dxa" w:w="4276"/>
            <w:vAlign w:val="top"/>
          </w:tcPr>
          <w:p>
            <w:pPr>
              <w:spacing w:after="60" w:line="259" w:lineRule="auto"/>
            </w:pPr>
            <w:r>
              <w:rPr>
                <w:rFonts w:ascii="Calibri" w:hAnsi="Calibri"/>
                <w:b w:val="0"/>
                <w:i w:val="0"/>
                <w:color w:val="212121"/>
                <w:sz w:val="19"/>
              </w:rPr>
              <w:t>Cumulative plaque burden, arterial stiffening, hypertension and multivessel disease make the elderly the group with the highest prevalence; their angina is frequently atypical or silent, delaying diagnosis.</w:t>
            </w:r>
          </w:p>
          <w:p>
            <w:pPr>
              <w:spacing w:after="40" w:before="60" w:line="259" w:lineRule="auto"/>
            </w:pPr>
            <w:r>
              <w:rPr>
                <w:rFonts w:ascii="Calibri" w:hAnsi="Calibri"/>
                <w:b w:val="0"/>
                <w:i w:val="0"/>
                <w:color w:val="212121"/>
                <w:sz w:val="19"/>
              </w:rPr>
              <w:t>In LASI-based analyses the prevalence of angina was highest in those aged 70 years and above (about 6.1%).</w:t>
            </w:r>
          </w:p>
          <w:p>
            <w:pPr>
              <w:spacing w:after="40" w:line="252" w:lineRule="auto"/>
            </w:pPr>
            <w:hyperlink r:id="rId10">
              <w:r>
                <w:rPr>
                  <w:rFonts w:ascii="Calibri" w:hAnsi="Calibri" w:cs="Calibri"/>
                  <w:sz w:val="18"/>
                  <w:color w:val="1155CC"/>
                  <w:u w:val="single"/>
                </w:rPr>
                <w:t xml:space="preserve">journals.plos.org - angina in older Indian adults (PLOS ONE)</w:t>
              </w:r>
            </w:hyperlink>
          </w:p>
          <w:p>
            <w:pPr>
              <w:spacing w:before="60" w:after="40"/>
            </w:pPr>
            <w:r>
              <w:rPr>
                <w:rFonts w:ascii="Calibri" w:hAnsi="Calibri"/>
                <w:b w:val="0"/>
                <w:i w:val="0"/>
                <w:color w:val="5A5A5A"/>
                <w:sz w:val="18"/>
              </w:rPr>
              <w:t>#ageing  #silentischaemia  #atypical  #multivessel</w:t>
            </w:r>
          </w:p>
        </w:tc>
      </w:tr>
      <w:tr>
        <w:trPr>
          <w:cantSplit/>
        </w:trPr>
        <w:tc>
          <w:tcPr>
            <w:tcW w:type="dxa" w:w="1512"/>
            <w:vMerge/>
            <w:vAlign w:val="top"/>
          </w:tcPr>
          <w:p>
            <w:pPr>
              <w:spacing w:after="40" w:before="0" w:line="259" w:lineRule="auto"/>
            </w:pPr>
          </w:p>
        </w:tc>
        <w:tc>
          <w:tcPr>
            <w:tcW w:type="dxa" w:w="1655"/>
            <w:vMerge w:val="restart"/>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Male</w:t>
            </w:r>
          </w:p>
        </w:tc>
        <w:tc>
          <w:tcPr>
            <w:tcW w:type="dxa" w:w="4276"/>
            <w:vAlign w:val="top"/>
          </w:tcPr>
          <w:p>
            <w:pPr>
              <w:spacing w:after="60" w:line="259" w:lineRule="auto"/>
            </w:pPr>
            <w:r>
              <w:rPr>
                <w:rFonts w:ascii="Calibri" w:hAnsi="Calibri"/>
                <w:b w:val="0"/>
                <w:i w:val="0"/>
                <w:color w:val="212121"/>
                <w:sz w:val="19"/>
              </w:rPr>
              <w:t>Men develop obstructive coronary disease earlier and more often than pre-menopausal women, owing to greater visceral fat, higher tobacco use and the absence of oestrogen's vascular protection, so they dominate acute coronary and revascularisation series.</w:t>
            </w:r>
          </w:p>
          <w:p>
            <w:pPr>
              <w:spacing w:after="40" w:before="60" w:line="259" w:lineRule="auto"/>
            </w:pPr>
            <w:r>
              <w:rPr>
                <w:rFonts w:ascii="Calibri" w:hAnsi="Calibri"/>
                <w:b w:val="0"/>
                <w:i w:val="0"/>
                <w:color w:val="212121"/>
                <w:sz w:val="19"/>
              </w:rPr>
              <w:t>In the Kerala community study definite CAD was more common in men (4.8%) than women (2.6%), and current smoking (28%) was almost entirely confined to men.</w:t>
            </w:r>
          </w:p>
          <w:p>
            <w:pPr>
              <w:spacing w:after="40" w:line="252" w:lineRule="auto"/>
            </w:pPr>
            <w:hyperlink r:id="rId11">
              <w:r>
                <w:rPr>
                  <w:rFonts w:ascii="Calibri" w:hAnsi="Calibri" w:cs="Calibri"/>
                  <w:sz w:val="18"/>
                  <w:color w:val="1155CC"/>
                  <w:u w:val="single"/>
                </w:rPr>
                <w:t xml:space="preserve">bmccardiovascdisord - CAD in Kerala</w:t>
              </w:r>
            </w:hyperlink>
          </w:p>
          <w:p>
            <w:pPr>
              <w:spacing w:before="60" w:after="40"/>
            </w:pPr>
            <w:r>
              <w:rPr>
                <w:rFonts w:ascii="Calibri" w:hAnsi="Calibri"/>
                <w:b w:val="0"/>
                <w:i w:val="0"/>
                <w:color w:val="5A5A5A"/>
                <w:sz w:val="18"/>
              </w:rPr>
              <w:t>#malesex  #visceralfat  #smoking  #obstructiveCAD</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Female (post-menopausal)</w:t>
            </w:r>
          </w:p>
        </w:tc>
        <w:tc>
          <w:tcPr>
            <w:tcW w:type="dxa" w:w="4276"/>
            <w:vAlign w:val="top"/>
          </w:tcPr>
          <w:p>
            <w:pPr>
              <w:spacing w:after="60" w:line="259" w:lineRule="auto"/>
            </w:pPr>
            <w:r>
              <w:rPr>
                <w:rFonts w:ascii="Calibri" w:hAnsi="Calibri"/>
                <w:b w:val="0"/>
                <w:i w:val="0"/>
                <w:color w:val="212121"/>
                <w:sz w:val="19"/>
              </w:rPr>
              <w:t>Women paradoxically report more anginal symptoms than men, driven by a higher share of microvascular and non-obstructive disease (INOCA), atypical presentation and loss of oestrogen protection after menopause; their angina is more often missed and undertreated.</w:t>
            </w:r>
          </w:p>
          <w:p>
            <w:pPr>
              <w:spacing w:after="40" w:before="60" w:line="259" w:lineRule="auto"/>
            </w:pPr>
            <w:r>
              <w:rPr>
                <w:rFonts w:ascii="Calibri" w:hAnsi="Calibri"/>
                <w:b w:val="0"/>
                <w:i w:val="0"/>
                <w:color w:val="212121"/>
                <w:sz w:val="19"/>
              </w:rPr>
              <w:t>In LASI, angina prevalence was higher in women (7.0%) than men (4.7%), and undiagnosed heart disease reached about 64.5% in women versus 49.7% in men.</w:t>
            </w:r>
          </w:p>
          <w:p>
            <w:pPr>
              <w:spacing w:after="40" w:line="252" w:lineRule="auto"/>
            </w:pPr>
            <w:hyperlink r:id="rId12">
              <w:r>
                <w:rPr>
                  <w:rFonts w:ascii="Calibri" w:hAnsi="Calibri" w:cs="Calibri"/>
                  <w:sz w:val="18"/>
                  <w:color w:val="1155CC"/>
                  <w:u w:val="single"/>
                </w:rPr>
                <w:t xml:space="preserve">nature.com - angina in Indian adults (LASI)</w:t>
              </w:r>
            </w:hyperlink>
          </w:p>
          <w:p>
            <w:pPr>
              <w:spacing w:before="60" w:after="40"/>
            </w:pPr>
            <w:r>
              <w:rPr>
                <w:rFonts w:ascii="Calibri" w:hAnsi="Calibri"/>
                <w:b w:val="0"/>
                <w:i w:val="0"/>
                <w:color w:val="5A5A5A"/>
                <w:sz w:val="18"/>
              </w:rPr>
              <w:t>#women  #microvascular  #INOCA  #undiagnosed  #postmenopausal</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Lower socioeconomic and less-educated groups</w:t>
            </w:r>
          </w:p>
        </w:tc>
        <w:tc>
          <w:tcPr>
            <w:tcW w:type="dxa" w:w="4276"/>
            <w:vAlign w:val="top"/>
          </w:tcPr>
          <w:p>
            <w:pPr>
              <w:spacing w:after="60" w:line="259" w:lineRule="auto"/>
            </w:pPr>
            <w:r>
              <w:rPr>
                <w:rFonts w:ascii="Calibri" w:hAnsi="Calibri"/>
                <w:b w:val="0"/>
                <w:i w:val="0"/>
                <w:color w:val="212121"/>
                <w:sz w:val="19"/>
              </w:rPr>
              <w:t>Coronary disease in India has shifted down the social gradient: tobacco use, energy-dense cheap food, chronic stress and poor access to preventive care concentrate symptomatic, untreated angina among poorer and less-educated people.</w:t>
            </w:r>
          </w:p>
          <w:p>
            <w:pPr>
              <w:spacing w:after="40" w:before="60" w:line="259" w:lineRule="auto"/>
            </w:pPr>
            <w:r>
              <w:rPr>
                <w:rFonts w:ascii="Calibri" w:hAnsi="Calibri"/>
                <w:b w:val="0"/>
                <w:i w:val="0"/>
                <w:color w:val="212121"/>
                <w:sz w:val="19"/>
              </w:rPr>
              <w:t>Symptom-based angina was highest among illiterate individuals (about 6.85%), and 20% of CREATE registry ACS patients were from poor socioeconomic groups.</w:t>
            </w:r>
          </w:p>
          <w:p>
            <w:pPr>
              <w:spacing w:after="40" w:line="252" w:lineRule="auto"/>
            </w:pPr>
            <w:hyperlink r:id="rId10">
              <w:r>
                <w:rPr>
                  <w:rFonts w:ascii="Calibri" w:hAnsi="Calibri" w:cs="Calibri"/>
                  <w:sz w:val="18"/>
                  <w:color w:val="1155CC"/>
                  <w:u w:val="single"/>
                </w:rPr>
                <w:t xml:space="preserve">journals.plos.org - undiagnosed heart disease &amp; angina (PLOS ONE)</w:t>
              </w:r>
            </w:hyperlink>
          </w:p>
          <w:p>
            <w:pPr>
              <w:spacing w:before="60" w:after="40"/>
            </w:pPr>
            <w:r>
              <w:rPr>
                <w:rFonts w:ascii="Calibri" w:hAnsi="Calibri"/>
                <w:b w:val="0"/>
                <w:i w:val="0"/>
                <w:color w:val="5A5A5A"/>
                <w:sz w:val="18"/>
              </w:rPr>
              <w:t>#socialgradient  #access  #tobacco  #healthequity</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Ethnicity</w:t>
            </w:r>
          </w:p>
        </w:tc>
        <w:tc>
          <w:tcPr>
            <w:tcW w:type="dxa" w:w="2160"/>
            <w:vAlign w:val="top"/>
          </w:tcPr>
          <w:p>
            <w:pPr>
              <w:spacing w:after="40" w:before="0" w:line="259" w:lineRule="auto"/>
            </w:pPr>
            <w:r>
              <w:rPr>
                <w:rFonts w:ascii="Calibri" w:hAnsi="Calibri"/>
                <w:b w:val="0"/>
                <w:i w:val="0"/>
                <w:color w:val="212121"/>
                <w:sz w:val="19"/>
              </w:rPr>
              <w:t>Asian Indian (South Asian)</w:t>
            </w:r>
          </w:p>
        </w:tc>
        <w:tc>
          <w:tcPr>
            <w:tcW w:type="dxa" w:w="4276"/>
            <w:vAlign w:val="top"/>
          </w:tcPr>
          <w:p>
            <w:pPr>
              <w:spacing w:after="60" w:line="259" w:lineRule="auto"/>
            </w:pPr>
            <w:r>
              <w:rPr>
                <w:rFonts w:ascii="Calibri" w:hAnsi="Calibri"/>
                <w:b w:val="0"/>
                <w:i w:val="0"/>
                <w:color w:val="212121"/>
                <w:sz w:val="19"/>
              </w:rPr>
              <w:t>South Asians carry an intrinsically higher coronary risk from atherogenic dyslipidaemia (high triglycerides, low HDL, high lipoprotein(a)), abdominal thin-fat obesity and insulin resistance, producing earlier and more diffuse disease and hence earlier angina.</w:t>
            </w:r>
          </w:p>
          <w:p>
            <w:pPr>
              <w:spacing w:after="40" w:before="60" w:line="259" w:lineRule="auto"/>
            </w:pPr>
            <w:r>
              <w:rPr>
                <w:rFonts w:ascii="Calibri" w:hAnsi="Calibri"/>
                <w:b w:val="0"/>
                <w:i w:val="0"/>
                <w:color w:val="212121"/>
                <w:sz w:val="19"/>
              </w:rPr>
              <w:t>The INTERHEART study found nine modifiable factors explain about 86% of myocardial infarction risk in South Asians, with an abnormal ApoB/ApoA-1 ratio and smoking the two dominant contributors.</w:t>
            </w:r>
          </w:p>
          <w:p>
            <w:pPr>
              <w:spacing w:after="40" w:line="252" w:lineRule="auto"/>
            </w:pPr>
            <w:hyperlink r:id="rId13">
              <w:r>
                <w:rPr>
                  <w:rFonts w:ascii="Calibri" w:hAnsi="Calibri" w:cs="Calibri"/>
                  <w:sz w:val="18"/>
                  <w:color w:val="1155CC"/>
                  <w:u w:val="single"/>
                </w:rPr>
                <w:t xml:space="preserve">ijmr.org.in - CHD in Indians: INTERHEART</w:t>
              </w:r>
            </w:hyperlink>
          </w:p>
          <w:p>
            <w:pPr>
              <w:spacing w:before="60" w:after="40"/>
            </w:pPr>
            <w:r>
              <w:rPr>
                <w:rFonts w:ascii="Calibri" w:hAnsi="Calibri"/>
                <w:b w:val="0"/>
                <w:i w:val="0"/>
                <w:color w:val="5A5A5A"/>
                <w:sz w:val="18"/>
              </w:rPr>
              <w:t>#southasian  #thinfat  #dyslipidaemia  #insulinresistance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Region</w:t>
            </w:r>
          </w:p>
        </w:tc>
        <w:tc>
          <w:tcPr>
            <w:tcW w:type="dxa" w:w="2160"/>
            <w:vAlign w:val="top"/>
          </w:tcPr>
          <w:p>
            <w:pPr>
              <w:spacing w:after="40" w:before="0" w:line="259" w:lineRule="auto"/>
            </w:pPr>
            <w:r>
              <w:rPr>
                <w:rFonts w:ascii="Calibri" w:hAnsi="Calibri"/>
                <w:b w:val="0"/>
                <w:i w:val="0"/>
                <w:color w:val="212121"/>
                <w:sz w:val="19"/>
              </w:rPr>
              <w:t>Rural residents</w:t>
            </w:r>
          </w:p>
        </w:tc>
        <w:tc>
          <w:tcPr>
            <w:tcW w:type="dxa" w:w="4276"/>
            <w:vAlign w:val="top"/>
          </w:tcPr>
          <w:p>
            <w:pPr>
              <w:spacing w:after="60" w:line="259" w:lineRule="auto"/>
            </w:pPr>
            <w:r>
              <w:rPr>
                <w:rFonts w:ascii="Calibri" w:hAnsi="Calibri"/>
                <w:b w:val="0"/>
                <w:i w:val="0"/>
                <w:color w:val="212121"/>
                <w:sz w:val="19"/>
              </w:rPr>
              <w:t>Although coronary disease was once an urban problem, rural rates are now rising fast and symptomatic, untreated angina is actually more prevalent in villages, reflecting widespread tobacco use, late presentation and limited access to diagnosis and antianginal therapy.</w:t>
            </w:r>
          </w:p>
          <w:p>
            <w:pPr>
              <w:spacing w:after="40" w:before="60" w:line="259" w:lineRule="auto"/>
            </w:pPr>
            <w:r>
              <w:rPr>
                <w:rFonts w:ascii="Calibri" w:hAnsi="Calibri"/>
                <w:b w:val="0"/>
                <w:i w:val="0"/>
                <w:color w:val="212121"/>
                <w:sz w:val="19"/>
              </w:rPr>
              <w:t>In LASI, angina prevalence was higher in rural (6.7%) than urban (4.2%) adults aged 45 and over.</w:t>
            </w:r>
          </w:p>
          <w:p>
            <w:pPr>
              <w:spacing w:after="40" w:line="252" w:lineRule="auto"/>
            </w:pPr>
            <w:hyperlink r:id="rId12">
              <w:r>
                <w:rPr>
                  <w:rFonts w:ascii="Calibri" w:hAnsi="Calibri" w:cs="Calibri"/>
                  <w:sz w:val="18"/>
                  <w:color w:val="1155CC"/>
                  <w:u w:val="single"/>
                </w:rPr>
                <w:t xml:space="preserve">nature.com - angina in Indian adults (LASI)</w:t>
              </w:r>
            </w:hyperlink>
          </w:p>
          <w:p>
            <w:pPr>
              <w:spacing w:before="60" w:after="40"/>
            </w:pPr>
            <w:r>
              <w:rPr>
                <w:rFonts w:ascii="Calibri" w:hAnsi="Calibri"/>
                <w:b w:val="0"/>
                <w:i w:val="0"/>
                <w:color w:val="5A5A5A"/>
                <w:sz w:val="18"/>
              </w:rPr>
              <w:t>#rural  #accesstocare  #tobacco  #latepresentation</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Sedentary</w:t>
            </w:r>
          </w:p>
        </w:tc>
        <w:tc>
          <w:tcPr>
            <w:tcW w:type="dxa" w:w="2160"/>
            <w:vAlign w:val="top"/>
          </w:tcPr>
          <w:p>
            <w:pPr>
              <w:spacing w:after="40" w:before="0" w:line="259" w:lineRule="auto"/>
            </w:pPr>
            <w:r>
              <w:rPr>
                <w:rFonts w:ascii="Calibri" w:hAnsi="Calibri"/>
                <w:b w:val="0"/>
                <w:i w:val="0"/>
                <w:color w:val="212121"/>
                <w:sz w:val="19"/>
              </w:rPr>
              <w:t>Office workers, urban adults, homemakers</w:t>
            </w:r>
          </w:p>
        </w:tc>
        <w:tc>
          <w:tcPr>
            <w:tcW w:type="dxa" w:w="4276"/>
            <w:vAlign w:val="top"/>
          </w:tcPr>
          <w:p>
            <w:pPr>
              <w:spacing w:after="60" w:line="259" w:lineRule="auto"/>
            </w:pPr>
            <w:r>
              <w:rPr>
                <w:rFonts w:ascii="Calibri" w:hAnsi="Calibri"/>
                <w:b w:val="0"/>
                <w:i w:val="0"/>
                <w:color w:val="212121"/>
                <w:sz w:val="19"/>
              </w:rPr>
              <w:t>Physical inactivity worsens lipids, blood pressure, weight and insulin resistance and removes the protective conditioning of the heart, promoting atherosclerosis and lowering the ischaemic threshold at which angina appears.</w:t>
            </w:r>
          </w:p>
          <w:p>
            <w:pPr>
              <w:spacing w:after="40" w:before="60" w:line="259" w:lineRule="auto"/>
            </w:pPr>
            <w:r>
              <w:rPr>
                <w:rFonts w:ascii="Calibri" w:hAnsi="Calibri"/>
                <w:b w:val="0"/>
                <w:i w:val="0"/>
                <w:color w:val="212121"/>
                <w:sz w:val="19"/>
              </w:rPr>
              <w:t>About 17.5% of adults in the Kerala CAD study were physically inactive, lowering the exertional threshold at which ischaemia and angina appear.</w:t>
            </w:r>
          </w:p>
          <w:p>
            <w:pPr>
              <w:spacing w:after="40" w:line="252" w:lineRule="auto"/>
            </w:pPr>
            <w:hyperlink r:id="rId11">
              <w:r>
                <w:rPr>
                  <w:rFonts w:ascii="Calibri" w:hAnsi="Calibri" w:cs="Calibri"/>
                  <w:sz w:val="18"/>
                  <w:color w:val="1155CC"/>
                  <w:u w:val="single"/>
                </w:rPr>
                <w:t xml:space="preserve">bmccardiovascdisord - CAD in Kerala</w:t>
              </w:r>
            </w:hyperlink>
          </w:p>
          <w:p>
            <w:pPr>
              <w:spacing w:before="60" w:after="40"/>
            </w:pPr>
            <w:r>
              <w:rPr>
                <w:rFonts w:ascii="Calibri" w:hAnsi="Calibri"/>
                <w:b w:val="0"/>
                <w:i w:val="0"/>
                <w:color w:val="5A5A5A"/>
                <w:sz w:val="18"/>
              </w:rPr>
              <w:t>#sedentary  #inactivity  #deconditioning  #lowthreshold</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Overweight and obesity</w:t>
            </w:r>
          </w:p>
        </w:tc>
        <w:tc>
          <w:tcPr>
            <w:tcW w:type="dxa" w:w="2160"/>
            <w:vAlign w:val="top"/>
          </w:tcPr>
          <w:p>
            <w:pPr>
              <w:spacing w:after="40" w:before="0" w:line="259" w:lineRule="auto"/>
            </w:pPr>
            <w:r>
              <w:rPr>
                <w:rFonts w:ascii="Calibri" w:hAnsi="Calibri"/>
                <w:b w:val="0"/>
                <w:i w:val="0"/>
                <w:color w:val="212121"/>
                <w:sz w:val="19"/>
              </w:rPr>
              <w:t>Overweight/obese and centrally obese adults</w:t>
            </w:r>
          </w:p>
        </w:tc>
        <w:tc>
          <w:tcPr>
            <w:tcW w:type="dxa" w:w="4276"/>
            <w:vAlign w:val="top"/>
          </w:tcPr>
          <w:p>
            <w:pPr>
              <w:spacing w:after="60" w:line="259" w:lineRule="auto"/>
            </w:pPr>
            <w:r>
              <w:rPr>
                <w:rFonts w:ascii="Calibri" w:hAnsi="Calibri"/>
                <w:b w:val="0"/>
                <w:i w:val="0"/>
                <w:color w:val="212121"/>
                <w:sz w:val="19"/>
              </w:rPr>
              <w:t>Excess weight, and especially abdominal (visceral) fat, raises cardiac workload and drives the insulin-resistance, dyslipidaemia and hypertension cluster that underlies coronary disease; South Asians accumulate harmful visceral fat at a lower BMI - the thin-fat phenotype.</w:t>
            </w:r>
          </w:p>
          <w:p>
            <w:pPr>
              <w:spacing w:after="40" w:before="60" w:line="259" w:lineRule="auto"/>
            </w:pPr>
            <w:r>
              <w:rPr>
                <w:rFonts w:ascii="Calibri" w:hAnsi="Calibri"/>
                <w:b w:val="0"/>
                <w:i w:val="0"/>
                <w:color w:val="212121"/>
                <w:sz w:val="19"/>
              </w:rPr>
              <w:t>In the Kerala community study 59% were overweight or obese and 57% had abdominal obesity.</w:t>
            </w:r>
          </w:p>
          <w:p>
            <w:pPr>
              <w:spacing w:after="40" w:line="252" w:lineRule="auto"/>
            </w:pPr>
            <w:hyperlink r:id="rId11">
              <w:r>
                <w:rPr>
                  <w:rFonts w:ascii="Calibri" w:hAnsi="Calibri" w:cs="Calibri"/>
                  <w:sz w:val="18"/>
                  <w:color w:val="1155CC"/>
                  <w:u w:val="single"/>
                </w:rPr>
                <w:t xml:space="preserve">bmccardiovascdisord - CAD in Kerala</w:t>
              </w:r>
            </w:hyperlink>
          </w:p>
          <w:p>
            <w:pPr>
              <w:spacing w:before="60" w:after="40"/>
            </w:pPr>
            <w:r>
              <w:rPr>
                <w:rFonts w:ascii="Calibri" w:hAnsi="Calibri"/>
                <w:b w:val="0"/>
                <w:i w:val="0"/>
                <w:color w:val="5A5A5A"/>
                <w:sz w:val="18"/>
              </w:rPr>
              <w:t>#obesity  #abdominalobesity  #visceralfat  #thinfat  #metabolicsyndrome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Smoking and tobacco</w:t>
            </w:r>
          </w:p>
        </w:tc>
        <w:tc>
          <w:tcPr>
            <w:tcW w:type="dxa" w:w="2160"/>
            <w:vAlign w:val="top"/>
          </w:tcPr>
          <w:p>
            <w:pPr>
              <w:spacing w:after="40" w:before="0" w:line="259" w:lineRule="auto"/>
            </w:pPr>
            <w:r>
              <w:rPr>
                <w:rFonts w:ascii="Calibri" w:hAnsi="Calibri"/>
                <w:b w:val="0"/>
                <w:i w:val="0"/>
                <w:color w:val="212121"/>
                <w:sz w:val="19"/>
              </w:rPr>
              <w:t>Smokers, bidi and smokeless-tobacco users</w:t>
            </w:r>
          </w:p>
        </w:tc>
        <w:tc>
          <w:tcPr>
            <w:tcW w:type="dxa" w:w="4276"/>
            <w:vAlign w:val="top"/>
          </w:tcPr>
          <w:p>
            <w:pPr>
              <w:spacing w:after="60" w:line="259" w:lineRule="auto"/>
            </w:pPr>
            <w:r>
              <w:rPr>
                <w:rFonts w:ascii="Calibri" w:hAnsi="Calibri"/>
                <w:b w:val="0"/>
                <w:i w:val="0"/>
                <w:color w:val="212121"/>
                <w:sz w:val="19"/>
              </w:rPr>
              <w:t>Tobacco injures the endothelium, promotes clotting and provokes coronary vasoconstriction and spasm, accelerating atherosclerosis and directly triggering both effort and vasospastic angina; it is one of the two strongest modifiable risks for coronary events in Indians and includes bidis and smokeless forms.</w:t>
            </w:r>
          </w:p>
          <w:p>
            <w:pPr>
              <w:spacing w:after="40" w:before="60" w:line="259" w:lineRule="auto"/>
            </w:pPr>
            <w:r>
              <w:rPr>
                <w:rFonts w:ascii="Calibri" w:hAnsi="Calibri"/>
                <w:b w:val="0"/>
                <w:i w:val="0"/>
                <w:color w:val="212121"/>
                <w:sz w:val="19"/>
              </w:rPr>
              <w:t>Smoking, together with an abnormal ApoB/ApoA-1 ratio, accounted for roughly two-thirds of myocardial infarction risk in South Asians in INTERHEART.</w:t>
            </w:r>
          </w:p>
          <w:p>
            <w:pPr>
              <w:spacing w:after="40" w:line="252" w:lineRule="auto"/>
            </w:pPr>
            <w:hyperlink r:id="rId13">
              <w:r>
                <w:rPr>
                  <w:rFonts w:ascii="Calibri" w:hAnsi="Calibri" w:cs="Calibri"/>
                  <w:sz w:val="18"/>
                  <w:color w:val="1155CC"/>
                  <w:u w:val="single"/>
                </w:rPr>
                <w:t xml:space="preserve">ijmr.org.in - CHD in Indians: INTERHEART</w:t>
              </w:r>
            </w:hyperlink>
          </w:p>
          <w:p>
            <w:pPr>
              <w:spacing w:before="60" w:after="40"/>
            </w:pPr>
            <w:r>
              <w:rPr>
                <w:rFonts w:ascii="Calibri" w:hAnsi="Calibri"/>
                <w:b w:val="0"/>
                <w:i w:val="0"/>
                <w:color w:val="5A5A5A"/>
                <w:sz w:val="18"/>
              </w:rPr>
              <w:t>#smoking  #tobacco  #bidi  #vasospasm  #endothelium</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Alcohol</w:t>
            </w:r>
          </w:p>
        </w:tc>
        <w:tc>
          <w:tcPr>
            <w:tcW w:type="dxa" w:w="2160"/>
            <w:vAlign w:val="top"/>
          </w:tcPr>
          <w:p>
            <w:pPr>
              <w:spacing w:after="40" w:before="0" w:line="259" w:lineRule="auto"/>
            </w:pPr>
            <w:r>
              <w:rPr>
                <w:rFonts w:ascii="Calibri" w:hAnsi="Calibri"/>
                <w:b w:val="0"/>
                <w:i w:val="0"/>
                <w:color w:val="212121"/>
                <w:sz w:val="19"/>
              </w:rPr>
              <w:t>Heavy and regular drinkers</w:t>
            </w:r>
          </w:p>
        </w:tc>
        <w:tc>
          <w:tcPr>
            <w:tcW w:type="dxa" w:w="4276"/>
            <w:vAlign w:val="top"/>
          </w:tcPr>
          <w:p>
            <w:pPr>
              <w:spacing w:after="60" w:line="259" w:lineRule="auto"/>
            </w:pPr>
            <w:r>
              <w:rPr>
                <w:rFonts w:ascii="Calibri" w:hAnsi="Calibri"/>
                <w:b w:val="0"/>
                <w:i w:val="0"/>
                <w:color w:val="212121"/>
                <w:sz w:val="19"/>
              </w:rPr>
              <w:t>Heavy drinking raises blood pressure, triglycerides and the risk of arrhythmia, worsening the supply-demand balance; importantly the modest protection reported in some Western data does not apply to South Asians.</w:t>
            </w:r>
          </w:p>
          <w:p>
            <w:pPr>
              <w:spacing w:after="40" w:before="60" w:line="259" w:lineRule="auto"/>
            </w:pPr>
            <w:r>
              <w:rPr>
                <w:rFonts w:ascii="Calibri" w:hAnsi="Calibri"/>
                <w:b w:val="0"/>
                <w:i w:val="0"/>
                <w:color w:val="212121"/>
                <w:sz w:val="19"/>
              </w:rPr>
              <w:t>In INTERHEART, regular alcohol use was not protective against myocardial infarction in South Asians (odds ratio about 1.06).</w:t>
            </w:r>
          </w:p>
          <w:p>
            <w:pPr>
              <w:spacing w:after="40" w:line="252" w:lineRule="auto"/>
            </w:pPr>
            <w:hyperlink r:id="rId13">
              <w:r>
                <w:rPr>
                  <w:rFonts w:ascii="Calibri" w:hAnsi="Calibri" w:cs="Calibri"/>
                  <w:sz w:val="18"/>
                  <w:color w:val="1155CC"/>
                  <w:u w:val="single"/>
                </w:rPr>
                <w:t xml:space="preserve">ijmr.org.in - CHD in Indians: INTERHEART</w:t>
              </w:r>
            </w:hyperlink>
          </w:p>
          <w:p>
            <w:pPr>
              <w:spacing w:before="60" w:after="40"/>
            </w:pPr>
            <w:r>
              <w:rPr>
                <w:rFonts w:ascii="Calibri" w:hAnsi="Calibri"/>
                <w:b w:val="0"/>
                <w:i w:val="0"/>
                <w:color w:val="5A5A5A"/>
                <w:sz w:val="18"/>
              </w:rPr>
              <w:t>#alcohol  #hypertension  #triglycerides  #arrhythmia</w:t>
            </w:r>
          </w:p>
        </w:tc>
      </w:tr>
      <w:tr>
        <w:trPr>
          <w:cantSplit/>
        </w:trPr>
        <w:tc>
          <w:tcPr>
            <w:tcW w:type="dxa" w:w="1512"/>
            <w:vMerge w:val="restart"/>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Dietary preference</w:t>
            </w:r>
          </w:p>
        </w:tc>
        <w:tc>
          <w:tcPr>
            <w:tcW w:type="dxa" w:w="2160"/>
            <w:vAlign w:val="top"/>
          </w:tcPr>
          <w:p>
            <w:pPr>
              <w:spacing w:after="40" w:before="0" w:line="259" w:lineRule="auto"/>
            </w:pPr>
            <w:r>
              <w:rPr>
                <w:rFonts w:ascii="Calibri" w:hAnsi="Calibri"/>
                <w:b w:val="0"/>
                <w:i w:val="0"/>
                <w:color w:val="212121"/>
                <w:sz w:val="19"/>
              </w:rPr>
              <w:t>High refined-carb, fried and trans-fat diets</w:t>
            </w:r>
          </w:p>
        </w:tc>
        <w:tc>
          <w:tcPr>
            <w:tcW w:type="dxa" w:w="4276"/>
            <w:vAlign w:val="top"/>
          </w:tcPr>
          <w:p>
            <w:pPr>
              <w:spacing w:after="60" w:line="259" w:lineRule="auto"/>
            </w:pPr>
            <w:r>
              <w:rPr>
                <w:rFonts w:ascii="Calibri" w:hAnsi="Calibri"/>
                <w:b w:val="0"/>
                <w:i w:val="0"/>
                <w:color w:val="212121"/>
                <w:sz w:val="19"/>
              </w:rPr>
              <w:t>Diets rich in refined carbohydrate (white rice, maida), deep-fried foods and reused or partially-hydrogenated oils (vanaspati) raise LDL, triglycerides and inflammation while lowering HDL, accelerating the atherosclerosis that underlies angina.</w:t>
            </w:r>
          </w:p>
          <w:p>
            <w:pPr>
              <w:spacing w:after="40" w:before="60" w:line="259" w:lineRule="auto"/>
            </w:pPr>
            <w:r>
              <w:rPr>
                <w:rFonts w:ascii="Calibri" w:hAnsi="Calibri"/>
                <w:b w:val="0"/>
                <w:i w:val="0"/>
                <w:color w:val="212121"/>
                <w:sz w:val="19"/>
              </w:rPr>
              <w:t>A diet high in refined carbohydrate and trans fat, with low fruit and vegetable intake, is an established contributor to the high coronary burden in South Asians identified by INTERHEART.</w:t>
            </w:r>
          </w:p>
          <w:p>
            <w:pPr>
              <w:spacing w:after="40" w:line="252" w:lineRule="auto"/>
            </w:pPr>
            <w:hyperlink r:id="rId13">
              <w:r>
                <w:rPr>
                  <w:rFonts w:ascii="Calibri" w:hAnsi="Calibri" w:cs="Calibri"/>
                  <w:sz w:val="18"/>
                  <w:color w:val="1155CC"/>
                  <w:u w:val="single"/>
                </w:rPr>
                <w:t xml:space="preserve">ijmr.org.in - CHD in Indians: INTERHEART</w:t>
              </w:r>
            </w:hyperlink>
          </w:p>
          <w:p>
            <w:pPr>
              <w:spacing w:before="60" w:after="40"/>
            </w:pPr>
            <w:r>
              <w:rPr>
                <w:rFonts w:ascii="Calibri" w:hAnsi="Calibri"/>
                <w:b w:val="0"/>
                <w:i w:val="0"/>
                <w:color w:val="5A5A5A"/>
                <w:sz w:val="18"/>
              </w:rPr>
              <w:t>#refinedcarbs  #transfat  #vanaspati  #friedfood</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Low fruit and vegetable intake</w:t>
            </w:r>
          </w:p>
        </w:tc>
        <w:tc>
          <w:tcPr>
            <w:tcW w:type="dxa" w:w="2160"/>
            <w:vAlign w:val="top"/>
          </w:tcPr>
          <w:p>
            <w:pPr>
              <w:spacing w:after="40" w:before="0" w:line="259" w:lineRule="auto"/>
            </w:pPr>
            <w:r>
              <w:rPr>
                <w:rFonts w:ascii="Calibri" w:hAnsi="Calibri"/>
                <w:b w:val="0"/>
                <w:i w:val="0"/>
                <w:color w:val="212121"/>
                <w:sz w:val="19"/>
              </w:rPr>
              <w:t>Diets low in fruits, vegetables and fibre</w:t>
            </w:r>
          </w:p>
        </w:tc>
        <w:tc>
          <w:tcPr>
            <w:tcW w:type="dxa" w:w="4276"/>
            <w:vAlign w:val="top"/>
          </w:tcPr>
          <w:p>
            <w:pPr>
              <w:spacing w:after="60" w:line="259" w:lineRule="auto"/>
            </w:pPr>
            <w:r>
              <w:rPr>
                <w:rFonts w:ascii="Calibri" w:hAnsi="Calibri"/>
                <w:b w:val="0"/>
                <w:i w:val="0"/>
                <w:color w:val="212121"/>
                <w:sz w:val="19"/>
              </w:rPr>
              <w:t>Fruits, vegetables and whole grains supply fibre, potassium and antioxidants that lower LDL and blood pressure; their low intake removes this protection and is markedly lower among South Asians.</w:t>
            </w:r>
          </w:p>
          <w:p>
            <w:pPr>
              <w:spacing w:after="40" w:before="60" w:line="259" w:lineRule="auto"/>
            </w:pPr>
            <w:r>
              <w:rPr>
                <w:rFonts w:ascii="Calibri" w:hAnsi="Calibri"/>
                <w:b w:val="0"/>
                <w:i w:val="0"/>
                <w:color w:val="212121"/>
                <w:sz w:val="19"/>
              </w:rPr>
              <w:t>INTERHEART found that protective factors - regular fruit and vegetable intake and leisure-time physical activity - are markedly lower in South Asians than in Western populations.</w:t>
            </w:r>
          </w:p>
          <w:p>
            <w:pPr>
              <w:spacing w:after="40" w:line="252" w:lineRule="auto"/>
            </w:pPr>
            <w:hyperlink r:id="rId13">
              <w:r>
                <w:rPr>
                  <w:rFonts w:ascii="Calibri" w:hAnsi="Calibri" w:cs="Calibri"/>
                  <w:sz w:val="18"/>
                  <w:color w:val="1155CC"/>
                  <w:u w:val="single"/>
                </w:rPr>
                <w:t xml:space="preserve">ijmr.org.in - CHD in Indians: INTERHEART</w:t>
              </w:r>
            </w:hyperlink>
          </w:p>
          <w:p>
            <w:pPr>
              <w:spacing w:before="60" w:after="40"/>
            </w:pPr>
            <w:r>
              <w:rPr>
                <w:rFonts w:ascii="Calibri" w:hAnsi="Calibri"/>
                <w:b w:val="0"/>
                <w:i w:val="0"/>
                <w:color w:val="5A5A5A"/>
                <w:sz w:val="18"/>
              </w:rPr>
              <w:t>#lowfibre  #fruitsveg  #antioxidants  #diet</w:t>
            </w:r>
          </w:p>
        </w:tc>
      </w:tr>
      <w:tr>
        <w:trPr>
          <w:cantSplit/>
        </w:trPr>
        <w:tc>
          <w:tcPr>
            <w:tcW w:type="dxa" w:w="1512"/>
            <w:vMerge w:val="restart"/>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w:t>
            </w:r>
          </w:p>
        </w:tc>
        <w:tc>
          <w:tcPr>
            <w:tcW w:type="dxa" w:w="2160"/>
            <w:vAlign w:val="top"/>
          </w:tcPr>
          <w:p>
            <w:pPr>
              <w:spacing w:after="40" w:before="0" w:line="259" w:lineRule="auto"/>
            </w:pPr>
            <w:r>
              <w:rPr>
                <w:rFonts w:ascii="Calibri" w:hAnsi="Calibri"/>
                <w:b w:val="0"/>
                <w:i w:val="0"/>
                <w:color w:val="212121"/>
                <w:sz w:val="19"/>
              </w:rPr>
              <w:t>First-degree relative with premature CHD</w:t>
            </w:r>
          </w:p>
        </w:tc>
        <w:tc>
          <w:tcPr>
            <w:tcW w:type="dxa" w:w="4276"/>
            <w:vAlign w:val="top"/>
          </w:tcPr>
          <w:p>
            <w:pPr>
              <w:spacing w:after="60" w:line="259" w:lineRule="auto"/>
            </w:pPr>
            <w:r>
              <w:rPr>
                <w:rFonts w:ascii="Calibri" w:hAnsi="Calibri"/>
                <w:b w:val="0"/>
                <w:i w:val="0"/>
                <w:color w:val="212121"/>
                <w:sz w:val="19"/>
              </w:rPr>
              <w:t>A parent or sibling with early coronary disease signals shared genetic and lifestyle risk, roughly doubling an individual's risk and shifting the onset of angina earlier; such family clustering is prominent in Indian families.</w:t>
            </w:r>
          </w:p>
          <w:p>
            <w:pPr>
              <w:spacing w:after="40" w:before="60" w:line="259" w:lineRule="auto"/>
            </w:pPr>
            <w:r>
              <w:rPr>
                <w:rFonts w:ascii="Calibri" w:hAnsi="Calibri"/>
                <w:b w:val="0"/>
                <w:i w:val="0"/>
                <w:color w:val="212121"/>
                <w:sz w:val="19"/>
              </w:rPr>
              <w:t>About 18% of the Kerala community sample reported a family history of coronary artery disease.</w:t>
            </w:r>
          </w:p>
          <w:p>
            <w:pPr>
              <w:spacing w:after="40" w:line="252" w:lineRule="auto"/>
            </w:pPr>
            <w:hyperlink r:id="rId11">
              <w:r>
                <w:rPr>
                  <w:rFonts w:ascii="Calibri" w:hAnsi="Calibri" w:cs="Calibri"/>
                  <w:sz w:val="18"/>
                  <w:color w:val="1155CC"/>
                  <w:u w:val="single"/>
                </w:rPr>
                <w:t xml:space="preserve">bmccardiovascdisord - CAD in Kerala</w:t>
              </w:r>
            </w:hyperlink>
          </w:p>
          <w:p>
            <w:pPr>
              <w:spacing w:before="60" w:after="40"/>
            </w:pPr>
            <w:r>
              <w:rPr>
                <w:rFonts w:ascii="Calibri" w:hAnsi="Calibri"/>
                <w:b w:val="0"/>
                <w:i w:val="0"/>
                <w:color w:val="5A5A5A"/>
                <w:sz w:val="18"/>
              </w:rPr>
              <w:t>#familyhistory  #genetics  #prematureCAD  #inherited</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Lipoprotein(a)</w:t>
            </w:r>
          </w:p>
        </w:tc>
        <w:tc>
          <w:tcPr>
            <w:tcW w:type="dxa" w:w="2160"/>
            <w:vAlign w:val="top"/>
          </w:tcPr>
          <w:p>
            <w:pPr>
              <w:spacing w:after="40" w:before="0" w:line="259" w:lineRule="auto"/>
            </w:pPr>
            <w:r>
              <w:rPr>
                <w:rFonts w:ascii="Calibri" w:hAnsi="Calibri"/>
                <w:b w:val="0"/>
                <w:i w:val="0"/>
                <w:color w:val="212121"/>
                <w:sz w:val="19"/>
              </w:rPr>
              <w:t>People with elevated Lp(a)</w:t>
            </w:r>
          </w:p>
        </w:tc>
        <w:tc>
          <w:tcPr>
            <w:tcW w:type="dxa" w:w="4276"/>
            <w:vAlign w:val="top"/>
          </w:tcPr>
          <w:p>
            <w:pPr>
              <w:spacing w:after="60" w:line="259" w:lineRule="auto"/>
            </w:pPr>
            <w:r>
              <w:rPr>
                <w:rFonts w:ascii="Calibri" w:hAnsi="Calibri"/>
                <w:b w:val="0"/>
                <w:i w:val="0"/>
                <w:color w:val="212121"/>
                <w:sz w:val="19"/>
              </w:rPr>
              <w:t>Lipoprotein(a) is a genetically determined, pro-atherogenic and pro-thrombotic lipoprotein that is not lowered by lifestyle; South Asians commonly carry high levels, driving early and aggressive coronary disease and young-onset angina.</w:t>
            </w:r>
          </w:p>
          <w:p>
            <w:pPr>
              <w:spacing w:after="40" w:before="60" w:line="259" w:lineRule="auto"/>
            </w:pPr>
            <w:r>
              <w:rPr>
                <w:rFonts w:ascii="Calibri" w:hAnsi="Calibri"/>
                <w:b w:val="0"/>
                <w:i w:val="0"/>
                <w:color w:val="212121"/>
                <w:sz w:val="19"/>
              </w:rPr>
              <w:t>Elevated lipoprotein(a) is a recognised, largely genetic driver of premature coronary disease that is disproportionately common in Indians.</w:t>
            </w:r>
          </w:p>
          <w:p>
            <w:pPr>
              <w:spacing w:before="60" w:after="40"/>
            </w:pPr>
            <w:r>
              <w:rPr>
                <w:rFonts w:ascii="Calibri" w:hAnsi="Calibri"/>
                <w:b w:val="0"/>
                <w:i w:val="0"/>
                <w:color w:val="5A5A5A"/>
                <w:sz w:val="18"/>
              </w:rPr>
              <w:t>#lipoproteinA  #genetic  #youngCAD  #thrombosis</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Diabetes mellitus</w:t>
            </w:r>
          </w:p>
        </w:tc>
        <w:tc>
          <w:tcPr>
            <w:tcW w:type="dxa" w:w="2160"/>
            <w:vAlign w:val="top"/>
          </w:tcPr>
          <w:p>
            <w:pPr>
              <w:spacing w:after="40" w:before="0" w:line="259" w:lineRule="auto"/>
            </w:pPr>
            <w:r>
              <w:rPr>
                <w:rFonts w:ascii="Calibri" w:hAnsi="Calibri"/>
                <w:b w:val="0"/>
                <w:i w:val="0"/>
                <w:color w:val="212121"/>
                <w:sz w:val="19"/>
              </w:rPr>
              <w:t>Patients with type 2 diabetes / prediabetes</w:t>
            </w:r>
          </w:p>
        </w:tc>
        <w:tc>
          <w:tcPr>
            <w:tcW w:type="dxa" w:w="4276"/>
            <w:vAlign w:val="top"/>
          </w:tcPr>
          <w:p>
            <w:pPr>
              <w:spacing w:after="60" w:line="259" w:lineRule="auto"/>
            </w:pPr>
            <w:r>
              <w:rPr>
                <w:rFonts w:ascii="Calibri" w:hAnsi="Calibri"/>
                <w:b w:val="0"/>
                <w:i w:val="0"/>
                <w:color w:val="212121"/>
                <w:sz w:val="19"/>
              </w:rPr>
              <w:t>Diabetes causes endothelial dysfunction, atherogenic dyslipidaemia and a pro-thrombotic state, producing accelerated, diffuse and often silent coronary disease; diabetic autonomic neuropathy blunts pain, so ischaemia may present as breathlessness rather than classic angina.</w:t>
            </w:r>
          </w:p>
          <w:p>
            <w:pPr>
              <w:spacing w:after="40" w:before="60" w:line="259" w:lineRule="auto"/>
            </w:pPr>
            <w:r>
              <w:rPr>
                <w:rFonts w:ascii="Calibri" w:hAnsi="Calibri"/>
                <w:b w:val="0"/>
                <w:i w:val="0"/>
                <w:color w:val="212121"/>
                <w:sz w:val="19"/>
              </w:rPr>
              <w:t>Diabetes was present in about 15% of the Kerala community cohort and is a major, and often pain-masking, driver of coronary ischaemia.</w:t>
            </w:r>
          </w:p>
          <w:p>
            <w:pPr>
              <w:spacing w:after="40" w:line="252" w:lineRule="auto"/>
            </w:pPr>
            <w:hyperlink r:id="rId11">
              <w:r>
                <w:rPr>
                  <w:rFonts w:ascii="Calibri" w:hAnsi="Calibri" w:cs="Calibri"/>
                  <w:sz w:val="18"/>
                  <w:color w:val="1155CC"/>
                  <w:u w:val="single"/>
                </w:rPr>
                <w:t xml:space="preserve">bmccardiovascdisord - CAD in Kerala</w:t>
              </w:r>
            </w:hyperlink>
          </w:p>
          <w:p>
            <w:pPr>
              <w:spacing w:before="60" w:after="40"/>
            </w:pPr>
            <w:r>
              <w:rPr>
                <w:rFonts w:ascii="Calibri" w:hAnsi="Calibri"/>
                <w:b w:val="0"/>
                <w:i w:val="0"/>
                <w:color w:val="5A5A5A"/>
                <w:sz w:val="18"/>
              </w:rPr>
              <w:t>#diabetes  #silentischaemia  #insulinresistance  #neuropathy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Hypertension</w:t>
            </w:r>
          </w:p>
        </w:tc>
        <w:tc>
          <w:tcPr>
            <w:tcW w:type="dxa" w:w="2160"/>
            <w:vAlign w:val="top"/>
          </w:tcPr>
          <w:p>
            <w:pPr>
              <w:spacing w:after="40" w:before="0" w:line="259" w:lineRule="auto"/>
            </w:pPr>
            <w:r>
              <w:rPr>
                <w:rFonts w:ascii="Calibri" w:hAnsi="Calibri"/>
                <w:b w:val="0"/>
                <w:i w:val="0"/>
                <w:color w:val="212121"/>
                <w:sz w:val="19"/>
              </w:rPr>
              <w:t>Patients with high blood pressure</w:t>
            </w:r>
          </w:p>
        </w:tc>
        <w:tc>
          <w:tcPr>
            <w:tcW w:type="dxa" w:w="4276"/>
            <w:vAlign w:val="top"/>
          </w:tcPr>
          <w:p>
            <w:pPr>
              <w:spacing w:after="60" w:line="259" w:lineRule="auto"/>
            </w:pPr>
            <w:r>
              <w:rPr>
                <w:rFonts w:ascii="Calibri" w:hAnsi="Calibri"/>
                <w:b w:val="0"/>
                <w:i w:val="0"/>
                <w:color w:val="212121"/>
                <w:sz w:val="19"/>
              </w:rPr>
              <w:t>Raised pressure increases myocardial oxygen demand and causes left-ventricular hypertrophy while injuring the arterial wall and accelerating atherosclerosis, lowering the threshold for angina.</w:t>
            </w:r>
          </w:p>
          <w:p>
            <w:pPr>
              <w:spacing w:after="40" w:before="60" w:line="259" w:lineRule="auto"/>
            </w:pPr>
            <w:r>
              <w:rPr>
                <w:rFonts w:ascii="Calibri" w:hAnsi="Calibri"/>
                <w:b w:val="0"/>
                <w:i w:val="0"/>
                <w:color w:val="212121"/>
                <w:sz w:val="19"/>
              </w:rPr>
              <w:t>Hypertension was present in about 28% of adults in the Kerala CAD study.</w:t>
            </w:r>
          </w:p>
          <w:p>
            <w:pPr>
              <w:spacing w:after="40" w:line="252" w:lineRule="auto"/>
            </w:pPr>
            <w:hyperlink r:id="rId11">
              <w:r>
                <w:rPr>
                  <w:rFonts w:ascii="Calibri" w:hAnsi="Calibri" w:cs="Calibri"/>
                  <w:sz w:val="18"/>
                  <w:color w:val="1155CC"/>
                  <w:u w:val="single"/>
                </w:rPr>
                <w:t xml:space="preserve">bmccardiovascdisord - CAD in Kerala</w:t>
              </w:r>
            </w:hyperlink>
          </w:p>
          <w:p>
            <w:pPr>
              <w:spacing w:before="60" w:after="40"/>
            </w:pPr>
            <w:r>
              <w:rPr>
                <w:rFonts w:ascii="Calibri" w:hAnsi="Calibri"/>
                <w:b w:val="0"/>
                <w:i w:val="0"/>
                <w:color w:val="5A5A5A"/>
                <w:sz w:val="18"/>
              </w:rPr>
              <w:t>#hypertension  #LVH  #afterload  #demandischaemia</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Dyslipidaemia</w:t>
            </w:r>
          </w:p>
        </w:tc>
        <w:tc>
          <w:tcPr>
            <w:tcW w:type="dxa" w:w="2160"/>
            <w:vAlign w:val="top"/>
          </w:tcPr>
          <w:p>
            <w:pPr>
              <w:spacing w:after="40" w:before="0" w:line="259" w:lineRule="auto"/>
            </w:pPr>
            <w:r>
              <w:rPr>
                <w:rFonts w:ascii="Calibri" w:hAnsi="Calibri"/>
                <w:b w:val="0"/>
                <w:i w:val="0"/>
                <w:color w:val="212121"/>
                <w:sz w:val="19"/>
              </w:rPr>
              <w:t>Patients with abnormal lipids</w:t>
            </w:r>
          </w:p>
        </w:tc>
        <w:tc>
          <w:tcPr>
            <w:tcW w:type="dxa" w:w="4276"/>
            <w:vAlign w:val="top"/>
          </w:tcPr>
          <w:p>
            <w:pPr>
              <w:spacing w:after="60" w:line="259" w:lineRule="auto"/>
            </w:pPr>
            <w:r>
              <w:rPr>
                <w:rFonts w:ascii="Calibri" w:hAnsi="Calibri"/>
                <w:b w:val="0"/>
                <w:i w:val="0"/>
                <w:color w:val="212121"/>
                <w:sz w:val="19"/>
              </w:rPr>
              <w:t>High LDL and lipoprotein(a) supply the cholesterol that builds and destabilises plaque, while low HDL and high triglycerides - the typical Indian pattern - add residual risk and accelerate the disease that causes angina.</w:t>
            </w:r>
          </w:p>
          <w:p>
            <w:pPr>
              <w:spacing w:after="40" w:before="60" w:line="259" w:lineRule="auto"/>
            </w:pPr>
            <w:r>
              <w:rPr>
                <w:rFonts w:ascii="Calibri" w:hAnsi="Calibri"/>
                <w:b w:val="0"/>
                <w:i w:val="0"/>
                <w:color w:val="212121"/>
                <w:sz w:val="19"/>
              </w:rPr>
              <w:t>In the Kerala cohort, 52% had high total cholesterol and 39% had low HDL cholesterol.</w:t>
            </w:r>
          </w:p>
          <w:p>
            <w:pPr>
              <w:spacing w:after="40" w:line="252" w:lineRule="auto"/>
            </w:pPr>
            <w:hyperlink r:id="rId11">
              <w:r>
                <w:rPr>
                  <w:rFonts w:ascii="Calibri" w:hAnsi="Calibri" w:cs="Calibri"/>
                  <w:sz w:val="18"/>
                  <w:color w:val="1155CC"/>
                  <w:u w:val="single"/>
                </w:rPr>
                <w:t xml:space="preserve">bmccardiovascdisord - CAD in Kerala</w:t>
              </w:r>
            </w:hyperlink>
          </w:p>
          <w:p>
            <w:pPr>
              <w:spacing w:before="60" w:after="40"/>
            </w:pPr>
            <w:r>
              <w:rPr>
                <w:rFonts w:ascii="Calibri" w:hAnsi="Calibri"/>
                <w:b w:val="0"/>
                <w:i w:val="0"/>
                <w:color w:val="5A5A5A"/>
                <w:sz w:val="18"/>
              </w:rPr>
              <w:t>#dyslipidaemia  #LDL  #lowHDL  #triglycerides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Anaemia</w:t>
            </w:r>
          </w:p>
        </w:tc>
        <w:tc>
          <w:tcPr>
            <w:tcW w:type="dxa" w:w="2160"/>
            <w:vAlign w:val="top"/>
          </w:tcPr>
          <w:p>
            <w:pPr>
              <w:spacing w:after="40" w:before="0" w:line="259" w:lineRule="auto"/>
            </w:pPr>
            <w:r>
              <w:rPr>
                <w:rFonts w:ascii="Calibri" w:hAnsi="Calibri"/>
                <w:b w:val="0"/>
                <w:i w:val="0"/>
                <w:color w:val="212121"/>
                <w:sz w:val="19"/>
              </w:rPr>
              <w:t>Patients with significant anaemia</w:t>
            </w:r>
          </w:p>
        </w:tc>
        <w:tc>
          <w:tcPr>
            <w:tcW w:type="dxa" w:w="4276"/>
            <w:vAlign w:val="top"/>
          </w:tcPr>
          <w:p>
            <w:pPr>
              <w:spacing w:after="60" w:line="259" w:lineRule="auto"/>
            </w:pPr>
            <w:r>
              <w:rPr>
                <w:rFonts w:ascii="Calibri" w:hAnsi="Calibri"/>
                <w:b w:val="0"/>
                <w:i w:val="0"/>
                <w:color w:val="212121"/>
                <w:sz w:val="19"/>
              </w:rPr>
              <w:t>Anaemia lowers the oxygen-carrying capacity of blood, so a coronary bed that is adequate at rest can no longer meet demand - precipitating or worsening 'secondary' angina. This is especially relevant in India, where anaemia, particularly iron-deficiency anaemia in women, is highly prevalent.</w:t>
            </w:r>
          </w:p>
          <w:p>
            <w:pPr>
              <w:spacing w:after="40" w:before="60" w:line="259" w:lineRule="auto"/>
            </w:pPr>
            <w:r>
              <w:rPr>
                <w:rFonts w:ascii="Calibri" w:hAnsi="Calibri"/>
                <w:b w:val="0"/>
                <w:i w:val="0"/>
                <w:color w:val="212121"/>
                <w:sz w:val="19"/>
              </w:rPr>
              <w:t>Correcting significant anaemia often relieves angina, and anaemia independently worsens outcomes in acute coronary syndromes.</w:t>
            </w:r>
          </w:p>
          <w:p>
            <w:pPr>
              <w:spacing w:before="60" w:after="40"/>
            </w:pPr>
            <w:r>
              <w:rPr>
                <w:rFonts w:ascii="Calibri" w:hAnsi="Calibri"/>
                <w:b w:val="0"/>
                <w:i w:val="0"/>
                <w:color w:val="5A5A5A"/>
                <w:sz w:val="18"/>
              </w:rPr>
              <w:t>#anaemia  #demandsupply  #ironDeficiency  #secondaryangina</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Chronic lung disease</w:t>
            </w:r>
          </w:p>
        </w:tc>
        <w:tc>
          <w:tcPr>
            <w:tcW w:type="dxa" w:w="2160"/>
            <w:vAlign w:val="top"/>
          </w:tcPr>
          <w:p>
            <w:pPr>
              <w:spacing w:after="40" w:before="0" w:line="259" w:lineRule="auto"/>
            </w:pPr>
            <w:r>
              <w:rPr>
                <w:rFonts w:ascii="Calibri" w:hAnsi="Calibri"/>
                <w:b w:val="0"/>
                <w:i w:val="0"/>
                <w:color w:val="212121"/>
                <w:sz w:val="19"/>
              </w:rPr>
              <w:t>Patients with COPD or asthma</w:t>
            </w:r>
          </w:p>
        </w:tc>
        <w:tc>
          <w:tcPr>
            <w:tcW w:type="dxa" w:w="4276"/>
            <w:vAlign w:val="top"/>
          </w:tcPr>
          <w:p>
            <w:pPr>
              <w:spacing w:after="60" w:line="259" w:lineRule="auto"/>
            </w:pPr>
            <w:r>
              <w:rPr>
                <w:rFonts w:ascii="Calibri" w:hAnsi="Calibri"/>
                <w:b w:val="0"/>
                <w:i w:val="0"/>
                <w:color w:val="212121"/>
                <w:sz w:val="19"/>
              </w:rPr>
              <w:t>Chronic lung disease worsens systemic hypoxia, inflammation and right-heart strain and shares tobacco as a cause, all of which aggravate myocardial ischaemia; breathlessness and angina also overlap, complicating diagnosis.</w:t>
            </w:r>
          </w:p>
          <w:p>
            <w:pPr>
              <w:spacing w:after="40" w:before="60" w:line="259" w:lineRule="auto"/>
            </w:pPr>
            <w:r>
              <w:rPr>
                <w:rFonts w:ascii="Calibri" w:hAnsi="Calibri"/>
                <w:b w:val="0"/>
                <w:i w:val="0"/>
                <w:color w:val="212121"/>
                <w:sz w:val="19"/>
              </w:rPr>
              <w:t>In LASI, angina prevalence was markedly higher among adults with COPD (9.6% vs 5.8%) and with asthma (9.9% vs 5.7%).</w:t>
            </w:r>
          </w:p>
          <w:p>
            <w:pPr>
              <w:spacing w:after="40" w:line="252" w:lineRule="auto"/>
            </w:pPr>
            <w:hyperlink r:id="rId12">
              <w:r>
                <w:rPr>
                  <w:rFonts w:ascii="Calibri" w:hAnsi="Calibri" w:cs="Calibri"/>
                  <w:sz w:val="18"/>
                  <w:color w:val="1155CC"/>
                  <w:u w:val="single"/>
                </w:rPr>
                <w:t xml:space="preserve">nature.com - chronic lung disease &amp; angina (LASI)</w:t>
              </w:r>
            </w:hyperlink>
          </w:p>
          <w:p>
            <w:pPr>
              <w:spacing w:before="60" w:after="40"/>
            </w:pPr>
            <w:r>
              <w:rPr>
                <w:rFonts w:ascii="Calibri" w:hAnsi="Calibri"/>
                <w:b w:val="0"/>
                <w:i w:val="0"/>
                <w:color w:val="5A5A5A"/>
                <w:sz w:val="18"/>
              </w:rPr>
              <w:t>#COPD  #asthma  #hypoxia  #tobacco</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Regular activity improves lipids, blood pressure, weight and endothelial function and raises the ischaemic threshold; in stable angina, exercise-based cardiac rehabilitation improves exercise capacity, while inactivity accelerates the underlying atherosclerosis. Sudden unaccustomed exertion, however, is a classic acute trigger of anginal episodes.</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Diets high in refined carbohydrate, trans fat and salt and low in fruit, vegetables and fibre raise LDL, triglycerides and blood pressure; low fruit/vegetable intake is an established INTERHEART coronary risk factor in South Asians, and large or heavy meals can acutely provoke post-prandial angina.</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Both short and long sleep and untreated obstructive sleep apnoea worsen blood pressure, glucose and sympathetic tone, increasing coronary risk and nocturnal ischaemia; sleep loss is linked to higher rates of angina and coronary events.</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Smoking and smokeless tobacco injure the endothelium, promote thrombosis and trigger coronary vasoconstriction and spasm, worsening both effort and vasospastic angina; it is one of the two strongest modifiable coronary risks in Indians.</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Heavy intake raises blood pressure, triglycerides and arrhythmia risk; unlike some Western data, regular alcohol was not protective against myocardial infarction in South Asians (odds ratio about 1.06).</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Acute emotional stress, anger and anxiety raise heart rate, blood pressure and coronary tone and can directly precipitate angina (including mental-stress-induced ischaemia), while chronic stress and depression independently raise coronary risk and worsen prognosis and adherence.</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Adequate hydration supports circulation and may modestly reduce blood viscosity and thrombotic tendency, but direct evidence for angina prevention is weak.</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Moderate coffee or tea intake is broadly neutral for coronary disease; very high intake or energy drinks can transiently raise blood pressure and, in susceptible people, provoke coronary vasospasm.</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Chronic periodontal infection and poor oral hygiene add to systemic inflammation and are associated with a modest increase in coronary risk; good hygiene lowers the inflammatory burden.</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Predictable acute triggers of angina include physical exertion, emotional stress or anger, exposure to cold or wind, heavy meals and the early-morning catecholamine surge; in vasospastic angina, rest, sleep, smoking and stimulants provoke attacks.</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Decubitus (recumbent) angina - chest pain on lying flat - can occur in advanced coronary disease from increased venous return and cardiac workload, and nocturnal angina may reflect this or coronary spasm.</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Body Mass Index (kg/m2)</w:t>
            </w:r>
          </w:p>
        </w:tc>
        <w:tc>
          <w:tcPr>
            <w:tcW w:type="dxa" w:w="1655"/>
            <w:vAlign w:val="top"/>
          </w:tcPr>
          <w:p>
            <w:pPr>
              <w:spacing w:after="40" w:before="0" w:line="259" w:lineRule="auto"/>
            </w:pPr>
            <w:r>
              <w:rPr>
                <w:rFonts w:ascii="Calibri" w:hAnsi="Calibri"/>
                <w:b w:val="0"/>
                <w:i w:val="0"/>
                <w:color w:val="212121"/>
                <w:sz w:val="19"/>
              </w:rPr>
              <w:t>Adults (Asian Indian)</w:t>
            </w:r>
          </w:p>
        </w:tc>
        <w:tc>
          <w:tcPr>
            <w:tcW w:type="dxa" w:w="1512"/>
            <w:vAlign w:val="top"/>
          </w:tcPr>
          <w:p>
            <w:pPr>
              <w:spacing w:after="40" w:before="0" w:line="259" w:lineRule="auto"/>
            </w:pPr>
            <w:r>
              <w:rPr>
                <w:rFonts w:ascii="Calibri" w:hAnsi="Calibri"/>
                <w:b w:val="0"/>
                <w:i w:val="0"/>
                <w:color w:val="212121"/>
                <w:sz w:val="19"/>
              </w:rPr>
              <w:t>18.0-22.9 kg/m2 (Asian cut-off)</w:t>
            </w:r>
          </w:p>
        </w:tc>
        <w:tc>
          <w:tcPr>
            <w:tcW w:type="dxa" w:w="1512"/>
            <w:vAlign w:val="top"/>
          </w:tcPr>
          <w:p>
            <w:pPr>
              <w:spacing w:after="40" w:before="0" w:line="259" w:lineRule="auto"/>
            </w:pPr>
            <w:r>
              <w:rPr>
                <w:rFonts w:ascii="Calibri" w:hAnsi="Calibri"/>
                <w:b w:val="0"/>
                <w:i w:val="0"/>
                <w:color w:val="212121"/>
                <w:sz w:val="19"/>
              </w:rPr>
              <w:t>&gt;= 23 (overweight); &gt;= 25 (obese)</w:t>
            </w:r>
          </w:p>
        </w:tc>
        <w:tc>
          <w:tcPr>
            <w:tcW w:type="dxa" w:w="1468"/>
            <w:vAlign w:val="top"/>
          </w:tcPr>
          <w:p>
            <w:pPr>
              <w:spacing w:after="60" w:line="259" w:lineRule="auto"/>
            </w:pPr>
            <w:r>
              <w:rPr>
                <w:rFonts w:ascii="Calibri" w:hAnsi="Calibri"/>
                <w:b w:val="0"/>
                <w:i w:val="0"/>
                <w:color w:val="212121"/>
                <w:sz w:val="19"/>
              </w:rPr>
              <w:t>Asian Indians face coronary risk at a lower BMI</w:t>
            </w:r>
          </w:p>
          <w:p>
            <w:pPr>
              <w:spacing w:after="40" w:line="252" w:lineRule="auto"/>
            </w:pPr>
            <w:hyperlink r:id="rId11">
              <w:r>
                <w:rPr>
                  <w:rFonts w:ascii="Calibri" w:hAnsi="Calibri" w:cs="Calibri"/>
                  <w:sz w:val="18"/>
                  <w:color w:val="1155CC"/>
                  <w:u w:val="single"/>
                </w:rPr>
                <w:t xml:space="preserve">https://bmccardiovascdisord.biomedcentral.com/articles/10.1186/s12872-016-0189-3</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Waist circumference (cm)</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M &lt; 90 cm; F &lt; 80 cm</w:t>
            </w:r>
          </w:p>
        </w:tc>
        <w:tc>
          <w:tcPr>
            <w:tcW w:type="dxa" w:w="1512"/>
            <w:vAlign w:val="top"/>
          </w:tcPr>
          <w:p>
            <w:pPr>
              <w:spacing w:after="40" w:before="0" w:line="259" w:lineRule="auto"/>
            </w:pPr>
            <w:r>
              <w:rPr>
                <w:rFonts w:ascii="Calibri" w:hAnsi="Calibri"/>
                <w:b w:val="0"/>
                <w:i w:val="0"/>
                <w:color w:val="212121"/>
                <w:sz w:val="19"/>
              </w:rPr>
              <w:t>M &gt;= 90 cm; F &gt;= 80 cm</w:t>
            </w:r>
          </w:p>
        </w:tc>
        <w:tc>
          <w:tcPr>
            <w:tcW w:type="dxa" w:w="1468"/>
            <w:vAlign w:val="top"/>
          </w:tcPr>
          <w:p>
            <w:pPr>
              <w:spacing w:after="60" w:line="259" w:lineRule="auto"/>
            </w:pPr>
            <w:r>
              <w:rPr>
                <w:rFonts w:ascii="Calibri" w:hAnsi="Calibri"/>
                <w:b w:val="0"/>
                <w:i w:val="0"/>
                <w:color w:val="212121"/>
                <w:sz w:val="19"/>
              </w:rPr>
              <w:t>Abdominal obesity (about 57% in Kerala) strongly drives coronary disease</w:t>
            </w:r>
          </w:p>
          <w:p>
            <w:pPr>
              <w:spacing w:after="40" w:line="252" w:lineRule="auto"/>
            </w:pPr>
            <w:hyperlink r:id="rId11">
              <w:r>
                <w:rPr>
                  <w:rFonts w:ascii="Calibri" w:hAnsi="Calibri" w:cs="Calibri"/>
                  <w:sz w:val="18"/>
                  <w:color w:val="1155CC"/>
                  <w:u w:val="single"/>
                </w:rPr>
                <w:t xml:space="preserve">https://bmccardiovascdisord.biomedcentral.com/articles/10.1186/s12872-016-0189-3</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Moderate activity (min/week)</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&gt;= 150 min/week</w:t>
            </w:r>
          </w:p>
        </w:tc>
        <w:tc>
          <w:tcPr>
            <w:tcW w:type="dxa" w:w="1512"/>
            <w:vAlign w:val="top"/>
          </w:tcPr>
          <w:p>
            <w:pPr>
              <w:spacing w:after="40" w:before="0" w:line="259" w:lineRule="auto"/>
            </w:pPr>
            <w:r>
              <w:rPr>
                <w:rFonts w:ascii="Calibri" w:hAnsi="Calibri"/>
                <w:b w:val="0"/>
                <w:i w:val="0"/>
                <w:color w:val="212121"/>
                <w:sz w:val="19"/>
              </w:rPr>
              <w:t>&lt; 150 min/week</w:t>
            </w:r>
          </w:p>
        </w:tc>
        <w:tc>
          <w:tcPr>
            <w:tcW w:type="dxa" w:w="1468"/>
            <w:vAlign w:val="top"/>
          </w:tcPr>
          <w:p>
            <w:pPr>
              <w:spacing w:after="60" w:line="259" w:lineRule="auto"/>
            </w:pPr>
            <w:r>
              <w:rPr>
                <w:rFonts w:ascii="Calibri" w:hAnsi="Calibri"/>
                <w:b w:val="0"/>
                <w:i w:val="0"/>
                <w:color w:val="212121"/>
                <w:sz w:val="19"/>
              </w:rPr>
              <w:t>Exercise-based cardiac rehab improves exercise capacity in stable angina</w:t>
            </w:r>
          </w:p>
          <w:p>
            <w:pPr>
              <w:spacing w:after="40" w:line="252" w:lineRule="auto"/>
            </w:pPr>
            <w:hyperlink r:id="rId14">
              <w:r>
                <w:rPr>
                  <w:rFonts w:ascii="Calibri" w:hAnsi="Calibri" w:cs="Calibri"/>
                  <w:sz w:val="18"/>
                  <w:color w:val="1155CC"/>
                  <w:u w:val="single"/>
                </w:rPr>
                <w:t xml:space="preserve">https://www.cochrane.org/evidence/CD012786_exercise-based-cardiac-rehabilitation-people-stable-angina</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Resting heart rate (bpm)</w:t>
            </w:r>
          </w:p>
        </w:tc>
        <w:tc>
          <w:tcPr>
            <w:tcW w:type="dxa" w:w="1655"/>
            <w:vAlign w:val="top"/>
          </w:tcPr>
          <w:p>
            <w:pPr>
              <w:spacing w:after="40" w:before="0" w:line="259" w:lineRule="auto"/>
            </w:pPr>
            <w:r>
              <w:rPr>
                <w:rFonts w:ascii="Calibri" w:hAnsi="Calibri"/>
                <w:b w:val="0"/>
                <w:i w:val="0"/>
                <w:color w:val="212121"/>
                <w:sz w:val="19"/>
              </w:rPr>
              <w:t>Angina patients on therapy</w:t>
            </w:r>
          </w:p>
        </w:tc>
        <w:tc>
          <w:tcPr>
            <w:tcW w:type="dxa" w:w="1512"/>
            <w:vAlign w:val="top"/>
          </w:tcPr>
          <w:p>
            <w:pPr>
              <w:spacing w:after="40" w:before="0" w:line="259" w:lineRule="auto"/>
            </w:pPr>
            <w:r>
              <w:rPr>
                <w:rFonts w:ascii="Calibri" w:hAnsi="Calibri"/>
                <w:b w:val="0"/>
                <w:i w:val="0"/>
                <w:color w:val="212121"/>
                <w:sz w:val="19"/>
              </w:rPr>
              <w:t>55-60 bpm (on beta-blocker)</w:t>
            </w:r>
          </w:p>
        </w:tc>
        <w:tc>
          <w:tcPr>
            <w:tcW w:type="dxa" w:w="1512"/>
            <w:vAlign w:val="top"/>
          </w:tcPr>
          <w:p>
            <w:pPr>
              <w:spacing w:after="40" w:before="0" w:line="259" w:lineRule="auto"/>
            </w:pPr>
            <w:r>
              <w:rPr>
                <w:rFonts w:ascii="Calibri" w:hAnsi="Calibri"/>
                <w:b w:val="0"/>
                <w:i w:val="0"/>
                <w:color w:val="212121"/>
                <w:sz w:val="19"/>
              </w:rPr>
              <w:t>&gt;= 70 bpm</w:t>
            </w:r>
          </w:p>
        </w:tc>
        <w:tc>
          <w:tcPr>
            <w:tcW w:type="dxa" w:w="1468"/>
            <w:vAlign w:val="top"/>
          </w:tcPr>
          <w:p>
            <w:pPr>
              <w:spacing w:after="40" w:before="0" w:line="259" w:lineRule="auto"/>
            </w:pPr>
            <w:r>
              <w:rPr>
                <w:rFonts w:ascii="Calibri" w:hAnsi="Calibri"/>
                <w:b w:val="0"/>
                <w:i w:val="0"/>
                <w:color w:val="212121"/>
                <w:sz w:val="19"/>
              </w:rPr>
              <w:t>Lower resting heart rate reduces oxygen demand and anginal episodes</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Blood pressure (mmHg)</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&lt; 130/80 mmHg</w:t>
            </w:r>
          </w:p>
        </w:tc>
        <w:tc>
          <w:tcPr>
            <w:tcW w:type="dxa" w:w="1512"/>
            <w:vAlign w:val="top"/>
          </w:tcPr>
          <w:p>
            <w:pPr>
              <w:spacing w:after="40" w:before="0" w:line="259" w:lineRule="auto"/>
            </w:pPr>
            <w:r>
              <w:rPr>
                <w:rFonts w:ascii="Calibri" w:hAnsi="Calibri"/>
                <w:b w:val="0"/>
                <w:i w:val="0"/>
                <w:color w:val="212121"/>
                <w:sz w:val="19"/>
              </w:rPr>
              <w:t>&gt;= 140/90 mmHg</w:t>
            </w:r>
          </w:p>
        </w:tc>
        <w:tc>
          <w:tcPr>
            <w:tcW w:type="dxa" w:w="1468"/>
            <w:vAlign w:val="top"/>
          </w:tcPr>
          <w:p>
            <w:pPr>
              <w:spacing w:after="60" w:line="259" w:lineRule="auto"/>
            </w:pPr>
            <w:r>
              <w:rPr>
                <w:rFonts w:ascii="Calibri" w:hAnsi="Calibri"/>
                <w:b w:val="0"/>
                <w:i w:val="0"/>
                <w:color w:val="212121"/>
                <w:sz w:val="19"/>
              </w:rPr>
              <w:t>Hypertension raises demand and accelerates coronary atherosclerosis</w:t>
            </w:r>
          </w:p>
          <w:p>
            <w:pPr>
              <w:spacing w:after="40" w:line="252" w:lineRule="auto"/>
            </w:pPr>
            <w:hyperlink r:id="rId11">
              <w:r>
                <w:rPr>
                  <w:rFonts w:ascii="Calibri" w:hAnsi="Calibri" w:cs="Calibri"/>
                  <w:sz w:val="18"/>
                  <w:color w:val="1155CC"/>
                  <w:u w:val="single"/>
                </w:rPr>
                <w:t xml:space="preserve">https://bmccardiovascdisord.biomedcentral.com/articles/10.1186/s12872-016-0189-3</w:t>
              </w:r>
            </w:hyperlink>
          </w:p>
        </w:tc>
      </w:tr>
      <w:tr>
        <w:trPr>
          <w:cantSplit/>
        </w:trPr>
        <w:tc>
          <w:tcPr>
            <w:tcW w:type="dxa" w:w="1512"/>
            <w:vMerge w:val="restart"/>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LDL-cholesterol (mg/dL)</w:t>
            </w:r>
          </w:p>
        </w:tc>
        <w:tc>
          <w:tcPr>
            <w:tcW w:type="dxa" w:w="1655"/>
            <w:vAlign w:val="top"/>
          </w:tcPr>
          <w:p>
            <w:pPr>
              <w:spacing w:after="40" w:before="0" w:line="259" w:lineRule="auto"/>
            </w:pPr>
            <w:r>
              <w:rPr>
                <w:rFonts w:ascii="Calibri" w:hAnsi="Calibri"/>
                <w:b w:val="0"/>
                <w:i w:val="0"/>
                <w:color w:val="212121"/>
                <w:sz w:val="19"/>
              </w:rPr>
              <w:t>Adults; established CAD</w:t>
            </w:r>
          </w:p>
        </w:tc>
        <w:tc>
          <w:tcPr>
            <w:tcW w:type="dxa" w:w="1512"/>
            <w:vAlign w:val="top"/>
          </w:tcPr>
          <w:p>
            <w:pPr>
              <w:spacing w:after="40" w:before="0" w:line="259" w:lineRule="auto"/>
            </w:pPr>
            <w:r>
              <w:rPr>
                <w:rFonts w:ascii="Calibri" w:hAnsi="Calibri"/>
                <w:b w:val="0"/>
                <w:i w:val="0"/>
                <w:color w:val="212121"/>
                <w:sz w:val="19"/>
              </w:rPr>
              <w:t>&lt; 70 (CAD); &lt; 55 very-high-risk</w:t>
            </w:r>
          </w:p>
        </w:tc>
        <w:tc>
          <w:tcPr>
            <w:tcW w:type="dxa" w:w="1512"/>
            <w:vAlign w:val="top"/>
          </w:tcPr>
          <w:p>
            <w:pPr>
              <w:spacing w:after="40" w:before="0" w:line="259" w:lineRule="auto"/>
            </w:pPr>
            <w:r>
              <w:rPr>
                <w:rFonts w:ascii="Calibri" w:hAnsi="Calibri"/>
                <w:b w:val="0"/>
                <w:i w:val="0"/>
                <w:color w:val="212121"/>
                <w:sz w:val="19"/>
              </w:rPr>
              <w:t>&gt;= 70 mg/dL in known CAD</w:t>
            </w:r>
          </w:p>
        </w:tc>
        <w:tc>
          <w:tcPr>
            <w:tcW w:type="dxa" w:w="1468"/>
            <w:vAlign w:val="top"/>
          </w:tcPr>
          <w:p>
            <w:pPr>
              <w:spacing w:after="40" w:before="0" w:line="259" w:lineRule="auto"/>
            </w:pPr>
            <w:r>
              <w:rPr>
                <w:rFonts w:ascii="Calibri" w:hAnsi="Calibri"/>
                <w:b w:val="0"/>
                <w:i w:val="0"/>
                <w:color w:val="212121"/>
                <w:sz w:val="19"/>
              </w:rPr>
              <w:t>Primary lipid target to stabilise plaque and reduce angina/events</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HDL-cholesterol (mg/dL)</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M &gt; 40; F &gt; 50</w:t>
            </w:r>
          </w:p>
        </w:tc>
        <w:tc>
          <w:tcPr>
            <w:tcW w:type="dxa" w:w="1512"/>
            <w:vAlign w:val="top"/>
          </w:tcPr>
          <w:p>
            <w:pPr>
              <w:spacing w:after="40" w:before="0" w:line="259" w:lineRule="auto"/>
            </w:pPr>
            <w:r>
              <w:rPr>
                <w:rFonts w:ascii="Calibri" w:hAnsi="Calibri"/>
                <w:b w:val="0"/>
                <w:i w:val="0"/>
                <w:color w:val="212121"/>
                <w:sz w:val="19"/>
              </w:rPr>
              <w:t>M &lt; 40; F &lt; 50</w:t>
            </w:r>
          </w:p>
        </w:tc>
        <w:tc>
          <w:tcPr>
            <w:tcW w:type="dxa" w:w="1468"/>
            <w:vAlign w:val="top"/>
          </w:tcPr>
          <w:p>
            <w:pPr>
              <w:spacing w:after="60" w:line="259" w:lineRule="auto"/>
            </w:pPr>
            <w:r>
              <w:rPr>
                <w:rFonts w:ascii="Calibri" w:hAnsi="Calibri"/>
                <w:b w:val="0"/>
                <w:i w:val="0"/>
                <w:color w:val="212121"/>
                <w:sz w:val="19"/>
              </w:rPr>
              <w:t>Low HDL is common in Indians (about 39% in Kerala)</w:t>
            </w:r>
          </w:p>
          <w:p>
            <w:pPr>
              <w:spacing w:after="40" w:line="252" w:lineRule="auto"/>
            </w:pPr>
            <w:hyperlink r:id="rId11">
              <w:r>
                <w:rPr>
                  <w:rFonts w:ascii="Calibri" w:hAnsi="Calibri" w:cs="Calibri"/>
                  <w:sz w:val="18"/>
                  <w:color w:val="1155CC"/>
                  <w:u w:val="single"/>
                </w:rPr>
                <w:t xml:space="preserve">https://bmccardiovascdisord.biomedcentral.com/articles/10.1186/s12872-016-0189-3</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Triglycerides (mg/dL)</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&lt; 150 mg/dL</w:t>
            </w:r>
          </w:p>
        </w:tc>
        <w:tc>
          <w:tcPr>
            <w:tcW w:type="dxa" w:w="1512"/>
            <w:vAlign w:val="top"/>
          </w:tcPr>
          <w:p>
            <w:pPr>
              <w:spacing w:after="40" w:before="0" w:line="259" w:lineRule="auto"/>
            </w:pPr>
            <w:r>
              <w:rPr>
                <w:rFonts w:ascii="Calibri" w:hAnsi="Calibri"/>
                <w:b w:val="0"/>
                <w:i w:val="0"/>
                <w:color w:val="212121"/>
                <w:sz w:val="19"/>
              </w:rPr>
              <w:t>&gt;= 150 mg/dL</w:t>
            </w:r>
          </w:p>
        </w:tc>
        <w:tc>
          <w:tcPr>
            <w:tcW w:type="dxa" w:w="1468"/>
            <w:vAlign w:val="top"/>
          </w:tcPr>
          <w:p>
            <w:pPr>
              <w:spacing w:after="40" w:before="0" w:line="259" w:lineRule="auto"/>
            </w:pPr>
            <w:r>
              <w:rPr>
                <w:rFonts w:ascii="Calibri" w:hAnsi="Calibri"/>
                <w:b w:val="0"/>
                <w:i w:val="0"/>
                <w:color w:val="212121"/>
                <w:sz w:val="19"/>
              </w:rPr>
              <w:t>High triglycerides are typical of the Indian atherogenic lipid pattern</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HbA1c (%)</w:t>
            </w:r>
          </w:p>
        </w:tc>
        <w:tc>
          <w:tcPr>
            <w:tcW w:type="dxa" w:w="1655"/>
            <w:vAlign w:val="top"/>
          </w:tcPr>
          <w:p>
            <w:pPr>
              <w:spacing w:after="40" w:before="0" w:line="259" w:lineRule="auto"/>
            </w:pPr>
            <w:r>
              <w:rPr>
                <w:rFonts w:ascii="Calibri" w:hAnsi="Calibri"/>
                <w:b w:val="0"/>
                <w:i w:val="0"/>
                <w:color w:val="212121"/>
                <w:sz w:val="19"/>
              </w:rPr>
              <w:t>Adults; diabetics</w:t>
            </w:r>
          </w:p>
        </w:tc>
        <w:tc>
          <w:tcPr>
            <w:tcW w:type="dxa" w:w="1512"/>
            <w:vAlign w:val="top"/>
          </w:tcPr>
          <w:p>
            <w:pPr>
              <w:spacing w:after="40" w:before="0" w:line="259" w:lineRule="auto"/>
            </w:pPr>
            <w:r>
              <w:rPr>
                <w:rFonts w:ascii="Calibri" w:hAnsi="Calibri"/>
                <w:b w:val="0"/>
                <w:i w:val="0"/>
                <w:color w:val="212121"/>
                <w:sz w:val="19"/>
              </w:rPr>
              <w:t>&lt; 5.7%</w:t>
            </w:r>
          </w:p>
        </w:tc>
        <w:tc>
          <w:tcPr>
            <w:tcW w:type="dxa" w:w="1512"/>
            <w:vAlign w:val="top"/>
          </w:tcPr>
          <w:p>
            <w:pPr>
              <w:spacing w:after="40" w:before="0" w:line="259" w:lineRule="auto"/>
            </w:pPr>
            <w:r>
              <w:rPr>
                <w:rFonts w:ascii="Calibri" w:hAnsi="Calibri"/>
                <w:b w:val="0"/>
                <w:i w:val="0"/>
                <w:color w:val="212121"/>
                <w:sz w:val="19"/>
              </w:rPr>
              <w:t>&gt;= 6.5%</w:t>
            </w:r>
          </w:p>
        </w:tc>
        <w:tc>
          <w:tcPr>
            <w:tcW w:type="dxa" w:w="1468"/>
            <w:vAlign w:val="top"/>
          </w:tcPr>
          <w:p>
            <w:pPr>
              <w:spacing w:after="60" w:line="259" w:lineRule="auto"/>
            </w:pPr>
            <w:r>
              <w:rPr>
                <w:rFonts w:ascii="Calibri" w:hAnsi="Calibri"/>
                <w:b w:val="0"/>
                <w:i w:val="0"/>
                <w:color w:val="212121"/>
                <w:sz w:val="19"/>
              </w:rPr>
              <w:t>Diabetes accelerates and often silences coronary ischaemia</w:t>
            </w:r>
          </w:p>
          <w:p>
            <w:pPr>
              <w:spacing w:after="40" w:line="252" w:lineRule="auto"/>
            </w:pPr>
            <w:hyperlink r:id="rId11">
              <w:r>
                <w:rPr>
                  <w:rFonts w:ascii="Calibri" w:hAnsi="Calibri" w:cs="Calibri"/>
                  <w:sz w:val="18"/>
                  <w:color w:val="1155CC"/>
                  <w:u w:val="single"/>
                </w:rPr>
                <w:t xml:space="preserve">https://bmccardiovascdisord.biomedcentral.com/articles/10.1186/s12872-016-0189-3</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Haemoglobin (g/dL)</w:t>
            </w:r>
          </w:p>
        </w:tc>
        <w:tc>
          <w:tcPr>
            <w:tcW w:type="dxa" w:w="1655"/>
            <w:vAlign w:val="top"/>
          </w:tcPr>
          <w:p>
            <w:pPr>
              <w:spacing w:after="40" w:before="0" w:line="259" w:lineRule="auto"/>
            </w:pPr>
            <w:r>
              <w:rPr>
                <w:rFonts w:ascii="Calibri" w:hAnsi="Calibri"/>
                <w:b w:val="0"/>
                <w:i w:val="0"/>
                <w:color w:val="212121"/>
                <w:sz w:val="19"/>
              </w:rPr>
              <w:t>Adults; women</w:t>
            </w:r>
          </w:p>
        </w:tc>
        <w:tc>
          <w:tcPr>
            <w:tcW w:type="dxa" w:w="1512"/>
            <w:vAlign w:val="top"/>
          </w:tcPr>
          <w:p>
            <w:pPr>
              <w:spacing w:after="40" w:before="0" w:line="259" w:lineRule="auto"/>
            </w:pPr>
            <w:r>
              <w:rPr>
                <w:rFonts w:ascii="Calibri" w:hAnsi="Calibri"/>
                <w:b w:val="0"/>
                <w:i w:val="0"/>
                <w:color w:val="212121"/>
                <w:sz w:val="19"/>
              </w:rPr>
              <w:t>M &gt;= 13; F &gt;= 12 g/dL</w:t>
            </w:r>
          </w:p>
        </w:tc>
        <w:tc>
          <w:tcPr>
            <w:tcW w:type="dxa" w:w="1512"/>
            <w:vAlign w:val="top"/>
          </w:tcPr>
          <w:p>
            <w:pPr>
              <w:spacing w:after="40" w:before="0" w:line="259" w:lineRule="auto"/>
            </w:pPr>
            <w:r>
              <w:rPr>
                <w:rFonts w:ascii="Calibri" w:hAnsi="Calibri"/>
                <w:b w:val="0"/>
                <w:i w:val="0"/>
                <w:color w:val="212121"/>
                <w:sz w:val="19"/>
              </w:rPr>
              <w:t>&lt; 10 g/dL (often precipitates angina)</w:t>
            </w:r>
          </w:p>
        </w:tc>
        <w:tc>
          <w:tcPr>
            <w:tcW w:type="dxa" w:w="1468"/>
            <w:vAlign w:val="top"/>
          </w:tcPr>
          <w:p>
            <w:pPr>
              <w:spacing w:after="40" w:before="0" w:line="259" w:lineRule="auto"/>
            </w:pPr>
            <w:r>
              <w:rPr>
                <w:rFonts w:ascii="Calibri" w:hAnsi="Calibri"/>
                <w:b w:val="0"/>
                <w:i w:val="0"/>
                <w:color w:val="212121"/>
                <w:sz w:val="19"/>
              </w:rPr>
              <w:t>Anaemia reduces oxygen supply and worsens angina; common in Indian women</w:t>
            </w:r>
          </w:p>
        </w:tc>
      </w:tr>
      <w:tr>
        <w:trPr>
          <w:cantSplit/>
        </w:trPr>
        <w:tc>
          <w:tcPr>
            <w:tcW w:type="dxa" w:w="1512"/>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Cigarettes/bidis per day</w:t>
            </w:r>
          </w:p>
        </w:tc>
        <w:tc>
          <w:tcPr>
            <w:tcW w:type="dxa" w:w="1655"/>
            <w:vAlign w:val="top"/>
          </w:tcPr>
          <w:p>
            <w:pPr>
              <w:spacing w:after="40" w:before="0" w:line="259" w:lineRule="auto"/>
            </w:pPr>
            <w:r>
              <w:rPr>
                <w:rFonts w:ascii="Calibri" w:hAnsi="Calibri"/>
                <w:b w:val="0"/>
                <w:i w:val="0"/>
                <w:color w:val="212121"/>
                <w:sz w:val="19"/>
              </w:rPr>
              <w:t>All adults</w:t>
            </w:r>
          </w:p>
        </w:tc>
        <w:tc>
          <w:tcPr>
            <w:tcW w:type="dxa" w:w="1512"/>
            <w:vAlign w:val="top"/>
          </w:tcPr>
          <w:p>
            <w:pPr>
              <w:spacing w:after="40" w:before="0" w:line="259" w:lineRule="auto"/>
            </w:pPr>
            <w:r>
              <w:rPr>
                <w:rFonts w:ascii="Calibri" w:hAnsi="Calibri"/>
                <w:b w:val="0"/>
                <w:i w:val="0"/>
                <w:color w:val="212121"/>
                <w:sz w:val="19"/>
              </w:rPr>
              <w:t>0 per day</w:t>
            </w:r>
          </w:p>
        </w:tc>
        <w:tc>
          <w:tcPr>
            <w:tcW w:type="dxa" w:w="1512"/>
            <w:vAlign w:val="top"/>
          </w:tcPr>
          <w:p>
            <w:pPr>
              <w:spacing w:after="40" w:before="0" w:line="259" w:lineRule="auto"/>
            </w:pPr>
            <w:r>
              <w:rPr>
                <w:rFonts w:ascii="Calibri" w:hAnsi="Calibri"/>
                <w:b w:val="0"/>
                <w:i w:val="0"/>
                <w:color w:val="212121"/>
                <w:sz w:val="19"/>
              </w:rPr>
              <w:t>&gt;= 1 per day</w:t>
            </w:r>
          </w:p>
        </w:tc>
        <w:tc>
          <w:tcPr>
            <w:tcW w:type="dxa" w:w="1468"/>
            <w:vAlign w:val="top"/>
          </w:tcPr>
          <w:p>
            <w:pPr>
              <w:spacing w:after="60" w:line="259" w:lineRule="auto"/>
            </w:pPr>
            <w:r>
              <w:rPr>
                <w:rFonts w:ascii="Calibri" w:hAnsi="Calibri"/>
                <w:b w:val="0"/>
                <w:i w:val="0"/>
                <w:color w:val="212121"/>
                <w:sz w:val="19"/>
              </w:rPr>
              <w:t>Any tobacco use accelerates atherosclerosis and provokes coronary spasm</w:t>
            </w:r>
          </w:p>
          <w:p>
            <w:pPr>
              <w:spacing w:after="40" w:line="252" w:lineRule="auto"/>
            </w:pPr>
            <w:hyperlink r:id="rId13">
              <w:r>
                <w:rPr>
                  <w:rFonts w:ascii="Calibri" w:hAnsi="Calibri" w:cs="Calibri"/>
                  <w:sz w:val="18"/>
                  <w:color w:val="1155CC"/>
                  <w:u w:val="single"/>
                </w:rPr>
                <w:t xml:space="preserve">https://ijmr.org.in/coronary-heart-disease-in-indians-implications-of-the-interheart-study/</w:t>
              </w:r>
            </w:hyperlink>
          </w:p>
        </w:tc>
      </w:tr>
      <w:tr>
        <w:trPr>
          <w:cantSplit/>
        </w:trPr>
        <w:tc>
          <w:tcPr>
            <w:tcW w:type="dxa" w:w="1512"/>
            <w:vAlign w:val="center"/>
          </w:tcPr>
          <w:p>
            <w:pPr>
              <w:spacing w:after="40"/>
            </w:pPr>
            <w:r>
              <w:rPr>
                <w:rFonts w:ascii="Calibri" w:hAnsi="Calibri"/>
                <w:b w:val="0"/>
                <w:i w:val="0"/>
                <w:color w:val="212121"/>
                <w:sz w:val="19"/>
              </w:rPr>
              <w:t>Alcohol</w:t>
            </w:r>
          </w:p>
        </w:tc>
        <w:tc>
          <w:tcPr>
            <w:tcW w:type="dxa" w:w="1944"/>
            <w:vAlign w:val="top"/>
          </w:tcPr>
          <w:p>
            <w:pPr>
              <w:spacing w:after="40" w:before="0" w:line="259" w:lineRule="auto"/>
            </w:pPr>
            <w:r>
              <w:rPr>
                <w:rFonts w:ascii="Calibri" w:hAnsi="Calibri"/>
                <w:b w:val="0"/>
                <w:i w:val="0"/>
                <w:color w:val="212121"/>
                <w:sz w:val="19"/>
              </w:rPr>
              <w:t>Drinks per week</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None advised</w:t>
            </w:r>
          </w:p>
        </w:tc>
        <w:tc>
          <w:tcPr>
            <w:tcW w:type="dxa" w:w="1512"/>
            <w:vAlign w:val="top"/>
          </w:tcPr>
          <w:p>
            <w:pPr>
              <w:spacing w:after="40" w:before="0" w:line="259" w:lineRule="auto"/>
            </w:pPr>
            <w:r>
              <w:rPr>
                <w:rFonts w:ascii="Calibri" w:hAnsi="Calibri"/>
                <w:b w:val="0"/>
                <w:i w:val="0"/>
                <w:color w:val="212121"/>
                <w:sz w:val="19"/>
              </w:rPr>
              <w:t>Any regular or heavy use</w:t>
            </w:r>
          </w:p>
        </w:tc>
        <w:tc>
          <w:tcPr>
            <w:tcW w:type="dxa" w:w="1468"/>
            <w:vAlign w:val="top"/>
          </w:tcPr>
          <w:p>
            <w:pPr>
              <w:spacing w:after="60" w:line="259" w:lineRule="auto"/>
            </w:pPr>
            <w:r>
              <w:rPr>
                <w:rFonts w:ascii="Calibri" w:hAnsi="Calibri"/>
                <w:b w:val="0"/>
                <w:i w:val="0"/>
                <w:color w:val="212121"/>
                <w:sz w:val="19"/>
              </w:rPr>
              <w:t>Not cardioprotective in South Asians; raises BP and triglycerides</w:t>
            </w:r>
          </w:p>
          <w:p>
            <w:pPr>
              <w:spacing w:after="40" w:line="252" w:lineRule="auto"/>
            </w:pPr>
            <w:hyperlink r:id="rId13">
              <w:r>
                <w:rPr>
                  <w:rFonts w:ascii="Calibri" w:hAnsi="Calibri" w:cs="Calibri"/>
                  <w:sz w:val="18"/>
                  <w:color w:val="1155CC"/>
                  <w:u w:val="single"/>
                </w:rPr>
                <w:t xml:space="preserve">https://ijmr.org.in/coronary-heart-disease-in-indians-implications-of-the-interheart-study/</w:t>
              </w:r>
            </w:hyperlink>
          </w:p>
        </w:tc>
      </w:tr>
      <w:tr>
        <w:trPr>
          <w:cantSplit/>
        </w:trPr>
        <w:tc>
          <w:tcPr>
            <w:tcW w:type="dxa" w:w="1512"/>
            <w:vAlign w:val="center"/>
          </w:tcPr>
          <w:p>
            <w:pPr>
              <w:spacing w:after="40"/>
            </w:pPr>
            <w:r>
              <w:rPr>
                <w:rFonts w:ascii="Calibri" w:hAnsi="Calibri"/>
                <w:b w:val="0"/>
                <w:i w:val="0"/>
                <w:color w:val="212121"/>
                <w:sz w:val="19"/>
              </w:rPr>
              <w:t>Mental health</w:t>
            </w:r>
          </w:p>
        </w:tc>
        <w:tc>
          <w:tcPr>
            <w:tcW w:type="dxa" w:w="1944"/>
            <w:vAlign w:val="top"/>
          </w:tcPr>
          <w:p>
            <w:pPr>
              <w:spacing w:after="40" w:before="0" w:line="259" w:lineRule="auto"/>
            </w:pPr>
            <w:r>
              <w:rPr>
                <w:rFonts w:ascii="Calibri" w:hAnsi="Calibri"/>
                <w:b w:val="0"/>
                <w:i w:val="0"/>
                <w:color w:val="212121"/>
                <w:sz w:val="19"/>
              </w:rPr>
              <w:t>Depression / stress screen (PHQ-9)</w:t>
            </w:r>
          </w:p>
        </w:tc>
        <w:tc>
          <w:tcPr>
            <w:tcW w:type="dxa" w:w="1655"/>
            <w:vAlign w:val="top"/>
          </w:tcPr>
          <w:p>
            <w:pPr>
              <w:spacing w:after="40" w:before="0" w:line="259" w:lineRule="auto"/>
            </w:pPr>
            <w:r>
              <w:rPr>
                <w:rFonts w:ascii="Calibri" w:hAnsi="Calibri"/>
                <w:b w:val="0"/>
                <w:i w:val="0"/>
                <w:color w:val="212121"/>
                <w:sz w:val="19"/>
              </w:rPr>
              <w:t>Adults with angina</w:t>
            </w:r>
          </w:p>
        </w:tc>
        <w:tc>
          <w:tcPr>
            <w:tcW w:type="dxa" w:w="1512"/>
            <w:vAlign w:val="top"/>
          </w:tcPr>
          <w:p>
            <w:pPr>
              <w:spacing w:after="40" w:before="0" w:line="259" w:lineRule="auto"/>
            </w:pPr>
            <w:r>
              <w:rPr>
                <w:rFonts w:ascii="Calibri" w:hAnsi="Calibri"/>
                <w:b w:val="0"/>
                <w:i w:val="0"/>
                <w:color w:val="212121"/>
                <w:sz w:val="19"/>
              </w:rPr>
              <w:t>PHQ-9 &lt; 5; low perceived stress</w:t>
            </w:r>
          </w:p>
        </w:tc>
        <w:tc>
          <w:tcPr>
            <w:tcW w:type="dxa" w:w="1512"/>
            <w:vAlign w:val="top"/>
          </w:tcPr>
          <w:p>
            <w:pPr>
              <w:spacing w:after="40" w:before="0" w:line="259" w:lineRule="auto"/>
            </w:pPr>
            <w:r>
              <w:rPr>
                <w:rFonts w:ascii="Calibri" w:hAnsi="Calibri"/>
                <w:b w:val="0"/>
                <w:i w:val="0"/>
                <w:color w:val="212121"/>
                <w:sz w:val="19"/>
              </w:rPr>
              <w:t>PHQ-9 &gt;= 10; high chronic stress</w:t>
            </w:r>
          </w:p>
        </w:tc>
        <w:tc>
          <w:tcPr>
            <w:tcW w:type="dxa" w:w="1468"/>
            <w:vAlign w:val="top"/>
          </w:tcPr>
          <w:p>
            <w:pPr>
              <w:spacing w:after="40" w:before="0" w:line="259" w:lineRule="auto"/>
            </w:pPr>
            <w:r>
              <w:rPr>
                <w:rFonts w:ascii="Calibri" w:hAnsi="Calibri"/>
                <w:b w:val="0"/>
                <w:i w:val="0"/>
                <w:color w:val="212121"/>
                <w:sz w:val="19"/>
              </w:rPr>
              <w:t>Stress and depression trigger ischaemia and worsen prognosis and adherence</w:t>
            </w:r>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Electrophysiological</w:t>
            </w:r>
          </w:p>
        </w:tc>
        <w:tc>
          <w:tcPr>
            <w:tcW w:type="dxa" w:w="1036"/>
            <w:vAlign w:val="top"/>
          </w:tcPr>
          <w:p>
            <w:pPr>
              <w:spacing w:after="40" w:before="0" w:line="259" w:lineRule="auto"/>
            </w:pPr>
            <w:r>
              <w:rPr>
                <w:rFonts w:ascii="Calibri" w:hAnsi="Calibri"/>
                <w:b w:val="0"/>
                <w:i w:val="0"/>
                <w:color w:val="212121"/>
                <w:sz w:val="16"/>
              </w:rPr>
              <w:t>Resting 12-lead ECG</w:t>
            </w:r>
          </w:p>
        </w:tc>
        <w:tc>
          <w:tcPr>
            <w:tcW w:type="dxa" w:w="892"/>
            <w:vAlign w:val="top"/>
          </w:tcPr>
          <w:p>
            <w:pPr>
              <w:spacing w:after="40" w:before="0" w:line="259" w:lineRule="auto"/>
            </w:pPr>
            <w:r>
              <w:rPr>
                <w:rFonts w:ascii="Calibri" w:hAnsi="Calibri"/>
                <w:b w:val="0"/>
                <w:i w:val="0"/>
                <w:color w:val="212121"/>
                <w:sz w:val="16"/>
              </w:rPr>
              <w:t>ECG</w:t>
            </w:r>
          </w:p>
        </w:tc>
        <w:tc>
          <w:tcPr>
            <w:tcW w:type="dxa" w:w="950"/>
            <w:vAlign w:val="top"/>
          </w:tcPr>
          <w:p>
            <w:pPr>
              <w:spacing w:after="40" w:before="0" w:line="259" w:lineRule="auto"/>
            </w:pPr>
            <w:r>
              <w:rPr>
                <w:rFonts w:ascii="Calibri" w:hAnsi="Calibri"/>
                <w:b w:val="0"/>
                <w:i w:val="0"/>
                <w:color w:val="212121"/>
                <w:sz w:val="16"/>
              </w:rPr>
              <w:t>Normal, no ischaemic change</w:t>
            </w:r>
          </w:p>
        </w:tc>
        <w:tc>
          <w:tcPr>
            <w:tcW w:type="dxa" w:w="950"/>
            <w:vAlign w:val="top"/>
          </w:tcPr>
          <w:p>
            <w:pPr>
              <w:spacing w:after="40" w:before="0" w:line="259" w:lineRule="auto"/>
            </w:pPr>
            <w:r>
              <w:rPr>
                <w:rFonts w:ascii="Calibri" w:hAnsi="Calibri"/>
                <w:b w:val="0"/>
                <w:i w:val="0"/>
                <w:color w:val="212121"/>
                <w:sz w:val="16"/>
              </w:rPr>
              <w:t>ST-depression / T-inversion during pain; transient ST-elevation in spasm</w:t>
            </w:r>
          </w:p>
        </w:tc>
        <w:tc>
          <w:tcPr>
            <w:tcW w:type="dxa" w:w="1036"/>
            <w:vAlign w:val="top"/>
          </w:tcPr>
          <w:p>
            <w:pPr>
              <w:spacing w:after="40" w:before="0" w:line="259" w:lineRule="auto"/>
            </w:pPr>
            <w:r>
              <w:rPr>
                <w:rFonts w:ascii="Calibri" w:hAnsi="Calibri"/>
                <w:b w:val="0"/>
                <w:i w:val="0"/>
                <w:color w:val="212121"/>
                <w:sz w:val="16"/>
              </w:rPr>
              <w:t>First-line test; may be normal between episodes</w:t>
            </w:r>
          </w:p>
        </w:tc>
        <w:tc>
          <w:tcPr>
            <w:tcW w:type="dxa" w:w="1036"/>
            <w:vAlign w:val="top"/>
          </w:tcPr>
          <w:p>
            <w:pPr>
              <w:spacing w:after="40" w:before="0" w:line="259" w:lineRule="auto"/>
            </w:pPr>
            <w:r>
              <w:rPr>
                <w:rFonts w:ascii="Calibri" w:hAnsi="Calibri"/>
                <w:b w:val="0"/>
                <w:i w:val="0"/>
                <w:color w:val="212121"/>
                <w:sz w:val="16"/>
              </w:rPr>
              <w:t>All with chest pain or risk factors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Screening/Diagnostic</w:t>
            </w:r>
          </w:p>
        </w:tc>
        <w:tc>
          <w:tcPr>
            <w:tcW w:type="dxa" w:w="720"/>
            <w:vAlign w:val="top"/>
          </w:tcPr>
          <w:p>
            <w:pPr>
              <w:spacing w:after="40" w:before="0" w:line="259" w:lineRule="auto"/>
            </w:pPr>
            <w:r>
              <w:rPr>
                <w:rFonts w:ascii="Calibri" w:hAnsi="Calibri"/>
                <w:b w:val="0"/>
                <w:i w:val="0"/>
                <w:color w:val="212121"/>
                <w:sz w:val="16"/>
              </w:rPr>
              <w:t>Record during pain where possible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High-sensitivity cardiac troponin</w:t>
            </w:r>
          </w:p>
        </w:tc>
        <w:tc>
          <w:tcPr>
            <w:tcW w:type="dxa" w:w="892"/>
            <w:vAlign w:val="top"/>
          </w:tcPr>
          <w:p>
            <w:pPr>
              <w:spacing w:after="40" w:before="0" w:line="259" w:lineRule="auto"/>
            </w:pPr>
            <w:r>
              <w:rPr>
                <w:rFonts w:ascii="Calibri" w:hAnsi="Calibri"/>
                <w:b w:val="0"/>
                <w:i w:val="0"/>
                <w:color w:val="212121"/>
                <w:sz w:val="16"/>
              </w:rPr>
              <w:t>Troponin I/T</w:t>
            </w:r>
          </w:p>
        </w:tc>
        <w:tc>
          <w:tcPr>
            <w:tcW w:type="dxa" w:w="950"/>
            <w:vAlign w:val="top"/>
          </w:tcPr>
          <w:p>
            <w:pPr>
              <w:spacing w:after="40" w:before="0" w:line="259" w:lineRule="auto"/>
            </w:pPr>
            <w:r>
              <w:rPr>
                <w:rFonts w:ascii="Calibri" w:hAnsi="Calibri"/>
                <w:b w:val="0"/>
                <w:i w:val="0"/>
                <w:color w:val="212121"/>
                <w:sz w:val="16"/>
              </w:rPr>
              <w:t>&lt; 99th percentile (no rise)</w:t>
            </w:r>
          </w:p>
        </w:tc>
        <w:tc>
          <w:tcPr>
            <w:tcW w:type="dxa" w:w="950"/>
            <w:vAlign w:val="top"/>
          </w:tcPr>
          <w:p>
            <w:pPr>
              <w:spacing w:after="40" w:before="0" w:line="259" w:lineRule="auto"/>
            </w:pPr>
            <w:r>
              <w:rPr>
                <w:rFonts w:ascii="Calibri" w:hAnsi="Calibri"/>
                <w:b w:val="0"/>
                <w:i w:val="0"/>
                <w:color w:val="212121"/>
                <w:sz w:val="16"/>
              </w:rPr>
              <w:t>Rise/fall above 99th percentile indicates NSTEMI</w:t>
            </w:r>
          </w:p>
        </w:tc>
        <w:tc>
          <w:tcPr>
            <w:tcW w:type="dxa" w:w="1036"/>
            <w:vAlign w:val="top"/>
          </w:tcPr>
          <w:p>
            <w:pPr>
              <w:spacing w:after="40" w:before="0" w:line="259" w:lineRule="auto"/>
            </w:pPr>
            <w:r>
              <w:rPr>
                <w:rFonts w:ascii="Calibri" w:hAnsi="Calibri"/>
                <w:b w:val="0"/>
                <w:i w:val="0"/>
                <w:color w:val="212121"/>
                <w:sz w:val="16"/>
              </w:rPr>
              <w:t>Key test separating unstable angina (normal) from myocardial infarction</w:t>
            </w:r>
          </w:p>
        </w:tc>
        <w:tc>
          <w:tcPr>
            <w:tcW w:type="dxa" w:w="1036"/>
            <w:vAlign w:val="top"/>
          </w:tcPr>
          <w:p>
            <w:pPr>
              <w:spacing w:after="40" w:before="0" w:line="259" w:lineRule="auto"/>
            </w:pPr>
            <w:r>
              <w:rPr>
                <w:rFonts w:ascii="Calibri" w:hAnsi="Calibri"/>
                <w:b w:val="0"/>
                <w:i w:val="0"/>
                <w:color w:val="212121"/>
                <w:sz w:val="16"/>
              </w:rPr>
              <w:t>Suspected unstable angina / ACS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Gold standard</w:t>
            </w:r>
          </w:p>
        </w:tc>
        <w:tc>
          <w:tcPr>
            <w:tcW w:type="dxa" w:w="720"/>
            <w:vAlign w:val="top"/>
          </w:tcPr>
          <w:p>
            <w:pPr>
              <w:spacing w:after="40" w:before="0" w:line="259" w:lineRule="auto"/>
            </w:pPr>
            <w:r>
              <w:rPr>
                <w:rFonts w:ascii="Calibri" w:hAnsi="Calibri"/>
                <w:b w:val="0"/>
                <w:i w:val="0"/>
                <w:color w:val="212121"/>
                <w:sz w:val="16"/>
              </w:rPr>
              <w:t>Serial testing at 0 and 1-3 hours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Functional</w:t>
            </w:r>
          </w:p>
        </w:tc>
        <w:tc>
          <w:tcPr>
            <w:tcW w:type="dxa" w:w="1036"/>
            <w:vAlign w:val="top"/>
          </w:tcPr>
          <w:p>
            <w:pPr>
              <w:spacing w:after="40" w:before="0" w:line="259" w:lineRule="auto"/>
            </w:pPr>
            <w:r>
              <w:rPr>
                <w:rFonts w:ascii="Calibri" w:hAnsi="Calibri"/>
                <w:b w:val="0"/>
                <w:i w:val="0"/>
                <w:color w:val="212121"/>
                <w:sz w:val="16"/>
              </w:rPr>
              <w:t>Stress test (treadmill / stress echo / MPI)</w:t>
            </w:r>
          </w:p>
        </w:tc>
        <w:tc>
          <w:tcPr>
            <w:tcW w:type="dxa" w:w="892"/>
            <w:vAlign w:val="top"/>
          </w:tcPr>
          <w:p>
            <w:pPr>
              <w:spacing w:after="40" w:before="0" w:line="259" w:lineRule="auto"/>
            </w:pPr>
            <w:r>
              <w:rPr>
                <w:rFonts w:ascii="Calibri" w:hAnsi="Calibri"/>
                <w:b w:val="0"/>
                <w:i w:val="0"/>
                <w:color w:val="212121"/>
                <w:sz w:val="16"/>
              </w:rPr>
              <w:t>Inducible-ischaemia testing</w:t>
            </w:r>
          </w:p>
        </w:tc>
        <w:tc>
          <w:tcPr>
            <w:tcW w:type="dxa" w:w="950"/>
            <w:vAlign w:val="top"/>
          </w:tcPr>
          <w:p>
            <w:pPr>
              <w:spacing w:after="40" w:before="0" w:line="259" w:lineRule="auto"/>
            </w:pPr>
            <w:r>
              <w:rPr>
                <w:rFonts w:ascii="Calibri" w:hAnsi="Calibri"/>
                <w:b w:val="0"/>
                <w:i w:val="0"/>
                <w:color w:val="212121"/>
                <w:sz w:val="16"/>
              </w:rPr>
              <w:t>No inducible ischaemia</w:t>
            </w:r>
          </w:p>
        </w:tc>
        <w:tc>
          <w:tcPr>
            <w:tcW w:type="dxa" w:w="950"/>
            <w:vAlign w:val="top"/>
          </w:tcPr>
          <w:p>
            <w:pPr>
              <w:spacing w:after="40" w:before="0" w:line="259" w:lineRule="auto"/>
            </w:pPr>
            <w:r>
              <w:rPr>
                <w:rFonts w:ascii="Calibri" w:hAnsi="Calibri"/>
                <w:b w:val="0"/>
                <w:i w:val="0"/>
                <w:color w:val="212121"/>
                <w:sz w:val="16"/>
              </w:rPr>
              <w:t>Inducible ST-depression, wall-motion or perfusion defect</w:t>
            </w:r>
          </w:p>
        </w:tc>
        <w:tc>
          <w:tcPr>
            <w:tcW w:type="dxa" w:w="1036"/>
            <w:vAlign w:val="top"/>
          </w:tcPr>
          <w:p>
            <w:pPr>
              <w:spacing w:after="40" w:before="0" w:line="259" w:lineRule="auto"/>
            </w:pPr>
            <w:r>
              <w:rPr>
                <w:rFonts w:ascii="Calibri" w:hAnsi="Calibri"/>
                <w:b w:val="0"/>
                <w:i w:val="0"/>
                <w:color w:val="212121"/>
                <w:sz w:val="16"/>
              </w:rPr>
              <w:t>Confirms and quantifies ischaemia in suspected stable angina</w:t>
            </w:r>
          </w:p>
        </w:tc>
        <w:tc>
          <w:tcPr>
            <w:tcW w:type="dxa" w:w="1036"/>
            <w:vAlign w:val="top"/>
          </w:tcPr>
          <w:p>
            <w:pPr>
              <w:spacing w:after="40" w:before="0" w:line="259" w:lineRule="auto"/>
            </w:pPr>
            <w:r>
              <w:rPr>
                <w:rFonts w:ascii="Calibri" w:hAnsi="Calibri"/>
                <w:b w:val="0"/>
                <w:i w:val="0"/>
                <w:color w:val="212121"/>
                <w:sz w:val="16"/>
              </w:rPr>
              <w:t>Stable chest pain, intermediate risk</w:t>
            </w:r>
          </w:p>
        </w:tc>
        <w:tc>
          <w:tcPr>
            <w:tcW w:type="dxa" w:w="720"/>
            <w:vAlign w:val="top"/>
          </w:tcPr>
          <w:p>
            <w:pPr>
              <w:spacing w:after="40" w:before="0" w:line="259" w:lineRule="auto"/>
            </w:pPr>
            <w:r>
              <w:rPr>
                <w:rFonts w:ascii="Calibri" w:hAnsi="Calibri"/>
                <w:b w:val="0"/>
                <w:i w:val="0"/>
                <w:color w:val="212121"/>
                <w:sz w:val="16"/>
              </w:rPr>
              <w:t>Physical activity</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Choose modality by baseline ECG and ability to exercise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w:t>
            </w:r>
          </w:p>
        </w:tc>
        <w:tc>
          <w:tcPr>
            <w:tcW w:type="dxa" w:w="1036"/>
            <w:vAlign w:val="top"/>
          </w:tcPr>
          <w:p>
            <w:pPr>
              <w:spacing w:after="40" w:before="0" w:line="259" w:lineRule="auto"/>
            </w:pPr>
            <w:r>
              <w:rPr>
                <w:rFonts w:ascii="Calibri" w:hAnsi="Calibri"/>
                <w:b w:val="0"/>
                <w:i w:val="0"/>
                <w:color w:val="212121"/>
                <w:sz w:val="16"/>
              </w:rPr>
              <w:t>CT coronary angiography / CAC score</w:t>
            </w:r>
          </w:p>
        </w:tc>
        <w:tc>
          <w:tcPr>
            <w:tcW w:type="dxa" w:w="892"/>
            <w:vAlign w:val="top"/>
          </w:tcPr>
          <w:p>
            <w:pPr>
              <w:spacing w:after="40" w:before="0" w:line="259" w:lineRule="auto"/>
            </w:pPr>
            <w:r>
              <w:rPr>
                <w:rFonts w:ascii="Calibri" w:hAnsi="Calibri"/>
                <w:b w:val="0"/>
                <w:i w:val="0"/>
                <w:color w:val="212121"/>
                <w:sz w:val="16"/>
              </w:rPr>
              <w:t>CTCA</w:t>
            </w:r>
          </w:p>
        </w:tc>
        <w:tc>
          <w:tcPr>
            <w:tcW w:type="dxa" w:w="950"/>
            <w:vAlign w:val="top"/>
          </w:tcPr>
          <w:p>
            <w:pPr>
              <w:spacing w:after="40" w:before="0" w:line="259" w:lineRule="auto"/>
            </w:pPr>
            <w:r>
              <w:rPr>
                <w:rFonts w:ascii="Calibri" w:hAnsi="Calibri"/>
                <w:b w:val="0"/>
                <w:i w:val="0"/>
                <w:color w:val="212121"/>
                <w:sz w:val="16"/>
              </w:rPr>
              <w:t>CAC = 0; no stenosis</w:t>
            </w:r>
          </w:p>
        </w:tc>
        <w:tc>
          <w:tcPr>
            <w:tcW w:type="dxa" w:w="950"/>
            <w:vAlign w:val="top"/>
          </w:tcPr>
          <w:p>
            <w:pPr>
              <w:spacing w:after="40" w:before="0" w:line="259" w:lineRule="auto"/>
            </w:pPr>
            <w:r>
              <w:rPr>
                <w:rFonts w:ascii="Calibri" w:hAnsi="Calibri"/>
                <w:b w:val="0"/>
                <w:i w:val="0"/>
                <w:color w:val="212121"/>
                <w:sz w:val="16"/>
              </w:rPr>
              <w:t>CAC &gt; 0; stenosis &gt;= 50-70%</w:t>
            </w:r>
          </w:p>
        </w:tc>
        <w:tc>
          <w:tcPr>
            <w:tcW w:type="dxa" w:w="1036"/>
            <w:vAlign w:val="top"/>
          </w:tcPr>
          <w:p>
            <w:pPr>
              <w:spacing w:after="40" w:before="0" w:line="259" w:lineRule="auto"/>
            </w:pPr>
            <w:r>
              <w:rPr>
                <w:rFonts w:ascii="Calibri" w:hAnsi="Calibri"/>
                <w:b w:val="0"/>
                <w:i w:val="0"/>
                <w:color w:val="212121"/>
                <w:sz w:val="16"/>
              </w:rPr>
              <w:t>Non-invasive coronary anatomy and plaque/calcium burden</w:t>
            </w:r>
          </w:p>
        </w:tc>
        <w:tc>
          <w:tcPr>
            <w:tcW w:type="dxa" w:w="1036"/>
            <w:vAlign w:val="top"/>
          </w:tcPr>
          <w:p>
            <w:pPr>
              <w:spacing w:after="40" w:before="0" w:line="259" w:lineRule="auto"/>
            </w:pPr>
            <w:r>
              <w:rPr>
                <w:rFonts w:ascii="Calibri" w:hAnsi="Calibri"/>
                <w:b w:val="0"/>
                <w:i w:val="0"/>
                <w:color w:val="212121"/>
                <w:sz w:val="16"/>
              </w:rPr>
              <w:t>Low-to-intermediate risk, atypical angina</w:t>
            </w:r>
          </w:p>
        </w:tc>
        <w:tc>
          <w:tcPr>
            <w:tcW w:type="dxa" w:w="720"/>
            <w:vAlign w:val="top"/>
          </w:tcPr>
          <w:p>
            <w:pPr>
              <w:spacing w:after="40" w:before="0" w:line="259" w:lineRule="auto"/>
            </w:pPr>
            <w:r>
              <w:rPr>
                <w:rFonts w:ascii="Calibri" w:hAnsi="Calibri"/>
                <w:b w:val="0"/>
                <w:i w:val="0"/>
                <w:color w:val="212121"/>
                <w:sz w:val="16"/>
              </w:rPr>
              <w:t>Food; Physical activity</w:t>
            </w:r>
          </w:p>
        </w:tc>
        <w:tc>
          <w:tcPr>
            <w:tcW w:type="dxa" w:w="720"/>
            <w:vAlign w:val="top"/>
          </w:tcPr>
          <w:p>
            <w:pPr>
              <w:spacing w:after="40" w:before="0" w:line="259" w:lineRule="auto"/>
            </w:pPr>
            <w:r>
              <w:rPr>
                <w:rFonts w:ascii="Calibri" w:hAnsi="Calibri"/>
                <w:b w:val="0"/>
                <w:i w:val="0"/>
                <w:color w:val="212121"/>
                <w:sz w:val="16"/>
              </w:rPr>
              <w:t>High</w:t>
            </w:r>
          </w:p>
        </w:tc>
        <w:tc>
          <w:tcPr>
            <w:tcW w:type="dxa" w:w="720"/>
            <w:vAlign w:val="top"/>
          </w:tcPr>
          <w:p>
            <w:pPr>
              <w:spacing w:after="40" w:before="0" w:line="259" w:lineRule="auto"/>
            </w:pPr>
            <w:r>
              <w:rPr>
                <w:rFonts w:ascii="Calibri" w:hAnsi="Calibri"/>
                <w:b w:val="0"/>
                <w:i w:val="0"/>
                <w:color w:val="212121"/>
                <w:sz w:val="16"/>
              </w:rPr>
              <w:t>Excellent negative predictive value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w:t>
            </w:r>
          </w:p>
        </w:tc>
        <w:tc>
          <w:tcPr>
            <w:tcW w:type="dxa" w:w="1036"/>
            <w:vAlign w:val="top"/>
          </w:tcPr>
          <w:p>
            <w:pPr>
              <w:spacing w:after="40" w:before="0" w:line="259" w:lineRule="auto"/>
            </w:pPr>
            <w:r>
              <w:rPr>
                <w:rFonts w:ascii="Calibri" w:hAnsi="Calibri"/>
                <w:b w:val="0"/>
                <w:i w:val="0"/>
                <w:color w:val="212121"/>
                <w:sz w:val="16"/>
              </w:rPr>
              <w:t>Invasive coronary angiography</w:t>
            </w:r>
          </w:p>
        </w:tc>
        <w:tc>
          <w:tcPr>
            <w:tcW w:type="dxa" w:w="892"/>
            <w:vAlign w:val="top"/>
          </w:tcPr>
          <w:p>
            <w:pPr>
              <w:spacing w:after="40" w:before="0" w:line="259" w:lineRule="auto"/>
            </w:pPr>
            <w:r>
              <w:rPr>
                <w:rFonts w:ascii="Calibri" w:hAnsi="Calibri"/>
                <w:b w:val="0"/>
                <w:i w:val="0"/>
                <w:color w:val="212121"/>
                <w:sz w:val="16"/>
              </w:rPr>
              <w:t>Coronary angiogram</w:t>
            </w:r>
          </w:p>
        </w:tc>
        <w:tc>
          <w:tcPr>
            <w:tcW w:type="dxa" w:w="950"/>
            <w:vAlign w:val="top"/>
          </w:tcPr>
          <w:p>
            <w:pPr>
              <w:spacing w:after="40" w:before="0" w:line="259" w:lineRule="auto"/>
            </w:pPr>
            <w:r>
              <w:rPr>
                <w:rFonts w:ascii="Calibri" w:hAnsi="Calibri"/>
                <w:b w:val="0"/>
                <w:i w:val="0"/>
                <w:color w:val="212121"/>
                <w:sz w:val="16"/>
              </w:rPr>
              <w:t>No obstructive disease (consider INOCA/spasm)</w:t>
            </w:r>
          </w:p>
        </w:tc>
        <w:tc>
          <w:tcPr>
            <w:tcW w:type="dxa" w:w="950"/>
            <w:vAlign w:val="top"/>
          </w:tcPr>
          <w:p>
            <w:pPr>
              <w:spacing w:after="40" w:before="0" w:line="259" w:lineRule="auto"/>
            </w:pPr>
            <w:r>
              <w:rPr>
                <w:rFonts w:ascii="Calibri" w:hAnsi="Calibri"/>
                <w:b w:val="0"/>
                <w:i w:val="0"/>
                <w:color w:val="212121"/>
                <w:sz w:val="16"/>
              </w:rPr>
              <w:t>&gt;= 70% epicardial or &gt;= 50% left-main stenosis</w:t>
            </w:r>
          </w:p>
        </w:tc>
        <w:tc>
          <w:tcPr>
            <w:tcW w:type="dxa" w:w="1036"/>
            <w:vAlign w:val="top"/>
          </w:tcPr>
          <w:p>
            <w:pPr>
              <w:spacing w:after="40" w:before="0" w:line="259" w:lineRule="auto"/>
            </w:pPr>
            <w:r>
              <w:rPr>
                <w:rFonts w:ascii="Calibri" w:hAnsi="Calibri"/>
                <w:b w:val="0"/>
                <w:i w:val="0"/>
                <w:color w:val="212121"/>
                <w:sz w:val="16"/>
              </w:rPr>
              <w:t>Definitive anatomy; enables PCI and vasospasm/microvascular testing</w:t>
            </w:r>
          </w:p>
        </w:tc>
        <w:tc>
          <w:tcPr>
            <w:tcW w:type="dxa" w:w="1036"/>
            <w:vAlign w:val="top"/>
          </w:tcPr>
          <w:p>
            <w:pPr>
              <w:spacing w:after="40" w:before="0" w:line="259" w:lineRule="auto"/>
            </w:pPr>
            <w:r>
              <w:rPr>
                <w:rFonts w:ascii="Calibri" w:hAnsi="Calibri"/>
                <w:b w:val="0"/>
                <w:i w:val="0"/>
                <w:color w:val="212121"/>
                <w:sz w:val="16"/>
              </w:rPr>
              <w:t>High-risk, refractory or unstable angina</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Gold standard</w:t>
            </w:r>
          </w:p>
        </w:tc>
        <w:tc>
          <w:tcPr>
            <w:tcW w:type="dxa" w:w="720"/>
            <w:vAlign w:val="top"/>
          </w:tcPr>
          <w:p>
            <w:pPr>
              <w:spacing w:after="40" w:before="0" w:line="259" w:lineRule="auto"/>
            </w:pPr>
            <w:r>
              <w:rPr>
                <w:rFonts w:ascii="Calibri" w:hAnsi="Calibri"/>
                <w:b w:val="0"/>
                <w:i w:val="0"/>
                <w:color w:val="212121"/>
                <w:sz w:val="16"/>
              </w:rPr>
              <w:t>Invasive; guides revascularisation</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Fasting lipid profile (LDL-C)</w:t>
            </w:r>
          </w:p>
        </w:tc>
        <w:tc>
          <w:tcPr>
            <w:tcW w:type="dxa" w:w="892"/>
            <w:vAlign w:val="top"/>
          </w:tcPr>
          <w:p>
            <w:pPr>
              <w:spacing w:after="40" w:before="0" w:line="259" w:lineRule="auto"/>
            </w:pPr>
            <w:r>
              <w:rPr>
                <w:rFonts w:ascii="Calibri" w:hAnsi="Calibri"/>
                <w:b w:val="0"/>
                <w:i w:val="0"/>
                <w:color w:val="212121"/>
                <w:sz w:val="16"/>
              </w:rPr>
              <w:t>Lipid panel</w:t>
            </w:r>
          </w:p>
        </w:tc>
        <w:tc>
          <w:tcPr>
            <w:tcW w:type="dxa" w:w="950"/>
            <w:vAlign w:val="top"/>
          </w:tcPr>
          <w:p>
            <w:pPr>
              <w:spacing w:after="40" w:before="0" w:line="259" w:lineRule="auto"/>
            </w:pPr>
            <w:r>
              <w:rPr>
                <w:rFonts w:ascii="Calibri" w:hAnsi="Calibri"/>
                <w:b w:val="0"/>
                <w:i w:val="0"/>
                <w:color w:val="212121"/>
                <w:sz w:val="16"/>
              </w:rPr>
              <w:t>LDL &lt; 70 mg/dL in known CAD</w:t>
            </w:r>
          </w:p>
        </w:tc>
        <w:tc>
          <w:tcPr>
            <w:tcW w:type="dxa" w:w="950"/>
            <w:vAlign w:val="top"/>
          </w:tcPr>
          <w:p>
            <w:pPr>
              <w:spacing w:after="40" w:before="0" w:line="259" w:lineRule="auto"/>
            </w:pPr>
            <w:r>
              <w:rPr>
                <w:rFonts w:ascii="Calibri" w:hAnsi="Calibri"/>
                <w:b w:val="0"/>
                <w:i w:val="0"/>
                <w:color w:val="212121"/>
                <w:sz w:val="16"/>
              </w:rPr>
              <w:t>LDL &gt;= 70 mg/dL in known CAD</w:t>
            </w:r>
          </w:p>
        </w:tc>
        <w:tc>
          <w:tcPr>
            <w:tcW w:type="dxa" w:w="1036"/>
            <w:vAlign w:val="top"/>
          </w:tcPr>
          <w:p>
            <w:pPr>
              <w:spacing w:after="40" w:before="0" w:line="259" w:lineRule="auto"/>
            </w:pPr>
            <w:r>
              <w:rPr>
                <w:rFonts w:ascii="Calibri" w:hAnsi="Calibri"/>
                <w:b w:val="0"/>
                <w:i w:val="0"/>
                <w:color w:val="212121"/>
                <w:sz w:val="16"/>
              </w:rPr>
              <w:t>Quantifies atherogenic burden and the primary treatment target</w:t>
            </w:r>
          </w:p>
        </w:tc>
        <w:tc>
          <w:tcPr>
            <w:tcW w:type="dxa" w:w="1036"/>
            <w:vAlign w:val="top"/>
          </w:tcPr>
          <w:p>
            <w:pPr>
              <w:spacing w:after="40" w:before="0" w:line="259" w:lineRule="auto"/>
            </w:pPr>
            <w:r>
              <w:rPr>
                <w:rFonts w:ascii="Calibri" w:hAnsi="Calibri"/>
                <w:b w:val="0"/>
                <w:i w:val="0"/>
                <w:color w:val="212121"/>
                <w:sz w:val="16"/>
              </w:rPr>
              <w:t>All angina and at-risk adults</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High</w:t>
            </w:r>
          </w:p>
        </w:tc>
        <w:tc>
          <w:tcPr>
            <w:tcW w:type="dxa" w:w="720"/>
            <w:vAlign w:val="top"/>
          </w:tcPr>
          <w:p>
            <w:pPr>
              <w:spacing w:after="40" w:before="0" w:line="259" w:lineRule="auto"/>
            </w:pPr>
            <w:r>
              <w:rPr>
                <w:rFonts w:ascii="Calibri" w:hAnsi="Calibri"/>
                <w:b w:val="0"/>
                <w:i w:val="0"/>
                <w:color w:val="212121"/>
                <w:sz w:val="16"/>
              </w:rPr>
              <w:t>12-hour fast preferred; consider Lp(a) once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HbA1c</w:t>
            </w:r>
          </w:p>
        </w:tc>
        <w:tc>
          <w:tcPr>
            <w:tcW w:type="dxa" w:w="892"/>
            <w:vAlign w:val="top"/>
          </w:tcPr>
          <w:p>
            <w:pPr>
              <w:spacing w:after="40" w:before="0" w:line="259" w:lineRule="auto"/>
            </w:pPr>
            <w:r>
              <w:rPr>
                <w:rFonts w:ascii="Calibri" w:hAnsi="Calibri"/>
                <w:b w:val="0"/>
                <w:i w:val="0"/>
                <w:color w:val="212121"/>
                <w:sz w:val="16"/>
              </w:rPr>
              <w:t>Glycated haemoglobin</w:t>
            </w:r>
          </w:p>
        </w:tc>
        <w:tc>
          <w:tcPr>
            <w:tcW w:type="dxa" w:w="950"/>
            <w:vAlign w:val="top"/>
          </w:tcPr>
          <w:p>
            <w:pPr>
              <w:spacing w:after="40" w:before="0" w:line="259" w:lineRule="auto"/>
            </w:pPr>
            <w:r>
              <w:rPr>
                <w:rFonts w:ascii="Calibri" w:hAnsi="Calibri"/>
                <w:b w:val="0"/>
                <w:i w:val="0"/>
                <w:color w:val="212121"/>
                <w:sz w:val="16"/>
              </w:rPr>
              <w:t>&lt; 5.7%</w:t>
            </w:r>
          </w:p>
        </w:tc>
        <w:tc>
          <w:tcPr>
            <w:tcW w:type="dxa" w:w="950"/>
            <w:vAlign w:val="top"/>
          </w:tcPr>
          <w:p>
            <w:pPr>
              <w:spacing w:after="40" w:before="0" w:line="259" w:lineRule="auto"/>
            </w:pPr>
            <w:r>
              <w:rPr>
                <w:rFonts w:ascii="Calibri" w:hAnsi="Calibri"/>
                <w:b w:val="0"/>
                <w:i w:val="0"/>
                <w:color w:val="212121"/>
                <w:sz w:val="16"/>
              </w:rPr>
              <w:t>&gt;= 6.5%</w:t>
            </w:r>
          </w:p>
        </w:tc>
        <w:tc>
          <w:tcPr>
            <w:tcW w:type="dxa" w:w="1036"/>
            <w:vAlign w:val="top"/>
          </w:tcPr>
          <w:p>
            <w:pPr>
              <w:spacing w:after="40" w:before="0" w:line="259" w:lineRule="auto"/>
            </w:pPr>
            <w:r>
              <w:rPr>
                <w:rFonts w:ascii="Calibri" w:hAnsi="Calibri"/>
                <w:b w:val="0"/>
                <w:i w:val="0"/>
                <w:color w:val="212121"/>
                <w:sz w:val="16"/>
              </w:rPr>
              <w:t>Detects diabetes/prediabetes that accelerates and masks ischaemia</w:t>
            </w:r>
          </w:p>
        </w:tc>
        <w:tc>
          <w:tcPr>
            <w:tcW w:type="dxa" w:w="1036"/>
            <w:vAlign w:val="top"/>
          </w:tcPr>
          <w:p>
            <w:pPr>
              <w:spacing w:after="40" w:before="0" w:line="259" w:lineRule="auto"/>
            </w:pPr>
            <w:r>
              <w:rPr>
                <w:rFonts w:ascii="Calibri" w:hAnsi="Calibri"/>
                <w:b w:val="0"/>
                <w:i w:val="0"/>
                <w:color w:val="212121"/>
                <w:sz w:val="16"/>
              </w:rPr>
              <w:t>All angina patients</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High</w:t>
            </w:r>
          </w:p>
        </w:tc>
        <w:tc>
          <w:tcPr>
            <w:tcW w:type="dxa" w:w="720"/>
            <w:vAlign w:val="top"/>
          </w:tcPr>
          <w:p>
            <w:pPr>
              <w:spacing w:after="40" w:before="0" w:line="259" w:lineRule="auto"/>
            </w:pPr>
            <w:r>
              <w:rPr>
                <w:rFonts w:ascii="Calibri" w:hAnsi="Calibri"/>
                <w:b w:val="0"/>
                <w:i w:val="0"/>
                <w:color w:val="212121"/>
                <w:sz w:val="16"/>
              </w:rPr>
              <w:t>Screen all coronary patients for dysglycaemia</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Complete blood count (haemoglobin)</w:t>
            </w:r>
          </w:p>
        </w:tc>
        <w:tc>
          <w:tcPr>
            <w:tcW w:type="dxa" w:w="892"/>
            <w:vAlign w:val="top"/>
          </w:tcPr>
          <w:p>
            <w:pPr>
              <w:spacing w:after="40" w:before="0" w:line="259" w:lineRule="auto"/>
            </w:pPr>
            <w:r>
              <w:rPr>
                <w:rFonts w:ascii="Calibri" w:hAnsi="Calibri"/>
                <w:b w:val="0"/>
                <w:i w:val="0"/>
                <w:color w:val="212121"/>
                <w:sz w:val="16"/>
              </w:rPr>
              <w:t>CBC / Hb</w:t>
            </w:r>
          </w:p>
        </w:tc>
        <w:tc>
          <w:tcPr>
            <w:tcW w:type="dxa" w:w="950"/>
            <w:vAlign w:val="top"/>
          </w:tcPr>
          <w:p>
            <w:pPr>
              <w:spacing w:after="40" w:before="0" w:line="259" w:lineRule="auto"/>
            </w:pPr>
            <w:r>
              <w:rPr>
                <w:rFonts w:ascii="Calibri" w:hAnsi="Calibri"/>
                <w:b w:val="0"/>
                <w:i w:val="0"/>
                <w:color w:val="212121"/>
                <w:sz w:val="16"/>
              </w:rPr>
              <w:t>M &gt;= 13; F &gt;= 12 g/dL</w:t>
            </w:r>
          </w:p>
        </w:tc>
        <w:tc>
          <w:tcPr>
            <w:tcW w:type="dxa" w:w="950"/>
            <w:vAlign w:val="top"/>
          </w:tcPr>
          <w:p>
            <w:pPr>
              <w:spacing w:after="40" w:before="0" w:line="259" w:lineRule="auto"/>
            </w:pPr>
            <w:r>
              <w:rPr>
                <w:rFonts w:ascii="Calibri" w:hAnsi="Calibri"/>
                <w:b w:val="0"/>
                <w:i w:val="0"/>
                <w:color w:val="212121"/>
                <w:sz w:val="16"/>
              </w:rPr>
              <w:t>Anaemia (Hb below threshold)</w:t>
            </w:r>
          </w:p>
        </w:tc>
        <w:tc>
          <w:tcPr>
            <w:tcW w:type="dxa" w:w="1036"/>
            <w:vAlign w:val="top"/>
          </w:tcPr>
          <w:p>
            <w:pPr>
              <w:spacing w:after="40" w:before="0" w:line="259" w:lineRule="auto"/>
            </w:pPr>
            <w:r>
              <w:rPr>
                <w:rFonts w:ascii="Calibri" w:hAnsi="Calibri"/>
                <w:b w:val="0"/>
                <w:i w:val="0"/>
                <w:color w:val="212121"/>
                <w:sz w:val="16"/>
              </w:rPr>
              <w:t>Anaemia is a correctable precipitant of demand angina</w:t>
            </w:r>
          </w:p>
        </w:tc>
        <w:tc>
          <w:tcPr>
            <w:tcW w:type="dxa" w:w="1036"/>
            <w:vAlign w:val="top"/>
          </w:tcPr>
          <w:p>
            <w:pPr>
              <w:spacing w:after="40" w:before="0" w:line="259" w:lineRule="auto"/>
            </w:pPr>
            <w:r>
              <w:rPr>
                <w:rFonts w:ascii="Calibri" w:hAnsi="Calibri"/>
                <w:b w:val="0"/>
                <w:i w:val="0"/>
                <w:color w:val="212121"/>
                <w:sz w:val="16"/>
              </w:rPr>
              <w:t>Anaemic patients, women, elderly</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Especially relevant given high anaemia burden in India</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w:t>
            </w:r>
          </w:p>
        </w:tc>
        <w:tc>
          <w:tcPr>
            <w:tcW w:type="dxa" w:w="1036"/>
            <w:vAlign w:val="top"/>
          </w:tcPr>
          <w:p>
            <w:pPr>
              <w:spacing w:after="40" w:before="0" w:line="259" w:lineRule="auto"/>
            </w:pPr>
            <w:r>
              <w:rPr>
                <w:rFonts w:ascii="Calibri" w:hAnsi="Calibri"/>
                <w:b w:val="0"/>
                <w:i w:val="0"/>
                <w:color w:val="212121"/>
                <w:sz w:val="16"/>
              </w:rPr>
              <w:t>Transthoracic echocardiography</w:t>
            </w:r>
          </w:p>
        </w:tc>
        <w:tc>
          <w:tcPr>
            <w:tcW w:type="dxa" w:w="892"/>
            <w:vAlign w:val="top"/>
          </w:tcPr>
          <w:p>
            <w:pPr>
              <w:spacing w:after="40" w:before="0" w:line="259" w:lineRule="auto"/>
            </w:pPr>
            <w:r>
              <w:rPr>
                <w:rFonts w:ascii="Calibri" w:hAnsi="Calibri"/>
                <w:b w:val="0"/>
                <w:i w:val="0"/>
                <w:color w:val="212121"/>
                <w:sz w:val="16"/>
              </w:rPr>
              <w:t>Echo</w:t>
            </w:r>
          </w:p>
        </w:tc>
        <w:tc>
          <w:tcPr>
            <w:tcW w:type="dxa" w:w="950"/>
            <w:vAlign w:val="top"/>
          </w:tcPr>
          <w:p>
            <w:pPr>
              <w:spacing w:after="40" w:before="0" w:line="259" w:lineRule="auto"/>
            </w:pPr>
            <w:r>
              <w:rPr>
                <w:rFonts w:ascii="Calibri" w:hAnsi="Calibri"/>
                <w:b w:val="0"/>
                <w:i w:val="0"/>
                <w:color w:val="212121"/>
                <w:sz w:val="16"/>
              </w:rPr>
              <w:t>Normal LV function (EF &gt;= 55%)</w:t>
            </w:r>
          </w:p>
        </w:tc>
        <w:tc>
          <w:tcPr>
            <w:tcW w:type="dxa" w:w="950"/>
            <w:vAlign w:val="top"/>
          </w:tcPr>
          <w:p>
            <w:pPr>
              <w:spacing w:after="40" w:before="0" w:line="259" w:lineRule="auto"/>
            </w:pPr>
            <w:r>
              <w:rPr>
                <w:rFonts w:ascii="Calibri" w:hAnsi="Calibri"/>
                <w:b w:val="0"/>
                <w:i w:val="0"/>
                <w:color w:val="212121"/>
                <w:sz w:val="16"/>
              </w:rPr>
              <w:t>Regional wall-motion abnormality; reduced EF; aortic stenosis</w:t>
            </w:r>
          </w:p>
        </w:tc>
        <w:tc>
          <w:tcPr>
            <w:tcW w:type="dxa" w:w="1036"/>
            <w:vAlign w:val="top"/>
          </w:tcPr>
          <w:p>
            <w:pPr>
              <w:spacing w:after="40" w:before="0" w:line="259" w:lineRule="auto"/>
            </w:pPr>
            <w:r>
              <w:rPr>
                <w:rFonts w:ascii="Calibri" w:hAnsi="Calibri"/>
                <w:b w:val="0"/>
                <w:i w:val="0"/>
                <w:color w:val="212121"/>
                <w:sz w:val="16"/>
              </w:rPr>
              <w:t>Assesses LV function and detects valvular precipitants</w:t>
            </w:r>
          </w:p>
        </w:tc>
        <w:tc>
          <w:tcPr>
            <w:tcW w:type="dxa" w:w="1036"/>
            <w:vAlign w:val="top"/>
          </w:tcPr>
          <w:p>
            <w:pPr>
              <w:spacing w:after="40" w:before="0" w:line="259" w:lineRule="auto"/>
            </w:pPr>
            <w:r>
              <w:rPr>
                <w:rFonts w:ascii="Calibri" w:hAnsi="Calibri"/>
                <w:b w:val="0"/>
                <w:i w:val="0"/>
                <w:color w:val="212121"/>
                <w:sz w:val="16"/>
              </w:rPr>
              <w:t>Post-ischaemia, murmur, heart-failure symptoms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Bedside and radiation-free</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Chief complaint characterisation</w:t>
            </w:r>
          </w:p>
        </w:tc>
        <w:tc>
          <w:tcPr>
            <w:tcW w:type="dxa" w:w="979"/>
            <w:vAlign w:val="top"/>
          </w:tcPr>
          <w:p>
            <w:pPr>
              <w:spacing w:after="40" w:before="0" w:line="259" w:lineRule="auto"/>
            </w:pPr>
            <w:r>
              <w:rPr>
                <w:rFonts w:ascii="Calibri" w:hAnsi="Calibri"/>
                <w:b w:val="0"/>
                <w:i w:val="0"/>
                <w:color w:val="212121"/>
                <w:sz w:val="16"/>
              </w:rPr>
              <w:t>Site, quality, duration, provocation, relief of chest pain</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Exertional pressure relieved by rest/nitrates (typical); rest/crescendo pain (unstable)</w:t>
            </w:r>
          </w:p>
        </w:tc>
        <w:tc>
          <w:tcPr>
            <w:tcW w:type="dxa" w:w="1036"/>
            <w:vAlign w:val="top"/>
          </w:tcPr>
          <w:p>
            <w:pPr>
              <w:spacing w:after="40" w:before="0" w:line="259" w:lineRule="auto"/>
            </w:pPr>
            <w:r>
              <w:rPr>
                <w:rFonts w:ascii="Calibri" w:hAnsi="Calibri"/>
                <w:b w:val="0"/>
                <w:i w:val="0"/>
                <w:color w:val="212121"/>
                <w:sz w:val="16"/>
              </w:rPr>
              <w:t>Defines typical vs atypical angina and stable vs unstable pattern</w:t>
            </w:r>
          </w:p>
        </w:tc>
        <w:tc>
          <w:tcPr>
            <w:tcW w:type="dxa" w:w="1036"/>
            <w:vAlign w:val="top"/>
          </w:tcPr>
          <w:p>
            <w:pPr>
              <w:spacing w:after="40" w:before="0" w:line="259" w:lineRule="auto"/>
            </w:pPr>
            <w:r>
              <w:rPr>
                <w:rFonts w:ascii="Calibri" w:hAnsi="Calibri"/>
                <w:b w:val="0"/>
                <w:i w:val="0"/>
                <w:color w:val="212121"/>
                <w:sz w:val="16"/>
              </w:rPr>
              <w:t>Adults with chest pain</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Typical angina requires all three classic features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CCS functional grading</w:t>
            </w:r>
          </w:p>
        </w:tc>
        <w:tc>
          <w:tcPr>
            <w:tcW w:type="dxa" w:w="979"/>
            <w:vAlign w:val="top"/>
          </w:tcPr>
          <w:p>
            <w:pPr>
              <w:spacing w:after="40" w:before="0" w:line="259" w:lineRule="auto"/>
            </w:pPr>
            <w:r>
              <w:rPr>
                <w:rFonts w:ascii="Calibri" w:hAnsi="Calibri"/>
                <w:b w:val="0"/>
                <w:i w:val="0"/>
                <w:color w:val="212121"/>
                <w:sz w:val="16"/>
              </w:rPr>
              <w:t>Level of exertion that provokes angina</w:t>
            </w:r>
          </w:p>
        </w:tc>
        <w:tc>
          <w:tcPr>
            <w:tcW w:type="dxa" w:w="950"/>
            <w:vAlign w:val="top"/>
          </w:tcPr>
          <w:p>
            <w:pPr>
              <w:spacing w:after="40" w:before="0" w:line="259" w:lineRule="auto"/>
            </w:pPr>
            <w:r>
              <w:rPr>
                <w:rFonts w:ascii="Calibri" w:hAnsi="Calibri"/>
                <w:b w:val="0"/>
                <w:i w:val="0"/>
                <w:color w:val="212121"/>
                <w:sz w:val="16"/>
              </w:rPr>
              <w:t>No limitation</w:t>
            </w:r>
          </w:p>
        </w:tc>
        <w:tc>
          <w:tcPr>
            <w:tcW w:type="dxa" w:w="950"/>
            <w:vAlign w:val="top"/>
          </w:tcPr>
          <w:p>
            <w:pPr>
              <w:spacing w:after="40" w:before="0" w:line="259" w:lineRule="auto"/>
            </w:pPr>
            <w:r>
              <w:rPr>
                <w:rFonts w:ascii="Calibri" w:hAnsi="Calibri"/>
                <w:b w:val="0"/>
                <w:i w:val="0"/>
                <w:color w:val="212121"/>
                <w:sz w:val="16"/>
              </w:rPr>
              <w:t>CCS Class I-IV (I = strenuous exertion only; IV = any activity or rest)</w:t>
            </w:r>
          </w:p>
        </w:tc>
        <w:tc>
          <w:tcPr>
            <w:tcW w:type="dxa" w:w="1036"/>
            <w:vAlign w:val="top"/>
          </w:tcPr>
          <w:p>
            <w:pPr>
              <w:spacing w:after="40" w:before="0" w:line="259" w:lineRule="auto"/>
            </w:pPr>
            <w:r>
              <w:rPr>
                <w:rFonts w:ascii="Calibri" w:hAnsi="Calibri"/>
                <w:b w:val="0"/>
                <w:i w:val="0"/>
                <w:color w:val="212121"/>
                <w:sz w:val="16"/>
              </w:rPr>
              <w:t>Grades severity and functional limitation to guide therapy</w:t>
            </w:r>
          </w:p>
        </w:tc>
        <w:tc>
          <w:tcPr>
            <w:tcW w:type="dxa" w:w="1036"/>
            <w:vAlign w:val="top"/>
          </w:tcPr>
          <w:p>
            <w:pPr>
              <w:spacing w:after="40" w:before="0" w:line="259" w:lineRule="auto"/>
            </w:pPr>
            <w:r>
              <w:rPr>
                <w:rFonts w:ascii="Calibri" w:hAnsi="Calibri"/>
                <w:b w:val="0"/>
                <w:i w:val="0"/>
                <w:color w:val="212121"/>
                <w:sz w:val="16"/>
              </w:rPr>
              <w:t>Stable angina patients</w:t>
            </w:r>
          </w:p>
        </w:tc>
        <w:tc>
          <w:tcPr>
            <w:tcW w:type="dxa" w:w="720"/>
            <w:vAlign w:val="top"/>
          </w:tcPr>
          <w:p>
            <w:pPr>
              <w:spacing w:after="40" w:before="0" w:line="259" w:lineRule="auto"/>
            </w:pPr>
            <w:r>
              <w:rPr>
                <w:rFonts w:ascii="Calibri" w:hAnsi="Calibri"/>
                <w:b w:val="0"/>
                <w:i w:val="0"/>
                <w:color w:val="212121"/>
                <w:sz w:val="16"/>
              </w:rPr>
              <w:t>Physical activity</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Rising class signals worsening disease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Risk-factor and family history</w:t>
            </w:r>
          </w:p>
        </w:tc>
        <w:tc>
          <w:tcPr>
            <w:tcW w:type="dxa" w:w="979"/>
            <w:vAlign w:val="top"/>
          </w:tcPr>
          <w:p>
            <w:pPr>
              <w:spacing w:after="40" w:before="0" w:line="259" w:lineRule="auto"/>
            </w:pPr>
            <w:r>
              <w:rPr>
                <w:rFonts w:ascii="Calibri" w:hAnsi="Calibri"/>
                <w:b w:val="0"/>
                <w:i w:val="0"/>
                <w:color w:val="212121"/>
                <w:sz w:val="16"/>
              </w:rPr>
              <w:t>Smoking, diabetes, hypertension, dyslipidaemia, premature CHD in family</w:t>
            </w:r>
          </w:p>
        </w:tc>
        <w:tc>
          <w:tcPr>
            <w:tcW w:type="dxa" w:w="950"/>
            <w:vAlign w:val="top"/>
          </w:tcPr>
          <w:p>
            <w:pPr>
              <w:spacing w:after="40" w:before="0" w:line="259" w:lineRule="auto"/>
            </w:pPr>
            <w:r>
              <w:rPr>
                <w:rFonts w:ascii="Calibri" w:hAnsi="Calibri"/>
                <w:b w:val="0"/>
                <w:i w:val="0"/>
                <w:color w:val="212121"/>
                <w:sz w:val="16"/>
              </w:rPr>
              <w:t>Absent</w:t>
            </w:r>
          </w:p>
        </w:tc>
        <w:tc>
          <w:tcPr>
            <w:tcW w:type="dxa" w:w="950"/>
            <w:vAlign w:val="top"/>
          </w:tcPr>
          <w:p>
            <w:pPr>
              <w:spacing w:after="40" w:before="0" w:line="259" w:lineRule="auto"/>
            </w:pPr>
            <w:r>
              <w:rPr>
                <w:rFonts w:ascii="Calibri" w:hAnsi="Calibri"/>
                <w:b w:val="0"/>
                <w:i w:val="0"/>
                <w:color w:val="212121"/>
                <w:sz w:val="16"/>
              </w:rPr>
              <w:t>One or more present</w:t>
            </w:r>
          </w:p>
        </w:tc>
        <w:tc>
          <w:tcPr>
            <w:tcW w:type="dxa" w:w="1036"/>
            <w:vAlign w:val="top"/>
          </w:tcPr>
          <w:p>
            <w:pPr>
              <w:spacing w:after="40" w:before="0" w:line="259" w:lineRule="auto"/>
            </w:pPr>
            <w:r>
              <w:rPr>
                <w:rFonts w:ascii="Calibri" w:hAnsi="Calibri"/>
                <w:b w:val="0"/>
                <w:i w:val="0"/>
                <w:color w:val="212121"/>
                <w:sz w:val="16"/>
              </w:rPr>
              <w:t>Establishes pre-test probability of coronary disease</w:t>
            </w:r>
          </w:p>
        </w:tc>
        <w:tc>
          <w:tcPr>
            <w:tcW w:type="dxa" w:w="1036"/>
            <w:vAlign w:val="top"/>
          </w:tcPr>
          <w:p>
            <w:pPr>
              <w:spacing w:after="40" w:before="0" w:line="259" w:lineRule="auto"/>
            </w:pPr>
            <w:r>
              <w:rPr>
                <w:rFonts w:ascii="Calibri" w:hAnsi="Calibri"/>
                <w:b w:val="0"/>
                <w:i w:val="0"/>
                <w:color w:val="212121"/>
                <w:sz w:val="16"/>
              </w:rPr>
              <w:t>All patients</w:t>
            </w:r>
          </w:p>
        </w:tc>
        <w:tc>
          <w:tcPr>
            <w:tcW w:type="dxa" w:w="720"/>
            <w:vAlign w:val="top"/>
          </w:tcPr>
          <w:p>
            <w:pPr>
              <w:spacing w:after="40" w:before="0" w:line="259" w:lineRule="auto"/>
            </w:pPr>
            <w:r>
              <w:rPr>
                <w:rFonts w:ascii="Calibri" w:hAnsi="Calibri"/>
                <w:b w:val="0"/>
                <w:i w:val="0"/>
                <w:color w:val="212121"/>
                <w:sz w:val="16"/>
              </w:rPr>
              <w:t>Smoking; Food</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Note age at onset in affected relatives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General examination</w:t>
            </w:r>
          </w:p>
        </w:tc>
        <w:tc>
          <w:tcPr>
            <w:tcW w:type="dxa" w:w="950"/>
            <w:vAlign w:val="top"/>
          </w:tcPr>
          <w:p>
            <w:pPr>
              <w:spacing w:after="40" w:before="0" w:line="259" w:lineRule="auto"/>
            </w:pPr>
            <w:r>
              <w:rPr>
                <w:rFonts w:ascii="Calibri" w:hAnsi="Calibri"/>
                <w:b w:val="0"/>
                <w:i w:val="0"/>
                <w:color w:val="212121"/>
                <w:sz w:val="16"/>
              </w:rPr>
              <w:t>Blood pressure and anthropometry</w:t>
            </w:r>
          </w:p>
        </w:tc>
        <w:tc>
          <w:tcPr>
            <w:tcW w:type="dxa" w:w="979"/>
            <w:vAlign w:val="top"/>
          </w:tcPr>
          <w:p>
            <w:pPr>
              <w:spacing w:after="40" w:before="0" w:line="259" w:lineRule="auto"/>
            </w:pPr>
            <w:r>
              <w:rPr>
                <w:rFonts w:ascii="Calibri" w:hAnsi="Calibri"/>
                <w:b w:val="0"/>
                <w:i w:val="0"/>
                <w:color w:val="212121"/>
                <w:sz w:val="16"/>
              </w:rPr>
              <w:t>BP, BMI, waist circumference</w:t>
            </w:r>
          </w:p>
        </w:tc>
        <w:tc>
          <w:tcPr>
            <w:tcW w:type="dxa" w:w="950"/>
            <w:vAlign w:val="top"/>
          </w:tcPr>
          <w:p>
            <w:pPr>
              <w:spacing w:after="40" w:before="0" w:line="259" w:lineRule="auto"/>
            </w:pPr>
            <w:r>
              <w:rPr>
                <w:rFonts w:ascii="Calibri" w:hAnsi="Calibri"/>
                <w:b w:val="0"/>
                <w:i w:val="0"/>
                <w:color w:val="212121"/>
                <w:sz w:val="16"/>
              </w:rPr>
              <w:t>BP &lt; 130/80; normal waist</w:t>
            </w:r>
          </w:p>
        </w:tc>
        <w:tc>
          <w:tcPr>
            <w:tcW w:type="dxa" w:w="950"/>
            <w:vAlign w:val="top"/>
          </w:tcPr>
          <w:p>
            <w:pPr>
              <w:spacing w:after="40" w:before="0" w:line="259" w:lineRule="auto"/>
            </w:pPr>
            <w:r>
              <w:rPr>
                <w:rFonts w:ascii="Calibri" w:hAnsi="Calibri"/>
                <w:b w:val="0"/>
                <w:i w:val="0"/>
                <w:color w:val="212121"/>
                <w:sz w:val="16"/>
              </w:rPr>
              <w:t>BP &gt;= 140/90; central obesity</w:t>
            </w:r>
          </w:p>
        </w:tc>
        <w:tc>
          <w:tcPr>
            <w:tcW w:type="dxa" w:w="1036"/>
            <w:vAlign w:val="top"/>
          </w:tcPr>
          <w:p>
            <w:pPr>
              <w:spacing w:after="40" w:before="0" w:line="259" w:lineRule="auto"/>
            </w:pPr>
            <w:r>
              <w:rPr>
                <w:rFonts w:ascii="Calibri" w:hAnsi="Calibri"/>
                <w:b w:val="0"/>
                <w:i w:val="0"/>
                <w:color w:val="212121"/>
                <w:sz w:val="16"/>
              </w:rPr>
              <w:t>Detects modifiable haemodynamic and metabolic drivers</w:t>
            </w:r>
          </w:p>
        </w:tc>
        <w:tc>
          <w:tcPr>
            <w:tcW w:type="dxa" w:w="1036"/>
            <w:vAlign w:val="top"/>
          </w:tcPr>
          <w:p>
            <w:pPr>
              <w:spacing w:after="40" w:before="0" w:line="259" w:lineRule="auto"/>
            </w:pPr>
            <w:r>
              <w:rPr>
                <w:rFonts w:ascii="Calibri" w:hAnsi="Calibri"/>
                <w:b w:val="0"/>
                <w:i w:val="0"/>
                <w:color w:val="212121"/>
                <w:sz w:val="16"/>
              </w:rPr>
              <w:t>All adults</w:t>
            </w:r>
          </w:p>
        </w:tc>
        <w:tc>
          <w:tcPr>
            <w:tcW w:type="dxa" w:w="720"/>
            <w:vAlign w:val="top"/>
          </w:tcPr>
          <w:p>
            <w:pPr>
              <w:spacing w:after="40" w:before="0" w:line="259" w:lineRule="auto"/>
            </w:pPr>
            <w:r>
              <w:rPr>
                <w:rFonts w:ascii="Calibri" w:hAnsi="Calibri"/>
                <w:b w:val="0"/>
                <w:i w:val="0"/>
                <w:color w:val="212121"/>
                <w:sz w:val="16"/>
              </w:rPr>
              <w:t>Physical activity</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Use Asian-Indian anthropometric cut-offs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Cardiovascular examination</w:t>
            </w:r>
          </w:p>
        </w:tc>
        <w:tc>
          <w:tcPr>
            <w:tcW w:type="dxa" w:w="950"/>
            <w:vAlign w:val="top"/>
          </w:tcPr>
          <w:p>
            <w:pPr>
              <w:spacing w:after="40" w:before="0" w:line="259" w:lineRule="auto"/>
            </w:pPr>
            <w:r>
              <w:rPr>
                <w:rFonts w:ascii="Calibri" w:hAnsi="Calibri"/>
                <w:b w:val="0"/>
                <w:i w:val="0"/>
                <w:color w:val="212121"/>
                <w:sz w:val="16"/>
              </w:rPr>
              <w:t>Auscultation and pulses</w:t>
            </w:r>
          </w:p>
        </w:tc>
        <w:tc>
          <w:tcPr>
            <w:tcW w:type="dxa" w:w="979"/>
            <w:vAlign w:val="top"/>
          </w:tcPr>
          <w:p>
            <w:pPr>
              <w:spacing w:after="40" w:before="0" w:line="259" w:lineRule="auto"/>
            </w:pPr>
            <w:r>
              <w:rPr>
                <w:rFonts w:ascii="Calibri" w:hAnsi="Calibri"/>
                <w:b w:val="0"/>
                <w:i w:val="0"/>
                <w:color w:val="212121"/>
                <w:sz w:val="16"/>
              </w:rPr>
              <w:t>Heart sounds, murmurs, carotid/peripheral pulses</w:t>
            </w:r>
          </w:p>
        </w:tc>
        <w:tc>
          <w:tcPr>
            <w:tcW w:type="dxa" w:w="950"/>
            <w:vAlign w:val="top"/>
          </w:tcPr>
          <w:p>
            <w:pPr>
              <w:spacing w:after="40" w:before="0" w:line="259" w:lineRule="auto"/>
            </w:pPr>
            <w:r>
              <w:rPr>
                <w:rFonts w:ascii="Calibri" w:hAnsi="Calibri"/>
                <w:b w:val="0"/>
                <w:i w:val="0"/>
                <w:color w:val="212121"/>
                <w:sz w:val="16"/>
              </w:rPr>
              <w:t>Normal S1-S2, no bruit, normal pulses</w:t>
            </w:r>
          </w:p>
        </w:tc>
        <w:tc>
          <w:tcPr>
            <w:tcW w:type="dxa" w:w="950"/>
            <w:vAlign w:val="top"/>
          </w:tcPr>
          <w:p>
            <w:pPr>
              <w:spacing w:after="40" w:before="0" w:line="259" w:lineRule="auto"/>
            </w:pPr>
            <w:r>
              <w:rPr>
                <w:rFonts w:ascii="Calibri" w:hAnsi="Calibri"/>
                <w:b w:val="0"/>
                <w:i w:val="0"/>
                <w:color w:val="212121"/>
                <w:sz w:val="16"/>
              </w:rPr>
              <w:t>S4, transient MR murmur, aortic-stenosis murmur, carotid bruit, reduced pulses</w:t>
            </w:r>
          </w:p>
        </w:tc>
        <w:tc>
          <w:tcPr>
            <w:tcW w:type="dxa" w:w="1036"/>
            <w:vAlign w:val="top"/>
          </w:tcPr>
          <w:p>
            <w:pPr>
              <w:spacing w:after="40" w:before="0" w:line="259" w:lineRule="auto"/>
            </w:pPr>
            <w:r>
              <w:rPr>
                <w:rFonts w:ascii="Calibri" w:hAnsi="Calibri"/>
                <w:b w:val="0"/>
                <w:i w:val="0"/>
                <w:color w:val="212121"/>
                <w:sz w:val="16"/>
              </w:rPr>
              <w:t>Reveals ischaemic dysfunction, valvular precipitants and systemic atherosclerosis</w:t>
            </w:r>
          </w:p>
        </w:tc>
        <w:tc>
          <w:tcPr>
            <w:tcW w:type="dxa" w:w="1036"/>
            <w:vAlign w:val="top"/>
          </w:tcPr>
          <w:p>
            <w:pPr>
              <w:spacing w:after="40" w:before="0" w:line="259" w:lineRule="auto"/>
            </w:pPr>
            <w:r>
              <w:rPr>
                <w:rFonts w:ascii="Calibri" w:hAnsi="Calibri"/>
                <w:b w:val="0"/>
                <w:i w:val="0"/>
                <w:color w:val="212121"/>
                <w:sz w:val="16"/>
              </w:rPr>
              <w:t>Suspected CAD/PAD</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Exam is often normal between anginal episodes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General examination</w:t>
            </w:r>
          </w:p>
        </w:tc>
        <w:tc>
          <w:tcPr>
            <w:tcW w:type="dxa" w:w="950"/>
            <w:vAlign w:val="top"/>
          </w:tcPr>
          <w:p>
            <w:pPr>
              <w:spacing w:after="40" w:before="0" w:line="259" w:lineRule="auto"/>
            </w:pPr>
            <w:r>
              <w:rPr>
                <w:rFonts w:ascii="Calibri" w:hAnsi="Calibri"/>
                <w:b w:val="0"/>
                <w:i w:val="0"/>
                <w:color w:val="212121"/>
                <w:sz w:val="16"/>
              </w:rPr>
              <w:t>Signs of precipitants and dyslipidaemia</w:t>
            </w:r>
          </w:p>
        </w:tc>
        <w:tc>
          <w:tcPr>
            <w:tcW w:type="dxa" w:w="979"/>
            <w:vAlign w:val="top"/>
          </w:tcPr>
          <w:p>
            <w:pPr>
              <w:spacing w:after="40" w:before="0" w:line="259" w:lineRule="auto"/>
            </w:pPr>
            <w:r>
              <w:rPr>
                <w:rFonts w:ascii="Calibri" w:hAnsi="Calibri"/>
                <w:b w:val="0"/>
                <w:i w:val="0"/>
                <w:color w:val="212121"/>
                <w:sz w:val="16"/>
              </w:rPr>
              <w:t>Pallor of anaemia, thyroid signs, xanthelasma, corneal arcus</w:t>
            </w:r>
          </w:p>
        </w:tc>
        <w:tc>
          <w:tcPr>
            <w:tcW w:type="dxa" w:w="950"/>
            <w:vAlign w:val="top"/>
          </w:tcPr>
          <w:p>
            <w:pPr>
              <w:spacing w:after="40" w:before="0" w:line="259" w:lineRule="auto"/>
            </w:pPr>
            <w:r>
              <w:rPr>
                <w:rFonts w:ascii="Calibri" w:hAnsi="Calibri"/>
                <w:b w:val="0"/>
                <w:i w:val="0"/>
                <w:color w:val="212121"/>
                <w:sz w:val="16"/>
              </w:rPr>
              <w:t>Absent</w:t>
            </w:r>
          </w:p>
        </w:tc>
        <w:tc>
          <w:tcPr>
            <w:tcW w:type="dxa" w:w="950"/>
            <w:vAlign w:val="top"/>
          </w:tcPr>
          <w:p>
            <w:pPr>
              <w:spacing w:after="40" w:before="0" w:line="259" w:lineRule="auto"/>
            </w:pPr>
            <w:r>
              <w:rPr>
                <w:rFonts w:ascii="Calibri" w:hAnsi="Calibri"/>
                <w:b w:val="0"/>
                <w:i w:val="0"/>
                <w:color w:val="212121"/>
                <w:sz w:val="16"/>
              </w:rPr>
              <w:t>Present</w:t>
            </w:r>
          </w:p>
        </w:tc>
        <w:tc>
          <w:tcPr>
            <w:tcW w:type="dxa" w:w="1036"/>
            <w:vAlign w:val="top"/>
          </w:tcPr>
          <w:p>
            <w:pPr>
              <w:spacing w:after="40" w:before="0" w:line="259" w:lineRule="auto"/>
            </w:pPr>
            <w:r>
              <w:rPr>
                <w:rFonts w:ascii="Calibri" w:hAnsi="Calibri"/>
                <w:b w:val="0"/>
                <w:i w:val="0"/>
                <w:color w:val="212121"/>
                <w:sz w:val="16"/>
              </w:rPr>
              <w:t>Point to correctable precipitants or an underlying lipid disorder</w:t>
            </w:r>
          </w:p>
        </w:tc>
        <w:tc>
          <w:tcPr>
            <w:tcW w:type="dxa" w:w="1036"/>
            <w:vAlign w:val="top"/>
          </w:tcPr>
          <w:p>
            <w:pPr>
              <w:spacing w:after="40" w:before="0" w:line="259" w:lineRule="auto"/>
            </w:pPr>
            <w:r>
              <w:rPr>
                <w:rFonts w:ascii="Calibri" w:hAnsi="Calibri"/>
                <w:b w:val="0"/>
                <w:i w:val="0"/>
                <w:color w:val="212121"/>
                <w:sz w:val="16"/>
              </w:rPr>
              <w:t>Anaemic, young CAD, family history</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Prompt targeted workup</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Exertional chest pain / pressure / tightness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Central or left-sided pressure, heaviness or squeezing brought on by exertion or stress - the hallmark of stable angina.</w:t>
            </w:r>
          </w:p>
        </w:tc>
      </w:tr>
      <w:tr>
        <w:trPr>
          <w:cantSplit/>
        </w:trPr>
        <w:tc>
          <w:tcPr>
            <w:tcW w:type="dxa" w:w="2304"/>
            <w:vAlign w:val="top"/>
          </w:tcPr>
          <w:p>
            <w:pPr>
              <w:spacing w:after="40" w:before="0" w:line="259" w:lineRule="auto"/>
            </w:pPr>
            <w:r>
              <w:rPr>
                <w:rFonts w:ascii="Calibri" w:hAnsi="Calibri"/>
                <w:b/>
                <w:i w:val="0"/>
                <w:color w:val="212121"/>
                <w:sz w:val="19"/>
              </w:rPr>
              <w:t>Relief within minutes with rest or sublingual nitroglycerin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Prompt relief (typically 2-5 minutes) with rest or GTN is characteristic and supports the diagnosis.</w:t>
            </w:r>
          </w:p>
        </w:tc>
      </w:tr>
      <w:tr>
        <w:trPr>
          <w:cantSplit/>
        </w:trPr>
        <w:tc>
          <w:tcPr>
            <w:tcW w:type="dxa" w:w="2304"/>
            <w:vAlign w:val="top"/>
          </w:tcPr>
          <w:p>
            <w:pPr>
              <w:spacing w:after="40" w:before="0" w:line="259" w:lineRule="auto"/>
            </w:pPr>
            <w:r>
              <w:rPr>
                <w:rFonts w:ascii="Calibri" w:hAnsi="Calibri"/>
                <w:b/>
                <w:i w:val="0"/>
                <w:color w:val="212121"/>
                <w:sz w:val="19"/>
              </w:rPr>
              <w:t>Pain radiating to left arm, jaw, neck, shoulder or back</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Ischaemic discomfort commonly spreads to the arm, jaw, neck or upper back rather than staying localised.</w:t>
            </w:r>
          </w:p>
        </w:tc>
      </w:tr>
      <w:tr>
        <w:trPr>
          <w:cantSplit/>
        </w:trPr>
        <w:tc>
          <w:tcPr>
            <w:tcW w:type="dxa" w:w="2304"/>
            <w:vAlign w:val="top"/>
          </w:tcPr>
          <w:p>
            <w:pPr>
              <w:spacing w:after="40" w:before="0" w:line="259" w:lineRule="auto"/>
            </w:pPr>
            <w:r>
              <w:rPr>
                <w:rFonts w:ascii="Calibri" w:hAnsi="Calibri"/>
                <w:b/>
                <w:i w:val="0"/>
                <w:color w:val="212121"/>
                <w:sz w:val="19"/>
              </w:rPr>
              <w:t>Exertional breathlessness (anginal equivalent)</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Shortness of breath on exertion may replace pain, especially in women, diabetics and the elderly.</w:t>
            </w:r>
          </w:p>
        </w:tc>
      </w:tr>
      <w:tr>
        <w:trPr>
          <w:cantSplit/>
        </w:trPr>
        <w:tc>
          <w:tcPr>
            <w:tcW w:type="dxa" w:w="2304"/>
            <w:vAlign w:val="top"/>
          </w:tcPr>
          <w:p>
            <w:pPr>
              <w:spacing w:after="40" w:before="0" w:line="259" w:lineRule="auto"/>
            </w:pPr>
            <w:r>
              <w:rPr>
                <w:rFonts w:ascii="Calibri" w:hAnsi="Calibri"/>
                <w:b/>
                <w:i w:val="0"/>
                <w:color w:val="212121"/>
                <w:sz w:val="19"/>
              </w:rPr>
              <w:t>Chest discomfort provoked by cold, heavy meals or emotion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Cold exposure, large meals, anger and stress lower the ischaemic threshold and trigger episodes.</w:t>
            </w:r>
          </w:p>
        </w:tc>
      </w:tr>
      <w:tr>
        <w:trPr>
          <w:cantSplit/>
        </w:trPr>
        <w:tc>
          <w:tcPr>
            <w:tcW w:type="dxa" w:w="2304"/>
            <w:vAlign w:val="top"/>
          </w:tcPr>
          <w:p>
            <w:pPr>
              <w:spacing w:after="40" w:before="0" w:line="259" w:lineRule="auto"/>
            </w:pPr>
            <w:r>
              <w:rPr>
                <w:rFonts w:ascii="Calibri" w:hAnsi="Calibri"/>
                <w:b/>
                <w:i w:val="0"/>
                <w:color w:val="212121"/>
                <w:sz w:val="19"/>
              </w:rPr>
              <w:t>Fatigue and reduced exercise tolerance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Declining stamina and unusual tiredness reflect limited coronary reserve.</w:t>
            </w:r>
          </w:p>
        </w:tc>
      </w:tr>
      <w:tr>
        <w:trPr>
          <w:cantSplit/>
        </w:trPr>
        <w:tc>
          <w:tcPr>
            <w:tcW w:type="dxa" w:w="2304"/>
            <w:vAlign w:val="top"/>
          </w:tcPr>
          <w:p>
            <w:pPr>
              <w:spacing w:after="40" w:before="0" w:line="259" w:lineRule="auto"/>
            </w:pPr>
            <w:r>
              <w:rPr>
                <w:rFonts w:ascii="Calibri" w:hAnsi="Calibri"/>
                <w:b/>
                <w:i w:val="0"/>
                <w:color w:val="212121"/>
                <w:sz w:val="19"/>
              </w:rPr>
              <w:t>Rest pain or prolonged pain not relieved by rest/nitrates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A shift to pain at rest, or pain lasting more than 10-20 minutes, signals unstable angina - a medical emergency.</w:t>
            </w:r>
          </w:p>
        </w:tc>
      </w:tr>
      <w:tr>
        <w:trPr>
          <w:cantSplit/>
        </w:trPr>
        <w:tc>
          <w:tcPr>
            <w:tcW w:type="dxa" w:w="2304"/>
            <w:vAlign w:val="top"/>
          </w:tcPr>
          <w:p>
            <w:pPr>
              <w:spacing w:after="40" w:before="0" w:line="259" w:lineRule="auto"/>
            </w:pPr>
            <w:r>
              <w:rPr>
                <w:rFonts w:ascii="Calibri" w:hAnsi="Calibri"/>
                <w:b/>
                <w:i w:val="0"/>
                <w:color w:val="212121"/>
                <w:sz w:val="19"/>
              </w:rPr>
              <w:t>Crescendo / new-onset severe angina</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Angina that is new, or rapidly increasing in frequency, severity or duration, indicates instability.</w:t>
            </w:r>
          </w:p>
        </w:tc>
      </w:tr>
      <w:tr>
        <w:trPr>
          <w:cantSplit/>
        </w:trPr>
        <w:tc>
          <w:tcPr>
            <w:tcW w:type="dxa" w:w="2304"/>
            <w:vAlign w:val="top"/>
          </w:tcPr>
          <w:p>
            <w:pPr>
              <w:spacing w:after="40" w:before="0" w:line="259" w:lineRule="auto"/>
            </w:pPr>
            <w:r>
              <w:rPr>
                <w:rFonts w:ascii="Calibri" w:hAnsi="Calibri"/>
                <w:b/>
                <w:i w:val="0"/>
                <w:color w:val="212121"/>
                <w:sz w:val="19"/>
              </w:rPr>
              <w:t>Nocturnal or early-morning chest pain at rest</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Suggests variant (Prinzmetal) vasospastic angina, often with transient ST-elevation.</w:t>
            </w:r>
          </w:p>
        </w:tc>
      </w:tr>
      <w:tr>
        <w:trPr>
          <w:cantSplit/>
        </w:trPr>
        <w:tc>
          <w:tcPr>
            <w:tcW w:type="dxa" w:w="2304"/>
            <w:vAlign w:val="top"/>
          </w:tcPr>
          <w:p>
            <w:pPr>
              <w:spacing w:after="40" w:before="0" w:line="259" w:lineRule="auto"/>
            </w:pPr>
            <w:r>
              <w:rPr>
                <w:rFonts w:ascii="Calibri" w:hAnsi="Calibri"/>
                <w:b/>
                <w:i w:val="0"/>
                <w:color w:val="212121"/>
                <w:sz w:val="19"/>
              </w:rPr>
              <w:t>Nausea, indigestion or epigastric discomfort</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Ischaemia, particularly inferior, can mimic 'gas' or indigestion and is a frequent cause of missed diagnosis.</w:t>
            </w:r>
          </w:p>
        </w:tc>
      </w:tr>
      <w:tr>
        <w:trPr>
          <w:cantSplit/>
        </w:trPr>
        <w:tc>
          <w:tcPr>
            <w:tcW w:type="dxa" w:w="2304"/>
            <w:vAlign w:val="top"/>
          </w:tcPr>
          <w:p>
            <w:pPr>
              <w:spacing w:after="40" w:before="0" w:line="259" w:lineRule="auto"/>
            </w:pPr>
            <w:r>
              <w:rPr>
                <w:rFonts w:ascii="Calibri" w:hAnsi="Calibri"/>
                <w:b/>
                <w:i w:val="0"/>
                <w:color w:val="212121"/>
                <w:sz w:val="19"/>
              </w:rPr>
              <w:t>Palpitations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Awareness of a rapid or irregular heartbeat from ischaemia-related arrhythmia.</w:t>
            </w:r>
          </w:p>
        </w:tc>
      </w:tr>
      <w:tr>
        <w:trPr>
          <w:cantSplit/>
        </w:trPr>
        <w:tc>
          <w:tcPr>
            <w:tcW w:type="dxa" w:w="2304"/>
            <w:vAlign w:val="top"/>
          </w:tcPr>
          <w:p>
            <w:pPr>
              <w:spacing w:after="40" w:before="0" w:line="259" w:lineRule="auto"/>
            </w:pPr>
            <w:r>
              <w:rPr>
                <w:rFonts w:ascii="Calibri" w:hAnsi="Calibri"/>
                <w:b/>
                <w:i w:val="0"/>
                <w:color w:val="212121"/>
                <w:sz w:val="19"/>
              </w:rPr>
              <w:t>Diaphoresis (cold sweating) with pain</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Autonomic activation accompanying more severe or unstable ischaemia.</w:t>
            </w:r>
          </w:p>
        </w:tc>
      </w:tr>
      <w:tr>
        <w:trPr>
          <w:cantSplit/>
        </w:trPr>
        <w:tc>
          <w:tcPr>
            <w:tcW w:type="dxa" w:w="2304"/>
            <w:vAlign w:val="top"/>
          </w:tcPr>
          <w:p>
            <w:pPr>
              <w:spacing w:after="40" w:before="0" w:line="259" w:lineRule="auto"/>
            </w:pPr>
            <w:r>
              <w:rPr>
                <w:rFonts w:ascii="Calibri" w:hAnsi="Calibri"/>
                <w:b/>
                <w:i w:val="0"/>
                <w:color w:val="212121"/>
                <w:sz w:val="19"/>
              </w:rPr>
              <w:t>Silent or atypical presentation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Many Indians - especially people with diabetes, women and the elderly - have minimal or no chest pain despite ischaemia.</w:t>
            </w:r>
          </w:p>
        </w:tc>
      </w:tr>
      <w:tr>
        <w:trPr>
          <w:cantSplit/>
        </w:trPr>
        <w:tc>
          <w:tcPr>
            <w:tcW w:type="dxa" w:w="2304"/>
            <w:vAlign w:val="top"/>
          </w:tcPr>
          <w:p>
            <w:pPr>
              <w:spacing w:after="40" w:before="0" w:line="259" w:lineRule="auto"/>
            </w:pPr>
            <w:r>
              <w:rPr>
                <w:rFonts w:ascii="Calibri" w:hAnsi="Calibri"/>
                <w:b/>
                <w:i w:val="0"/>
                <w:color w:val="212121"/>
                <w:sz w:val="19"/>
              </w:rPr>
              <w:t>Syncope or a sense of impending doom with severe pain</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Suggests critical ischaemia, arrhythmia or evolving infarction and warrants emergency assessment.</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Normal examination between episodes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In stable angina the physical exam is frequently unremarkable when the patient is pain-free.</w:t>
            </w:r>
          </w:p>
        </w:tc>
      </w:tr>
      <w:tr>
        <w:trPr>
          <w:cantSplit/>
        </w:trPr>
        <w:tc>
          <w:tcPr>
            <w:tcW w:type="dxa" w:w="3456"/>
            <w:vAlign w:val="top"/>
          </w:tcPr>
          <w:p>
            <w:pPr>
              <w:spacing w:after="40" w:before="0" w:line="259" w:lineRule="auto"/>
            </w:pPr>
            <w:r>
              <w:rPr>
                <w:rFonts w:ascii="Calibri" w:hAnsi="Calibri"/>
                <w:b/>
                <w:i w:val="0"/>
                <w:color w:val="212121"/>
                <w:sz w:val="19"/>
              </w:rPr>
              <w:t>Transient fourth heart sound (S4) during an attack</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Reflects a transiently stiff, ischaemic left ventricle.</w:t>
            </w:r>
          </w:p>
        </w:tc>
      </w:tr>
      <w:tr>
        <w:trPr>
          <w:cantSplit/>
        </w:trPr>
        <w:tc>
          <w:tcPr>
            <w:tcW w:type="dxa" w:w="3456"/>
            <w:vAlign w:val="top"/>
          </w:tcPr>
          <w:p>
            <w:pPr>
              <w:spacing w:after="40" w:before="0" w:line="259" w:lineRule="auto"/>
            </w:pPr>
            <w:r>
              <w:rPr>
                <w:rFonts w:ascii="Calibri" w:hAnsi="Calibri"/>
                <w:b/>
                <w:i w:val="0"/>
                <w:color w:val="212121"/>
                <w:sz w:val="19"/>
              </w:rPr>
              <w:t>Elevated blood pressure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Hypertension commonly coexists and both drives and precipitates ischaemia.</w:t>
            </w:r>
          </w:p>
        </w:tc>
      </w:tr>
      <w:tr>
        <w:trPr>
          <w:cantSplit/>
        </w:trPr>
        <w:tc>
          <w:tcPr>
            <w:tcW w:type="dxa" w:w="3456"/>
            <w:vAlign w:val="top"/>
          </w:tcPr>
          <w:p>
            <w:pPr>
              <w:spacing w:after="40" w:before="0" w:line="259" w:lineRule="auto"/>
            </w:pPr>
            <w:r>
              <w:rPr>
                <w:rFonts w:ascii="Calibri" w:hAnsi="Calibri"/>
                <w:b/>
                <w:i w:val="0"/>
                <w:color w:val="212121"/>
                <w:sz w:val="19"/>
              </w:rPr>
              <w:t>Tachycardia during an episode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Increased heart rate raises oxygen demand and often accompanies acute ischaemia.</w:t>
            </w:r>
          </w:p>
        </w:tc>
      </w:tr>
      <w:tr>
        <w:trPr>
          <w:cantSplit/>
        </w:trPr>
        <w:tc>
          <w:tcPr>
            <w:tcW w:type="dxa" w:w="3456"/>
            <w:vAlign w:val="top"/>
          </w:tcPr>
          <w:p>
            <w:pPr>
              <w:spacing w:after="40" w:before="0" w:line="259" w:lineRule="auto"/>
            </w:pPr>
            <w:r>
              <w:rPr>
                <w:rFonts w:ascii="Calibri" w:hAnsi="Calibri"/>
                <w:b/>
                <w:i w:val="0"/>
                <w:color w:val="212121"/>
                <w:sz w:val="19"/>
              </w:rPr>
              <w:t>Levine's sign (clenched fist over the sternum)</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A characteristic gesture patients use to describe the constricting quality of anginal pain.</w:t>
            </w:r>
          </w:p>
        </w:tc>
      </w:tr>
      <w:tr>
        <w:trPr>
          <w:cantSplit/>
        </w:trPr>
        <w:tc>
          <w:tcPr>
            <w:tcW w:type="dxa" w:w="3456"/>
            <w:vAlign w:val="top"/>
          </w:tcPr>
          <w:p>
            <w:pPr>
              <w:spacing w:after="40" w:before="0" w:line="259" w:lineRule="auto"/>
            </w:pPr>
            <w:r>
              <w:rPr>
                <w:rFonts w:ascii="Calibri" w:hAnsi="Calibri"/>
                <w:b/>
                <w:i w:val="0"/>
                <w:color w:val="212121"/>
                <w:sz w:val="19"/>
              </w:rPr>
              <w:t>Carotid or peripheral bruit / diminished pulses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Indicate systemic atherosclerosis accompanying coronary disease.</w:t>
            </w:r>
          </w:p>
        </w:tc>
      </w:tr>
      <w:tr>
        <w:trPr>
          <w:cantSplit/>
        </w:trPr>
        <w:tc>
          <w:tcPr>
            <w:tcW w:type="dxa" w:w="3456"/>
            <w:vAlign w:val="top"/>
          </w:tcPr>
          <w:p>
            <w:pPr>
              <w:spacing w:after="40" w:before="0" w:line="259" w:lineRule="auto"/>
            </w:pPr>
            <w:r>
              <w:rPr>
                <w:rFonts w:ascii="Calibri" w:hAnsi="Calibri"/>
                <w:b/>
                <w:i w:val="0"/>
                <w:color w:val="212121"/>
                <w:sz w:val="19"/>
              </w:rPr>
              <w:t>Xanthelasma or corneal arcus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External markers of underlying dyslipidaemia, especially in younger patients.</w:t>
            </w:r>
          </w:p>
        </w:tc>
      </w:tr>
      <w:tr>
        <w:trPr>
          <w:cantSplit/>
        </w:trPr>
        <w:tc>
          <w:tcPr>
            <w:tcW w:type="dxa" w:w="3456"/>
            <w:vAlign w:val="top"/>
          </w:tcPr>
          <w:p>
            <w:pPr>
              <w:spacing w:after="40" w:before="0" w:line="259" w:lineRule="auto"/>
            </w:pPr>
            <w:r>
              <w:rPr>
                <w:rFonts w:ascii="Calibri" w:hAnsi="Calibri"/>
                <w:b/>
                <w:i w:val="0"/>
                <w:color w:val="212121"/>
                <w:sz w:val="19"/>
              </w:rPr>
              <w:t>Diaphoresis, pallor and anxiety during an attack</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Autonomic activation typical of a more severe or unstable ischaemic episode.</w:t>
            </w:r>
          </w:p>
        </w:tc>
      </w:tr>
      <w:tr>
        <w:trPr>
          <w:cantSplit/>
        </w:trPr>
        <w:tc>
          <w:tcPr>
            <w:tcW w:type="dxa" w:w="3456"/>
            <w:vAlign w:val="top"/>
          </w:tcPr>
          <w:p>
            <w:pPr>
              <w:spacing w:after="40" w:before="0" w:line="259" w:lineRule="auto"/>
            </w:pPr>
            <w:r>
              <w:rPr>
                <w:rFonts w:ascii="Calibri" w:hAnsi="Calibri"/>
                <w:b/>
                <w:i w:val="0"/>
                <w:color w:val="212121"/>
                <w:sz w:val="19"/>
              </w:rPr>
              <w:t>Transient mitral regurgitation murmur</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Ischaemic papillary-muscle dysfunction can produce a transient systolic murmur during ischaemia.</w:t>
            </w:r>
          </w:p>
        </w:tc>
      </w:tr>
      <w:tr>
        <w:trPr>
          <w:cantSplit/>
        </w:trPr>
        <w:tc>
          <w:tcPr>
            <w:tcW w:type="dxa" w:w="3456"/>
            <w:vAlign w:val="top"/>
          </w:tcPr>
          <w:p>
            <w:pPr>
              <w:spacing w:after="40" w:before="0" w:line="259" w:lineRule="auto"/>
            </w:pPr>
            <w:r>
              <w:rPr>
                <w:rFonts w:ascii="Calibri" w:hAnsi="Calibri"/>
                <w:b/>
                <w:i w:val="0"/>
                <w:color w:val="212121"/>
                <w:sz w:val="19"/>
              </w:rPr>
              <w:t>Aortic-stenosis ejection murmur or pallor of anaemia</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Point to valvular or haematological precipitants of demand angina.</w:t>
            </w:r>
          </w:p>
        </w:tc>
      </w:tr>
      <w:tr>
        <w:trPr>
          <w:cantSplit/>
        </w:trPr>
        <w:tc>
          <w:tcPr>
            <w:tcW w:type="dxa" w:w="3456"/>
            <w:vAlign w:val="top"/>
          </w:tcPr>
          <w:p>
            <w:pPr>
              <w:spacing w:after="40" w:before="0" w:line="259" w:lineRule="auto"/>
            </w:pPr>
            <w:r>
              <w:rPr>
                <w:rFonts w:ascii="Calibri" w:hAnsi="Calibri"/>
                <w:b/>
                <w:i w:val="0"/>
                <w:color w:val="212121"/>
                <w:sz w:val="19"/>
              </w:rPr>
              <w:t>Signs of heart failure (raised JVP, basal crepitations, pedal oedema)</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Indicate ischaemic left-ventricular dysfunction in advanced disease.</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Progression of unstable angina to acute myocardial infarction (STEMI/NSTEMI)</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Ischaemia-related arrhythmias, including ventricular tachycardia/fibrillation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Sudden cardiac death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Acute left-ventricular failure / pulmonary oedema during severe ischaemia</w:t>
            </w:r>
          </w:p>
        </w:tc>
        <w:tc>
          <w:tcPr>
            <w:tcW w:type="dxa" w:w="2980"/>
            <w:vAlign w:val="top"/>
          </w:tcPr>
          <w:p>
            <w:pPr>
              <w:spacing w:after="40" w:before="0" w:line="259" w:lineRule="auto"/>
            </w:pPr>
            <w:r>
              <w:rPr>
                <w:rFonts w:ascii="Calibri" w:hAnsi="Calibri"/>
                <w:b w:val="0"/>
                <w:i w:val="0"/>
                <w:color w:val="212121"/>
                <w:sz w:val="19"/>
              </w:rPr>
              <w:t>Direct, often acute, consequences of unstable or severe myocardial ischaemia.</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(ischaemic) heart failure and left-ventricular dysfunction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Recurrent and refractory angina limiting daily activity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Silent myocardial ischaemia, especially in diabetics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Anxiety and depression related to chest pain and activity limitation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Reduced functional capacity and deconditioning</w:t>
            </w:r>
          </w:p>
        </w:tc>
        <w:tc>
          <w:tcPr>
            <w:tcW w:type="dxa" w:w="2980"/>
            <w:vAlign w:val="top"/>
          </w:tcPr>
          <w:p>
            <w:pPr>
              <w:spacing w:after="40" w:before="0" w:line="259" w:lineRule="auto"/>
            </w:pPr>
            <w:r>
              <w:rPr>
                <w:rFonts w:ascii="Calibri" w:hAnsi="Calibri"/>
                <w:b w:val="0"/>
                <w:i w:val="0"/>
                <w:color w:val="212121"/>
                <w:sz w:val="19"/>
              </w:rPr>
              <w:t>Result from ongoing ischaemia and myocardial damage over months to years.</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End-stage or refractory angina requiring advanced therapies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End-stage heart failure needing device therapy or transplantation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Repeated hospitalisation and poor quality of life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Disability from post-infarction or post-stroke sequelae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Premature cardiovascular death</w:t>
            </w:r>
          </w:p>
        </w:tc>
        <w:tc>
          <w:tcPr>
            <w:tcW w:type="dxa" w:w="2980"/>
            <w:vAlign w:val="top"/>
          </w:tcPr>
          <w:p>
            <w:pPr>
              <w:spacing w:after="40" w:before="0" w:line="259" w:lineRule="auto"/>
            </w:pPr>
            <w:r>
              <w:rPr>
                <w:rFonts w:ascii="Calibri" w:hAnsi="Calibri"/>
                <w:b w:val="0"/>
                <w:i w:val="0"/>
                <w:color w:val="212121"/>
                <w:sz w:val="19"/>
              </w:rPr>
              <w:t>Irreversible, disabling outcomes of longstanding coronary disease and its complications.</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Obstructive coronary artery disease</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Fixed atherosclerotic stenosis is the direct substrate of most angina; its presence, extent and stability determine symptoms, risk and whether revascularisation is needed.</w:t>
            </w:r>
          </w:p>
        </w:tc>
      </w:tr>
      <w:tr>
        <w:trPr>
          <w:cantSplit/>
        </w:trPr>
        <w:tc>
          <w:tcPr>
            <w:tcW w:type="dxa" w:w="2232"/>
            <w:vAlign w:val="top"/>
          </w:tcPr>
          <w:p>
            <w:pPr>
              <w:spacing w:after="40" w:before="0" w:line="259" w:lineRule="auto"/>
            </w:pPr>
            <w:r>
              <w:rPr>
                <w:rFonts w:ascii="Calibri" w:hAnsi="Calibri"/>
                <w:b/>
                <w:i w:val="0"/>
                <w:color w:val="212121"/>
                <w:sz w:val="19"/>
              </w:rPr>
              <w:t>Myocardial infarction</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Unstable angina can progress to infarction, and prior MI predisposes to recurrent angina; the two share plaque instability and thrombosis, and troponin distinguishes them.</w:t>
            </w:r>
          </w:p>
        </w:tc>
      </w:tr>
      <w:tr>
        <w:trPr>
          <w:cantSplit/>
        </w:trPr>
        <w:tc>
          <w:tcPr>
            <w:tcW w:type="dxa" w:w="2232"/>
            <w:vAlign w:val="top"/>
          </w:tcPr>
          <w:p>
            <w:pPr>
              <w:spacing w:after="40" w:before="0" w:line="259" w:lineRule="auto"/>
            </w:pPr>
            <w:r>
              <w:rPr>
                <w:rFonts w:ascii="Calibri" w:hAnsi="Calibri"/>
                <w:b/>
                <w:i w:val="0"/>
                <w:color w:val="212121"/>
                <w:sz w:val="19"/>
              </w:rPr>
              <w:t>Hypertension</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Raises myocardial oxygen demand and causes LV hypertrophy while accelerating atherosclerosis; the two share endothelial-dysfunction pathways, and its control is central to angina management.</w:t>
            </w:r>
          </w:p>
        </w:tc>
      </w:tr>
      <w:tr>
        <w:trPr>
          <w:cantSplit/>
        </w:trPr>
        <w:tc>
          <w:tcPr>
            <w:tcW w:type="dxa" w:w="2232"/>
            <w:vAlign w:val="top"/>
          </w:tcPr>
          <w:p>
            <w:pPr>
              <w:spacing w:after="40" w:before="0" w:line="259" w:lineRule="auto"/>
            </w:pPr>
            <w:r>
              <w:rPr>
                <w:rFonts w:ascii="Calibri" w:hAnsi="Calibri"/>
                <w:b/>
                <w:i w:val="0"/>
                <w:color w:val="212121"/>
                <w:sz w:val="19"/>
              </w:rPr>
              <w:t>Type 2 diabetes mellitus</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Produces accelerated, diffuse and often silent coronary disease and blunts anginal pain through autonomic neuropathy, tightening lipid and glucose targets in management.</w:t>
            </w:r>
          </w:p>
        </w:tc>
      </w:tr>
      <w:tr>
        <w:trPr>
          <w:cantSplit/>
        </w:trPr>
        <w:tc>
          <w:tcPr>
            <w:tcW w:type="dxa" w:w="2232"/>
            <w:vAlign w:val="top"/>
          </w:tcPr>
          <w:p>
            <w:pPr>
              <w:spacing w:after="40" w:before="0" w:line="259" w:lineRule="auto"/>
            </w:pPr>
            <w:r>
              <w:rPr>
                <w:rFonts w:ascii="Calibri" w:hAnsi="Calibri"/>
                <w:b/>
                <w:i w:val="0"/>
                <w:color w:val="212121"/>
                <w:sz w:val="19"/>
              </w:rPr>
              <w:t>Dyslipidaemia</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Treatment Interaction</w:t>
            </w:r>
          </w:p>
        </w:tc>
        <w:tc>
          <w:tcPr>
            <w:tcW w:type="dxa" w:w="4852"/>
            <w:vAlign w:val="top"/>
          </w:tcPr>
          <w:p>
            <w:pPr>
              <w:spacing w:after="40" w:before="0" w:line="259" w:lineRule="auto"/>
            </w:pPr>
            <w:r>
              <w:rPr>
                <w:rFonts w:ascii="Calibri" w:hAnsi="Calibri"/>
                <w:b w:val="0"/>
                <w:i w:val="0"/>
                <w:color w:val="212121"/>
                <w:sz w:val="19"/>
              </w:rPr>
              <w:t>High LDL and lipoprotein(a) with low HDL directly build and destabilise the plaque that causes angina; it is a core shared mechanism and the primary treatment target.</w:t>
            </w:r>
          </w:p>
        </w:tc>
      </w:tr>
      <w:tr>
        <w:trPr>
          <w:cantSplit/>
        </w:trPr>
        <w:tc>
          <w:tcPr>
            <w:tcW w:type="dxa" w:w="2232"/>
            <w:vAlign w:val="top"/>
          </w:tcPr>
          <w:p>
            <w:pPr>
              <w:spacing w:after="40" w:before="0" w:line="259" w:lineRule="auto"/>
            </w:pPr>
            <w:r>
              <w:rPr>
                <w:rFonts w:ascii="Calibri" w:hAnsi="Calibri"/>
                <w:b/>
                <w:i w:val="0"/>
                <w:color w:val="212121"/>
                <w:sz w:val="19"/>
              </w:rPr>
              <w:t>Anaemia</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Treatment Interaction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Reduces oxygen delivery and precipitates or worsens demand angina, especially in a compromised coronary bed; correcting anaemia frequently relieves symptoms - highly relevant given India's anaemia burden.</w:t>
            </w:r>
          </w:p>
        </w:tc>
      </w:tr>
      <w:tr>
        <w:trPr>
          <w:cantSplit/>
        </w:trPr>
        <w:tc>
          <w:tcPr>
            <w:tcW w:type="dxa" w:w="2232"/>
            <w:vAlign w:val="top"/>
          </w:tcPr>
          <w:p>
            <w:pPr>
              <w:spacing w:after="40" w:before="0" w:line="259" w:lineRule="auto"/>
            </w:pPr>
            <w:r>
              <w:rPr>
                <w:rFonts w:ascii="Calibri" w:hAnsi="Calibri"/>
                <w:b/>
                <w:i w:val="0"/>
                <w:color w:val="212121"/>
                <w:sz w:val="19"/>
              </w:rPr>
              <w:t>Aortic stenosis</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Increases myocardial oxygen demand and reduces coronary perfusion, causing angina even with normal coronaries; recognising it changes management from antianginal drugs to valve intervention.</w:t>
            </w:r>
          </w:p>
        </w:tc>
      </w:tr>
      <w:tr>
        <w:trPr>
          <w:cantSplit/>
        </w:trPr>
        <w:tc>
          <w:tcPr>
            <w:tcW w:type="dxa" w:w="2232"/>
            <w:vAlign w:val="top"/>
          </w:tcPr>
          <w:p>
            <w:pPr>
              <w:spacing w:after="40" w:before="0" w:line="259" w:lineRule="auto"/>
            </w:pPr>
            <w:r>
              <w:rPr>
                <w:rFonts w:ascii="Calibri" w:hAnsi="Calibri"/>
                <w:b/>
                <w:i w:val="0"/>
                <w:color w:val="212121"/>
                <w:sz w:val="19"/>
              </w:rPr>
              <w:t>Heart failure</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Recurrent or severe ischaemia damages the myocardium and leads to heart failure, whose development markedly alters prognosis and drug choice.</w:t>
            </w:r>
          </w:p>
        </w:tc>
      </w:tr>
      <w:tr>
        <w:trPr>
          <w:cantSplit/>
        </w:trPr>
        <w:tc>
          <w:tcPr>
            <w:tcW w:type="dxa" w:w="2232"/>
            <w:vAlign w:val="top"/>
          </w:tcPr>
          <w:p>
            <w:pPr>
              <w:spacing w:after="40" w:before="0" w:line="259" w:lineRule="auto"/>
            </w:pPr>
            <w:r>
              <w:rPr>
                <w:rFonts w:ascii="Calibri" w:hAnsi="Calibri"/>
                <w:b/>
                <w:i w:val="0"/>
                <w:color w:val="212121"/>
                <w:sz w:val="19"/>
              </w:rPr>
              <w:t>Chronic obstructive pulmonary disease</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Shares tobacco as a cause and adds hypoxia, inflammation and right-heart strain that worsen ischaemia; overlapping breathlessness complicates diagnosis, and angina is more prevalent in COPD.</w:t>
            </w:r>
          </w:p>
        </w:tc>
      </w:tr>
      <w:tr>
        <w:trPr>
          <w:cantSplit/>
        </w:trPr>
        <w:tc>
          <w:tcPr>
            <w:tcW w:type="dxa" w:w="2232"/>
            <w:vAlign w:val="top"/>
          </w:tcPr>
          <w:p>
            <w:pPr>
              <w:spacing w:after="40" w:before="0" w:line="259" w:lineRule="auto"/>
            </w:pPr>
            <w:r>
              <w:rPr>
                <w:rFonts w:ascii="Calibri" w:hAnsi="Calibri"/>
                <w:b/>
                <w:i w:val="0"/>
                <w:color w:val="212121"/>
                <w:sz w:val="19"/>
              </w:rPr>
              <w:t>Obstructive sleep apnoea</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Intermittent nocturnal hypoxia raises blood pressure, sympathetic tone and inflammation, promoting coronary disease and nocturnal ischaemia; treating it aids control.</w:t>
            </w:r>
          </w:p>
        </w:tc>
      </w:tr>
      <w:tr>
        <w:trPr>
          <w:cantSplit/>
        </w:trPr>
        <w:tc>
          <w:tcPr>
            <w:tcW w:type="dxa" w:w="2232"/>
            <w:vAlign w:val="top"/>
          </w:tcPr>
          <w:p>
            <w:pPr>
              <w:spacing w:after="40" w:before="0" w:line="259" w:lineRule="auto"/>
            </w:pPr>
            <w:r>
              <w:rPr>
                <w:rFonts w:ascii="Calibri" w:hAnsi="Calibri"/>
                <w:b/>
                <w:i w:val="0"/>
                <w:color w:val="212121"/>
                <w:sz w:val="19"/>
              </w:rPr>
              <w:t>Depression and anxiety</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Emotional stress can trigger ischaemia, and depression independently raises coronary risk and worsens adherence and recovery; it frequently follows anginal and coronary events.</w:t>
            </w:r>
          </w:p>
        </w:tc>
      </w:tr>
      <w:tr>
        <w:trPr>
          <w:cantSplit/>
        </w:trPr>
        <w:tc>
          <w:tcPr>
            <w:tcW w:type="dxa" w:w="2232"/>
            <w:vAlign w:val="top"/>
          </w:tcPr>
          <w:p>
            <w:pPr>
              <w:spacing w:after="40" w:before="0" w:line="259" w:lineRule="auto"/>
            </w:pPr>
            <w:r>
              <w:rPr>
                <w:rFonts w:ascii="Calibri" w:hAnsi="Calibri"/>
                <w:b/>
                <w:i w:val="0"/>
                <w:color w:val="212121"/>
                <w:sz w:val="19"/>
              </w:rPr>
              <w:t>Peripheral artery disease</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Bidirectional Association</w:t>
            </w:r>
          </w:p>
        </w:tc>
        <w:tc>
          <w:tcPr>
            <w:tcW w:type="dxa" w:w="4852"/>
            <w:vAlign w:val="top"/>
          </w:tcPr>
          <w:p>
            <w:pPr>
              <w:spacing w:after="40" w:before="0" w:line="259" w:lineRule="auto"/>
            </w:pPr>
            <w:r>
              <w:rPr>
                <w:rFonts w:ascii="Calibri" w:hAnsi="Calibri"/>
                <w:b w:val="0"/>
                <w:i w:val="0"/>
                <w:color w:val="212121"/>
                <w:sz w:val="19"/>
              </w:rPr>
              <w:t>A parallel manifestation of systemic atherosclerosis; its presence signals higher coronary risk and more extensive disease, and vice versa.</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Learn the difference between stable and unstable angina: seek emergency care immediately if chest pain occurs at rest, lasts more than 10-20 minutes, is new and severe, or is not relieved by rest or two doses of nitroglycerin.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Know your numbers - have blood pressure, fasting lipids (including a once-in-lifetime lipoprotein(a)), blood sugar/HbA1c, haemoglobin and waist circumference checked, earlier if there is a family history.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Indians develop heart disease 5-10 years earlier, so begin prevention in your 20s-30s rather than waiting for midlife.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all forms of tobacco (cigarettes, bidis, hookah, gutkha) and second-hand smoke, which trigger both narrowing and spasm of the coronary arteries.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Take prescribed statins, antiplatelets, beta-blockers and blood-pressure or sugar medicines consistently, and attend regular follow-up.</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with a family history of premature CHD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South Asians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with diabetes, hypertension or high cholesterol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Smokers</w:t>
            </w:r>
          </w:p>
        </w:tc>
        <w:tc>
          <w:tcPr>
            <w:tcW w:type="dxa" w:w="1036"/>
            <w:vAlign w:val="top"/>
          </w:tcPr>
          <w:p>
            <w:pPr>
              <w:spacing w:after="40" w:before="0" w:line="259" w:lineRule="auto"/>
            </w:pPr>
            <w:r>
              <w:rPr>
                <w:rFonts w:ascii="Calibri" w:hAnsi="Calibri"/>
                <w:b w:val="0"/>
                <w:i w:val="0"/>
                <w:color w:val="212121"/>
                <w:sz w:val="19"/>
              </w:rPr>
              <w:t>NA</w:t>
            </w:r>
          </w:p>
        </w:tc>
      </w:tr>
      <w:tr>
        <w:trPr>
          <w:cantSplit/>
        </w:trPr>
        <w:tc>
          <w:tcPr>
            <w:tcW w:type="dxa" w:w="1224"/>
            <w:vMerge w:val="restart"/>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Do at least 150 minutes/week of moderate activity (brisk walking, cycling, swimming), building towards 300 minutes for greater benefit.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 muscle-strengthening exercise on 2 or more days per week.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Break up prolonged sitting with a few minutes of movement every 30-60 minutes.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Build daily walking into your routine - take the stairs and stay active as a family.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Sedentary/office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Urban and rural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Homemakers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Overweight/obese individuals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with risk factors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Enrol in a supervised cardiac-rehabilitation programme, which improves exercise capacity and confidence in people with stable angina.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Follow an individualised, gradually progressive exercise plan kept below the level that provokes chest pain.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Warm up and slow down gradually, avoid sudden heavy exertion, and take extra care exercising in cold weather or after heavy meals.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Carry sublingual nitroglycerin and, where advised, use it before predictable exertion to prevent angina.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Stop, rest and use nitroglycerin for chest pain during activity, and seek help if it does not settle.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Stable angina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after MI/PCI/CABG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Diabetic coronary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Deconditioned older adults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restart"/>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Adopt a heart-healthy pattern rich in vegetables, fruits, whole grains and millets (ragi, jowar, bajra), pulses, nuts and legumes.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Cut trans fats - avoid vanaspati, reused frying oil and bakery/deep-fried snacks - and limit saturated fat (excess ghee, fatty meat, full-fat dairy).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healthier oils (mustard, groundnut, rice-bran, olive) in moderation and prefer grilling or steaming to deep-frying.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Reduce salt to under 5 g/day and limit pickles, papads and processed/packaged foods to help control blood pressure.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refined carbohydrates (white rice, maida, sweets) and sugar-sweetened beverages; eat iron-rich foods to prevent anaemia.</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with dyslipidaemia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Hypertensives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Diabetics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with abdominal obesity</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Follow a structured lipid-lowering, low-salt diet alongside statin therapy to reach an LDL target below 70 mg/dL (or below 55 mg/dL if very high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Eat smaller, more frequent meals and avoid large heavy meals that can provoke post-prandial angina.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Emphasise soluble fibre (oats, legumes, fruit) to further lower LDL, and correct anaemia with iron-rich foods or supplements as advised.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Coordinate diet with diabetes and blood-pressure management (consistent carbohydrate intake, DASH-style eating).</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Established angina/CAD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Post-MI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Diabetic/hypertensive coronary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Anaemic patients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Aim for 7-8 hours of good-quality sleep per night; both short and long sleep raise coronary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a regular sleep-wake schedule and a dark, quiet, screen-free bedroom.</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for and treat obstructive sleep apnoea if you snore, gasp at night or feel very sleepy by day.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Report nocturnal or early-morning chest pain, which may indicate rest or vasospastic angina.</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Shift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Overweight individuals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with hypertension or snoring</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Quit all forms of tobacco completely - stopping rapidly reduces anginal frequency and coronary risk, and benefits begin within weeks.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Combine behavioural counselling with pharmacotherapy (nicotine replacement, bupropion or varenicline) to improve success.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second-hand smoke at home and at work, which also provokes coronary spasm.</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national quit-lines and structured follow-up to prevent relapse.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smokers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Bidi/hookah/smokeless-tobacco users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Vasospastic angina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Post-MI patients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Do not start drinking for any supposed heart benefit - alcohol is not cardioprotective in South Asians.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If you drink, keep it minimal and avoid heavy or binge drinking, which raises blood pressure, triglycerides and arrhythmia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Abstain if you have hypertension, high triglycerides, heart failure or an arrhythmia.</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Heavy/regular drinkers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Hypertensives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arrhythmia or heart failure</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that anger, anxiety and acute stress can directly trigger angina, and learn to pause and use calming techniques when stressed.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for and treat depression and anxiety, which raise coronary risk and worsen recovery and adherence.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stress-reduction methods - yoga, meditation, breathing exercises, regular activity and social support.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Seek psychological therapy and, where indicated, safe antidepressant treatment, especially after a coronary event.</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Angina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Post-MI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with high stress or depression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High-pressure occupations</w:t>
            </w:r>
          </w:p>
        </w:tc>
        <w:tc>
          <w:tcPr>
            <w:tcW w:type="dxa" w:w="1036"/>
            <w:vAlign w:val="top"/>
          </w:tcPr>
          <w:p>
            <w:pPr>
              <w:spacing w:after="40" w:before="0" w:line="259" w:lineRule="auto"/>
            </w:pPr>
            <w:r>
              <w:rPr>
                <w:rFonts w:ascii="Calibri" w:hAnsi="Calibri"/>
                <w:b w:val="0"/>
                <w:i w:val="0"/>
                <w:color w:val="212121"/>
                <w:sz w:val="19"/>
              </w:rPr>
              <w:t>High</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cadiresearch.org/topic/asian-indian-heart-disease/cadi-india/acute-coronary-syndrome-india" TargetMode="External"/><Relationship Id="rId10" Type="http://schemas.openxmlformats.org/officeDocument/2006/relationships/hyperlink" Target="https://journals.plos.org/plosone/article?id=10.1371/journal.pone.0287455" TargetMode="External"/><Relationship Id="rId11" Type="http://schemas.openxmlformats.org/officeDocument/2006/relationships/hyperlink" Target="https://bmccardiovascdisord.biomedcentral.com/articles/10.1186/s12872-016-0189-3" TargetMode="External"/><Relationship Id="rId12" Type="http://schemas.openxmlformats.org/officeDocument/2006/relationships/hyperlink" Target="https://www.nature.com/articles/s41598-024-52786-x" TargetMode="External"/><Relationship Id="rId13" Type="http://schemas.openxmlformats.org/officeDocument/2006/relationships/hyperlink" Target="https://ijmr.org.in/coronary-heart-disease-in-indians-implications-of-the-interheart-study/" TargetMode="External"/><Relationship Id="rId14" Type="http://schemas.openxmlformats.org/officeDocument/2006/relationships/hyperlink" Target="https://www.cochrane.org/evidence/CD012786_exercise-based-cardiac-rehabilitation-people-stable-angin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