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Rheumatic Heart Disease</w:t>
      </w:r>
    </w:p>
    <w:p>
      <w:pPr>
        <w:spacing w:before="0" w:after="160"/>
      </w:pPr>
      <w:r>
        <w:rPr>
          <w:rFonts w:ascii="Calibri" w:hAnsi="Calibri"/>
          <w:b/>
          <w:i w:val="0"/>
          <w:color w:val="212121"/>
          <w:sz w:val="22"/>
        </w:rPr>
        <w:t xml:space="preserve">AKA </w:t>
      </w:r>
      <w:r>
        <w:rPr>
          <w:rFonts w:ascii="Calibri" w:hAnsi="Calibri"/>
          <w:b w:val="0"/>
          <w:i w:val="0"/>
          <w:color w:val="212121"/>
          <w:sz w:val="22"/>
        </w:rPr>
        <w:t>i.e., RHD, Chronic rheumatic heart disease, Rheumatic valvular heart disease, Rheumatic valve disease; the chronic cardiac sequela of Acute Rheumatic Fever (ARF)</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Rheumatic heart disease is permanent damage to one or more heart valves — most often the mitral valve — caused by acute rheumatic fever, an autoimmune inflammatory reaction to throat (and, in some settings, skin) infection with group A streptococcus. Repeated or severe bouts of rheumatic carditis scar, thicken and deform the valves, producing chronic stenosis and/or regurgitation. Over years this leads to atrial fibrillation, congestive heart failure, pulmonary hypertension, embolic stroke and infective endocarditis, making RHD the most common acquired heart disease of children and young adults in India and other low- and middle-income settings.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Rheumatic heart disease remains endemic in India, which — with the wider South Asian region — carries one of the heaviest RHD burdens in the world. Community and school surveys in children aged 5–15 years have historically reported clinical RHD of roughly 1–5.4 per 1,000, with recent auscultation-based estimates around 0.5–1 per 1,000; echocardiographic screening detects substantially more subclinical (borderline) disease, often 15–20 or more per 1,000. Prevalence rises steeply through childhood — from about 4.7 per 1,000 at age 5 to 21.0 per 1,000 by age 16 — and the incidence of RHD in endemic countries is around 444 per 100,000 population, versus about 3.4 per 100,000 in non-endemic countries. Globally an estimated 40–55 million people live with RHD and it causes roughly 300,000–360,000 deaths each year, the large majority in low- and middle-income countries; girls and women carry about twice the risk of men and boys, and most patients do not survive beyond 40 years of age.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Rheumatic heart disease is diagnosed by demonstrating characteristic valve damage on echocardiography, supported by clinical evidence of past or present acute rheumatic fever (revised Jones criteria) and of preceding streptococcal infection.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echocardiographic evidence of pathological mitral or aortic regurgitation, or morphological valve changes, meeting World Heart Federation criteria for definite or borderline RHD;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rheumatic mitral-valve morphology — leaflet thickening, restricted leaflet motion, chordal thickening/fusion and diastolic doming — with stenosis and/or regurgitation;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auscultatory valve murmurs: an apical mid-diastolic rumble with loud S1 and opening snap (mitral stenosis), an apical pansystolic murmur (mitral regurgitation), or an early diastolic murmur (aortic regurgitation);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acute rheumatic fever by the revised Jones criteria (major: carditis, polyarthritis, Sydenham chorea, erythema marginatum, subcutaneous nodules; minor: fever, arthralgia, raised ESR/CRP, prolonged PR interval), with evidence of antecedent group A streptococcal infection (raised or rising ASO/anti-DNase B titre, or positive throat culture/RADT);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findings of chamber enlargement, atrial fibrillation or heart failure on ECG, chest radiograph and clinical examination.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Rheumatic heart disease can be classified by echocardiographic certainty, by the valve lesion(s) involved, and by clinical stage/severity:</w:t>
      </w:r>
    </w:p>
    <w:p>
      <w:pPr>
        <w:spacing w:before="0" w:after="80"/>
      </w:pPr>
      <w:r>
        <w:rPr>
          <w:rFonts w:ascii="Calibri" w:hAnsi="Calibri"/>
          <w:b w:val="0"/>
          <w:i w:val="0"/>
          <w:color w:val="212121"/>
          <w:sz w:val="21"/>
        </w:rPr>
        <w:t>(1) By World Heart Federation echocardiographic category: definite RHD versus borderline (subclinical) RHD, the latter detected only on screening echocardiography without a murmur;</w:t>
      </w:r>
    </w:p>
    <w:p>
      <w:pPr>
        <w:spacing w:before="0" w:after="80"/>
      </w:pPr>
      <w:r>
        <w:rPr>
          <w:rFonts w:ascii="Calibri" w:hAnsi="Calibri"/>
          <w:b w:val="0"/>
          <w:i w:val="0"/>
          <w:color w:val="212121"/>
          <w:sz w:val="21"/>
        </w:rPr>
        <w:t>(2) By valve lesion: pure mitral stenosis, mitral regurgitation, mixed mitral disease, aortic regurgitation or stenosis, and combined/multivalvular disease — the mitral valve is involved alone in roughly 50–60% of cases and combined aortic and mitral disease in about 20%;</w:t>
      </w:r>
    </w:p>
    <w:p>
      <w:pPr>
        <w:spacing w:before="0" w:after="80"/>
      </w:pPr>
      <w:r>
        <w:rPr>
          <w:rFonts w:ascii="Calibri" w:hAnsi="Calibri"/>
          <w:b w:val="0"/>
          <w:i w:val="0"/>
          <w:color w:val="212121"/>
          <w:sz w:val="21"/>
        </w:rPr>
        <w:t>(3) By dominant physiology: rheumatic mitral stenosis is the most common cause of mitral stenosis worldwide, whereas mitral regurgitation is the commonest presentation in children and young people with early disease;</w:t>
      </w:r>
    </w:p>
    <w:p>
      <w:pPr>
        <w:spacing w:before="0" w:after="80"/>
      </w:pPr>
      <w:r>
        <w:rPr>
          <w:rFonts w:ascii="Calibri" w:hAnsi="Calibri"/>
          <w:b w:val="0"/>
          <w:i w:val="0"/>
          <w:color w:val="212121"/>
          <w:sz w:val="21"/>
        </w:rPr>
        <w:t>(4) By clinical stage: latent/subclinical disease, clinically manifest compensated valve disease, and decompensated disease with atrial fibrillation, pulmonary hypertension or congestive heart failure;</w:t>
      </w:r>
    </w:p>
    <w:p>
      <w:pPr>
        <w:spacing w:before="0" w:after="80"/>
      </w:pPr>
      <w:r>
        <w:rPr>
          <w:rFonts w:ascii="Calibri" w:hAnsi="Calibri"/>
          <w:b w:val="0"/>
          <w:i w:val="0"/>
          <w:color w:val="212121"/>
          <w:sz w:val="21"/>
        </w:rPr>
        <w:t>(5) By severity of stenosis/regurgitation (mild, moderate, severe) graded on Doppler echocardiography — for mitral stenosis a valve area below 1.5 cm² denotes severe disease and guides the need for balloon valvotomy or surgery.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Group A streptococcal infection: Untreated or recurrent streptococcal pharyngitis (and, in some populations, streptococcal pyoderma) is the essential trigger of acute rheumatic fever and hence of RHD.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Autoimmune molecular mimicry: Antibodies and T cells raised against the streptococcal M protein cross-react with cardiac myosin and valve tissue, producing the carditis that scars the valves.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Recurrent rheumatic fever: Each further attack of ARF adds cumulative valve damage, driving progression from mild childhood disease to severe adult valve lesions.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Poverty and overcrowding: Household crowding facilitates streptococcal transmission, while limited access to care means sore throats are untreated and prophylaxis is missed.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Inadequate primary/secondary prophylaxis: Failure to treat streptococcal sore throat, or to maintain regular benzathine penicillin, allows recurrent rheumatic fever and valve injury.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genetic susceptibility: Only a minority of infected children develop ARF, reflecting inherited immune susceptibility (e.g., HLA class II variants and heightened cross-reactivity).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Young age at first attack: Rheumatic fever peaks between 5 and 15 years, so valve damage is typically seeded in childhood and adolescence.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&amp; adolescents (5–15 years)</w:t>
            </w:r>
          </w:p>
        </w:tc>
        <w:tc>
          <w:tcPr>
            <w:tcW w:type="dxa" w:w="4276"/>
            <w:vAlign w:val="top"/>
          </w:tcPr>
          <w:p>
            <w:pPr>
              <w:spacing w:after="60" w:line="259" w:lineRule="auto"/>
            </w:pPr>
            <w:r>
              <w:rPr>
                <w:rFonts w:ascii="Calibri" w:hAnsi="Calibri"/>
                <w:b w:val="0"/>
                <w:i w:val="0"/>
                <w:color w:val="212121"/>
                <w:sz w:val="19"/>
              </w:rPr>
              <w:t>Acute rheumatic fever, the precursor of RHD, peaks in this age group after repeated group A streptococcal throat (and skin) infections. Each episode of carditis scars the heart valves, so RHD is seeded in childhood even though it may only declare itself years later.</w:t>
            </w:r>
          </w:p>
          <w:p>
            <w:pPr>
              <w:spacing w:after="40" w:before="60" w:line="259" w:lineRule="auto"/>
            </w:pPr>
            <w:r>
              <w:rPr>
                <w:rFonts w:ascii="Calibri" w:hAnsi="Calibri"/>
                <w:b w:val="0"/>
                <w:i w:val="0"/>
                <w:color w:val="212121"/>
                <w:sz w:val="19"/>
              </w:rPr>
              <w:t>In endemic populations RHD prevalence rises steeply through childhood, from about 4.7 per 1,000 at age 5 to 21.0 per 1,000 by age 16.</w:t>
            </w:r>
          </w:p>
          <w:p>
            <w:pPr>
              <w:spacing w:after="40" w:line="252" w:lineRule="auto"/>
            </w:pPr>
            <w:hyperlink r:id="rId9">
              <w:r>
                <w:rPr>
                  <w:rFonts w:ascii="Calibri" w:hAnsi="Calibri" w:cs="Calibri"/>
                  <w:sz w:val="18"/>
                  <w:color w:val="1155CC"/>
                  <w:u w:val="single"/>
                </w:rPr>
                <w:t xml:space="preserve">ncbi.nlm.nih.gov/books/NBK538286 — Rheumatic Heart Disease (StatPearls)</w:t>
              </w:r>
            </w:hyperlink>
          </w:p>
          <w:p>
            <w:pPr>
              <w:spacing w:before="60" w:after="40"/>
            </w:pPr>
            <w:r>
              <w:rPr>
                <w:rFonts w:ascii="Calibri" w:hAnsi="Calibri"/>
                <w:b w:val="0"/>
                <w:i w:val="0"/>
                <w:color w:val="5A5A5A"/>
                <w:sz w:val="18"/>
              </w:rPr>
              <w:t>#rheumaticfever  #groupAstrep  #childhoodonset  #carditis  #schoolchildren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adults (15–40 years)</w:t>
            </w:r>
          </w:p>
        </w:tc>
        <w:tc>
          <w:tcPr>
            <w:tcW w:type="dxa" w:w="4276"/>
            <w:vAlign w:val="top"/>
          </w:tcPr>
          <w:p>
            <w:pPr>
              <w:spacing w:after="60" w:line="259" w:lineRule="auto"/>
            </w:pPr>
            <w:r>
              <w:rPr>
                <w:rFonts w:ascii="Calibri" w:hAnsi="Calibri"/>
                <w:b w:val="0"/>
                <w:i w:val="0"/>
                <w:color w:val="212121"/>
                <w:sz w:val="19"/>
              </w:rPr>
              <w:t>Chronic valve damage typically becomes clinically manifest in adolescence and young adulthood — the most economically productive years — presenting as mitral stenosis, regurgitation, atrial fibrillation or heart failure. Without intervention many patients do not survive beyond their fourth decade.</w:t>
            </w:r>
          </w:p>
          <w:p>
            <w:pPr>
              <w:spacing w:after="40" w:before="60" w:line="259" w:lineRule="auto"/>
            </w:pPr>
            <w:r>
              <w:rPr>
                <w:rFonts w:ascii="Calibri" w:hAnsi="Calibri"/>
                <w:b w:val="0"/>
                <w:i w:val="0"/>
                <w:color w:val="212121"/>
                <w:sz w:val="19"/>
              </w:rPr>
              <w:t>RHD is the most commonly acquired heart disease in people under 25, and most patients with RHD do not reach 40 years of age.</w:t>
            </w:r>
          </w:p>
          <w:p>
            <w:pPr>
              <w:spacing w:after="40" w:line="252" w:lineRule="auto"/>
            </w:pPr>
            <w:hyperlink r:id="rId10">
              <w:r>
                <w:rPr>
                  <w:rFonts w:ascii="Calibri" w:hAnsi="Calibri" w:cs="Calibri"/>
                  <w:sz w:val="18"/>
                  <w:color w:val="1155CC"/>
                  <w:u w:val="single"/>
                </w:rPr>
                <w:t xml:space="preserve">world-heart-federation.org — rheumatic heart disease</w:t>
              </w:r>
            </w:hyperlink>
          </w:p>
          <w:p>
            <w:pPr>
              <w:spacing w:before="60" w:after="40"/>
            </w:pPr>
            <w:r>
              <w:rPr>
                <w:rFonts w:ascii="Calibri" w:hAnsi="Calibri"/>
                <w:b w:val="0"/>
                <w:i w:val="0"/>
                <w:color w:val="5A5A5A"/>
                <w:sz w:val="18"/>
              </w:rPr>
              <w:t>#youngadults  #productiveyears  #mitralstenosis  #prematuremortality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RHD disproportionately affects girls and women, through a combination of greater immune reactivity, higher exposure as childcare-givers, and poorer access to care. Mitral stenosis in particular is commoner in women and is dangerously aggravated by the haemodynamic load of pregnancy.</w:t>
            </w:r>
          </w:p>
          <w:p>
            <w:pPr>
              <w:spacing w:after="40" w:before="60" w:line="259" w:lineRule="auto"/>
            </w:pPr>
            <w:r>
              <w:rPr>
                <w:rFonts w:ascii="Calibri" w:hAnsi="Calibri"/>
                <w:b w:val="0"/>
                <w:i w:val="0"/>
                <w:color w:val="212121"/>
                <w:sz w:val="19"/>
              </w:rPr>
              <w:t>Women and girls have about a two-fold higher risk of developing rheumatic heart disease than men and boys.</w:t>
            </w:r>
          </w:p>
          <w:p>
            <w:pPr>
              <w:spacing w:after="40" w:line="252" w:lineRule="auto"/>
            </w:pPr>
            <w:hyperlink r:id="rId10">
              <w:r>
                <w:rPr>
                  <w:rFonts w:ascii="Calibri" w:hAnsi="Calibri" w:cs="Calibri"/>
                  <w:sz w:val="18"/>
                  <w:color w:val="1155CC"/>
                  <w:u w:val="single"/>
                </w:rPr>
                <w:t xml:space="preserve">world-heart-federation.org — rheumatic heart disease</w:t>
              </w:r>
            </w:hyperlink>
          </w:p>
          <w:p>
            <w:pPr>
              <w:spacing w:before="60" w:after="40"/>
            </w:pPr>
            <w:r>
              <w:rPr>
                <w:rFonts w:ascii="Calibri" w:hAnsi="Calibri"/>
                <w:b w:val="0"/>
                <w:i w:val="0"/>
                <w:color w:val="5A5A5A"/>
                <w:sz w:val="18"/>
              </w:rPr>
              <w:t>#female  #mitralstenosis  #pregnancyrisk  #sexdisparity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overcrowded households</w:t>
            </w:r>
          </w:p>
        </w:tc>
        <w:tc>
          <w:tcPr>
            <w:tcW w:type="dxa" w:w="4276"/>
            <w:vAlign w:val="top"/>
          </w:tcPr>
          <w:p>
            <w:pPr>
              <w:spacing w:after="60" w:line="259" w:lineRule="auto"/>
            </w:pPr>
            <w:r>
              <w:rPr>
                <w:rFonts w:ascii="Calibri" w:hAnsi="Calibri"/>
                <w:b w:val="0"/>
                <w:i w:val="0"/>
                <w:color w:val="212121"/>
                <w:sz w:val="19"/>
              </w:rPr>
              <w:t>Poverty is the central determinant: household crowding promotes streptococcal transmission, while limited access to primary care means sore throats go untreated and secondary penicillin prophylaxis is missed — allowing recurrent rheumatic fever and progressive valve damage.</w:t>
            </w:r>
          </w:p>
          <w:p>
            <w:pPr>
              <w:spacing w:after="40" w:before="60" w:line="259" w:lineRule="auto"/>
            </w:pPr>
            <w:r>
              <w:rPr>
                <w:rFonts w:ascii="Calibri" w:hAnsi="Calibri"/>
                <w:b w:val="0"/>
                <w:i w:val="0"/>
                <w:color w:val="212121"/>
                <w:sz w:val="19"/>
              </w:rPr>
              <w:t>The large majority of RHD deaths occur in low- and middle-income countries, and people living in overcrowded, poor conditions are at greatest risk.</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#poverty  #overcrowding  #healthequity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populations</w:t>
            </w:r>
          </w:p>
        </w:tc>
        <w:tc>
          <w:tcPr>
            <w:tcW w:type="dxa" w:w="4276"/>
            <w:vAlign w:val="top"/>
          </w:tcPr>
          <w:p>
            <w:pPr>
              <w:spacing w:after="60" w:line="259" w:lineRule="auto"/>
            </w:pPr>
            <w:r>
              <w:rPr>
                <w:rFonts w:ascii="Calibri" w:hAnsi="Calibri"/>
                <w:b w:val="0"/>
                <w:i w:val="0"/>
                <w:color w:val="212121"/>
                <w:sz w:val="19"/>
              </w:rPr>
              <w:t>India and the wider South Asian region carry one of the world's heaviest RHD burdens, reflecting endemic group A streptococcal infection, crowding and under-resourced primary care; a large share of the global caseload is borne by the subcontinent.</w:t>
            </w:r>
          </w:p>
          <w:p>
            <w:pPr>
              <w:spacing w:after="40" w:before="60" w:line="259" w:lineRule="auto"/>
            </w:pPr>
            <w:r>
              <w:rPr>
                <w:rFonts w:ascii="Calibri" w:hAnsi="Calibri"/>
                <w:b w:val="0"/>
                <w:i w:val="0"/>
                <w:color w:val="212121"/>
                <w:sz w:val="19"/>
              </w:rPr>
              <w:t>South Asia is among the highest-prevalence regions; RHD incidence in endemic countries is around 444 per 100,000, versus about 3.4 per 100,000 in non-endemic countries.</w:t>
            </w:r>
          </w:p>
          <w:p>
            <w:pPr>
              <w:spacing w:after="40" w:line="252" w:lineRule="auto"/>
            </w:pPr>
            <w:hyperlink r:id="rId9">
              <w:r>
                <w:rPr>
                  <w:rFonts w:ascii="Calibri" w:hAnsi="Calibri" w:cs="Calibri"/>
                  <w:sz w:val="18"/>
                  <w:color w:val="1155CC"/>
                  <w:u w:val="single"/>
                </w:rPr>
                <w:t xml:space="preserve">ncbi.nlm.nih.gov/books/NBK538286 — Rheumatic Heart Disease (StatPearls)</w:t>
              </w:r>
            </w:hyperlink>
          </w:p>
          <w:p>
            <w:pPr>
              <w:spacing w:before="60" w:after="40"/>
            </w:pPr>
            <w:r>
              <w:rPr>
                <w:rFonts w:ascii="Calibri" w:hAnsi="Calibri"/>
                <w:b w:val="0"/>
                <w:i w:val="0"/>
                <w:color w:val="5A5A5A"/>
                <w:sz w:val="18"/>
              </w:rPr>
              <w:t>#southasia  #india  #endemic  #highburden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communities &amp; urban slums</w:t>
            </w:r>
          </w:p>
        </w:tc>
        <w:tc>
          <w:tcPr>
            <w:tcW w:type="dxa" w:w="4276"/>
            <w:vAlign w:val="top"/>
          </w:tcPr>
          <w:p>
            <w:pPr>
              <w:spacing w:after="60" w:line="259" w:lineRule="auto"/>
            </w:pPr>
            <w:r>
              <w:rPr>
                <w:rFonts w:ascii="Calibri" w:hAnsi="Calibri"/>
                <w:b w:val="0"/>
                <w:i w:val="0"/>
                <w:color w:val="212121"/>
                <w:sz w:val="19"/>
              </w:rPr>
              <w:t>Overcrowded rural housing and dense urban slums facilitate person-to-person spread of group A streptococcus and are typically furthest from reliable throat-swab testing, penicillin supply and echocardiographic screening.</w:t>
            </w:r>
          </w:p>
          <w:p>
            <w:pPr>
              <w:spacing w:after="40" w:before="60" w:line="259" w:lineRule="auto"/>
            </w:pPr>
            <w:r>
              <w:rPr>
                <w:rFonts w:ascii="Calibri" w:hAnsi="Calibri"/>
                <w:b w:val="0"/>
                <w:i w:val="0"/>
                <w:color w:val="212121"/>
                <w:sz w:val="19"/>
              </w:rPr>
              <w:t>WHO identifies overcrowded and poor living conditions as conferring the greatest risk of rheumatic fever and rheumatic heart disease.</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#rural  #urbanslum  #crowding  #screeninggap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Marginalized groups</w:t>
            </w:r>
          </w:p>
        </w:tc>
        <w:tc>
          <w:tcPr>
            <w:tcW w:type="dxa" w:w="2160"/>
            <w:vAlign w:val="top"/>
          </w:tcPr>
          <w:p>
            <w:pPr>
              <w:spacing w:after="40" w:before="0" w:line="259" w:lineRule="auto"/>
            </w:pPr>
            <w:r>
              <w:rPr>
                <w:rFonts w:ascii="Calibri" w:hAnsi="Calibri"/>
                <w:b w:val="0"/>
                <w:i w:val="0"/>
                <w:color w:val="212121"/>
                <w:sz w:val="19"/>
              </w:rPr>
              <w:t>Indigenous, tribal &amp; marginalized communities</w:t>
            </w:r>
          </w:p>
        </w:tc>
        <w:tc>
          <w:tcPr>
            <w:tcW w:type="dxa" w:w="4276"/>
            <w:vAlign w:val="top"/>
          </w:tcPr>
          <w:p>
            <w:pPr>
              <w:spacing w:after="60" w:line="259" w:lineRule="auto"/>
            </w:pPr>
            <w:r>
              <w:rPr>
                <w:rFonts w:ascii="Calibri" w:hAnsi="Calibri"/>
                <w:b w:val="0"/>
                <w:i w:val="0"/>
                <w:color w:val="212121"/>
                <w:sz w:val="19"/>
              </w:rPr>
              <w:t>Marginalized and Indigenous communities experience the highest rates of ARF and RHD worldwide because crowding, poverty and restricted healthcare access compound one another.</w:t>
            </w:r>
          </w:p>
          <w:p>
            <w:pPr>
              <w:spacing w:after="40" w:before="60" w:line="259" w:lineRule="auto"/>
            </w:pPr>
            <w:r>
              <w:rPr>
                <w:rFonts w:ascii="Calibri" w:hAnsi="Calibri"/>
                <w:b w:val="0"/>
                <w:i w:val="0"/>
                <w:color w:val="212121"/>
                <w:sz w:val="19"/>
              </w:rPr>
              <w:t>Rheumatic fever mainly affects children and adolescents in low- and middle-income countries and in marginalized communities, including Indigenous populations.</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#indigenous  #tribal  #marginalized  #inequity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Untreated streptococcal infection</w:t>
            </w:r>
          </w:p>
        </w:tc>
        <w:tc>
          <w:tcPr>
            <w:tcW w:type="dxa" w:w="2160"/>
            <w:vAlign w:val="top"/>
          </w:tcPr>
          <w:p>
            <w:pPr>
              <w:spacing w:after="40" w:before="0" w:line="259" w:lineRule="auto"/>
            </w:pPr>
            <w:r>
              <w:rPr>
                <w:rFonts w:ascii="Calibri" w:hAnsi="Calibri"/>
                <w:b w:val="0"/>
                <w:i w:val="0"/>
                <w:color w:val="212121"/>
                <w:sz w:val="19"/>
              </w:rPr>
              <w:t>Children with untreated or recurrent sore throat</w:t>
            </w:r>
          </w:p>
        </w:tc>
        <w:tc>
          <w:tcPr>
            <w:tcW w:type="dxa" w:w="4276"/>
            <w:vAlign w:val="top"/>
          </w:tcPr>
          <w:p>
            <w:pPr>
              <w:spacing w:after="60" w:line="259" w:lineRule="auto"/>
            </w:pPr>
            <w:r>
              <w:rPr>
                <w:rFonts w:ascii="Calibri" w:hAnsi="Calibri"/>
                <w:b w:val="0"/>
                <w:i w:val="0"/>
                <w:color w:val="212121"/>
                <w:sz w:val="19"/>
              </w:rPr>
              <w:t>Failure to treat group A streptococcal pharyngitis with a full antibiotic course is the proximate behavioural risk; an abnormal immune response some weeks later produces the carditis that scars the valves.</w:t>
            </w:r>
          </w:p>
          <w:p>
            <w:pPr>
              <w:spacing w:after="40" w:before="60" w:line="259" w:lineRule="auto"/>
            </w:pPr>
            <w:r>
              <w:rPr>
                <w:rFonts w:ascii="Calibri" w:hAnsi="Calibri"/>
                <w:b w:val="0"/>
                <w:i w:val="0"/>
                <w:color w:val="212121"/>
                <w:sz w:val="19"/>
              </w:rPr>
              <w:t>Acute rheumatic fever typically develops around three weeks after an episode of group A streptococcal pharyngitis.</w:t>
            </w:r>
          </w:p>
          <w:p>
            <w:pPr>
              <w:spacing w:after="40" w:line="252" w:lineRule="auto"/>
            </w:pPr>
            <w:hyperlink r:id="rId9">
              <w:r>
                <w:rPr>
                  <w:rFonts w:ascii="Calibri" w:hAnsi="Calibri" w:cs="Calibri"/>
                  <w:sz w:val="18"/>
                  <w:color w:val="1155CC"/>
                  <w:u w:val="single"/>
                </w:rPr>
                <w:t xml:space="preserve">ncbi.nlm.nih.gov/books/NBK538286 — Rheumatic Heart Disease (StatPearls)</w:t>
              </w:r>
            </w:hyperlink>
          </w:p>
          <w:p>
            <w:pPr>
              <w:spacing w:before="60" w:after="40"/>
            </w:pPr>
            <w:r>
              <w:rPr>
                <w:rFonts w:ascii="Calibri" w:hAnsi="Calibri"/>
                <w:b w:val="0"/>
                <w:i w:val="0"/>
                <w:color w:val="5A5A5A"/>
                <w:sz w:val="18"/>
              </w:rPr>
              <w:t>#sorethroat  #untreatedstrep  #primaryprevention  #pharyngitis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Missed secondary prophylaxis</w:t>
            </w:r>
          </w:p>
        </w:tc>
        <w:tc>
          <w:tcPr>
            <w:tcW w:type="dxa" w:w="2160"/>
            <w:vAlign w:val="top"/>
          </w:tcPr>
          <w:p>
            <w:pPr>
              <w:spacing w:after="40" w:before="0" w:line="259" w:lineRule="auto"/>
            </w:pPr>
            <w:r>
              <w:rPr>
                <w:rFonts w:ascii="Calibri" w:hAnsi="Calibri"/>
                <w:b w:val="0"/>
                <w:i w:val="0"/>
                <w:color w:val="212121"/>
                <w:sz w:val="19"/>
              </w:rPr>
              <w:t>Patients not adherent to penicillin prophylaxis</w:t>
            </w:r>
          </w:p>
        </w:tc>
        <w:tc>
          <w:tcPr>
            <w:tcW w:type="dxa" w:w="4276"/>
            <w:vAlign w:val="top"/>
          </w:tcPr>
          <w:p>
            <w:pPr>
              <w:spacing w:after="60" w:line="259" w:lineRule="auto"/>
            </w:pPr>
            <w:r>
              <w:rPr>
                <w:rFonts w:ascii="Calibri" w:hAnsi="Calibri"/>
                <w:b w:val="0"/>
                <w:i w:val="0"/>
                <w:color w:val="212121"/>
                <w:sz w:val="19"/>
              </w:rPr>
              <w:t>Once ARF has occurred, regular long-acting penicillin is required to prevent recurrences; missed injections are among the strongest modifiable drivers of progression from mild to severe, surgical valve disease.</w:t>
            </w:r>
          </w:p>
          <w:p>
            <w:pPr>
              <w:spacing w:after="40" w:before="60" w:line="259" w:lineRule="auto"/>
            </w:pPr>
            <w:r>
              <w:rPr>
                <w:rFonts w:ascii="Calibri" w:hAnsi="Calibri"/>
                <w:b w:val="0"/>
                <w:i w:val="0"/>
                <w:color w:val="212121"/>
                <w:sz w:val="19"/>
              </w:rPr>
              <w:t>Secondary prevention requires benzathine penicillin G by intramuscular injection every 3–4 weeks, often over many years.</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#secondaryprophylaxis  #benzathinepenicillin  #adherence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crowding</w:t>
            </w:r>
          </w:p>
        </w:tc>
        <w:tc>
          <w:tcPr>
            <w:tcW w:type="dxa" w:w="2160"/>
            <w:vAlign w:val="top"/>
          </w:tcPr>
          <w:p>
            <w:pPr>
              <w:spacing w:after="40" w:before="0" w:line="259" w:lineRule="auto"/>
            </w:pPr>
            <w:r>
              <w:rPr>
                <w:rFonts w:ascii="Calibri" w:hAnsi="Calibri"/>
                <w:b w:val="0"/>
                <w:i w:val="0"/>
                <w:color w:val="212121"/>
                <w:sz w:val="19"/>
              </w:rPr>
              <w:t>Large families sharing sleeping space</w:t>
            </w:r>
          </w:p>
        </w:tc>
        <w:tc>
          <w:tcPr>
            <w:tcW w:type="dxa" w:w="4276"/>
            <w:vAlign w:val="top"/>
          </w:tcPr>
          <w:p>
            <w:pPr>
              <w:spacing w:after="60" w:line="259" w:lineRule="auto"/>
            </w:pPr>
            <w:r>
              <w:rPr>
                <w:rFonts w:ascii="Calibri" w:hAnsi="Calibri"/>
                <w:b w:val="0"/>
                <w:i w:val="0"/>
                <w:color w:val="212121"/>
                <w:sz w:val="19"/>
              </w:rPr>
              <w:t>The number of people per room correlates with streptococcal transmission; shared bedrooms and poor ventilation sustain repeated infections in children and perpetuate the rheumatic fever–RHD cycle.</w:t>
            </w:r>
          </w:p>
          <w:p>
            <w:pPr>
              <w:spacing w:after="40" w:before="60" w:line="259" w:lineRule="auto"/>
            </w:pPr>
            <w:r>
              <w:rPr>
                <w:rFonts w:ascii="Calibri" w:hAnsi="Calibri"/>
                <w:b w:val="0"/>
                <w:i w:val="0"/>
                <w:color w:val="212121"/>
                <w:sz w:val="19"/>
              </w:rPr>
              <w:t>WHO lists overcrowded, poor living conditions as the setting of greatest risk for rheumatic fever and RHD.</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#crowdingindex  #ventilation  #transmission  #householdrisk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Undernourished, protein-energy-malnourished children</w:t>
            </w:r>
          </w:p>
        </w:tc>
        <w:tc>
          <w:tcPr>
            <w:tcW w:type="dxa" w:w="4276"/>
            <w:vAlign w:val="top"/>
          </w:tcPr>
          <w:p>
            <w:pPr>
              <w:spacing w:after="60" w:line="259" w:lineRule="auto"/>
            </w:pPr>
            <w:r>
              <w:rPr>
                <w:rFonts w:ascii="Calibri" w:hAnsi="Calibri"/>
                <w:b w:val="0"/>
                <w:i w:val="0"/>
                <w:color w:val="212121"/>
                <w:sz w:val="19"/>
              </w:rPr>
              <w:t>Diet is not a direct cause of RHD, but chronic undernutrition — clustering with the same poverty that drives crowding — impairs immune defences and mucosal healing, plausibly increasing susceptibility to and severity of streptococcal disease.</w:t>
            </w:r>
          </w:p>
          <w:p>
            <w:pPr>
              <w:spacing w:after="40" w:before="60" w:line="259" w:lineRule="auto"/>
            </w:pPr>
            <w:r>
              <w:rPr>
                <w:rFonts w:ascii="Calibri" w:hAnsi="Calibri"/>
                <w:b w:val="0"/>
                <w:i w:val="0"/>
                <w:color w:val="212121"/>
                <w:sz w:val="19"/>
              </w:rPr>
              <w:t>Undernutrition frequently coexists with the poverty and overcrowding that underlie endemic rheumatic heart disease.</w:t>
            </w:r>
          </w:p>
          <w:p>
            <w:pPr>
              <w:spacing w:before="60" w:after="40"/>
            </w:pPr>
            <w:r>
              <w:rPr>
                <w:rFonts w:ascii="Calibri" w:hAnsi="Calibri"/>
                <w:b w:val="0"/>
                <w:i w:val="0"/>
                <w:color w:val="5A5A5A"/>
                <w:sz w:val="18"/>
              </w:rPr>
              <w:t>#undernutrition  #immunity  #poverty  #indirectrisk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High-salt / high-fluid intake</w:t>
            </w:r>
          </w:p>
        </w:tc>
        <w:tc>
          <w:tcPr>
            <w:tcW w:type="dxa" w:w="2160"/>
            <w:vAlign w:val="top"/>
          </w:tcPr>
          <w:p>
            <w:pPr>
              <w:spacing w:after="40" w:before="0" w:line="259" w:lineRule="auto"/>
            </w:pPr>
            <w:r>
              <w:rPr>
                <w:rFonts w:ascii="Calibri" w:hAnsi="Calibri"/>
                <w:b w:val="0"/>
                <w:i w:val="0"/>
                <w:color w:val="212121"/>
                <w:sz w:val="19"/>
              </w:rPr>
              <w:t>Patients with valvular heart failure on a high-salt diet</w:t>
            </w:r>
          </w:p>
        </w:tc>
        <w:tc>
          <w:tcPr>
            <w:tcW w:type="dxa" w:w="4276"/>
            <w:vAlign w:val="top"/>
          </w:tcPr>
          <w:p>
            <w:pPr>
              <w:spacing w:after="60" w:line="259" w:lineRule="auto"/>
            </w:pPr>
            <w:r>
              <w:rPr>
                <w:rFonts w:ascii="Calibri" w:hAnsi="Calibri"/>
                <w:b w:val="0"/>
                <w:i w:val="0"/>
                <w:color w:val="212121"/>
                <w:sz w:val="19"/>
              </w:rPr>
              <w:t>Salt does not cause RHD, but once valvular heart failure has developed a high-sodium, high-fluid intake precipitates congestion and decompensation — making dietary sodium an important modifiable factor in established disease.</w:t>
            </w:r>
          </w:p>
          <w:p>
            <w:pPr>
              <w:spacing w:after="40" w:before="60" w:line="259" w:lineRule="auto"/>
            </w:pPr>
            <w:r>
              <w:rPr>
                <w:rFonts w:ascii="Calibri" w:hAnsi="Calibri"/>
                <w:b w:val="0"/>
                <w:i w:val="0"/>
                <w:color w:val="212121"/>
                <w:sz w:val="19"/>
              </w:rPr>
              <w:t>Excess dietary salt drives fluid retention and worsens congestive symptoms in valvular heart failure.</w:t>
            </w:r>
          </w:p>
          <w:p>
            <w:pPr>
              <w:spacing w:before="60" w:after="40"/>
            </w:pPr>
            <w:r>
              <w:rPr>
                <w:rFonts w:ascii="Calibri" w:hAnsi="Calibri"/>
                <w:b w:val="0"/>
                <w:i w:val="0"/>
                <w:color w:val="5A5A5A"/>
                <w:sz w:val="18"/>
              </w:rPr>
              <w:t>#dietarysalt  #fluidoverload  #heartfailure  #decompensation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ARF or RHD</w:t>
            </w:r>
          </w:p>
        </w:tc>
        <w:tc>
          <w:tcPr>
            <w:tcW w:type="dxa" w:w="4276"/>
            <w:vAlign w:val="top"/>
          </w:tcPr>
          <w:p>
            <w:pPr>
              <w:spacing w:after="60" w:line="259" w:lineRule="auto"/>
            </w:pPr>
            <w:r>
              <w:rPr>
                <w:rFonts w:ascii="Calibri" w:hAnsi="Calibri"/>
                <w:b w:val="0"/>
                <w:i w:val="0"/>
                <w:color w:val="212121"/>
                <w:sz w:val="19"/>
              </w:rPr>
              <w:t>Rheumatic fever and RHD cluster in families through both shared household exposure and inherited differences in the immune response to streptococcus; a family history raises a child's risk and should prompt screening of siblings.</w:t>
            </w:r>
          </w:p>
          <w:p>
            <w:pPr>
              <w:spacing w:after="40" w:before="60" w:line="259" w:lineRule="auto"/>
            </w:pPr>
            <w:r>
              <w:rPr>
                <w:rFonts w:ascii="Calibri" w:hAnsi="Calibri"/>
                <w:b w:val="0"/>
                <w:i w:val="0"/>
                <w:color w:val="212121"/>
                <w:sz w:val="19"/>
              </w:rPr>
              <w:t>Familial clustering of rheumatic fever reflects both shared environment and heritable immune susceptibility.</w:t>
            </w:r>
          </w:p>
          <w:p>
            <w:pPr>
              <w:spacing w:before="60" w:after="40"/>
            </w:pPr>
            <w:r>
              <w:rPr>
                <w:rFonts w:ascii="Calibri" w:hAnsi="Calibri"/>
                <w:b w:val="0"/>
                <w:i w:val="0"/>
                <w:color w:val="5A5A5A"/>
                <w:sz w:val="18"/>
              </w:rPr>
              <w:t>#familyhistory  #susceptibility  #siblingscreening  #hostimmunity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Immune susceptibility</w:t>
            </w:r>
          </w:p>
        </w:tc>
        <w:tc>
          <w:tcPr>
            <w:tcW w:type="dxa" w:w="2160"/>
            <w:vAlign w:val="top"/>
          </w:tcPr>
          <w:p>
            <w:pPr>
              <w:spacing w:after="40" w:before="0" w:line="259" w:lineRule="auto"/>
            </w:pPr>
            <w:r>
              <w:rPr>
                <w:rFonts w:ascii="Calibri" w:hAnsi="Calibri"/>
                <w:b w:val="0"/>
                <w:i w:val="0"/>
                <w:color w:val="212121"/>
                <w:sz w:val="19"/>
              </w:rPr>
              <w:t>Genetically susceptible hosts (HLA class II variants)</w:t>
            </w:r>
          </w:p>
        </w:tc>
        <w:tc>
          <w:tcPr>
            <w:tcW w:type="dxa" w:w="4276"/>
            <w:vAlign w:val="top"/>
          </w:tcPr>
          <w:p>
            <w:pPr>
              <w:spacing w:after="60" w:line="259" w:lineRule="auto"/>
            </w:pPr>
            <w:r>
              <w:rPr>
                <w:rFonts w:ascii="Calibri" w:hAnsi="Calibri"/>
                <w:b w:val="0"/>
                <w:i w:val="0"/>
                <w:color w:val="212121"/>
                <w:sz w:val="19"/>
              </w:rPr>
              <w:t>Only a minority of children with streptococcal infection develop ARF, pointing to host susceptibility; particular HLA class II alleles and heightened antibody/T-cell cross-reactivity with cardiac tissue (molecular mimicry) predispose to rheumatic carditis.</w:t>
            </w:r>
          </w:p>
          <w:p>
            <w:pPr>
              <w:spacing w:after="40" w:before="60" w:line="259" w:lineRule="auto"/>
            </w:pPr>
            <w:r>
              <w:rPr>
                <w:rFonts w:ascii="Calibri" w:hAnsi="Calibri"/>
                <w:b w:val="0"/>
                <w:i w:val="0"/>
                <w:color w:val="212121"/>
                <w:sz w:val="19"/>
              </w:rPr>
              <w:t>Molecular mimicry between streptococcal M protein and cardiac myosin underlies the autoimmune valve injury of RHD.</w:t>
            </w:r>
          </w:p>
          <w:p>
            <w:pPr>
              <w:spacing w:before="60" w:after="40"/>
            </w:pPr>
            <w:r>
              <w:rPr>
                <w:rFonts w:ascii="Calibri" w:hAnsi="Calibri"/>
                <w:b w:val="0"/>
                <w:i w:val="0"/>
                <w:color w:val="5A5A5A"/>
                <w:sz w:val="18"/>
              </w:rPr>
              <w:t>#HLA  #molecularmimicry  #autoimmune  #Mprotein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acute rheumatic fever</w:t>
            </w:r>
          </w:p>
        </w:tc>
        <w:tc>
          <w:tcPr>
            <w:tcW w:type="dxa" w:w="2160"/>
            <w:vAlign w:val="top"/>
          </w:tcPr>
          <w:p>
            <w:pPr>
              <w:spacing w:after="40" w:before="0" w:line="259" w:lineRule="auto"/>
            </w:pPr>
            <w:r>
              <w:rPr>
                <w:rFonts w:ascii="Calibri" w:hAnsi="Calibri"/>
                <w:b w:val="0"/>
                <w:i w:val="0"/>
                <w:color w:val="212121"/>
                <w:sz w:val="19"/>
              </w:rPr>
              <w:t>Patients with recurrent ARF episodes</w:t>
            </w:r>
          </w:p>
        </w:tc>
        <w:tc>
          <w:tcPr>
            <w:tcW w:type="dxa" w:w="4276"/>
            <w:vAlign w:val="top"/>
          </w:tcPr>
          <w:p>
            <w:pPr>
              <w:spacing w:after="60" w:line="259" w:lineRule="auto"/>
            </w:pPr>
            <w:r>
              <w:rPr>
                <w:rFonts w:ascii="Calibri" w:hAnsi="Calibri"/>
                <w:b w:val="0"/>
                <w:i w:val="0"/>
                <w:color w:val="212121"/>
                <w:sz w:val="19"/>
              </w:rPr>
              <w:t>Each fresh attack of rheumatic fever adds to valvular scarring; recurrent carditis is the mechanism by which mild childhood disease evolves into the severe, surgical mitral and aortic lesions seen in adults.</w:t>
            </w:r>
          </w:p>
          <w:p>
            <w:pPr>
              <w:spacing w:after="40" w:before="60" w:line="259" w:lineRule="auto"/>
            </w:pPr>
            <w:r>
              <w:rPr>
                <w:rFonts w:ascii="Calibri" w:hAnsi="Calibri"/>
                <w:b w:val="0"/>
                <w:i w:val="0"/>
                <w:color w:val="212121"/>
                <w:sz w:val="19"/>
              </w:rPr>
              <w:t>RHD results from damage to heart valves caused by one or several episodes of rheumatic fever.</w:t>
            </w:r>
          </w:p>
          <w:p>
            <w:pPr>
              <w:spacing w:after="40" w:line="252" w:lineRule="auto"/>
            </w:pPr>
            <w:hyperlink r:id="rId11">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#recurrentARF  #carditis  #cumulativedamage  #progression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Atrial fibrillation</w:t>
            </w:r>
          </w:p>
        </w:tc>
        <w:tc>
          <w:tcPr>
            <w:tcW w:type="dxa" w:w="2160"/>
            <w:vAlign w:val="top"/>
          </w:tcPr>
          <w:p>
            <w:pPr>
              <w:spacing w:after="40" w:before="0" w:line="259" w:lineRule="auto"/>
            </w:pPr>
            <w:r>
              <w:rPr>
                <w:rFonts w:ascii="Calibri" w:hAnsi="Calibri"/>
                <w:b w:val="0"/>
                <w:i w:val="0"/>
                <w:color w:val="212121"/>
                <w:sz w:val="19"/>
              </w:rPr>
              <w:t>RHD patients who develop atrial fibrillation</w:t>
            </w:r>
          </w:p>
        </w:tc>
        <w:tc>
          <w:tcPr>
            <w:tcW w:type="dxa" w:w="4276"/>
            <w:vAlign w:val="top"/>
          </w:tcPr>
          <w:p>
            <w:pPr>
              <w:spacing w:after="60" w:line="259" w:lineRule="auto"/>
            </w:pPr>
            <w:r>
              <w:rPr>
                <w:rFonts w:ascii="Calibri" w:hAnsi="Calibri"/>
                <w:b w:val="0"/>
                <w:i w:val="0"/>
                <w:color w:val="212121"/>
                <w:sz w:val="19"/>
              </w:rPr>
              <w:t>Left atrial enlargement from mitral disease predisposes to atrial fibrillation, which in turn causes stasis, thrombus formation and a sharply increased risk of embolic stroke — the valvular AF characteristic of the Indian RHD population.</w:t>
            </w:r>
          </w:p>
          <w:p>
            <w:pPr>
              <w:spacing w:after="40" w:before="60" w:line="259" w:lineRule="auto"/>
            </w:pPr>
            <w:r>
              <w:rPr>
                <w:rFonts w:ascii="Calibri" w:hAnsi="Calibri"/>
                <w:b w:val="0"/>
                <w:i w:val="0"/>
                <w:color w:val="212121"/>
                <w:sz w:val="19"/>
              </w:rPr>
              <w:t>Atrial fibrillation complicates about 32.8% of RHD cases and is associated with a six-fold higher risk of thromboembolism (OR 6.2).</w:t>
            </w:r>
          </w:p>
          <w:p>
            <w:pPr>
              <w:spacing w:after="40" w:line="252" w:lineRule="auto"/>
            </w:pPr>
            <w:hyperlink r:id="rId12">
              <w:r>
                <w:rPr>
                  <w:rFonts w:ascii="Calibri" w:hAnsi="Calibri" w:cs="Calibri"/>
                  <w:sz w:val="18"/>
                  <w:color w:val="1155CC"/>
                  <w:u w:val="single"/>
                </w:rPr>
                <w:t xml:space="preserve">globalheartjournal.com/articles/10.5334/gh.807 — RHD-AF meta-analysis</w:t>
              </w:r>
            </w:hyperlink>
          </w:p>
          <w:p>
            <w:pPr>
              <w:spacing w:before="60" w:after="40"/>
            </w:pPr>
            <w:r>
              <w:rPr>
                <w:rFonts w:ascii="Calibri" w:hAnsi="Calibri"/>
                <w:b w:val="0"/>
                <w:i w:val="0"/>
                <w:color w:val="5A5A5A"/>
                <w:sz w:val="18"/>
              </w:rPr>
              <w:t>#atrialfibrillation  #valvularAF  #leftatrium  #strokerisk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Streptococcal skin infection</w:t>
            </w:r>
          </w:p>
        </w:tc>
        <w:tc>
          <w:tcPr>
            <w:tcW w:type="dxa" w:w="2160"/>
            <w:vAlign w:val="top"/>
          </w:tcPr>
          <w:p>
            <w:pPr>
              <w:spacing w:after="40" w:before="0" w:line="259" w:lineRule="auto"/>
            </w:pPr>
            <w:r>
              <w:rPr>
                <w:rFonts w:ascii="Calibri" w:hAnsi="Calibri"/>
                <w:b w:val="0"/>
                <w:i w:val="0"/>
                <w:color w:val="212121"/>
                <w:sz w:val="19"/>
              </w:rPr>
              <w:t>Populations with high burden of streptococcal pyoderma</w:t>
            </w:r>
          </w:p>
        </w:tc>
        <w:tc>
          <w:tcPr>
            <w:tcW w:type="dxa" w:w="4276"/>
            <w:vAlign w:val="top"/>
          </w:tcPr>
          <w:p>
            <w:pPr>
              <w:spacing w:after="60" w:line="259" w:lineRule="auto"/>
            </w:pPr>
            <w:r>
              <w:rPr>
                <w:rFonts w:ascii="Calibri" w:hAnsi="Calibri"/>
                <w:b w:val="0"/>
                <w:i w:val="0"/>
                <w:color w:val="212121"/>
                <w:sz w:val="19"/>
              </w:rPr>
              <w:t>In many endemic settings recurrent group A streptococcal skin infection (pyoderma, often scabies-associated) contributes to the streptococcal exposure that triggers ARF, complementing throat infection as a driver of RHD.</w:t>
            </w:r>
          </w:p>
          <w:p>
            <w:pPr>
              <w:spacing w:after="40" w:before="60" w:line="259" w:lineRule="auto"/>
            </w:pPr>
            <w:r>
              <w:rPr>
                <w:rFonts w:ascii="Calibri" w:hAnsi="Calibri"/>
                <w:b w:val="0"/>
                <w:i w:val="0"/>
                <w:color w:val="212121"/>
                <w:sz w:val="19"/>
              </w:rPr>
              <w:t>Recurrent streptococcal skin and throat infection sustain the immune stimulus that leads to rheumatic carditis.</w:t>
            </w:r>
          </w:p>
          <w:p>
            <w:pPr>
              <w:spacing w:before="60" w:after="40"/>
            </w:pPr>
            <w:r>
              <w:rPr>
                <w:rFonts w:ascii="Calibri" w:hAnsi="Calibri"/>
                <w:b w:val="0"/>
                <w:i w:val="0"/>
                <w:color w:val="5A5A5A"/>
                <w:sz w:val="18"/>
              </w:rPr>
              <w:t>#pyoderma  #skininfection  #scabies  #streptococcus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with mitral stenosis</w:t>
            </w:r>
          </w:p>
        </w:tc>
        <w:tc>
          <w:tcPr>
            <w:tcW w:type="dxa" w:w="4276"/>
            <w:vAlign w:val="top"/>
          </w:tcPr>
          <w:p>
            <w:pPr>
              <w:spacing w:after="60" w:line="259" w:lineRule="auto"/>
            </w:pPr>
            <w:r>
              <w:rPr>
                <w:rFonts w:ascii="Calibri" w:hAnsi="Calibri"/>
                <w:b w:val="0"/>
                <w:i w:val="0"/>
                <w:color w:val="212121"/>
                <w:sz w:val="19"/>
              </w:rPr>
              <w:t>Pregnancy increases heart rate, blood volume and cardiac output, which a stenotic mitral valve cannot accommodate; previously stable RHD can decompensate into pulmonary oedema or atrial fibrillation, making RHD a leading cause of maternal cardiac morbidity in India.</w:t>
            </w:r>
          </w:p>
          <w:p>
            <w:pPr>
              <w:spacing w:after="40" w:before="60" w:line="259" w:lineRule="auto"/>
            </w:pPr>
            <w:r>
              <w:rPr>
                <w:rFonts w:ascii="Calibri" w:hAnsi="Calibri"/>
                <w:b w:val="0"/>
                <w:i w:val="0"/>
                <w:color w:val="212121"/>
                <w:sz w:val="19"/>
              </w:rPr>
              <w:t>Rheumatic mitral stenosis is a leading cause of cardiac decompensation and maternal morbidity during pregnancy in endemic regions.</w:t>
            </w:r>
          </w:p>
          <w:p>
            <w:pPr>
              <w:spacing w:before="60" w:after="40"/>
            </w:pPr>
            <w:r>
              <w:rPr>
                <w:rFonts w:ascii="Calibri" w:hAnsi="Calibri"/>
                <w:b w:val="0"/>
                <w:i w:val="0"/>
                <w:color w:val="5A5A5A"/>
                <w:sz w:val="18"/>
              </w:rPr>
              <w:t>#pregnancy  #mitralstenosis  #maternalhealth  #decompensation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cause of RHD; however exercise tolerance is limited by valve-disease severity and exertional symptoms are used to stage disease (NYHA class). Strenuous and competitive sport is restricted in severe mitral or aortic stenosis.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RHD, but salt and fluid restriction become important once valvular heart failure develops, and undernutrition (via poverty) may weakly increase susceptibility to streptococcal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not causal, but orthopnoea and paroxysmal nocturnal dyspnoea disturb sleep and are key markers of decompensated mitral/aortic disease and left heart congestion.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does not cause RHD but reduces cardiopulmonary reserve and worsens pulmonary hypertension and vascular health, complicating established valve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causal for RHD; excess intake aggravates atrial fibrillation and heart-muscle dysfunction and destabilises warfarin (INR) control in patients on anticoagulation.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does not cause RHD but strongly influences adherence to lifelong penicillin injections and anticoagulation; chronic disease and valve surgery are associated with anxiety and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and fluid balance matter chiefly in managing heart failure and anticoagulation; water intake is not a determinant of developing RHD.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negligible role in RHD; at most, high doses may provoke palpitations in patients who already have atrial fibrillation.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and living conditions are the dominant modifiable influence: overcrowding, poor ventilation and untreated streptococcal throat/skin infection drive the acute rheumatic fever that causes RHD, and improved housing and sanitation reduce transmission.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Recurrent group A streptococcal infection and recurrent acute rheumatic fever — especially when secondary penicillin prophylaxis is missed — precipitate progression; pregnancy, anaemia, tachyarrhythmia and infective endocarditis provoke decompensation.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Posture is not a determinant of RHD; however posture-dependent breathlessness (orthopnoea and paroxysmal nocturnal dyspnoea) is a hallmark of decompensated mitral and aortic valve disease.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crowding (persons per room)</w:t>
            </w:r>
          </w:p>
        </w:tc>
        <w:tc>
          <w:tcPr>
            <w:tcW w:type="dxa" w:w="1655"/>
            <w:vAlign w:val="top"/>
          </w:tcPr>
          <w:p>
            <w:pPr>
              <w:spacing w:after="40" w:before="0" w:line="259" w:lineRule="auto"/>
            </w:pPr>
            <w:r>
              <w:rPr>
                <w:rFonts w:ascii="Calibri" w:hAnsi="Calibri"/>
                <w:b w:val="0"/>
                <w:i w:val="0"/>
                <w:color w:val="212121"/>
                <w:sz w:val="19"/>
              </w:rPr>
              <w:t>Children in endemic communities</w:t>
            </w:r>
          </w:p>
        </w:tc>
        <w:tc>
          <w:tcPr>
            <w:tcW w:type="dxa" w:w="1512"/>
            <w:vAlign w:val="top"/>
          </w:tcPr>
          <w:p>
            <w:pPr>
              <w:spacing w:after="40" w:before="0" w:line="259" w:lineRule="auto"/>
            </w:pPr>
            <w:r>
              <w:rPr>
                <w:rFonts w:ascii="Calibri" w:hAnsi="Calibri"/>
                <w:b w:val="0"/>
                <w:i w:val="0"/>
                <w:color w:val="212121"/>
                <w:sz w:val="19"/>
              </w:rPr>
              <w:t>≤ 2 persons/room, well ventilated</w:t>
            </w:r>
          </w:p>
        </w:tc>
        <w:tc>
          <w:tcPr>
            <w:tcW w:type="dxa" w:w="1512"/>
            <w:vAlign w:val="top"/>
          </w:tcPr>
          <w:p>
            <w:pPr>
              <w:spacing w:after="40" w:before="0" w:line="259" w:lineRule="auto"/>
            </w:pPr>
            <w:r>
              <w:rPr>
                <w:rFonts w:ascii="Calibri" w:hAnsi="Calibri"/>
                <w:b w:val="0"/>
                <w:i w:val="0"/>
                <w:color w:val="212121"/>
                <w:sz w:val="19"/>
              </w:rPr>
              <w:t>&gt; 3 persons/room; shared bedding</w:t>
            </w:r>
          </w:p>
        </w:tc>
        <w:tc>
          <w:tcPr>
            <w:tcW w:type="dxa" w:w="1468"/>
            <w:vAlign w:val="top"/>
          </w:tcPr>
          <w:p>
            <w:pPr>
              <w:spacing w:after="60" w:line="259" w:lineRule="auto"/>
            </w:pPr>
            <w:r>
              <w:rPr>
                <w:rFonts w:ascii="Calibri" w:hAnsi="Calibri"/>
                <w:b w:val="0"/>
                <w:i w:val="0"/>
                <w:color w:val="212121"/>
                <w:sz w:val="19"/>
              </w:rPr>
              <w:t>Crowding drives streptococcal transmission and recurrent ARF</w:t>
            </w:r>
          </w:p>
          <w:p>
            <w:pPr>
              <w:spacing w:after="40" w:line="252" w:lineRule="auto"/>
            </w:pPr>
            <w:hyperlink r:id="rId11">
              <w:r>
                <w:rPr>
                  <w:rFonts w:ascii="Calibri" w:hAnsi="Calibri" w:cs="Calibri"/>
                  <w:sz w:val="18"/>
                  <w:color w:val="1155CC"/>
                  <w:u w:val="single"/>
                </w:rPr>
                <w:t xml:space="preserve">https://www.who.int/news-room/fact-sheets/detail/rheumatic-heart-disease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Secondary prophylaxis interval (benzathine penicillin)</w:t>
            </w:r>
          </w:p>
        </w:tc>
        <w:tc>
          <w:tcPr>
            <w:tcW w:type="dxa" w:w="1655"/>
            <w:vAlign w:val="top"/>
          </w:tcPr>
          <w:p>
            <w:pPr>
              <w:spacing w:after="40" w:before="0" w:line="259" w:lineRule="auto"/>
            </w:pPr>
            <w:r>
              <w:rPr>
                <w:rFonts w:ascii="Calibri" w:hAnsi="Calibri"/>
                <w:b w:val="0"/>
                <w:i w:val="0"/>
                <w:color w:val="212121"/>
                <w:sz w:val="19"/>
              </w:rPr>
              <w:t>Post-ARF / RHD patients</w:t>
            </w:r>
          </w:p>
        </w:tc>
        <w:tc>
          <w:tcPr>
            <w:tcW w:type="dxa" w:w="1512"/>
            <w:vAlign w:val="top"/>
          </w:tcPr>
          <w:p>
            <w:pPr>
              <w:spacing w:after="40" w:before="0" w:line="259" w:lineRule="auto"/>
            </w:pPr>
            <w:r>
              <w:rPr>
                <w:rFonts w:ascii="Calibri" w:hAnsi="Calibri"/>
                <w:b w:val="0"/>
                <w:i w:val="0"/>
                <w:color w:val="212121"/>
                <w:sz w:val="19"/>
              </w:rPr>
              <w:t>IM injection every 21–28 days</w:t>
            </w:r>
          </w:p>
        </w:tc>
        <w:tc>
          <w:tcPr>
            <w:tcW w:type="dxa" w:w="1512"/>
            <w:vAlign w:val="top"/>
          </w:tcPr>
          <w:p>
            <w:pPr>
              <w:spacing w:after="40" w:before="0" w:line="259" w:lineRule="auto"/>
            </w:pPr>
            <w:r>
              <w:rPr>
                <w:rFonts w:ascii="Calibri" w:hAnsi="Calibri"/>
                <w:b w:val="0"/>
                <w:i w:val="0"/>
                <w:color w:val="212121"/>
                <w:sz w:val="19"/>
              </w:rPr>
              <w:t>Missed or delayed doses</w:t>
            </w:r>
          </w:p>
        </w:tc>
        <w:tc>
          <w:tcPr>
            <w:tcW w:type="dxa" w:w="1468"/>
            <w:vAlign w:val="top"/>
          </w:tcPr>
          <w:p>
            <w:pPr>
              <w:spacing w:after="60" w:line="259" w:lineRule="auto"/>
            </w:pPr>
            <w:r>
              <w:rPr>
                <w:rFonts w:ascii="Calibri" w:hAnsi="Calibri"/>
                <w:b w:val="0"/>
                <w:i w:val="0"/>
                <w:color w:val="212121"/>
                <w:sz w:val="19"/>
              </w:rPr>
              <w:t>Regular penicillin prevents recurrent rheumatic fever</w:t>
            </w:r>
          </w:p>
          <w:p>
            <w:pPr>
              <w:spacing w:after="40" w:line="252" w:lineRule="auto"/>
            </w:pPr>
            <w:hyperlink r:id="rId11">
              <w:r>
                <w:rPr>
                  <w:rFonts w:ascii="Calibri" w:hAnsi="Calibri" w:cs="Calibri"/>
                  <w:sz w:val="18"/>
                  <w:color w:val="1155CC"/>
                  <w:u w:val="single"/>
                </w:rPr>
                <w:t xml:space="preserve">https://www.who.int/news-room/fact-sheets/detail/rheumatic-heart-disease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Streptococcal sore-throat treatment</w:t>
            </w:r>
          </w:p>
        </w:tc>
        <w:tc>
          <w:tcPr>
            <w:tcW w:type="dxa" w:w="1655"/>
            <w:vAlign w:val="top"/>
          </w:tcPr>
          <w:p>
            <w:pPr>
              <w:spacing w:after="40" w:before="0" w:line="259" w:lineRule="auto"/>
            </w:pPr>
            <w:r>
              <w:rPr>
                <w:rFonts w:ascii="Calibri" w:hAnsi="Calibri"/>
                <w:b w:val="0"/>
                <w:i w:val="0"/>
                <w:color w:val="212121"/>
                <w:sz w:val="19"/>
              </w:rPr>
              <w:t>Children with GAS pharyngitis</w:t>
            </w:r>
          </w:p>
        </w:tc>
        <w:tc>
          <w:tcPr>
            <w:tcW w:type="dxa" w:w="1512"/>
            <w:vAlign w:val="top"/>
          </w:tcPr>
          <w:p>
            <w:pPr>
              <w:spacing w:after="40" w:before="0" w:line="259" w:lineRule="auto"/>
            </w:pPr>
            <w:r>
              <w:rPr>
                <w:rFonts w:ascii="Calibri" w:hAnsi="Calibri"/>
                <w:b w:val="0"/>
                <w:i w:val="0"/>
                <w:color w:val="212121"/>
                <w:sz w:val="19"/>
              </w:rPr>
              <w:t>Full 10-day penicillin course, started promptly</w:t>
            </w:r>
          </w:p>
        </w:tc>
        <w:tc>
          <w:tcPr>
            <w:tcW w:type="dxa" w:w="1512"/>
            <w:vAlign w:val="top"/>
          </w:tcPr>
          <w:p>
            <w:pPr>
              <w:spacing w:after="40" w:before="0" w:line="259" w:lineRule="auto"/>
            </w:pPr>
            <w:r>
              <w:rPr>
                <w:rFonts w:ascii="Calibri" w:hAnsi="Calibri"/>
                <w:b w:val="0"/>
                <w:i w:val="0"/>
                <w:color w:val="212121"/>
                <w:sz w:val="19"/>
              </w:rPr>
              <w:t>Untreated or incomplete course</w:t>
            </w:r>
          </w:p>
        </w:tc>
        <w:tc>
          <w:tcPr>
            <w:tcW w:type="dxa" w:w="1468"/>
            <w:vAlign w:val="top"/>
          </w:tcPr>
          <w:p>
            <w:pPr>
              <w:spacing w:after="40" w:before="0" w:line="259" w:lineRule="auto"/>
            </w:pPr>
            <w:r>
              <w:rPr>
                <w:rFonts w:ascii="Calibri" w:hAnsi="Calibri"/>
                <w:b w:val="0"/>
                <w:i w:val="0"/>
                <w:color w:val="212121"/>
                <w:sz w:val="19"/>
              </w:rPr>
              <w:t>Primary prevention of acute rheumatic fever</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NYHA functional class</w:t>
            </w:r>
          </w:p>
        </w:tc>
        <w:tc>
          <w:tcPr>
            <w:tcW w:type="dxa" w:w="1655"/>
            <w:vAlign w:val="top"/>
          </w:tcPr>
          <w:p>
            <w:pPr>
              <w:spacing w:after="40" w:before="0" w:line="259" w:lineRule="auto"/>
            </w:pPr>
            <w:r>
              <w:rPr>
                <w:rFonts w:ascii="Calibri" w:hAnsi="Calibri"/>
                <w:b w:val="0"/>
                <w:i w:val="0"/>
                <w:color w:val="212121"/>
                <w:sz w:val="19"/>
              </w:rPr>
              <w:t>RHD patients</w:t>
            </w:r>
          </w:p>
        </w:tc>
        <w:tc>
          <w:tcPr>
            <w:tcW w:type="dxa" w:w="1512"/>
            <w:vAlign w:val="top"/>
          </w:tcPr>
          <w:p>
            <w:pPr>
              <w:spacing w:after="40" w:before="0" w:line="259" w:lineRule="auto"/>
            </w:pPr>
            <w:r>
              <w:rPr>
                <w:rFonts w:ascii="Calibri" w:hAnsi="Calibri"/>
                <w:b w:val="0"/>
                <w:i w:val="0"/>
                <w:color w:val="212121"/>
                <w:sz w:val="19"/>
              </w:rPr>
              <w:t>Class I (no limitation)</w:t>
            </w:r>
          </w:p>
        </w:tc>
        <w:tc>
          <w:tcPr>
            <w:tcW w:type="dxa" w:w="1512"/>
            <w:vAlign w:val="top"/>
          </w:tcPr>
          <w:p>
            <w:pPr>
              <w:spacing w:after="40" w:before="0" w:line="259" w:lineRule="auto"/>
            </w:pPr>
            <w:r>
              <w:rPr>
                <w:rFonts w:ascii="Calibri" w:hAnsi="Calibri"/>
                <w:b w:val="0"/>
                <w:i w:val="0"/>
                <w:color w:val="212121"/>
                <w:sz w:val="19"/>
              </w:rPr>
              <w:t>Class III–IV (marked limitation/rest symptoms)</w:t>
            </w:r>
          </w:p>
        </w:tc>
        <w:tc>
          <w:tcPr>
            <w:tcW w:type="dxa" w:w="1468"/>
            <w:vAlign w:val="top"/>
          </w:tcPr>
          <w:p>
            <w:pPr>
              <w:spacing w:after="40" w:before="0" w:line="259" w:lineRule="auto"/>
            </w:pPr>
            <w:r>
              <w:rPr>
                <w:rFonts w:ascii="Calibri" w:hAnsi="Calibri"/>
                <w:b w:val="0"/>
                <w:i w:val="0"/>
                <w:color w:val="212121"/>
                <w:sz w:val="19"/>
              </w:rPr>
              <w:t>Guides medical versus surgical management</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Mitral valve area (echocardiography)</w:t>
            </w:r>
          </w:p>
        </w:tc>
        <w:tc>
          <w:tcPr>
            <w:tcW w:type="dxa" w:w="1655"/>
            <w:vAlign w:val="top"/>
          </w:tcPr>
          <w:p>
            <w:pPr>
              <w:spacing w:after="40" w:before="0" w:line="259" w:lineRule="auto"/>
            </w:pPr>
            <w:r>
              <w:rPr>
                <w:rFonts w:ascii="Calibri" w:hAnsi="Calibri"/>
                <w:b w:val="0"/>
                <w:i w:val="0"/>
                <w:color w:val="212121"/>
                <w:sz w:val="19"/>
              </w:rPr>
              <w:t>Patients with mitral stenosis</w:t>
            </w:r>
          </w:p>
        </w:tc>
        <w:tc>
          <w:tcPr>
            <w:tcW w:type="dxa" w:w="1512"/>
            <w:vAlign w:val="top"/>
          </w:tcPr>
          <w:p>
            <w:pPr>
              <w:spacing w:after="40" w:before="0" w:line="259" w:lineRule="auto"/>
            </w:pPr>
            <w:r>
              <w:rPr>
                <w:rFonts w:ascii="Calibri" w:hAnsi="Calibri"/>
                <w:b w:val="0"/>
                <w:i w:val="0"/>
                <w:color w:val="212121"/>
                <w:sz w:val="19"/>
              </w:rPr>
              <w:t>4–6 cm² (normal)</w:t>
            </w:r>
          </w:p>
        </w:tc>
        <w:tc>
          <w:tcPr>
            <w:tcW w:type="dxa" w:w="1512"/>
            <w:vAlign w:val="top"/>
          </w:tcPr>
          <w:p>
            <w:pPr>
              <w:spacing w:after="40" w:before="0" w:line="259" w:lineRule="auto"/>
            </w:pPr>
            <w:r>
              <w:rPr>
                <w:rFonts w:ascii="Calibri" w:hAnsi="Calibri"/>
                <w:b w:val="0"/>
                <w:i w:val="0"/>
                <w:color w:val="212121"/>
                <w:sz w:val="19"/>
              </w:rPr>
              <w:t>&lt; 1.5 cm² (severe stenosis)</w:t>
            </w:r>
          </w:p>
        </w:tc>
        <w:tc>
          <w:tcPr>
            <w:tcW w:type="dxa" w:w="1468"/>
            <w:vAlign w:val="top"/>
          </w:tcPr>
          <w:p>
            <w:pPr>
              <w:spacing w:after="40" w:before="0" w:line="259" w:lineRule="auto"/>
            </w:pPr>
            <w:r>
              <w:rPr>
                <w:rFonts w:ascii="Calibri" w:hAnsi="Calibri"/>
                <w:b w:val="0"/>
                <w:i w:val="0"/>
                <w:color w:val="212121"/>
                <w:sz w:val="19"/>
              </w:rPr>
              <w:t>Determines need for balloon valvotomy or surgery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Left atrial diameter (echocardiography)</w:t>
            </w:r>
          </w:p>
        </w:tc>
        <w:tc>
          <w:tcPr>
            <w:tcW w:type="dxa" w:w="1655"/>
            <w:vAlign w:val="top"/>
          </w:tcPr>
          <w:p>
            <w:pPr>
              <w:spacing w:after="40" w:before="0" w:line="259" w:lineRule="auto"/>
            </w:pPr>
            <w:r>
              <w:rPr>
                <w:rFonts w:ascii="Calibri" w:hAnsi="Calibri"/>
                <w:b w:val="0"/>
                <w:i w:val="0"/>
                <w:color w:val="212121"/>
                <w:sz w:val="19"/>
              </w:rPr>
              <w:t>RHD patients</w:t>
            </w:r>
          </w:p>
        </w:tc>
        <w:tc>
          <w:tcPr>
            <w:tcW w:type="dxa" w:w="1512"/>
            <w:vAlign w:val="top"/>
          </w:tcPr>
          <w:p>
            <w:pPr>
              <w:spacing w:after="40" w:before="0" w:line="259" w:lineRule="auto"/>
            </w:pPr>
            <w:r>
              <w:rPr>
                <w:rFonts w:ascii="Calibri" w:hAnsi="Calibri"/>
                <w:b w:val="0"/>
                <w:i w:val="0"/>
                <w:color w:val="212121"/>
                <w:sz w:val="19"/>
              </w:rPr>
              <w:t>&lt; 40 mm</w:t>
            </w:r>
          </w:p>
        </w:tc>
        <w:tc>
          <w:tcPr>
            <w:tcW w:type="dxa" w:w="1512"/>
            <w:vAlign w:val="top"/>
          </w:tcPr>
          <w:p>
            <w:pPr>
              <w:spacing w:after="40" w:before="0" w:line="259" w:lineRule="auto"/>
            </w:pPr>
            <w:r>
              <w:rPr>
                <w:rFonts w:ascii="Calibri" w:hAnsi="Calibri"/>
                <w:b w:val="0"/>
                <w:i w:val="0"/>
                <w:color w:val="212121"/>
                <w:sz w:val="19"/>
              </w:rPr>
              <w:t>&gt; 45 mm (dilated; AF risk)</w:t>
            </w:r>
          </w:p>
        </w:tc>
        <w:tc>
          <w:tcPr>
            <w:tcW w:type="dxa" w:w="1468"/>
            <w:vAlign w:val="top"/>
          </w:tcPr>
          <w:p>
            <w:pPr>
              <w:spacing w:after="60" w:line="259" w:lineRule="auto"/>
            </w:pPr>
            <w:r>
              <w:rPr>
                <w:rFonts w:ascii="Calibri" w:hAnsi="Calibri"/>
                <w:b w:val="0"/>
                <w:i w:val="0"/>
                <w:color w:val="212121"/>
                <w:sz w:val="19"/>
              </w:rPr>
              <w:t>LA is on average ~8 mm larger in RHD patients with AF</w:t>
            </w:r>
          </w:p>
          <w:p>
            <w:pPr>
              <w:spacing w:after="40" w:line="252" w:lineRule="auto"/>
            </w:pPr>
            <w:hyperlink r:id="rId12">
              <w:r>
                <w:rPr>
                  <w:rFonts w:ascii="Calibri" w:hAnsi="Calibri" w:cs="Calibri"/>
                  <w:sz w:val="18"/>
                  <w:color w:val="1155CC"/>
                  <w:u w:val="single"/>
                </w:rPr>
                <w:t xml:space="preserve">https://globalheartjournal.com/articles/10.5334/gh.807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 (in mitral stenosis)</w:t>
            </w:r>
          </w:p>
        </w:tc>
        <w:tc>
          <w:tcPr>
            <w:tcW w:type="dxa" w:w="1655"/>
            <w:vAlign w:val="top"/>
          </w:tcPr>
          <w:p>
            <w:pPr>
              <w:spacing w:after="40" w:before="0" w:line="259" w:lineRule="auto"/>
            </w:pPr>
            <w:r>
              <w:rPr>
                <w:rFonts w:ascii="Calibri" w:hAnsi="Calibri"/>
                <w:b w:val="0"/>
                <w:i w:val="0"/>
                <w:color w:val="212121"/>
                <w:sz w:val="19"/>
              </w:rPr>
              <w:t>MS patients</w:t>
            </w:r>
          </w:p>
        </w:tc>
        <w:tc>
          <w:tcPr>
            <w:tcW w:type="dxa" w:w="1512"/>
            <w:vAlign w:val="top"/>
          </w:tcPr>
          <w:p>
            <w:pPr>
              <w:spacing w:after="40" w:before="0" w:line="259" w:lineRule="auto"/>
            </w:pPr>
            <w:r>
              <w:rPr>
                <w:rFonts w:ascii="Calibri" w:hAnsi="Calibri"/>
                <w:b w:val="0"/>
                <w:i w:val="0"/>
                <w:color w:val="212121"/>
                <w:sz w:val="19"/>
              </w:rPr>
              <w:t>60–80 /min</w:t>
            </w:r>
          </w:p>
        </w:tc>
        <w:tc>
          <w:tcPr>
            <w:tcW w:type="dxa" w:w="1512"/>
            <w:vAlign w:val="top"/>
          </w:tcPr>
          <w:p>
            <w:pPr>
              <w:spacing w:after="40" w:before="0" w:line="259" w:lineRule="auto"/>
            </w:pPr>
            <w:r>
              <w:rPr>
                <w:rFonts w:ascii="Calibri" w:hAnsi="Calibri"/>
                <w:b w:val="0"/>
                <w:i w:val="0"/>
                <w:color w:val="212121"/>
                <w:sz w:val="19"/>
              </w:rPr>
              <w:t>&gt; 100 /min (tachycardia)</w:t>
            </w:r>
          </w:p>
        </w:tc>
        <w:tc>
          <w:tcPr>
            <w:tcW w:type="dxa" w:w="1468"/>
            <w:vAlign w:val="top"/>
          </w:tcPr>
          <w:p>
            <w:pPr>
              <w:spacing w:after="40" w:before="0" w:line="259" w:lineRule="auto"/>
            </w:pPr>
            <w:r>
              <w:rPr>
                <w:rFonts w:ascii="Calibri" w:hAnsi="Calibri"/>
                <w:b w:val="0"/>
                <w:i w:val="0"/>
                <w:color w:val="212121"/>
                <w:sz w:val="19"/>
              </w:rPr>
              <w:t>Rapid rates shorten diastolic filling and precipitate pulmonary oedema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Anticoagulation INR (mechanical valve / valvular AF)</w:t>
            </w:r>
          </w:p>
        </w:tc>
        <w:tc>
          <w:tcPr>
            <w:tcW w:type="dxa" w:w="1655"/>
            <w:vAlign w:val="top"/>
          </w:tcPr>
          <w:p>
            <w:pPr>
              <w:spacing w:after="40" w:before="0" w:line="259" w:lineRule="auto"/>
            </w:pPr>
            <w:r>
              <w:rPr>
                <w:rFonts w:ascii="Calibri" w:hAnsi="Calibri"/>
                <w:b w:val="0"/>
                <w:i w:val="0"/>
                <w:color w:val="212121"/>
                <w:sz w:val="19"/>
              </w:rPr>
              <w:t>Patients on warfarin</w:t>
            </w:r>
          </w:p>
        </w:tc>
        <w:tc>
          <w:tcPr>
            <w:tcW w:type="dxa" w:w="1512"/>
            <w:vAlign w:val="top"/>
          </w:tcPr>
          <w:p>
            <w:pPr>
              <w:spacing w:after="40" w:before="0" w:line="259" w:lineRule="auto"/>
            </w:pPr>
            <w:r>
              <w:rPr>
                <w:rFonts w:ascii="Calibri" w:hAnsi="Calibri"/>
                <w:b w:val="0"/>
                <w:i w:val="0"/>
                <w:color w:val="212121"/>
                <w:sz w:val="19"/>
              </w:rPr>
              <w:t>INR 2.5–3.5 (mechanical mitral valve)</w:t>
            </w:r>
          </w:p>
        </w:tc>
        <w:tc>
          <w:tcPr>
            <w:tcW w:type="dxa" w:w="1512"/>
            <w:vAlign w:val="top"/>
          </w:tcPr>
          <w:p>
            <w:pPr>
              <w:spacing w:after="40" w:before="0" w:line="259" w:lineRule="auto"/>
            </w:pPr>
            <w:r>
              <w:rPr>
                <w:rFonts w:ascii="Calibri" w:hAnsi="Calibri"/>
                <w:b w:val="0"/>
                <w:i w:val="0"/>
                <w:color w:val="212121"/>
                <w:sz w:val="19"/>
              </w:rPr>
              <w:t>Sub- or supratherapeutic INR</w:t>
            </w:r>
          </w:p>
        </w:tc>
        <w:tc>
          <w:tcPr>
            <w:tcW w:type="dxa" w:w="1468"/>
            <w:vAlign w:val="top"/>
          </w:tcPr>
          <w:p>
            <w:pPr>
              <w:spacing w:after="40" w:before="0" w:line="259" w:lineRule="auto"/>
            </w:pPr>
            <w:r>
              <w:rPr>
                <w:rFonts w:ascii="Calibri" w:hAnsi="Calibri"/>
                <w:b w:val="0"/>
                <w:i w:val="0"/>
                <w:color w:val="212121"/>
                <w:sz w:val="19"/>
              </w:rPr>
              <w:t>Valvular AF and mechanical valves require a vitamin-K antagonist, not a DOAC</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(in heart failure)</w:t>
            </w:r>
          </w:p>
        </w:tc>
        <w:tc>
          <w:tcPr>
            <w:tcW w:type="dxa" w:w="1655"/>
            <w:vAlign w:val="top"/>
          </w:tcPr>
          <w:p>
            <w:pPr>
              <w:spacing w:after="40" w:before="0" w:line="259" w:lineRule="auto"/>
            </w:pPr>
            <w:r>
              <w:rPr>
                <w:rFonts w:ascii="Calibri" w:hAnsi="Calibri"/>
                <w:b w:val="0"/>
                <w:i w:val="0"/>
                <w:color w:val="212121"/>
                <w:sz w:val="19"/>
              </w:rPr>
              <w:t>RHD with heart failure</w:t>
            </w:r>
          </w:p>
        </w:tc>
        <w:tc>
          <w:tcPr>
            <w:tcW w:type="dxa" w:w="1512"/>
            <w:vAlign w:val="top"/>
          </w:tcPr>
          <w:p>
            <w:pPr>
              <w:spacing w:after="40" w:before="0" w:line="259" w:lineRule="auto"/>
            </w:pPr>
            <w:r>
              <w:rPr>
                <w:rFonts w:ascii="Calibri" w:hAnsi="Calibri"/>
                <w:b w:val="0"/>
                <w:i w:val="0"/>
                <w:color w:val="212121"/>
                <w:sz w:val="19"/>
              </w:rPr>
              <w:t>&lt; 5 g salt (~2 g sodium)/day</w:t>
            </w:r>
          </w:p>
        </w:tc>
        <w:tc>
          <w:tcPr>
            <w:tcW w:type="dxa" w:w="1512"/>
            <w:vAlign w:val="top"/>
          </w:tcPr>
          <w:p>
            <w:pPr>
              <w:spacing w:after="40" w:before="0" w:line="259" w:lineRule="auto"/>
            </w:pPr>
            <w:r>
              <w:rPr>
                <w:rFonts w:ascii="Calibri" w:hAnsi="Calibri"/>
                <w:b w:val="0"/>
                <w:i w:val="0"/>
                <w:color w:val="212121"/>
                <w:sz w:val="19"/>
              </w:rPr>
              <w:t>&gt; 5 g salt/day</w:t>
            </w:r>
          </w:p>
        </w:tc>
        <w:tc>
          <w:tcPr>
            <w:tcW w:type="dxa" w:w="1468"/>
            <w:vAlign w:val="top"/>
          </w:tcPr>
          <w:p>
            <w:pPr>
              <w:spacing w:after="40" w:before="0" w:line="259" w:lineRule="auto"/>
            </w:pPr>
            <w:r>
              <w:rPr>
                <w:rFonts w:ascii="Calibri" w:hAnsi="Calibri"/>
                <w:b w:val="0"/>
                <w:i w:val="0"/>
                <w:color w:val="212121"/>
                <w:sz w:val="19"/>
              </w:rPr>
              <w:t>Excess sodium worsens congestion and breathlessness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Adolescents &amp; adults with RHD</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Tobacco reduces cardiopulmonary reserve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RHD patients, warfarin users</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Heavy or binge intake</w:t>
            </w:r>
          </w:p>
        </w:tc>
        <w:tc>
          <w:tcPr>
            <w:tcW w:type="dxa" w:w="1468"/>
            <w:vAlign w:val="top"/>
          </w:tcPr>
          <w:p>
            <w:pPr>
              <w:spacing w:after="40" w:before="0" w:line="259" w:lineRule="auto"/>
            </w:pPr>
            <w:r>
              <w:rPr>
                <w:rFonts w:ascii="Calibri" w:hAnsi="Calibri"/>
                <w:b w:val="0"/>
                <w:i w:val="0"/>
                <w:color w:val="212121"/>
                <w:sz w:val="19"/>
              </w:rPr>
              <w:t>Alcohol worsens AF and destabilises INR control</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Valve morphology, regurgitation/stenosis, LA size, LV function</w:t>
            </w:r>
          </w:p>
        </w:tc>
        <w:tc>
          <w:tcPr>
            <w:tcW w:type="dxa" w:w="892"/>
            <w:vAlign w:val="top"/>
          </w:tcPr>
          <w:p>
            <w:pPr>
              <w:spacing w:after="40" w:before="0" w:line="259" w:lineRule="auto"/>
            </w:pPr>
            <w:r>
              <w:rPr>
                <w:rFonts w:ascii="Calibri" w:hAnsi="Calibri"/>
                <w:b w:val="0"/>
                <w:i w:val="0"/>
                <w:color w:val="212121"/>
                <w:sz w:val="16"/>
              </w:rPr>
              <w:t>Transthoracic echocardiography (2D + Doppler)</w:t>
            </w:r>
          </w:p>
        </w:tc>
        <w:tc>
          <w:tcPr>
            <w:tcW w:type="dxa" w:w="950"/>
            <w:vAlign w:val="top"/>
          </w:tcPr>
          <w:p>
            <w:pPr>
              <w:spacing w:after="40" w:before="0" w:line="259" w:lineRule="auto"/>
            </w:pPr>
            <w:r>
              <w:rPr>
                <w:rFonts w:ascii="Calibri" w:hAnsi="Calibri"/>
                <w:b w:val="0"/>
                <w:i w:val="0"/>
                <w:color w:val="212121"/>
                <w:sz w:val="16"/>
              </w:rPr>
              <w:t>Structurally normal valves, no pathological regurgitation</w:t>
            </w:r>
          </w:p>
        </w:tc>
        <w:tc>
          <w:tcPr>
            <w:tcW w:type="dxa" w:w="950"/>
            <w:vAlign w:val="top"/>
          </w:tcPr>
          <w:p>
            <w:pPr>
              <w:spacing w:after="40" w:before="0" w:line="259" w:lineRule="auto"/>
            </w:pPr>
            <w:r>
              <w:rPr>
                <w:rFonts w:ascii="Calibri" w:hAnsi="Calibri"/>
                <w:b w:val="0"/>
                <w:i w:val="0"/>
                <w:color w:val="212121"/>
                <w:sz w:val="16"/>
              </w:rPr>
              <w:t>Mitral/aortic thickening, restricted leaflets, doming, pathological MR/AR, stenosis</w:t>
            </w:r>
          </w:p>
        </w:tc>
        <w:tc>
          <w:tcPr>
            <w:tcW w:type="dxa" w:w="1036"/>
            <w:vAlign w:val="top"/>
          </w:tcPr>
          <w:p>
            <w:pPr>
              <w:spacing w:after="40" w:before="0" w:line="259" w:lineRule="auto"/>
            </w:pPr>
            <w:r>
              <w:rPr>
                <w:rFonts w:ascii="Calibri" w:hAnsi="Calibri"/>
                <w:b w:val="0"/>
                <w:i w:val="0"/>
                <w:color w:val="212121"/>
                <w:sz w:val="16"/>
              </w:rPr>
              <w:t>Confirms and grades RHD; WHF criteria distinguish definite from borderline disease</w:t>
            </w:r>
          </w:p>
        </w:tc>
        <w:tc>
          <w:tcPr>
            <w:tcW w:type="dxa" w:w="1036"/>
            <w:vAlign w:val="top"/>
          </w:tcPr>
          <w:p>
            <w:pPr>
              <w:spacing w:after="40" w:before="0" w:line="259" w:lineRule="auto"/>
            </w:pPr>
            <w:r>
              <w:rPr>
                <w:rFonts w:ascii="Calibri" w:hAnsi="Calibri"/>
                <w:b w:val="0"/>
                <w:i w:val="0"/>
                <w:color w:val="212121"/>
                <w:sz w:val="16"/>
              </w:rPr>
              <w:t>All suspected RHD, murmurs, prior ARF,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Detects subclinical (borderline) disease missed on auscultation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Rhythm, P-wave, chamber enlargement</w:t>
            </w:r>
          </w:p>
        </w:tc>
        <w:tc>
          <w:tcPr>
            <w:tcW w:type="dxa" w:w="892"/>
            <w:vAlign w:val="top"/>
          </w:tcPr>
          <w:p>
            <w:pPr>
              <w:spacing w:after="40" w:before="0" w:line="259" w:lineRule="auto"/>
            </w:pPr>
            <w:r>
              <w:rPr>
                <w:rFonts w:ascii="Calibri" w:hAnsi="Calibri"/>
                <w:b w:val="0"/>
                <w:i w:val="0"/>
                <w:color w:val="212121"/>
                <w:sz w:val="16"/>
              </w:rPr>
              <w:t>12-lead Electrocardiogram (ECG)</w:t>
            </w:r>
          </w:p>
        </w:tc>
        <w:tc>
          <w:tcPr>
            <w:tcW w:type="dxa" w:w="950"/>
            <w:vAlign w:val="top"/>
          </w:tcPr>
          <w:p>
            <w:pPr>
              <w:spacing w:after="40" w:before="0" w:line="259" w:lineRule="auto"/>
            </w:pPr>
            <w:r>
              <w:rPr>
                <w:rFonts w:ascii="Calibri" w:hAnsi="Calibri"/>
                <w:b w:val="0"/>
                <w:i w:val="0"/>
                <w:color w:val="212121"/>
                <w:sz w:val="16"/>
              </w:rPr>
              <w:t>Sinus rhythm, normal P waves</w:t>
            </w:r>
          </w:p>
        </w:tc>
        <w:tc>
          <w:tcPr>
            <w:tcW w:type="dxa" w:w="950"/>
            <w:vAlign w:val="top"/>
          </w:tcPr>
          <w:p>
            <w:pPr>
              <w:spacing w:after="40" w:before="0" w:line="259" w:lineRule="auto"/>
            </w:pPr>
            <w:r>
              <w:rPr>
                <w:rFonts w:ascii="Calibri" w:hAnsi="Calibri"/>
                <w:b w:val="0"/>
                <w:i w:val="0"/>
                <w:color w:val="212121"/>
                <w:sz w:val="16"/>
              </w:rPr>
              <w:t>Atrial fibrillation, broad notched P (P mitrale), RVH, prolonged PR</w:t>
            </w:r>
          </w:p>
        </w:tc>
        <w:tc>
          <w:tcPr>
            <w:tcW w:type="dxa" w:w="1036"/>
            <w:vAlign w:val="top"/>
          </w:tcPr>
          <w:p>
            <w:pPr>
              <w:spacing w:after="40" w:before="0" w:line="259" w:lineRule="auto"/>
            </w:pPr>
            <w:r>
              <w:rPr>
                <w:rFonts w:ascii="Calibri" w:hAnsi="Calibri"/>
                <w:b w:val="0"/>
                <w:i w:val="0"/>
                <w:color w:val="212121"/>
                <w:sz w:val="16"/>
              </w:rPr>
              <w:t>Detects AF and chamber enlargement; prolonged PR is a minor Jones criterion</w:t>
            </w:r>
          </w:p>
        </w:tc>
        <w:tc>
          <w:tcPr>
            <w:tcW w:type="dxa" w:w="1036"/>
            <w:vAlign w:val="top"/>
          </w:tcPr>
          <w:p>
            <w:pPr>
              <w:spacing w:after="40" w:before="0" w:line="259" w:lineRule="auto"/>
            </w:pPr>
            <w:r>
              <w:rPr>
                <w:rFonts w:ascii="Calibri" w:hAnsi="Calibri"/>
                <w:b w:val="0"/>
                <w:i w:val="0"/>
                <w:color w:val="212121"/>
                <w:sz w:val="16"/>
              </w:rPr>
              <w:t>RHD, palpitations, prior ARF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Atrial fibrillation markedly raises embolic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Anti-streptolysin O (ASO), anti-DNase B</w:t>
            </w:r>
          </w:p>
        </w:tc>
        <w:tc>
          <w:tcPr>
            <w:tcW w:type="dxa" w:w="892"/>
            <w:vAlign w:val="top"/>
          </w:tcPr>
          <w:p>
            <w:pPr>
              <w:spacing w:after="40" w:before="0" w:line="259" w:lineRule="auto"/>
            </w:pPr>
            <w:r>
              <w:rPr>
                <w:rFonts w:ascii="Calibri" w:hAnsi="Calibri"/>
                <w:b w:val="0"/>
                <w:i w:val="0"/>
                <w:color w:val="212121"/>
                <w:sz w:val="16"/>
              </w:rPr>
              <w:t>Streptococcal antibody titres</w:t>
            </w:r>
          </w:p>
        </w:tc>
        <w:tc>
          <w:tcPr>
            <w:tcW w:type="dxa" w:w="950"/>
            <w:vAlign w:val="top"/>
          </w:tcPr>
          <w:p>
            <w:pPr>
              <w:spacing w:after="40" w:before="0" w:line="259" w:lineRule="auto"/>
            </w:pPr>
            <w:r>
              <w:rPr>
                <w:rFonts w:ascii="Calibri" w:hAnsi="Calibri"/>
                <w:b w:val="0"/>
                <w:i w:val="0"/>
                <w:color w:val="212121"/>
                <w:sz w:val="16"/>
              </w:rPr>
              <w:t>Age-appropriate reference titre</w:t>
            </w:r>
          </w:p>
        </w:tc>
        <w:tc>
          <w:tcPr>
            <w:tcW w:type="dxa" w:w="950"/>
            <w:vAlign w:val="top"/>
          </w:tcPr>
          <w:p>
            <w:pPr>
              <w:spacing w:after="40" w:before="0" w:line="259" w:lineRule="auto"/>
            </w:pPr>
            <w:r>
              <w:rPr>
                <w:rFonts w:ascii="Calibri" w:hAnsi="Calibri"/>
                <w:b w:val="0"/>
                <w:i w:val="0"/>
                <w:color w:val="212121"/>
                <w:sz w:val="16"/>
              </w:rPr>
              <w:t>Raised or rising titres</w:t>
            </w:r>
          </w:p>
        </w:tc>
        <w:tc>
          <w:tcPr>
            <w:tcW w:type="dxa" w:w="1036"/>
            <w:vAlign w:val="top"/>
          </w:tcPr>
          <w:p>
            <w:pPr>
              <w:spacing w:after="40" w:before="0" w:line="259" w:lineRule="auto"/>
            </w:pPr>
            <w:r>
              <w:rPr>
                <w:rFonts w:ascii="Calibri" w:hAnsi="Calibri"/>
                <w:b w:val="0"/>
                <w:i w:val="0"/>
                <w:color w:val="212121"/>
                <w:sz w:val="16"/>
              </w:rPr>
              <w:t>Evidence of preceding group A streptococcal infection (supports ARF)</w:t>
            </w:r>
          </w:p>
        </w:tc>
        <w:tc>
          <w:tcPr>
            <w:tcW w:type="dxa" w:w="1036"/>
            <w:vAlign w:val="top"/>
          </w:tcPr>
          <w:p>
            <w:pPr>
              <w:spacing w:after="40" w:before="0" w:line="259" w:lineRule="auto"/>
            </w:pPr>
            <w:r>
              <w:rPr>
                <w:rFonts w:ascii="Calibri" w:hAnsi="Calibri"/>
                <w:b w:val="0"/>
                <w:i w:val="0"/>
                <w:color w:val="212121"/>
                <w:sz w:val="16"/>
              </w:rPr>
              <w:t>Suspected acute rheumatic fever</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Titres peak ~3–6 weeks after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Group A streptococcus</w:t>
            </w:r>
          </w:p>
        </w:tc>
        <w:tc>
          <w:tcPr>
            <w:tcW w:type="dxa" w:w="892"/>
            <w:vAlign w:val="top"/>
          </w:tcPr>
          <w:p>
            <w:pPr>
              <w:spacing w:after="40" w:before="0" w:line="259" w:lineRule="auto"/>
            </w:pPr>
            <w:r>
              <w:rPr>
                <w:rFonts w:ascii="Calibri" w:hAnsi="Calibri"/>
                <w:b w:val="0"/>
                <w:i w:val="0"/>
                <w:color w:val="212121"/>
                <w:sz w:val="16"/>
              </w:rPr>
              <w:t>Throat swab culture / rapid antigen test</w:t>
            </w:r>
          </w:p>
        </w:tc>
        <w:tc>
          <w:tcPr>
            <w:tcW w:type="dxa" w:w="950"/>
            <w:vAlign w:val="top"/>
          </w:tcPr>
          <w:p>
            <w:pPr>
              <w:spacing w:after="40" w:before="0" w:line="259" w:lineRule="auto"/>
            </w:pPr>
            <w:r>
              <w:rPr>
                <w:rFonts w:ascii="Calibri" w:hAnsi="Calibri"/>
                <w:b w:val="0"/>
                <w:i w:val="0"/>
                <w:color w:val="212121"/>
                <w:sz w:val="16"/>
              </w:rPr>
              <w:t>No GAS isolated</w:t>
            </w:r>
          </w:p>
        </w:tc>
        <w:tc>
          <w:tcPr>
            <w:tcW w:type="dxa" w:w="950"/>
            <w:vAlign w:val="top"/>
          </w:tcPr>
          <w:p>
            <w:pPr>
              <w:spacing w:after="40" w:before="0" w:line="259" w:lineRule="auto"/>
            </w:pPr>
            <w:r>
              <w:rPr>
                <w:rFonts w:ascii="Calibri" w:hAnsi="Calibri"/>
                <w:b w:val="0"/>
                <w:i w:val="0"/>
                <w:color w:val="212121"/>
                <w:sz w:val="16"/>
              </w:rPr>
              <w:t>GAS isolated</w:t>
            </w:r>
          </w:p>
        </w:tc>
        <w:tc>
          <w:tcPr>
            <w:tcW w:type="dxa" w:w="1036"/>
            <w:vAlign w:val="top"/>
          </w:tcPr>
          <w:p>
            <w:pPr>
              <w:spacing w:after="40" w:before="0" w:line="259" w:lineRule="auto"/>
            </w:pPr>
            <w:r>
              <w:rPr>
                <w:rFonts w:ascii="Calibri" w:hAnsi="Calibri"/>
                <w:b w:val="0"/>
                <w:i w:val="0"/>
                <w:color w:val="212121"/>
                <w:sz w:val="16"/>
              </w:rPr>
              <w:t>Confirms active or recent streptococcal pharyngitis</w:t>
            </w:r>
          </w:p>
        </w:tc>
        <w:tc>
          <w:tcPr>
            <w:tcW w:type="dxa" w:w="1036"/>
            <w:vAlign w:val="top"/>
          </w:tcPr>
          <w:p>
            <w:pPr>
              <w:spacing w:after="40" w:before="0" w:line="259" w:lineRule="auto"/>
            </w:pPr>
            <w:r>
              <w:rPr>
                <w:rFonts w:ascii="Calibri" w:hAnsi="Calibri"/>
                <w:b w:val="0"/>
                <w:i w:val="0"/>
                <w:color w:val="212121"/>
                <w:sz w:val="16"/>
              </w:rPr>
              <w:t>Children with pharyngitis, suspected ARF</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primary antibiotic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C-reactive protein</w:t>
            </w:r>
          </w:p>
        </w:tc>
        <w:tc>
          <w:tcPr>
            <w:tcW w:type="dxa" w:w="892"/>
            <w:vAlign w:val="top"/>
          </w:tcPr>
          <w:p>
            <w:pPr>
              <w:spacing w:after="40" w:before="0" w:line="259" w:lineRule="auto"/>
            </w:pPr>
            <w:r>
              <w:rPr>
                <w:rFonts w:ascii="Calibri" w:hAnsi="Calibri"/>
                <w:b w:val="0"/>
                <w:i w:val="0"/>
                <w:color w:val="212121"/>
                <w:sz w:val="16"/>
              </w:rPr>
              <w:t>Acute-phase reactants</w:t>
            </w:r>
          </w:p>
        </w:tc>
        <w:tc>
          <w:tcPr>
            <w:tcW w:type="dxa" w:w="950"/>
            <w:vAlign w:val="top"/>
          </w:tcPr>
          <w:p>
            <w:pPr>
              <w:spacing w:after="40" w:before="0" w:line="259" w:lineRule="auto"/>
            </w:pPr>
            <w:r>
              <w:rPr>
                <w:rFonts w:ascii="Calibri" w:hAnsi="Calibri"/>
                <w:b w:val="0"/>
                <w:i w:val="0"/>
                <w:color w:val="212121"/>
                <w:sz w:val="16"/>
              </w:rPr>
              <w:t>Normal ESR/CRP</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Indicate active rheumatic inflammation/carditis (minor Jones criteria)</w:t>
            </w:r>
          </w:p>
        </w:tc>
        <w:tc>
          <w:tcPr>
            <w:tcW w:type="dxa" w:w="1036"/>
            <w:vAlign w:val="top"/>
          </w:tcPr>
          <w:p>
            <w:pPr>
              <w:spacing w:after="40" w:before="0" w:line="259" w:lineRule="auto"/>
            </w:pPr>
            <w:r>
              <w:rPr>
                <w:rFonts w:ascii="Calibri" w:hAnsi="Calibri"/>
                <w:b w:val="0"/>
                <w:i w:val="0"/>
                <w:color w:val="212121"/>
                <w:sz w:val="16"/>
              </w:rPr>
              <w:t>Suspected or active ARF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Used to monitor disease activity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Cardiac size, LA enlargement, pulmonary congestion</w:t>
            </w:r>
          </w:p>
        </w:tc>
        <w:tc>
          <w:tcPr>
            <w:tcW w:type="dxa" w:w="892"/>
            <w:vAlign w:val="top"/>
          </w:tcPr>
          <w:p>
            <w:pPr>
              <w:spacing w:after="40" w:before="0" w:line="259" w:lineRule="auto"/>
            </w:pPr>
            <w:r>
              <w:rPr>
                <w:rFonts w:ascii="Calibri" w:hAnsi="Calibri"/>
                <w:b w:val="0"/>
                <w:i w:val="0"/>
                <w:color w:val="212121"/>
                <w:sz w:val="16"/>
              </w:rPr>
              <w:t>Chest radiograph</w:t>
            </w:r>
          </w:p>
        </w:tc>
        <w:tc>
          <w:tcPr>
            <w:tcW w:type="dxa" w:w="950"/>
            <w:vAlign w:val="top"/>
          </w:tcPr>
          <w:p>
            <w:pPr>
              <w:spacing w:after="40" w:before="0" w:line="259" w:lineRule="auto"/>
            </w:pPr>
            <w:r>
              <w:rPr>
                <w:rFonts w:ascii="Calibri" w:hAnsi="Calibri"/>
                <w:b w:val="0"/>
                <w:i w:val="0"/>
                <w:color w:val="212121"/>
                <w:sz w:val="16"/>
              </w:rPr>
              <w:t>Normal cardiac silhouette</w:t>
            </w:r>
          </w:p>
        </w:tc>
        <w:tc>
          <w:tcPr>
            <w:tcW w:type="dxa" w:w="950"/>
            <w:vAlign w:val="top"/>
          </w:tcPr>
          <w:p>
            <w:pPr>
              <w:spacing w:after="40" w:before="0" w:line="259" w:lineRule="auto"/>
            </w:pPr>
            <w:r>
              <w:rPr>
                <w:rFonts w:ascii="Calibri" w:hAnsi="Calibri"/>
                <w:b w:val="0"/>
                <w:i w:val="0"/>
                <w:color w:val="212121"/>
                <w:sz w:val="16"/>
              </w:rPr>
              <w:t>Cardiomegaly, LA enlargement, upper-lobe diversion/pulmonary oedema</w:t>
            </w:r>
          </w:p>
        </w:tc>
        <w:tc>
          <w:tcPr>
            <w:tcW w:type="dxa" w:w="1036"/>
            <w:vAlign w:val="top"/>
          </w:tcPr>
          <w:p>
            <w:pPr>
              <w:spacing w:after="40" w:before="0" w:line="259" w:lineRule="auto"/>
            </w:pPr>
            <w:r>
              <w:rPr>
                <w:rFonts w:ascii="Calibri" w:hAnsi="Calibri"/>
                <w:b w:val="0"/>
                <w:i w:val="0"/>
                <w:color w:val="212121"/>
                <w:sz w:val="16"/>
              </w:rPr>
              <w:t>Assesses chamber enlargement and heart failure</w:t>
            </w:r>
          </w:p>
        </w:tc>
        <w:tc>
          <w:tcPr>
            <w:tcW w:type="dxa" w:w="1036"/>
            <w:vAlign w:val="top"/>
          </w:tcPr>
          <w:p>
            <w:pPr>
              <w:spacing w:after="40" w:before="0" w:line="259" w:lineRule="auto"/>
            </w:pPr>
            <w:r>
              <w:rPr>
                <w:rFonts w:ascii="Calibri" w:hAnsi="Calibri"/>
                <w:b w:val="0"/>
                <w:i w:val="0"/>
                <w:color w:val="212121"/>
                <w:sz w:val="16"/>
              </w:rPr>
              <w:t>RHD with dyspnoea, heart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Straightening of the left heart border suggests LA enlargement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 white cell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leukocytosis</w:t>
            </w:r>
          </w:p>
        </w:tc>
        <w:tc>
          <w:tcPr>
            <w:tcW w:type="dxa" w:w="1036"/>
            <w:vAlign w:val="top"/>
          </w:tcPr>
          <w:p>
            <w:pPr>
              <w:spacing w:after="40" w:before="0" w:line="259" w:lineRule="auto"/>
            </w:pPr>
            <w:r>
              <w:rPr>
                <w:rFonts w:ascii="Calibri" w:hAnsi="Calibri"/>
                <w:b w:val="0"/>
                <w:i w:val="0"/>
                <w:color w:val="212121"/>
                <w:sz w:val="16"/>
              </w:rPr>
              <w:t>Anaemia worsens symptoms; leukocytosis may indicate endocarditis</w:t>
            </w:r>
          </w:p>
        </w:tc>
        <w:tc>
          <w:tcPr>
            <w:tcW w:type="dxa" w:w="1036"/>
            <w:vAlign w:val="top"/>
          </w:tcPr>
          <w:p>
            <w:pPr>
              <w:spacing w:after="40" w:before="0" w:line="259" w:lineRule="auto"/>
            </w:pPr>
            <w:r>
              <w:rPr>
                <w:rFonts w:ascii="Calibri" w:hAnsi="Calibri"/>
                <w:b w:val="0"/>
                <w:i w:val="0"/>
                <w:color w:val="212121"/>
                <w:sz w:val="16"/>
              </w:rPr>
              <w:t>RHD patients, suspected infective endocarditis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anaemia to improve functional status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Causative organisms</w:t>
            </w:r>
          </w:p>
        </w:tc>
        <w:tc>
          <w:tcPr>
            <w:tcW w:type="dxa" w:w="892"/>
            <w:vAlign w:val="top"/>
          </w:tcPr>
          <w:p>
            <w:pPr>
              <w:spacing w:after="40" w:before="0" w:line="259" w:lineRule="auto"/>
            </w:pPr>
            <w:r>
              <w:rPr>
                <w:rFonts w:ascii="Calibri" w:hAnsi="Calibri"/>
                <w:b w:val="0"/>
                <w:i w:val="0"/>
                <w:color w:val="212121"/>
                <w:sz w:val="16"/>
              </w:rPr>
              <w:t>Blood cultures</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Persistent bacteraemia (e.g., viridans streptococci)</w:t>
            </w:r>
          </w:p>
        </w:tc>
        <w:tc>
          <w:tcPr>
            <w:tcW w:type="dxa" w:w="1036"/>
            <w:vAlign w:val="top"/>
          </w:tcPr>
          <w:p>
            <w:pPr>
              <w:spacing w:after="40" w:before="0" w:line="259" w:lineRule="auto"/>
            </w:pPr>
            <w:r>
              <w:rPr>
                <w:rFonts w:ascii="Calibri" w:hAnsi="Calibri"/>
                <w:b w:val="0"/>
                <w:i w:val="0"/>
                <w:color w:val="212121"/>
                <w:sz w:val="16"/>
              </w:rPr>
              <w:t>Diagnoses infective endocarditis on damaged valves</w:t>
            </w:r>
          </w:p>
        </w:tc>
        <w:tc>
          <w:tcPr>
            <w:tcW w:type="dxa" w:w="1036"/>
            <w:vAlign w:val="top"/>
          </w:tcPr>
          <w:p>
            <w:pPr>
              <w:spacing w:after="40" w:before="0" w:line="259" w:lineRule="auto"/>
            </w:pPr>
            <w:r>
              <w:rPr>
                <w:rFonts w:ascii="Calibri" w:hAnsi="Calibri"/>
                <w:b w:val="0"/>
                <w:i w:val="0"/>
                <w:color w:val="212121"/>
                <w:sz w:val="16"/>
              </w:rPr>
              <w:t>RHD with fever, new murmur, embolic events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Take three sets before starting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INR / prothrombin time</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~1.0 off treatment</w:t>
            </w:r>
          </w:p>
        </w:tc>
        <w:tc>
          <w:tcPr>
            <w:tcW w:type="dxa" w:w="950"/>
            <w:vAlign w:val="top"/>
          </w:tcPr>
          <w:p>
            <w:pPr>
              <w:spacing w:after="40" w:before="0" w:line="259" w:lineRule="auto"/>
            </w:pPr>
            <w:r>
              <w:rPr>
                <w:rFonts w:ascii="Calibri" w:hAnsi="Calibri"/>
                <w:b w:val="0"/>
                <w:i w:val="0"/>
                <w:color w:val="212121"/>
                <w:sz w:val="16"/>
              </w:rPr>
              <w:t>Sub- or supratherapeutic on warfarin</w:t>
            </w:r>
          </w:p>
        </w:tc>
        <w:tc>
          <w:tcPr>
            <w:tcW w:type="dxa" w:w="1036"/>
            <w:vAlign w:val="top"/>
          </w:tcPr>
          <w:p>
            <w:pPr>
              <w:spacing w:after="40" w:before="0" w:line="259" w:lineRule="auto"/>
            </w:pPr>
            <w:r>
              <w:rPr>
                <w:rFonts w:ascii="Calibri" w:hAnsi="Calibri"/>
                <w:b w:val="0"/>
                <w:i w:val="0"/>
                <w:color w:val="212121"/>
                <w:sz w:val="16"/>
              </w:rPr>
              <w:t>Monitors vitamin-K-antagonist anticoagulation for valvular AF/mechanical valve</w:t>
            </w:r>
          </w:p>
        </w:tc>
        <w:tc>
          <w:tcPr>
            <w:tcW w:type="dxa" w:w="1036"/>
            <w:vAlign w:val="top"/>
          </w:tcPr>
          <w:p>
            <w:pPr>
              <w:spacing w:after="40" w:before="0" w:line="259" w:lineRule="auto"/>
            </w:pPr>
            <w:r>
              <w:rPr>
                <w:rFonts w:ascii="Calibri" w:hAnsi="Calibri"/>
                <w:b w:val="0"/>
                <w:i w:val="0"/>
                <w:color w:val="212121"/>
                <w:sz w:val="16"/>
              </w:rPr>
              <w:t>Valvular AF, mechanical valve, warfarin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Target INR 2.5–3.5 for mechanical mitral valves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Exertional breathlessness, palpitations, fatigue, orthopnoea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Reflect valve dysfunction and heart-failure severity (NYHA class)</w:t>
            </w:r>
          </w:p>
        </w:tc>
        <w:tc>
          <w:tcPr>
            <w:tcW w:type="dxa" w:w="1036"/>
            <w:vAlign w:val="top"/>
          </w:tcPr>
          <w:p>
            <w:pPr>
              <w:spacing w:after="40" w:before="0" w:line="259" w:lineRule="auto"/>
            </w:pPr>
            <w:r>
              <w:rPr>
                <w:rFonts w:ascii="Calibri" w:hAnsi="Calibri"/>
                <w:b w:val="0"/>
                <w:i w:val="0"/>
                <w:color w:val="212121"/>
                <w:sz w:val="16"/>
              </w:rPr>
              <w:t>RHD patients, prior ARF</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 onset is often in young adulthood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Rheumatic fever history</w:t>
            </w:r>
          </w:p>
        </w:tc>
        <w:tc>
          <w:tcPr>
            <w:tcW w:type="dxa" w:w="979"/>
            <w:vAlign w:val="top"/>
          </w:tcPr>
          <w:p>
            <w:pPr>
              <w:spacing w:after="40" w:before="0" w:line="259" w:lineRule="auto"/>
            </w:pPr>
            <w:r>
              <w:rPr>
                <w:rFonts w:ascii="Calibri" w:hAnsi="Calibri"/>
                <w:b w:val="0"/>
                <w:i w:val="0"/>
                <w:color w:val="212121"/>
                <w:sz w:val="16"/>
              </w:rPr>
              <w:t>Prior migratory arthritis, chorea, carditis, recurrent sore throats</w:t>
            </w:r>
          </w:p>
        </w:tc>
        <w:tc>
          <w:tcPr>
            <w:tcW w:type="dxa" w:w="950"/>
            <w:vAlign w:val="top"/>
          </w:tcPr>
          <w:p>
            <w:pPr>
              <w:spacing w:after="40" w:before="0" w:line="259" w:lineRule="auto"/>
            </w:pPr>
            <w:r>
              <w:rPr>
                <w:rFonts w:ascii="Calibri" w:hAnsi="Calibri"/>
                <w:b w:val="0"/>
                <w:i w:val="0"/>
                <w:color w:val="212121"/>
                <w:sz w:val="16"/>
              </w:rPr>
              <w:t>No ARF history</w:t>
            </w:r>
          </w:p>
        </w:tc>
        <w:tc>
          <w:tcPr>
            <w:tcW w:type="dxa" w:w="950"/>
            <w:vAlign w:val="top"/>
          </w:tcPr>
          <w:p>
            <w:pPr>
              <w:spacing w:after="40" w:before="0" w:line="259" w:lineRule="auto"/>
            </w:pPr>
            <w:r>
              <w:rPr>
                <w:rFonts w:ascii="Calibri" w:hAnsi="Calibri"/>
                <w:b w:val="0"/>
                <w:i w:val="0"/>
                <w:color w:val="212121"/>
                <w:sz w:val="16"/>
              </w:rPr>
              <w:t>Past ARF or recurrent pharyngitis</w:t>
            </w:r>
          </w:p>
        </w:tc>
        <w:tc>
          <w:tcPr>
            <w:tcW w:type="dxa" w:w="1036"/>
            <w:vAlign w:val="top"/>
          </w:tcPr>
          <w:p>
            <w:pPr>
              <w:spacing w:after="40" w:before="0" w:line="259" w:lineRule="auto"/>
            </w:pPr>
            <w:r>
              <w:rPr>
                <w:rFonts w:ascii="Calibri" w:hAnsi="Calibri"/>
                <w:b w:val="0"/>
                <w:i w:val="0"/>
                <w:color w:val="212121"/>
                <w:sz w:val="16"/>
              </w:rPr>
              <w:t>Supports rheumatic aetiology (revised Jones criteria)</w:t>
            </w:r>
          </w:p>
        </w:tc>
        <w:tc>
          <w:tcPr>
            <w:tcW w:type="dxa" w:w="1036"/>
            <w:vAlign w:val="top"/>
          </w:tcPr>
          <w:p>
            <w:pPr>
              <w:spacing w:after="40" w:before="0" w:line="259" w:lineRule="auto"/>
            </w:pPr>
            <w:r>
              <w:rPr>
                <w:rFonts w:ascii="Calibri" w:hAnsi="Calibri"/>
                <w:b w:val="0"/>
                <w:i w:val="0"/>
                <w:color w:val="212121"/>
                <w:sz w:val="16"/>
              </w:rPr>
              <w:t>Suspected RHD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specifically about penicillin prophylaxis adherence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Murmurs and added sounds</w:t>
            </w:r>
          </w:p>
        </w:tc>
        <w:tc>
          <w:tcPr>
            <w:tcW w:type="dxa" w:w="950"/>
            <w:vAlign w:val="top"/>
          </w:tcPr>
          <w:p>
            <w:pPr>
              <w:spacing w:after="40" w:before="0" w:line="259" w:lineRule="auto"/>
            </w:pPr>
            <w:r>
              <w:rPr>
                <w:rFonts w:ascii="Calibri" w:hAnsi="Calibri"/>
                <w:b w:val="0"/>
                <w:i w:val="0"/>
                <w:color w:val="212121"/>
                <w:sz w:val="16"/>
              </w:rPr>
              <w:t>Normal heart sounds</w:t>
            </w:r>
          </w:p>
        </w:tc>
        <w:tc>
          <w:tcPr>
            <w:tcW w:type="dxa" w:w="950"/>
            <w:vAlign w:val="top"/>
          </w:tcPr>
          <w:p>
            <w:pPr>
              <w:spacing w:after="40" w:before="0" w:line="259" w:lineRule="auto"/>
            </w:pPr>
            <w:r>
              <w:rPr>
                <w:rFonts w:ascii="Calibri" w:hAnsi="Calibri"/>
                <w:b w:val="0"/>
                <w:i w:val="0"/>
                <w:color w:val="212121"/>
                <w:sz w:val="16"/>
              </w:rPr>
              <w:t>Loud S1 + opening snap + mid-diastolic rumble (MS); apical pansystolic murmur → axilla (MR); early diastolic murmur (AR)</w:t>
            </w:r>
          </w:p>
        </w:tc>
        <w:tc>
          <w:tcPr>
            <w:tcW w:type="dxa" w:w="1036"/>
            <w:vAlign w:val="top"/>
          </w:tcPr>
          <w:p>
            <w:pPr>
              <w:spacing w:after="40" w:before="0" w:line="259" w:lineRule="auto"/>
            </w:pPr>
            <w:r>
              <w:rPr>
                <w:rFonts w:ascii="Calibri" w:hAnsi="Calibri"/>
                <w:b w:val="0"/>
                <w:i w:val="0"/>
                <w:color w:val="212121"/>
                <w:sz w:val="16"/>
              </w:rPr>
              <w:t>Identifies the specific valve lesion(s)</w:t>
            </w:r>
          </w:p>
        </w:tc>
        <w:tc>
          <w:tcPr>
            <w:tcW w:type="dxa" w:w="1036"/>
            <w:vAlign w:val="top"/>
          </w:tcPr>
          <w:p>
            <w:pPr>
              <w:spacing w:after="40" w:before="0" w:line="259" w:lineRule="auto"/>
            </w:pPr>
            <w:r>
              <w:rPr>
                <w:rFonts w:ascii="Calibri" w:hAnsi="Calibri"/>
                <w:b w:val="0"/>
                <w:i w:val="0"/>
                <w:color w:val="212121"/>
                <w:sz w:val="16"/>
              </w:rPr>
              <w:t>All suspected RHD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(bedside)</w:t>
            </w:r>
          </w:p>
        </w:tc>
        <w:tc>
          <w:tcPr>
            <w:tcW w:type="dxa" w:w="720"/>
            <w:vAlign w:val="top"/>
          </w:tcPr>
          <w:p>
            <w:pPr>
              <w:spacing w:after="40" w:before="0" w:line="259" w:lineRule="auto"/>
            </w:pPr>
            <w:r>
              <w:rPr>
                <w:rFonts w:ascii="Calibri" w:hAnsi="Calibri"/>
                <w:b w:val="0"/>
                <w:i w:val="0"/>
                <w:color w:val="212121"/>
                <w:sz w:val="16"/>
              </w:rPr>
              <w:t>Auscultation misses subclinical disease — confirm with echocardiography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Pulse &amp; precordium</w:t>
            </w:r>
          </w:p>
        </w:tc>
        <w:tc>
          <w:tcPr>
            <w:tcW w:type="dxa" w:w="979"/>
            <w:vAlign w:val="top"/>
          </w:tcPr>
          <w:p>
            <w:pPr>
              <w:spacing w:after="40" w:before="0" w:line="259" w:lineRule="auto"/>
            </w:pPr>
            <w:r>
              <w:rPr>
                <w:rFonts w:ascii="Calibri" w:hAnsi="Calibri"/>
                <w:b w:val="0"/>
                <w:i w:val="0"/>
                <w:color w:val="212121"/>
                <w:sz w:val="16"/>
              </w:rPr>
              <w:t>Rhythm, apex beat, heaves/thrills</w:t>
            </w:r>
          </w:p>
        </w:tc>
        <w:tc>
          <w:tcPr>
            <w:tcW w:type="dxa" w:w="950"/>
            <w:vAlign w:val="top"/>
          </w:tcPr>
          <w:p>
            <w:pPr>
              <w:spacing w:after="40" w:before="0" w:line="259" w:lineRule="auto"/>
            </w:pPr>
            <w:r>
              <w:rPr>
                <w:rFonts w:ascii="Calibri" w:hAnsi="Calibri"/>
                <w:b w:val="0"/>
                <w:i w:val="0"/>
                <w:color w:val="212121"/>
                <w:sz w:val="16"/>
              </w:rPr>
              <w:t>Regular pulse, undisplaced apex</w:t>
            </w:r>
          </w:p>
        </w:tc>
        <w:tc>
          <w:tcPr>
            <w:tcW w:type="dxa" w:w="950"/>
            <w:vAlign w:val="top"/>
          </w:tcPr>
          <w:p>
            <w:pPr>
              <w:spacing w:after="40" w:before="0" w:line="259" w:lineRule="auto"/>
            </w:pPr>
            <w:r>
              <w:rPr>
                <w:rFonts w:ascii="Calibri" w:hAnsi="Calibri"/>
                <w:b w:val="0"/>
                <w:i w:val="0"/>
                <w:color w:val="212121"/>
                <w:sz w:val="16"/>
              </w:rPr>
              <w:t>Irregularly irregular pulse (AF); tapping apex (MS); displaced apex (MR/AR); left parasternal heave (pulmonary HTN)</w:t>
            </w:r>
          </w:p>
        </w:tc>
        <w:tc>
          <w:tcPr>
            <w:tcW w:type="dxa" w:w="1036"/>
            <w:vAlign w:val="top"/>
          </w:tcPr>
          <w:p>
            <w:pPr>
              <w:spacing w:after="40" w:before="0" w:line="259" w:lineRule="auto"/>
            </w:pPr>
            <w:r>
              <w:rPr>
                <w:rFonts w:ascii="Calibri" w:hAnsi="Calibri"/>
                <w:b w:val="0"/>
                <w:i w:val="0"/>
                <w:color w:val="212121"/>
                <w:sz w:val="16"/>
              </w:rPr>
              <w:t>Detects AF, chamber enlargement and pulmonary hypertension</w:t>
            </w:r>
          </w:p>
        </w:tc>
        <w:tc>
          <w:tcPr>
            <w:tcW w:type="dxa" w:w="1036"/>
            <w:vAlign w:val="top"/>
          </w:tcPr>
          <w:p>
            <w:pPr>
              <w:spacing w:after="40" w:before="0" w:line="259" w:lineRule="auto"/>
            </w:pPr>
            <w:r>
              <w:rPr>
                <w:rFonts w:ascii="Calibri" w:hAnsi="Calibri"/>
                <w:b w:val="0"/>
                <w:i w:val="0"/>
                <w:color w:val="212121"/>
                <w:sz w:val="16"/>
              </w:rPr>
              <w:t>RHD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 irregular pulse warrants an ECG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Peripheral &amp; general signs</w:t>
            </w:r>
          </w:p>
        </w:tc>
        <w:tc>
          <w:tcPr>
            <w:tcW w:type="dxa" w:w="979"/>
            <w:vAlign w:val="top"/>
          </w:tcPr>
          <w:p>
            <w:pPr>
              <w:spacing w:after="40" w:before="0" w:line="259" w:lineRule="auto"/>
            </w:pPr>
            <w:r>
              <w:rPr>
                <w:rFonts w:ascii="Calibri" w:hAnsi="Calibri"/>
                <w:b w:val="0"/>
                <w:i w:val="0"/>
                <w:color w:val="212121"/>
                <w:sz w:val="16"/>
              </w:rPr>
              <w:t>Malar flush, cyanosis, JVP, oedema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Mitral facies (malar flush), raised JVP, hepatomegaly, ankle oedema</w:t>
            </w:r>
          </w:p>
        </w:tc>
        <w:tc>
          <w:tcPr>
            <w:tcW w:type="dxa" w:w="1036"/>
            <w:vAlign w:val="top"/>
          </w:tcPr>
          <w:p>
            <w:pPr>
              <w:spacing w:after="40" w:before="0" w:line="259" w:lineRule="auto"/>
            </w:pPr>
            <w:r>
              <w:rPr>
                <w:rFonts w:ascii="Calibri" w:hAnsi="Calibri"/>
                <w:b w:val="0"/>
                <w:i w:val="0"/>
                <w:color w:val="212121"/>
                <w:sz w:val="16"/>
              </w:rPr>
              <w:t>Indicate severe mitral disease and right heart failure</w:t>
            </w:r>
          </w:p>
        </w:tc>
        <w:tc>
          <w:tcPr>
            <w:tcW w:type="dxa" w:w="1036"/>
            <w:vAlign w:val="top"/>
          </w:tcPr>
          <w:p>
            <w:pPr>
              <w:spacing w:after="40" w:before="0" w:line="259" w:lineRule="auto"/>
            </w:pPr>
            <w:r>
              <w:rPr>
                <w:rFonts w:ascii="Calibri" w:hAnsi="Calibri"/>
                <w:b w:val="0"/>
                <w:i w:val="0"/>
                <w:color w:val="212121"/>
                <w:sz w:val="16"/>
              </w:rPr>
              <w:t>Advanced RHD, heart failure</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Congestion signs guide diuretic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social history</w:t>
            </w:r>
          </w:p>
        </w:tc>
        <w:tc>
          <w:tcPr>
            <w:tcW w:type="dxa" w:w="979"/>
            <w:vAlign w:val="top"/>
          </w:tcPr>
          <w:p>
            <w:pPr>
              <w:spacing w:after="40" w:before="0" w:line="259" w:lineRule="auto"/>
            </w:pPr>
            <w:r>
              <w:rPr>
                <w:rFonts w:ascii="Calibri" w:hAnsi="Calibri"/>
                <w:b w:val="0"/>
                <w:i w:val="0"/>
                <w:color w:val="212121"/>
                <w:sz w:val="16"/>
              </w:rPr>
              <w:t>Household crowding, family ARF/RHD, socioeconomic status</w:t>
            </w:r>
          </w:p>
        </w:tc>
        <w:tc>
          <w:tcPr>
            <w:tcW w:type="dxa" w:w="950"/>
            <w:vAlign w:val="top"/>
          </w:tcPr>
          <w:p>
            <w:pPr>
              <w:spacing w:after="40" w:before="0" w:line="259" w:lineRule="auto"/>
            </w:pPr>
            <w:r>
              <w:rPr>
                <w:rFonts w:ascii="Calibri" w:hAnsi="Calibri"/>
                <w:b w:val="0"/>
                <w:i w:val="0"/>
                <w:color w:val="212121"/>
                <w:sz w:val="16"/>
              </w:rPr>
              <w:t>No family history, adequate housing</w:t>
            </w:r>
          </w:p>
        </w:tc>
        <w:tc>
          <w:tcPr>
            <w:tcW w:type="dxa" w:w="950"/>
            <w:vAlign w:val="top"/>
          </w:tcPr>
          <w:p>
            <w:pPr>
              <w:spacing w:after="40" w:before="0" w:line="259" w:lineRule="auto"/>
            </w:pPr>
            <w:r>
              <w:rPr>
                <w:rFonts w:ascii="Calibri" w:hAnsi="Calibri"/>
                <w:b w:val="0"/>
                <w:i w:val="0"/>
                <w:color w:val="212121"/>
                <w:sz w:val="16"/>
              </w:rPr>
              <w:t>Affected relatives, overcrowding, low socioeconomic status</w:t>
            </w:r>
          </w:p>
        </w:tc>
        <w:tc>
          <w:tcPr>
            <w:tcW w:type="dxa" w:w="1036"/>
            <w:vAlign w:val="top"/>
          </w:tcPr>
          <w:p>
            <w:pPr>
              <w:spacing w:after="40" w:before="0" w:line="259" w:lineRule="auto"/>
            </w:pPr>
            <w:r>
              <w:rPr>
                <w:rFonts w:ascii="Calibri" w:hAnsi="Calibri"/>
                <w:b w:val="0"/>
                <w:i w:val="0"/>
                <w:color w:val="212121"/>
                <w:sz w:val="16"/>
              </w:rPr>
              <w:t>Identifies an at-risk household and prompts sibling screening</w:t>
            </w:r>
          </w:p>
        </w:tc>
        <w:tc>
          <w:tcPr>
            <w:tcW w:type="dxa" w:w="1036"/>
            <w:vAlign w:val="top"/>
          </w:tcPr>
          <w:p>
            <w:pPr>
              <w:spacing w:after="40" w:before="0" w:line="259" w:lineRule="auto"/>
            </w:pPr>
            <w:r>
              <w:rPr>
                <w:rFonts w:ascii="Calibri" w:hAnsi="Calibri"/>
                <w:b w:val="0"/>
                <w:i w:val="0"/>
                <w:color w:val="212121"/>
                <w:sz w:val="16"/>
              </w:rPr>
              <w:t>Children in endemic communities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Screen family members and address housing where possible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infective endocarditis</w:t>
            </w:r>
          </w:p>
        </w:tc>
        <w:tc>
          <w:tcPr>
            <w:tcW w:type="dxa" w:w="979"/>
            <w:vAlign w:val="top"/>
          </w:tcPr>
          <w:p>
            <w:pPr>
              <w:spacing w:after="40" w:before="0" w:line="259" w:lineRule="auto"/>
            </w:pPr>
            <w:r>
              <w:rPr>
                <w:rFonts w:ascii="Calibri" w:hAnsi="Calibri"/>
                <w:b w:val="0"/>
                <w:i w:val="0"/>
                <w:color w:val="212121"/>
                <w:sz w:val="16"/>
              </w:rPr>
              <w:t>Fever, new/changed murmur, embolic stigmata</w:t>
            </w:r>
          </w:p>
        </w:tc>
        <w:tc>
          <w:tcPr>
            <w:tcW w:type="dxa" w:w="950"/>
            <w:vAlign w:val="top"/>
          </w:tcPr>
          <w:p>
            <w:pPr>
              <w:spacing w:after="40" w:before="0" w:line="259" w:lineRule="auto"/>
            </w:pPr>
            <w:r>
              <w:rPr>
                <w:rFonts w:ascii="Calibri" w:hAnsi="Calibri"/>
                <w:b w:val="0"/>
                <w:i w:val="0"/>
                <w:color w:val="212121"/>
                <w:sz w:val="16"/>
              </w:rPr>
              <w:t>Afebrile, stable murmur</w:t>
            </w:r>
          </w:p>
        </w:tc>
        <w:tc>
          <w:tcPr>
            <w:tcW w:type="dxa" w:w="950"/>
            <w:vAlign w:val="top"/>
          </w:tcPr>
          <w:p>
            <w:pPr>
              <w:spacing w:after="40" w:before="0" w:line="259" w:lineRule="auto"/>
            </w:pPr>
            <w:r>
              <w:rPr>
                <w:rFonts w:ascii="Calibri" w:hAnsi="Calibri"/>
                <w:b w:val="0"/>
                <w:i w:val="0"/>
                <w:color w:val="212121"/>
                <w:sz w:val="16"/>
              </w:rPr>
              <w:t>Splinter haemorrhages, Osler nodes, Janeway lesions, Roth spots, new regurgitation</w:t>
            </w:r>
          </w:p>
        </w:tc>
        <w:tc>
          <w:tcPr>
            <w:tcW w:type="dxa" w:w="1036"/>
            <w:vAlign w:val="top"/>
          </w:tcPr>
          <w:p>
            <w:pPr>
              <w:spacing w:after="40" w:before="0" w:line="259" w:lineRule="auto"/>
            </w:pPr>
            <w:r>
              <w:rPr>
                <w:rFonts w:ascii="Calibri" w:hAnsi="Calibri"/>
                <w:b w:val="0"/>
                <w:i w:val="0"/>
                <w:color w:val="212121"/>
                <w:sz w:val="16"/>
              </w:rPr>
              <w:t>Endocarditis on damaged valves is a medical emergency</w:t>
            </w:r>
          </w:p>
        </w:tc>
        <w:tc>
          <w:tcPr>
            <w:tcW w:type="dxa" w:w="1036"/>
            <w:vAlign w:val="top"/>
          </w:tcPr>
          <w:p>
            <w:pPr>
              <w:spacing w:after="40" w:before="0" w:line="259" w:lineRule="auto"/>
            </w:pPr>
            <w:r>
              <w:rPr>
                <w:rFonts w:ascii="Calibri" w:hAnsi="Calibri"/>
                <w:b w:val="0"/>
                <w:i w:val="0"/>
                <w:color w:val="212121"/>
                <w:sz w:val="16"/>
              </w:rPr>
              <w:t>RHD with fever</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Prompt blood cultures and echocardiography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effort tolerance from mitral or aortic valve dysfunction and pulmonary congestion — often the first symptom.</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Awareness of an irregular or rapid heartbeat, frequently due to atrial fibrillation from left atrial enlargement.</w:t>
            </w:r>
          </w:p>
        </w:tc>
      </w:tr>
      <w:tr>
        <w:trPr>
          <w:cantSplit/>
        </w:trPr>
        <w:tc>
          <w:tcPr>
            <w:tcW w:type="dxa" w:w="2304"/>
            <w:vAlign w:val="top"/>
          </w:tcPr>
          <w:p>
            <w:pPr>
              <w:spacing w:after="40" w:before="0" w:line="259" w:lineRule="auto"/>
            </w:pPr>
            <w:r>
              <w:rPr>
                <w:rFonts w:ascii="Calibri" w:hAnsi="Calibri"/>
                <w:b/>
                <w:i w:val="0"/>
                <w:color w:val="212121"/>
                <w:sz w:val="19"/>
              </w:rPr>
              <w:t>Fatigue / reduced exercise capacity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cardiac output from valve disease leaves patients tired during everyday activity.</w:t>
            </w:r>
          </w:p>
        </w:tc>
      </w:tr>
      <w:tr>
        <w:trPr>
          <w:cantSplit/>
        </w:trPr>
        <w:tc>
          <w:tcPr>
            <w:tcW w:type="dxa" w:w="2304"/>
            <w:vAlign w:val="top"/>
          </w:tcPr>
          <w:p>
            <w:pPr>
              <w:spacing w:after="40" w:before="0" w:line="259" w:lineRule="auto"/>
            </w:pPr>
            <w:r>
              <w:rPr>
                <w:rFonts w:ascii="Calibri" w:hAnsi="Calibri"/>
                <w:b/>
                <w:i w:val="0"/>
                <w:color w:val="212121"/>
                <w:sz w:val="19"/>
              </w:rPr>
              <w:t>Orthopnoea &amp; paroxysmal nocturnal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lying flat and waking at night gasping — typical of significant mitral disease and left heart congestion.</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pulmonary venous congestion; often worse at night.</w:t>
            </w:r>
          </w:p>
        </w:tc>
      </w:tr>
      <w:tr>
        <w:trPr>
          <w:cantSplit/>
        </w:trPr>
        <w:tc>
          <w:tcPr>
            <w:tcW w:type="dxa" w:w="2304"/>
            <w:vAlign w:val="top"/>
          </w:tcPr>
          <w:p>
            <w:pPr>
              <w:spacing w:after="40" w:before="0" w:line="259" w:lineRule="auto"/>
            </w:pPr>
            <w:r>
              <w:rPr>
                <w:rFonts w:ascii="Calibri" w:hAnsi="Calibri"/>
                <w:b/>
                <w:i w:val="0"/>
                <w:color w:val="212121"/>
                <w:sz w:val="19"/>
              </w:rPr>
              <w:t>Ankle / 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oedema from right heart failure in advanced valve disease.</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Coughing blood from ruptured bronchial veins or pulmonary congestion in tight mitral stenosis.</w:t>
            </w:r>
          </w:p>
        </w:tc>
      </w:tr>
      <w:tr>
        <w:trPr>
          <w:cantSplit/>
        </w:trPr>
        <w:tc>
          <w:tcPr>
            <w:tcW w:type="dxa" w:w="2304"/>
            <w:vAlign w:val="top"/>
          </w:tcPr>
          <w:p>
            <w:pPr>
              <w:spacing w:after="40" w:before="0" w:line="259" w:lineRule="auto"/>
            </w:pPr>
            <w:r>
              <w:rPr>
                <w:rFonts w:ascii="Calibri" w:hAnsi="Calibri"/>
                <w:b/>
                <w:i w:val="0"/>
                <w:color w:val="212121"/>
                <w:sz w:val="19"/>
              </w:rPr>
              <w:t>Chest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Tightness on exertion, especially with aortic valve involvement or pulmonary hypertension.</w:t>
            </w:r>
          </w:p>
        </w:tc>
      </w:tr>
      <w:tr>
        <w:trPr>
          <w:cantSplit/>
        </w:trPr>
        <w:tc>
          <w:tcPr>
            <w:tcW w:type="dxa" w:w="2304"/>
            <w:vAlign w:val="top"/>
          </w:tcPr>
          <w:p>
            <w:pPr>
              <w:spacing w:after="40" w:before="0" w:line="259" w:lineRule="auto"/>
            </w:pPr>
            <w:r>
              <w:rPr>
                <w:rFonts w:ascii="Calibri" w:hAnsi="Calibri"/>
                <w:b/>
                <w:i w:val="0"/>
                <w:color w:val="212121"/>
                <w:sz w:val="19"/>
              </w:rPr>
              <w:t>Recurrent chest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Pulmonary congestion predisposes to repeated respiratory infections.</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Ortner syndrome: a greatly enlarged left atrium compresses the left recurrent laryngeal nerve.</w:t>
            </w:r>
          </w:p>
        </w:tc>
      </w:tr>
      <w:tr>
        <w:trPr>
          <w:cantSplit/>
        </w:trPr>
        <w:tc>
          <w:tcPr>
            <w:tcW w:type="dxa" w:w="2304"/>
            <w:vAlign w:val="top"/>
          </w:tcPr>
          <w:p>
            <w:pPr>
              <w:spacing w:after="40" w:before="0" w:line="259" w:lineRule="auto"/>
            </w:pPr>
            <w:r>
              <w:rPr>
                <w:rFonts w:ascii="Calibri" w:hAnsi="Calibri"/>
                <w:b/>
                <w:i w:val="0"/>
                <w:color w:val="212121"/>
                <w:sz w:val="19"/>
              </w:rPr>
              <w:t>Migratory joint pains &amp; fever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 a preceding or recurrent attack of acute rheumatic fever rather than the chronic valve disease itself.</w:t>
            </w:r>
          </w:p>
        </w:tc>
      </w:tr>
      <w:tr>
        <w:trPr>
          <w:cantSplit/>
        </w:trPr>
        <w:tc>
          <w:tcPr>
            <w:tcW w:type="dxa" w:w="2304"/>
            <w:vAlign w:val="top"/>
          </w:tcPr>
          <w:p>
            <w:pPr>
              <w:spacing w:after="40" w:before="0" w:line="259" w:lineRule="auto"/>
            </w:pPr>
            <w:r>
              <w:rPr>
                <w:rFonts w:ascii="Calibri" w:hAnsi="Calibri"/>
                <w:b/>
                <w:i w:val="0"/>
                <w:color w:val="212121"/>
                <w:sz w:val="19"/>
              </w:rPr>
              <w:t>Sudden neurological deficit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RHD may first present as an embolic stroke from a left atrial appendage clot.</w:t>
            </w:r>
          </w:p>
        </w:tc>
      </w:tr>
      <w:tr>
        <w:trPr>
          <w:cantSplit/>
        </w:trPr>
        <w:tc>
          <w:tcPr>
            <w:tcW w:type="dxa" w:w="2304"/>
            <w:vAlign w:val="top"/>
          </w:tcPr>
          <w:p>
            <w:pPr>
              <w:spacing w:after="40" w:before="0" w:line="259" w:lineRule="auto"/>
            </w:pPr>
            <w:r>
              <w:rPr>
                <w:rFonts w:ascii="Calibri" w:hAnsi="Calibri"/>
                <w:b/>
                <w:i w:val="0"/>
                <w:color w:val="212121"/>
                <w:sz w:val="19"/>
              </w:rPr>
              <w:t>Syncope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Fainting, particularly with severe aortic stenosis or very rapid atrial fibrillation.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Mid-diastolic rumbling murmur with loud S1 and opening snap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Auscultatory hallmark of rheumatic mitral stenosis, best heard at the apex in the left lateral position.</w:t>
            </w:r>
          </w:p>
        </w:tc>
      </w:tr>
      <w:tr>
        <w:trPr>
          <w:cantSplit/>
        </w:trPr>
        <w:tc>
          <w:tcPr>
            <w:tcW w:type="dxa" w:w="3456"/>
            <w:vAlign w:val="top"/>
          </w:tcPr>
          <w:p>
            <w:pPr>
              <w:spacing w:after="40" w:before="0" w:line="259" w:lineRule="auto"/>
            </w:pPr>
            <w:r>
              <w:rPr>
                <w:rFonts w:ascii="Calibri" w:hAnsi="Calibri"/>
                <w:b/>
                <w:i w:val="0"/>
                <w:color w:val="212121"/>
                <w:sz w:val="19"/>
              </w:rPr>
              <w:t>Apical pansystolic murmur radiating to the axilla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of rheumatic mitral regurgitation.</w:t>
            </w:r>
          </w:p>
        </w:tc>
      </w:tr>
      <w:tr>
        <w:trPr>
          <w:cantSplit/>
        </w:trPr>
        <w:tc>
          <w:tcPr>
            <w:tcW w:type="dxa" w:w="3456"/>
            <w:vAlign w:val="top"/>
          </w:tcPr>
          <w:p>
            <w:pPr>
              <w:spacing w:after="40" w:before="0" w:line="259" w:lineRule="auto"/>
            </w:pPr>
            <w:r>
              <w:rPr>
                <w:rFonts w:ascii="Calibri" w:hAnsi="Calibri"/>
                <w:b/>
                <w:i w:val="0"/>
                <w:color w:val="212121"/>
                <w:sz w:val="19"/>
              </w:rPr>
              <w:t>Irregularly irregular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atrial fibrillation, a frequent complication of left atrial enlargement.</w:t>
            </w:r>
          </w:p>
        </w:tc>
      </w:tr>
      <w:tr>
        <w:trPr>
          <w:cantSplit/>
        </w:trPr>
        <w:tc>
          <w:tcPr>
            <w:tcW w:type="dxa" w:w="3456"/>
            <w:vAlign w:val="top"/>
          </w:tcPr>
          <w:p>
            <w:pPr>
              <w:spacing w:after="40" w:before="0" w:line="259" w:lineRule="auto"/>
            </w:pPr>
            <w:r>
              <w:rPr>
                <w:rFonts w:ascii="Calibri" w:hAnsi="Calibri"/>
                <w:b/>
                <w:i w:val="0"/>
                <w:color w:val="212121"/>
                <w:sz w:val="19"/>
              </w:rPr>
              <w:t>Signs of congestive heart failure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JVP, basal crackles, tender hepatomegaly and pitting oedema in decompensated disease.</w:t>
            </w:r>
          </w:p>
        </w:tc>
      </w:tr>
      <w:tr>
        <w:trPr>
          <w:cantSplit/>
        </w:trPr>
        <w:tc>
          <w:tcPr>
            <w:tcW w:type="dxa" w:w="3456"/>
            <w:vAlign w:val="top"/>
          </w:tcPr>
          <w:p>
            <w:pPr>
              <w:spacing w:after="40" w:before="0" w:line="259" w:lineRule="auto"/>
            </w:pPr>
            <w:r>
              <w:rPr>
                <w:rFonts w:ascii="Calibri" w:hAnsi="Calibri"/>
                <w:b/>
                <w:i w:val="0"/>
                <w:color w:val="212121"/>
                <w:sz w:val="19"/>
              </w:rPr>
              <w:t>Early diastolic murmur at the left sternal edge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aortic regurgitation from rheumatic aortic involvement.</w:t>
            </w:r>
          </w:p>
        </w:tc>
      </w:tr>
      <w:tr>
        <w:trPr>
          <w:cantSplit/>
        </w:trPr>
        <w:tc>
          <w:tcPr>
            <w:tcW w:type="dxa" w:w="3456"/>
            <w:vAlign w:val="top"/>
          </w:tcPr>
          <w:p>
            <w:pPr>
              <w:spacing w:after="40" w:before="0" w:line="259" w:lineRule="auto"/>
            </w:pPr>
            <w:r>
              <w:rPr>
                <w:rFonts w:ascii="Calibri" w:hAnsi="Calibri"/>
                <w:b/>
                <w:i w:val="0"/>
                <w:color w:val="212121"/>
                <w:sz w:val="19"/>
              </w:rPr>
              <w:t>Malar flush (“mitral facies”)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Dusky pink cheeks from low cardiac output and pulmonary hypertension in mitral stenosis.</w:t>
            </w:r>
          </w:p>
        </w:tc>
      </w:tr>
      <w:tr>
        <w:trPr>
          <w:cantSplit/>
        </w:trPr>
        <w:tc>
          <w:tcPr>
            <w:tcW w:type="dxa" w:w="3456"/>
            <w:vAlign w:val="top"/>
          </w:tcPr>
          <w:p>
            <w:pPr>
              <w:spacing w:after="40" w:before="0" w:line="259" w:lineRule="auto"/>
            </w:pPr>
            <w:r>
              <w:rPr>
                <w:rFonts w:ascii="Calibri" w:hAnsi="Calibri"/>
                <w:b/>
                <w:i w:val="0"/>
                <w:color w:val="212121"/>
                <w:sz w:val="19"/>
              </w:rPr>
              <w:t>Tapping, non-displaced apex beat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palpable loud S1, typical of mitral stenosis.</w:t>
            </w:r>
          </w:p>
        </w:tc>
      </w:tr>
      <w:tr>
        <w:trPr>
          <w:cantSplit/>
        </w:trPr>
        <w:tc>
          <w:tcPr>
            <w:tcW w:type="dxa" w:w="3456"/>
            <w:vAlign w:val="top"/>
          </w:tcPr>
          <w:p>
            <w:pPr>
              <w:spacing w:after="40" w:before="0" w:line="259" w:lineRule="auto"/>
            </w:pPr>
            <w:r>
              <w:rPr>
                <w:rFonts w:ascii="Calibri" w:hAnsi="Calibri"/>
                <w:b/>
                <w:i w:val="0"/>
                <w:color w:val="212121"/>
                <w:sz w:val="19"/>
              </w:rPr>
              <w:t>Left parasternal heave and loud P2</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pulmonary hypertension complicating mitral disease.</w:t>
            </w:r>
          </w:p>
        </w:tc>
      </w:tr>
      <w:tr>
        <w:trPr>
          <w:cantSplit/>
        </w:trPr>
        <w:tc>
          <w:tcPr>
            <w:tcW w:type="dxa" w:w="3456"/>
            <w:vAlign w:val="top"/>
          </w:tcPr>
          <w:p>
            <w:pPr>
              <w:spacing w:after="40" w:before="0" w:line="259" w:lineRule="auto"/>
            </w:pPr>
            <w:r>
              <w:rPr>
                <w:rFonts w:ascii="Calibri" w:hAnsi="Calibri"/>
                <w:b/>
                <w:i w:val="0"/>
                <w:color w:val="212121"/>
                <w:sz w:val="19"/>
              </w:rPr>
              <w:t>Collapsing (water-hammer) pulse &amp; wide pulse pressure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Peripheral signs of significant aortic regurgitation.</w:t>
            </w:r>
          </w:p>
        </w:tc>
      </w:tr>
      <w:tr>
        <w:trPr>
          <w:cantSplit/>
        </w:trPr>
        <w:tc>
          <w:tcPr>
            <w:tcW w:type="dxa" w:w="3456"/>
            <w:vAlign w:val="top"/>
          </w:tcPr>
          <w:p>
            <w:pPr>
              <w:spacing w:after="40" w:before="0" w:line="259" w:lineRule="auto"/>
            </w:pPr>
            <w:r>
              <w:rPr>
                <w:rFonts w:ascii="Calibri" w:hAnsi="Calibri"/>
                <w:b/>
                <w:i w:val="0"/>
                <w:color w:val="212121"/>
                <w:sz w:val="19"/>
              </w:rPr>
              <w:t>Peripheral stigmata of infective endocarditis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Splinter haemorrhages, Osler nodes, Janeway lesions and Roth spots on damaged valves.</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Hemiparesis or dysphasia from cardioembolic stroke originating in the left atrium.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valve lesions: mitral stenosis, mitral regurgitation, aortic regurgitation/stenosis, and mixed or multivalvular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valve scarring, calcification and subvalvular (chordal) 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rheumatic fever with worsening carditis</w:t>
            </w:r>
          </w:p>
        </w:tc>
        <w:tc>
          <w:tcPr>
            <w:tcW w:type="dxa" w:w="2980"/>
            <w:vAlign w:val="top"/>
          </w:tcPr>
          <w:p>
            <w:pPr>
              <w:spacing w:after="40" w:before="0" w:line="259" w:lineRule="auto"/>
            </w:pPr>
            <w:r>
              <w:rPr>
                <w:rFonts w:ascii="Calibri" w:hAnsi="Calibri"/>
                <w:b w:val="0"/>
                <w:i w:val="0"/>
                <w:color w:val="212121"/>
                <w:sz w:val="19"/>
              </w:rPr>
              <w:t>Direct structural consequences of rheumatic valve damage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 with left atrial enlargement and appendage thrombus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Congestive heart failure and pulmonary (venous then arterial)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thromboembolism, including ischaemic (cardioembolic)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Infective endocarditis on the damaged valves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Pregnancy-related cardiac decompensation and pulmonary oedema</w:t>
            </w:r>
          </w:p>
        </w:tc>
        <w:tc>
          <w:tcPr>
            <w:tcW w:type="dxa" w:w="2980"/>
            <w:vAlign w:val="top"/>
          </w:tcPr>
          <w:p>
            <w:pPr>
              <w:spacing w:after="40" w:before="0" w:line="259" w:lineRule="auto"/>
            </w:pPr>
            <w:r>
              <w:rPr>
                <w:rFonts w:ascii="Calibri" w:hAnsi="Calibri"/>
                <w:b w:val="0"/>
                <w:i w:val="0"/>
                <w:color w:val="212121"/>
                <w:sz w:val="19"/>
              </w:rPr>
              <w:t>Arise from disordered haemodynamics, atrial stasis and the vulnerability of scarred valves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(end-stage) congestive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stroke with long-term neurological deficit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percutaneous balloon valvotomy or valve replacement, with lifelong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cardiovascular death, often before 40 years of age</w:t>
            </w:r>
          </w:p>
        </w:tc>
        <w:tc>
          <w:tcPr>
            <w:tcW w:type="dxa" w:w="2980"/>
            <w:vAlign w:val="top"/>
          </w:tcPr>
          <w:p>
            <w:pPr>
              <w:spacing w:after="40" w:before="0" w:line="259" w:lineRule="auto"/>
            </w:pPr>
            <w:r>
              <w:rPr>
                <w:rFonts w:ascii="Calibri" w:hAnsi="Calibri"/>
                <w:b w:val="0"/>
                <w:i w:val="0"/>
                <w:color w:val="212121"/>
                <w:sz w:val="19"/>
              </w:rPr>
              <w:t>Irreversible, disabling outcomes of longstanding, inadequately treated valve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Left atrial enlargement from mitral disease causes valvular AF, which greatly increases embolic-stroke risk and mandates vitamin-K-antagonist anticoagulation rather than a DOAC.</w:t>
            </w:r>
          </w:p>
          <w:p>
            <w:pPr>
              <w:spacing w:after="40" w:before="0" w:line="259" w:lineRule="auto"/>
            </w:pPr>
            <w:r>
              <w:rPr>
                <w:rFonts w:ascii="Calibri" w:hAnsi="Calibri"/>
                <w:b/>
                <w:i w:val="0"/>
                <w:color w:val="212121"/>
                <w:sz w:val="19"/>
              </w:rPr>
              <w:t>~32.8% of RHD cases</w:t>
            </w:r>
          </w:p>
        </w:tc>
      </w:tr>
      <w:tr>
        <w:trPr>
          <w:cantSplit/>
        </w:trPr>
        <w:tc>
          <w:tcPr>
            <w:tcW w:type="dxa" w:w="2232"/>
            <w:vAlign w:val="top"/>
          </w:tcPr>
          <w:p>
            <w:pPr>
              <w:spacing w:after="40" w:before="0" w:line="259" w:lineRule="auto"/>
            </w:pPr>
            <w:r>
              <w:rPr>
                <w:rFonts w:ascii="Calibri" w:hAnsi="Calibri"/>
                <w:b/>
                <w:i w:val="0"/>
                <w:color w:val="212121"/>
                <w:sz w:val="19"/>
              </w:rPr>
              <w:t>Congestive heart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morbidity and hospitalisation in RHD; progressive valve dysfunction and pulmonary hypertension impair cardiac output.</w:t>
            </w:r>
          </w:p>
          <w:p>
            <w:pPr>
              <w:spacing w:after="40" w:before="0" w:line="259" w:lineRule="auto"/>
            </w:pPr>
            <w:r>
              <w:rPr>
                <w:rFonts w:ascii="Calibri" w:hAnsi="Calibri"/>
                <w:b/>
                <w:i w:val="0"/>
                <w:color w:val="212121"/>
                <w:sz w:val="19"/>
              </w:rPr>
              <w:t>RHD causes ~15–20% of heart failure in endemic countries</w:t>
            </w:r>
          </w:p>
        </w:tc>
      </w:tr>
      <w:tr>
        <w:trPr>
          <w:cantSplit/>
        </w:trPr>
        <w:tc>
          <w:tcPr>
            <w:tcW w:type="dxa" w:w="2232"/>
            <w:vAlign w:val="top"/>
          </w:tcPr>
          <w:p>
            <w:pPr>
              <w:spacing w:after="40" w:before="0" w:line="259" w:lineRule="auto"/>
            </w:pPr>
            <w:r>
              <w:rPr>
                <w:rFonts w:ascii="Calibri" w:hAnsi="Calibri"/>
                <w:b/>
                <w:i w:val="0"/>
                <w:color w:val="212121"/>
                <w:sz w:val="19"/>
              </w:rPr>
              <w:t>Ischaemic (cardioembolic) stroke / systemic thromboembolism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Stasis in an enlarged, fibrillating left atrium generates thrombus; RHD-related AF carries a markedly higher thromboembolism risk.</w:t>
            </w:r>
          </w:p>
          <w:p>
            <w:pPr>
              <w:spacing w:after="40" w:before="0" w:line="259" w:lineRule="auto"/>
            </w:pPr>
            <w:r>
              <w:rPr>
                <w:rFonts w:ascii="Calibri" w:hAnsi="Calibri"/>
                <w:b/>
                <w:i w:val="0"/>
                <w:color w:val="212121"/>
                <w:sz w:val="19"/>
              </w:rPr>
              <w:t>OR 6.2 for thromboembolism with AF</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Scarred, deformed valves are vulnerable to bacterial colonisation; suspicion requires blood cultures, echocardiography and prolonged antibiotics, and influences dental/procedural prophylaxis.</w:t>
            </w:r>
          </w:p>
        </w:tc>
      </w:tr>
      <w:tr>
        <w:trPr>
          <w:cantSplit/>
        </w:trPr>
        <w:tc>
          <w:tcPr>
            <w:tcW w:type="dxa" w:w="2232"/>
            <w:vAlign w:val="top"/>
          </w:tcPr>
          <w:p>
            <w:pPr>
              <w:spacing w:after="40" w:before="0" w:line="259" w:lineRule="auto"/>
            </w:pPr>
            <w:r>
              <w:rPr>
                <w:rFonts w:ascii="Calibri" w:hAnsi="Calibri"/>
                <w:b/>
                <w:i w:val="0"/>
                <w:color w:val="212121"/>
                <w:sz w:val="19"/>
              </w:rPr>
              <w:t>Pulmonary 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mitral stenosis raises left atrial and pulmonary venous pressure, leading to reactive pulmonary arterial hypertension and right heart strain.</w:t>
            </w:r>
          </w:p>
        </w:tc>
      </w:tr>
      <w:tr>
        <w:trPr>
          <w:cantSplit/>
        </w:trPr>
        <w:tc>
          <w:tcPr>
            <w:tcW w:type="dxa" w:w="2232"/>
            <w:vAlign w:val="top"/>
          </w:tcPr>
          <w:p>
            <w:pPr>
              <w:spacing w:after="40" w:before="0" w:line="259" w:lineRule="auto"/>
            </w:pPr>
            <w:r>
              <w:rPr>
                <w:rFonts w:ascii="Calibri" w:hAnsi="Calibri"/>
                <w:b/>
                <w:i w:val="0"/>
                <w:color w:val="212121"/>
                <w:sz w:val="19"/>
              </w:rPr>
              <w:t>Acute rheumatic fever (recurrent)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ARF is the cause of RHD; recurrent attacks add cumulative valve damage, which regular penicillin prophylaxis is designed to prevent.</w:t>
            </w:r>
          </w:p>
        </w:tc>
      </w:tr>
      <w:tr>
        <w:trPr>
          <w:cantSplit/>
        </w:trPr>
        <w:tc>
          <w:tcPr>
            <w:tcW w:type="dxa" w:w="2232"/>
            <w:vAlign w:val="top"/>
          </w:tcPr>
          <w:p>
            <w:pPr>
              <w:spacing w:after="40" w:before="0" w:line="259" w:lineRule="auto"/>
            </w:pPr>
            <w:r>
              <w:rPr>
                <w:rFonts w:ascii="Calibri" w:hAnsi="Calibri"/>
                <w:b/>
                <w:i w:val="0"/>
                <w:color w:val="212121"/>
                <w:sz w:val="19"/>
              </w:rPr>
              <w:t>Group A streptococcal pharyngitis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initiating infection; untreated or recurrent GAS pharyngitis triggers the autoimmune response that damages valves, so prompt antibiotic treatment is primary prevention.</w:t>
            </w:r>
          </w:p>
        </w:tc>
      </w:tr>
      <w:tr>
        <w:trPr>
          <w:cantSplit/>
        </w:trPr>
        <w:tc>
          <w:tcPr>
            <w:tcW w:type="dxa" w:w="2232"/>
            <w:vAlign w:val="top"/>
          </w:tcPr>
          <w:p>
            <w:pPr>
              <w:spacing w:after="40" w:before="0" w:line="259" w:lineRule="auto"/>
            </w:pPr>
            <w:r>
              <w:rPr>
                <w:rFonts w:ascii="Calibri" w:hAnsi="Calibri"/>
                <w:b/>
                <w:i w:val="0"/>
                <w:color w:val="212121"/>
                <w:sz w:val="19"/>
              </w:rPr>
              <w:t>Pregnancy-related cardiac decompensation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volume and heart-rate load of pregnancy is poorly tolerated in mitral stenosis; RHD is a leading cause of maternal cardiac morbidity in India and mandates pre-conception assessment.</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in the Indian RHD population; it reduces oxygen delivery and precipitates heart-failure symptoms, and should be corrected to improve functional status.</w:t>
            </w:r>
          </w:p>
        </w:tc>
      </w:tr>
      <w:tr>
        <w:trPr>
          <w:cantSplit/>
        </w:trPr>
        <w:tc>
          <w:tcPr>
            <w:tcW w:type="dxa" w:w="2232"/>
            <w:vAlign w:val="top"/>
          </w:tcPr>
          <w:p>
            <w:pPr>
              <w:spacing w:after="40" w:before="0" w:line="259" w:lineRule="auto"/>
            </w:pPr>
            <w:r>
              <w:rPr>
                <w:rFonts w:ascii="Calibri" w:hAnsi="Calibri"/>
                <w:b/>
                <w:i w:val="0"/>
                <w:color w:val="212121"/>
                <w:sz w:val="19"/>
              </w:rPr>
              <w:t>Anticoagulation-related bleeding</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consequence of the warfarin needed for valvular AF and mechanical valves; it requires INR monitoring and balancing of stroke against bleeding risk.</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disease, repeated injections and the prospect of heart surgery affect mental health and undermine adherence to lifelong prophylaxis.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every sore throat in a child seriously — seek care and complete the full course of prescribed antibiotics to stop streptococcal infection progressing to rheumatic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acute rheumatic fever: fever with painful, swollen, migrating joints, breathlessness, or jerky involuntary movements (chorea).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endemic communities, support school-based echocardiographic screening so that valve disease is found early, before symptoms develop.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household overcrowding and improve ventilation where possible to limit streptococcal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siblings and close contacts of an affected child checked, as rheumatic disease clusters in families.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 rural/slum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 &amp; community health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secondary penicillin prophylaxis (usually an injection every 3–4 weeks) exactly as prescribed, for as many years as advised — the single most important step to prevent worsening.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prescribed a blood thinner for atrial fibrillation or a heart valve, take it reliably and attend INR blood tests.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act on warning signs: increasing breathlessness, swelling, palpitations, fever, or sudden weakness/speech difficulty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dental hygiene and tell dentists and doctors about your valve disease so infective endocarditis can be prevented during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should seek pre-pregnancy cardiac assessment, as valve disease needs careful management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RHD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penicillin prophylaxis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childbearing age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Let your symptoms and your doctor's assessment (valve severity / NYHA class) guide how much exercise is safe.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mild, compensated disease, keep up regular gentle-to-moderate activity to maintain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competitive or heavy isometric exertion if you have significant mitral or aortic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valve surgery, follow a supervised cardiac-rehabilitation programme.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mild valve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Post-valve-surgery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children to stay physically active and maintain a healthy weight for general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activity does not prevent RHD itself — preventing and promptly treating streptococcal infection does.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Healthy family members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children with adequate, balanced nutrition to support healthy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undernutrition in poor households, which clusters with the crowding that drives rheumatic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families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valvular heart failure, restrict dietary salt (aim under ~5 g salt/day) to reduce fluid retention and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fluid intake as advised when heart failure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taking warfarin, keep vitamin-K-rich foods (green leafy vegetables) consistent from day to day rather than fluctuating.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iron-rich foods to help correct anaemia, which worsens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RHD with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warfarin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anaemia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breathless lying flat, sleep propped up on extra pillows to ease orthopnoea.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waking at night gasping for breath (paroxysmal nocturnal dyspnoea) — it signals worsening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regular, adequate sleep to support recovery and adherence to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mitral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RHD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(including bidis, gutka and khaini) — smoking further reduces the heart's and lungs' reserve in valve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smoke, use behavioural support and quit-lines to stop completely.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adults with 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pulmonary hypertension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excess worsens atrial fibrillation and heart-muscle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taking warfarin, avoid heavy or binge drinking, which destabilises INR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as reducing intake improves rhythm control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RHD patients with AF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support and encouragement to sustain years of regular penicillin injections, especially for children who fear needles.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with chronic heart disease and reduce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clear counselling before and after valve surgery to reduce fear and improve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reminders and family support to keep prophylaxis and anticoagulation on track.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prophylaxis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valve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RHD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8286/" TargetMode="External"/><Relationship Id="rId10" Type="http://schemas.openxmlformats.org/officeDocument/2006/relationships/hyperlink" Target="https://world-heart-federation.org/what-we-do/rheumatic-heart-disease/" TargetMode="External"/><Relationship Id="rId11" Type="http://schemas.openxmlformats.org/officeDocument/2006/relationships/hyperlink" Target="https://www.who.int/news-room/fact-sheets/detail/rheumatic-heart-disease" TargetMode="External"/><Relationship Id="rId12" Type="http://schemas.openxmlformats.org/officeDocument/2006/relationships/hyperlink" Target="https://globalheartjournal.com/articles/10.5334/gh.8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