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Myocarditis</w:t>
      </w:r>
    </w:p>
    <w:p>
      <w:pPr>
        <w:spacing w:before="0" w:after="160"/>
      </w:pPr>
      <w:r>
        <w:rPr>
          <w:rFonts w:ascii="Calibri" w:hAnsi="Calibri"/>
          <w:b/>
          <w:i w:val="0"/>
          <w:color w:val="212121"/>
          <w:sz w:val="22"/>
        </w:rPr>
        <w:t xml:space="preserve">AKA </w:t>
      </w:r>
      <w:r>
        <w:rPr>
          <w:rFonts w:ascii="Calibri" w:hAnsi="Calibri"/>
          <w:b w:val="0"/>
          <w:i w:val="0"/>
          <w:color w:val="212121"/>
          <w:sz w:val="22"/>
        </w:rPr>
        <w:t>i.e., Inflammatory cardiomyopathy (when it causes cardiac dysfunction); Myopericarditis / perimyocarditis (when the pericardium is also inflamed); viral myocarditis; giant-cell myocarditis; lay terms - 'heart-muscle inflammation', 'inflammation of the heart'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Myocarditis is inflammation of the myocardium (heart muscle), usually with injury or necrosis of cardiac myocytes, that impairs the heart's ability to pump blood and to conduct electrical impulses. It most often follows a viral infection or an immune/autoimmune reaction to that infection, but it can also be caused by bacteria (including the diphtheria toxin), parasites, drugs and toxins, cancer immunotherapy and systemic inflammatory disease. The clinical picture is highly variable - from a symptom-free rise in cardiac troponin, through chest pain and palpitations that mimic a heart attack, to fulminant heart failure, dangerous arrhythmias and sudden cardiac death - and when inflammation persists it can progress to dilated cardiomyopathy and chronic heart failure. It characteristically affects children and young, previously healthy adults.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Myocarditis is an important but under-recognised cause of acute heart failure, dilated cardiomyopathy, ventricular arrhythmia and sudden cardiac death in young Indians, and is frequently missed because presentations range from a trivial 'viral fever' to sudden collapse. Population incidence is hard to measure; global estimates put it at roughly 10-22 new cases per 100,000 people per year, with the Global Burden of Disease 2019 study estimating about 6.1 cases per 100,000 worldwide. Myocardial involvement is detectable in up to 5% of patients with an acute viral illness, and myocarditis is found on cardiac MRI in about 13% of people presenting with chest pain, raised troponin and unobstructed coronary arteries. In India the aetiological mix differs from the West: alongside the usual viruses, infective causes such as diphtheria (in under-immunised pockets), dengue and other arboviral fevers, rheumatic carditis, tuberculosis and red-scorpion envenomation contribute a disproportionate share, and myocarditis is a leading cause of sudden cardiac death in people under 40, including young athletes.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single confirmatory blood test; myocarditis is diagnosed by combining a compatible clinical presentation with evidence of myocardial injury and inflammation, after excluding an acute coronary syndrome. A widely used framework requires clinically suspected myocarditis (at least one symptom plus at least one supportive diagnostic finding), with definitive confirmation by cardiac MRI or endomyocardial biopsy: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presentation: acute chest pain, new or worsening breathlessness, palpitations or unexplained arrhythmia, syncope, or cardiogenic shock, frequently 1-4 weeks after a viral respiratory or gastrointestinal illness.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Cardiac biomarkers: an elevated cardiac troponin I or T (present in over half of biopsy-proven cases, with high-sensitivity assays reaching 64-100% sensitivity) indicates myocyte injury, while NT-proBNP/BNP rise when heart failure develops.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Electrocardiography (ECG): often abnormal but non-specific - sinus tachycardia, diffuse ST-segment elevation or PR-segment depression (myopericarditis), non-specific ST-T changes, low QRS voltage, conduction block or ventricular arrhythmia; ECG sensitivity for acute myocarditis is only about 47%.</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Echocardiography: excludes other causes and assesses function - may show global or regional wall-motion abnormality, reduced left ventricular ejection fraction (LVEF), chamber dilatation, oedema-related wall thickening, diastolic dysfunction or pericardial effusion; it can be normal in mild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Cardiac MRI using the updated Lake Louise criteria: the non-invasive gold standard, requiring at least one T2-based criterion (myocardial oedema) plus at least one T1-based criterion (hyperaemia, necrosis or fibrosis - typically subepicardial or mid-wall late gadolinium enhancement).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Endomyocardial biopsy (EMB): the diagnostic gold standard, applying the Dallas criteria (inflammatory infiltrate with myocyte necrosis; sensitivity ~60%, specificity ~80%) or immunohistochemical Marburg/ESC criteria (&gt;= 14 leucocytes/mm2); reserved for fulminant, giant-cell, eosinophilic or immunotherapy-related disease, with a major-complication rate under 1% in experienced centres.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Coronary angiography or CT coronary angiography is performed as required to exclude coronary artery disease, because myocarditis can closely mimic myocardial infarction (MINOCA workup).</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Myocarditis can be classified by clinical course, by histological type, and by underlying cause; a modern staging system also grades severity:</w:t>
      </w:r>
    </w:p>
    <w:p>
      <w:pPr>
        <w:spacing w:before="0" w:after="80"/>
      </w:pPr>
      <w:r>
        <w:rPr>
          <w:rFonts w:ascii="Calibri" w:hAnsi="Calibri"/>
          <w:b w:val="0"/>
          <w:i w:val="0"/>
          <w:color w:val="212121"/>
          <w:sz w:val="21"/>
        </w:rPr>
        <w:t>(1) By clinical course - acute (days), subacute (weeks to months), and chronic active or chronic persistent forms; acute myocarditis accounts for about 65% of cases. Fulminant myocarditis is a distinct, sudden and severe subset that presents within days of a viral prodrome with rapid haemodynamic collapse requiring inotropes or mechanical circulatory support.</w:t>
      </w:r>
    </w:p>
    <w:p>
      <w:pPr>
        <w:spacing w:before="0" w:after="80"/>
      </w:pPr>
      <w:r>
        <w:rPr>
          <w:rFonts w:ascii="Calibri" w:hAnsi="Calibri"/>
          <w:b w:val="0"/>
          <w:i w:val="0"/>
          <w:color w:val="212121"/>
          <w:sz w:val="21"/>
        </w:rPr>
        <w:t>(2) By histological type - lymphocytic (the commonest, usually viral or post-viral), giant-cell (rare, aggressive, autoimmune, with a poor prognosis), eosinophilic/hypersensitivity (drug reactions, parasites, hypereosinophilic syndromes) and granulomatous (notably cardiac sarcoidosis).</w:t>
      </w:r>
    </w:p>
    <w:p>
      <w:pPr>
        <w:spacing w:before="0" w:after="80"/>
      </w:pPr>
      <w:r>
        <w:rPr>
          <w:rFonts w:ascii="Calibri" w:hAnsi="Calibri"/>
          <w:b w:val="0"/>
          <w:i w:val="0"/>
          <w:color w:val="212121"/>
          <w:sz w:val="21"/>
        </w:rPr>
        <w:t>(3) By cause - infective (viral being commonest overall: enteroviruses/Coxsackie B, adenovirus, parvovirus B19, human herpesvirus-6, influenza, HIV and SARS-CoV-2; bacterial including diphtheria; parasitic such as Trypanosoma cruzi/Chagas; and fungal) and non-infective (autoimmune and systemic inflammatory disease, drug- and toxin-induced, immune-checkpoint-inhibitor-associated, and vaccine-associated). About 50% of cases remain idiopathic.</w:t>
      </w:r>
    </w:p>
    <w:p>
      <w:pPr>
        <w:spacing w:before="0" w:after="80"/>
      </w:pPr>
      <w:r>
        <w:rPr>
          <w:rFonts w:ascii="Calibri" w:hAnsi="Calibri"/>
          <w:b w:val="0"/>
          <w:i w:val="0"/>
          <w:color w:val="212121"/>
          <w:sz w:val="21"/>
        </w:rPr>
        <w:t>(4) By severity (2024 ACC expert-consensus staging) - Stage A (at risk, no inflammation or symptoms), Stage B (asymptomatic myocardial inflammation), Stage C (symptomatic myocarditis meeting diagnostic criteria) and Stage D (advanced disease with haemodynamic instability or life-threatening arrhythmia).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Viral and post-viral infection: The commonest cause worldwide; enteroviruses (Coxsackie B), adenovirus, parvovirus B19, human herpesvirus-6, influenza, HIV and SARS-CoV-2 injure myocytes directly and provoke an immune response that continues the damage even after the virus has cleared.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Other infections (India-relevant): Bacterial toxins - notably Corynebacterium diphtheriae producing diphtheritic myocarditis - together with tuberculosis, dengue and other arboviral fevers, rheumatic carditis, Chagas disease and red-scorpion envenomation are regionally important, especially where immunisation coverage is incomplete.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Autoimmune / immune-mediated disease: Systemic lupus erythematosus, sarcoidosis, giant-cell myocarditis, inflammatory bowel disease, rheumatoid arthritis, polymyositis/dermatomyositis and hypereosinophilic syndromes inflame the myocardium without a primary infection and often need immunosuppression.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Drugs, toxins and immunotherapy: Immune-checkpoint inhibitors (cancer immunotherapy), anthracyclines, clozapine, some antibiotics (penicillins, sulfonamides), cocaine and other stimulants, alcohol and heavy-metal/toxin exposure can each trigger myocarditis, sometimes as a hypersensitivity (eosinophilic) reaction.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Vaccine-associated (rare): mRNA COVID-19 vaccines are a very rare cause, mainly in adolescent and young-adult males within a week of vaccination and generally mild - far less common than myocarditis from COVID-19 infection itself.</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Nutritional, genetic and host factors: Selenium deficiency (Keshan disease) and other micronutrient deficiencies can cause a nutritional myocarditis/cardiomyopathy, while genetic and host-immune (HLA and inflammatory-response) factors influence individual susceptibility and the risk of progression to dilated cardiomyopathy.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and young adults</w:t>
            </w:r>
          </w:p>
        </w:tc>
        <w:tc>
          <w:tcPr>
            <w:tcW w:type="dxa" w:w="4276"/>
            <w:vAlign w:val="top"/>
          </w:tcPr>
          <w:p>
            <w:pPr>
              <w:spacing w:after="60" w:line="259" w:lineRule="auto"/>
            </w:pPr>
            <w:r>
              <w:rPr>
                <w:rFonts w:ascii="Calibri" w:hAnsi="Calibri"/>
                <w:b w:val="0"/>
                <w:i w:val="0"/>
                <w:color w:val="212121"/>
                <w:sz w:val="19"/>
              </w:rPr>
              <w:t>Myocarditis characteristically strikes previously healthy children and adults under 40, in whom a vigorous immune response to a common viral infection turns against the heart muscle. Because it is often unsuspected in the young, it is a leading cause of unexpected sudden cardiac death and of new dilated cardiomyopathy in this age group.</w:t>
            </w:r>
          </w:p>
          <w:p>
            <w:pPr>
              <w:spacing w:after="40" w:before="60" w:line="259" w:lineRule="auto"/>
            </w:pPr>
            <w:r>
              <w:rPr>
                <w:rFonts w:ascii="Calibri" w:hAnsi="Calibri"/>
                <w:b w:val="0"/>
                <w:i w:val="0"/>
                <w:color w:val="212121"/>
                <w:sz w:val="19"/>
              </w:rPr>
              <w:t>Acute myocarditis predominantly affects individuals aged 40 years or younger and is a recognised cause of sudden cardiac death in young adults and athletes; at least 50% of patients go on to develop some degree of cardiomyopathy.</w:t>
            </w:r>
          </w:p>
          <w:p>
            <w:pPr>
              <w:spacing w:after="40" w:line="252" w:lineRule="auto"/>
            </w:pPr>
            <w:hyperlink r:id="rId9">
              <w:r>
                <w:rPr>
                  <w:rFonts w:ascii="Calibri" w:hAnsi="Calibri" w:cs="Calibri"/>
                  <w:sz w:val="18"/>
                  <w:color w:val="1155CC"/>
                  <w:u w:val="single"/>
                </w:rPr>
                <w:t xml:space="preserve">ncbi.nlm.nih.gov/books/NBK441847 - Acute Myocarditis (StatPearls)</w:t>
              </w:r>
            </w:hyperlink>
          </w:p>
          <w:p>
            <w:pPr>
              <w:spacing w:before="60" w:after="40"/>
            </w:pPr>
            <w:r>
              <w:rPr>
                <w:rFonts w:ascii="Calibri" w:hAnsi="Calibri"/>
                <w:b w:val="0"/>
                <w:i w:val="0"/>
                <w:color w:val="5A5A5A"/>
                <w:sz w:val="18"/>
              </w:rPr>
              <w:t>#myocarditis  #youngadults  #suddencardiacdeath  #viralheart  #athletes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and neonates</w:t>
            </w:r>
          </w:p>
        </w:tc>
        <w:tc>
          <w:tcPr>
            <w:tcW w:type="dxa" w:w="4276"/>
            <w:vAlign w:val="top"/>
          </w:tcPr>
          <w:p>
            <w:pPr>
              <w:spacing w:after="60" w:line="259" w:lineRule="auto"/>
            </w:pPr>
            <w:r>
              <w:rPr>
                <w:rFonts w:ascii="Calibri" w:hAnsi="Calibri"/>
                <w:b w:val="0"/>
                <w:i w:val="0"/>
                <w:color w:val="212121"/>
                <w:sz w:val="19"/>
              </w:rPr>
              <w:t>Newborns and infants are especially vulnerable to fulminant viral (enteroviral/Coxsackie B) myocarditis, which can cause rapidly progressive heart failure, shock and arrhythmia. Presentation is non-specific - poor feeding, lethargy, grunting, sweating and fast breathing - so it is easily mistaken for sepsis or pneumonia.</w:t>
            </w:r>
          </w:p>
          <w:p>
            <w:pPr>
              <w:spacing w:after="40" w:before="60" w:line="259" w:lineRule="auto"/>
            </w:pPr>
            <w:r>
              <w:rPr>
                <w:rFonts w:ascii="Calibri" w:hAnsi="Calibri"/>
                <w:b w:val="0"/>
                <w:i w:val="0"/>
                <w:color w:val="212121"/>
                <w:sz w:val="19"/>
              </w:rPr>
              <w:t>Neonatal and infant myocarditis is frequently fulminant, with Coxsackie B and other enteroviruses the classic culprits; deterioration can be very rapid, so early recognition is critical.</w:t>
            </w:r>
          </w:p>
          <w:p>
            <w:pPr>
              <w:spacing w:before="60" w:after="40"/>
            </w:pPr>
            <w:r>
              <w:rPr>
                <w:rFonts w:ascii="Calibri" w:hAnsi="Calibri"/>
                <w:b w:val="0"/>
                <w:i w:val="0"/>
                <w:color w:val="5A5A5A"/>
                <w:sz w:val="18"/>
              </w:rPr>
              <w:t>#neonatal  #infants  #coxsackie  #fulminant  #enterovirus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Although myocarditis is commoner in the young, older adults tend to have worse outcomes because of reduced cardiac reserve, coexisting coronary, hypertensive and diabetic heart disease, and a higher burden of drug- and immunotherapy-related disease that complicates recovery.</w:t>
            </w:r>
          </w:p>
          <w:p>
            <w:pPr>
              <w:spacing w:after="40" w:before="60" w:line="259" w:lineRule="auto"/>
            </w:pPr>
            <w:r>
              <w:rPr>
                <w:rFonts w:ascii="Calibri" w:hAnsi="Calibri"/>
                <w:b w:val="0"/>
                <w:i w:val="0"/>
                <w:color w:val="212121"/>
                <w:sz w:val="19"/>
              </w:rPr>
              <w:t>Acute myocarditis carries a 1-year mortality of about 20%, rising to roughly 56% by 4 years in some cohorts, with older age and haemodynamic compromise among the markers of a poor prognosis.</w:t>
            </w:r>
          </w:p>
          <w:p>
            <w:pPr>
              <w:spacing w:after="40" w:line="252" w:lineRule="auto"/>
            </w:pPr>
            <w:hyperlink r:id="rId9">
              <w:r>
                <w:rPr>
                  <w:rFonts w:ascii="Calibri" w:hAnsi="Calibri" w:cs="Calibri"/>
                  <w:sz w:val="18"/>
                  <w:color w:val="1155CC"/>
                  <w:u w:val="single"/>
                </w:rPr>
                <w:t xml:space="preserve">ncbi.nlm.nih.gov/books/NBK441847 - myocarditis prognosis (StatPearls)</w:t>
              </w:r>
            </w:hyperlink>
          </w:p>
          <w:p>
            <w:pPr>
              <w:spacing w:before="60" w:after="40"/>
            </w:pPr>
            <w:r>
              <w:rPr>
                <w:rFonts w:ascii="Calibri" w:hAnsi="Calibri"/>
                <w:b w:val="0"/>
                <w:i w:val="0"/>
                <w:color w:val="5A5A5A"/>
                <w:sz w:val="18"/>
              </w:rPr>
              <w:t>#elderly  #prognosis  #comorbidity  #mortality  #cardiacreserve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have a consistently higher incidence of myocarditis and tend to develop more severe disease than women, reflecting sex differences in immune and hormonal (testosterone-related) responses to myocardial injury; young males also account for almost all of the rare vaccine-associated cases.</w:t>
            </w:r>
          </w:p>
          <w:p>
            <w:pPr>
              <w:spacing w:after="40" w:before="60" w:line="259" w:lineRule="auto"/>
            </w:pPr>
            <w:r>
              <w:rPr>
                <w:rFonts w:ascii="Calibri" w:hAnsi="Calibri"/>
                <w:b w:val="0"/>
                <w:i w:val="0"/>
                <w:color w:val="212121"/>
                <w:sz w:val="19"/>
              </w:rPr>
              <w:t>Myocarditis is more common in males than females and typically affects people under 50; myocarditis after mRNA COVID-19 vaccination is very rare (&lt; 0.01% even in the highest-risk group, males aged 12-29) and far less common than COVID-19-associated myocarditis.</w:t>
            </w:r>
          </w:p>
          <w:p>
            <w:pPr>
              <w:spacing w:after="40" w:line="252" w:lineRule="auto"/>
            </w:pPr>
            <w:hyperlink r:id="rId10">
              <w:r>
                <w:rPr>
                  <w:rFonts w:ascii="Calibri" w:hAnsi="Calibri" w:cs="Calibri"/>
                  <w:sz w:val="18"/>
                  <w:color w:val="1155CC"/>
                  <w:u w:val="single"/>
                </w:rPr>
                <w:t xml:space="preserve">msdmanuals.com - Myocarditis (MSD Manual, Professional)</w:t>
              </w:r>
            </w:hyperlink>
          </w:p>
          <w:p>
            <w:pPr>
              <w:spacing w:before="60" w:after="40"/>
            </w:pPr>
            <w:r>
              <w:rPr>
                <w:rFonts w:ascii="Calibri" w:hAnsi="Calibri"/>
                <w:b w:val="0"/>
                <w:i w:val="0"/>
                <w:color w:val="5A5A5A"/>
                <w:sz w:val="18"/>
              </w:rPr>
              <w:t>#male  #sexdifference  #testosterone  #vaccineassociated  #youngmen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Immunisation coverage</w:t>
            </w:r>
          </w:p>
        </w:tc>
        <w:tc>
          <w:tcPr>
            <w:tcW w:type="dxa" w:w="2160"/>
            <w:vAlign w:val="top"/>
          </w:tcPr>
          <w:p>
            <w:pPr>
              <w:spacing w:after="40" w:before="0" w:line="259" w:lineRule="auto"/>
            </w:pPr>
            <w:r>
              <w:rPr>
                <w:rFonts w:ascii="Calibri" w:hAnsi="Calibri"/>
                <w:b w:val="0"/>
                <w:i w:val="0"/>
                <w:color w:val="212121"/>
                <w:sz w:val="19"/>
              </w:rPr>
              <w:t>Under-immunised regions of India (diphtheritic myocarditis)</w:t>
            </w:r>
          </w:p>
        </w:tc>
        <w:tc>
          <w:tcPr>
            <w:tcW w:type="dxa" w:w="4276"/>
            <w:vAlign w:val="top"/>
          </w:tcPr>
          <w:p>
            <w:pPr>
              <w:spacing w:after="60" w:line="259" w:lineRule="auto"/>
            </w:pPr>
            <w:r>
              <w:rPr>
                <w:rFonts w:ascii="Calibri" w:hAnsi="Calibri"/>
                <w:b w:val="0"/>
                <w:i w:val="0"/>
                <w:color w:val="212121"/>
                <w:sz w:val="19"/>
              </w:rPr>
              <w:t>Where childhood diphtheria immunisation is incomplete, Corynebacterium diphtheriae exotoxin causes diphtheritic myocarditis - a leading cause of death in diphtheria - typically appearing in the second week of illness. India has historically reported a large share of the world's diphtheria cases, keeping this classic cause clinically relevant.</w:t>
            </w:r>
          </w:p>
          <w:p>
            <w:pPr>
              <w:spacing w:after="40" w:before="60" w:line="259" w:lineRule="auto"/>
            </w:pPr>
            <w:r>
              <w:rPr>
                <w:rFonts w:ascii="Calibri" w:hAnsi="Calibri"/>
                <w:b w:val="0"/>
                <w:i w:val="0"/>
                <w:color w:val="212121"/>
                <w:sz w:val="19"/>
              </w:rPr>
              <w:t>Untreated diphtheria in the unvaccinated is fatal in around 30% of cases, and the toxin causes inflammation of the heart (myocarditis) and nerves, with cardiac involvement a principal cause of diphtheria deaths.</w:t>
            </w:r>
          </w:p>
          <w:p>
            <w:pPr>
              <w:spacing w:after="40" w:line="252" w:lineRule="auto"/>
            </w:pPr>
            <w:hyperlink r:id="rId11">
              <w:r>
                <w:rPr>
                  <w:rFonts w:ascii="Calibri" w:hAnsi="Calibri" w:cs="Calibri"/>
                  <w:sz w:val="18"/>
                  <w:color w:val="1155CC"/>
                  <w:u w:val="single"/>
                </w:rPr>
                <w:t xml:space="preserve">who.int - Diphtheria fact sheet (WHO)</w:t>
              </w:r>
            </w:hyperlink>
          </w:p>
          <w:p>
            <w:pPr>
              <w:spacing w:before="60" w:after="40"/>
            </w:pPr>
            <w:r>
              <w:rPr>
                <w:rFonts w:ascii="Calibri" w:hAnsi="Calibri"/>
                <w:b w:val="0"/>
                <w:i w:val="0"/>
                <w:color w:val="5A5A5A"/>
                <w:sz w:val="18"/>
              </w:rPr>
              <w:t>#diphtheria  #diphtheriticmyocarditis  #immunisation  #India  #exotoxin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Endemic infection</w:t>
            </w:r>
          </w:p>
        </w:tc>
        <w:tc>
          <w:tcPr>
            <w:tcW w:type="dxa" w:w="2160"/>
            <w:vAlign w:val="top"/>
          </w:tcPr>
          <w:p>
            <w:pPr>
              <w:spacing w:after="40" w:before="0" w:line="259" w:lineRule="auto"/>
            </w:pPr>
            <w:r>
              <w:rPr>
                <w:rFonts w:ascii="Calibri" w:hAnsi="Calibri"/>
                <w:b w:val="0"/>
                <w:i w:val="0"/>
                <w:color w:val="212121"/>
                <w:sz w:val="19"/>
              </w:rPr>
              <w:t>Dengue-endemic India (dengue myocarditis)</w:t>
            </w:r>
          </w:p>
        </w:tc>
        <w:tc>
          <w:tcPr>
            <w:tcW w:type="dxa" w:w="4276"/>
            <w:vAlign w:val="top"/>
          </w:tcPr>
          <w:p>
            <w:pPr>
              <w:spacing w:after="60" w:line="259" w:lineRule="auto"/>
            </w:pPr>
            <w:r>
              <w:rPr>
                <w:rFonts w:ascii="Calibri" w:hAnsi="Calibri"/>
                <w:b w:val="0"/>
                <w:i w:val="0"/>
                <w:color w:val="212121"/>
                <w:sz w:val="19"/>
              </w:rPr>
              <w:t>India experiences large annual dengue epidemics, and cardiac involvement - including myocarditis with transient left-ventricular dysfunction, conduction defects and arrhythmia - is an increasingly recognised complication of dengue and other arboviral fevers, usually during the febrile or critical phase.</w:t>
            </w:r>
          </w:p>
          <w:p>
            <w:pPr>
              <w:spacing w:after="40" w:before="60" w:line="259" w:lineRule="auto"/>
            </w:pPr>
            <w:r>
              <w:rPr>
                <w:rFonts w:ascii="Calibri" w:hAnsi="Calibri"/>
                <w:b w:val="0"/>
                <w:i w:val="0"/>
                <w:color w:val="212121"/>
                <w:sz w:val="19"/>
              </w:rPr>
              <w:t>Cardiac involvement and myocarditis are increasingly reported in dengue, particularly in severe disease, and should be suspected when a dengue patient develops chest pain, breathlessness, hypotension or arrhythmia disproportionate to fluid status.</w:t>
            </w:r>
          </w:p>
          <w:p>
            <w:pPr>
              <w:spacing w:before="60" w:after="40"/>
            </w:pPr>
            <w:r>
              <w:rPr>
                <w:rFonts w:ascii="Calibri" w:hAnsi="Calibri"/>
                <w:b w:val="0"/>
                <w:i w:val="0"/>
                <w:color w:val="5A5A5A"/>
                <w:sz w:val="18"/>
              </w:rPr>
              <w:t>#dengue  #arbovirus  #tropicalmedicine  #India  #viralmyocarditis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Environmental exposure</w:t>
            </w:r>
          </w:p>
        </w:tc>
        <w:tc>
          <w:tcPr>
            <w:tcW w:type="dxa" w:w="2160"/>
            <w:vAlign w:val="top"/>
          </w:tcPr>
          <w:p>
            <w:pPr>
              <w:spacing w:after="40" w:before="0" w:line="259" w:lineRule="auto"/>
            </w:pPr>
            <w:r>
              <w:rPr>
                <w:rFonts w:ascii="Calibri" w:hAnsi="Calibri"/>
                <w:b w:val="0"/>
                <w:i w:val="0"/>
                <w:color w:val="212121"/>
                <w:sz w:val="19"/>
              </w:rPr>
              <w:t>Coastal Maharashtra and Konkan (scorpion-sting myocarditis)</w:t>
            </w:r>
          </w:p>
        </w:tc>
        <w:tc>
          <w:tcPr>
            <w:tcW w:type="dxa" w:w="4276"/>
            <w:vAlign w:val="top"/>
          </w:tcPr>
          <w:p>
            <w:pPr>
              <w:spacing w:after="60" w:line="259" w:lineRule="auto"/>
            </w:pPr>
            <w:r>
              <w:rPr>
                <w:rFonts w:ascii="Calibri" w:hAnsi="Calibri"/>
                <w:b w:val="0"/>
                <w:i w:val="0"/>
                <w:color w:val="212121"/>
                <w:sz w:val="19"/>
              </w:rPr>
              <w:t>Envenomation by the Indian red scorpion (Mesobuthus tamulus), common in the Konkan and other rural parts of western and southern India, releases a catecholamine surge that can cause an acute toxic myocarditis with pulmonary oedema and myocardial dysfunction, chiefly in children.</w:t>
            </w:r>
          </w:p>
          <w:p>
            <w:pPr>
              <w:spacing w:after="40" w:before="60" w:line="259" w:lineRule="auto"/>
            </w:pPr>
            <w:r>
              <w:rPr>
                <w:rFonts w:ascii="Calibri" w:hAnsi="Calibri"/>
                <w:b w:val="0"/>
                <w:i w:val="0"/>
                <w:color w:val="212121"/>
                <w:sz w:val="19"/>
              </w:rPr>
              <w:t>Indian red-scorpion envenomation is a recognised cause of acute myocarditis and pulmonary oedema, especially in children in rural western India; prazosin and supportive care are the mainstays of treatment.</w:t>
            </w:r>
          </w:p>
          <w:p>
            <w:pPr>
              <w:spacing w:before="60" w:after="40"/>
            </w:pPr>
            <w:r>
              <w:rPr>
                <w:rFonts w:ascii="Calibri" w:hAnsi="Calibri"/>
                <w:b w:val="0"/>
                <w:i w:val="0"/>
                <w:color w:val="5A5A5A"/>
                <w:sz w:val="18"/>
              </w:rPr>
              <w:t>#scorpionsting  #redscorpion  #Konkan  #toxicmyocarditis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Physical activity</w:t>
            </w:r>
          </w:p>
        </w:tc>
        <w:tc>
          <w:tcPr>
            <w:tcW w:type="dxa" w:w="2160"/>
            <w:vAlign w:val="top"/>
          </w:tcPr>
          <w:p>
            <w:pPr>
              <w:spacing w:after="40" w:before="0" w:line="259" w:lineRule="auto"/>
            </w:pPr>
            <w:r>
              <w:rPr>
                <w:rFonts w:ascii="Calibri" w:hAnsi="Calibri"/>
                <w:b w:val="0"/>
                <w:i w:val="0"/>
                <w:color w:val="212121"/>
                <w:sz w:val="19"/>
              </w:rPr>
              <w:t>Athletes exercising through a viral illness</w:t>
            </w:r>
          </w:p>
        </w:tc>
        <w:tc>
          <w:tcPr>
            <w:tcW w:type="dxa" w:w="4276"/>
            <w:vAlign w:val="top"/>
          </w:tcPr>
          <w:p>
            <w:pPr>
              <w:spacing w:after="60" w:line="259" w:lineRule="auto"/>
            </w:pPr>
            <w:r>
              <w:rPr>
                <w:rFonts w:ascii="Calibri" w:hAnsi="Calibri"/>
                <w:b w:val="0"/>
                <w:i w:val="0"/>
                <w:color w:val="212121"/>
                <w:sz w:val="19"/>
              </w:rPr>
              <w:t>Continuing strenuous or competitive exercise during or soon after a febrile viral illness increases myocardial viral replication and inflammation and can convert a mild myocarditis into a fulminant, arrhythmia-prone one; exertion is a recognised trigger of sudden cardiac death in athletes with unsuspected myocarditis.</w:t>
            </w:r>
          </w:p>
          <w:p>
            <w:pPr>
              <w:spacing w:after="40" w:before="60" w:line="259" w:lineRule="auto"/>
            </w:pPr>
            <w:r>
              <w:rPr>
                <w:rFonts w:ascii="Calibri" w:hAnsi="Calibri"/>
                <w:b w:val="0"/>
                <w:i w:val="0"/>
                <w:color w:val="212121"/>
                <w:sz w:val="19"/>
              </w:rPr>
              <w:t>Because exercise can worsen myocardial inflammation, strenuous and competitive activity is restricted for 3-6 months after myocarditis, with return to sport guided by recovery of function, MRI findings and absence of arrhythmia.</w:t>
            </w:r>
          </w:p>
          <w:p>
            <w:pPr>
              <w:spacing w:after="40" w:line="252" w:lineRule="auto"/>
            </w:pPr>
            <w:hyperlink r:id="rId10">
              <w:r>
                <w:rPr>
                  <w:rFonts w:ascii="Calibri" w:hAnsi="Calibri" w:cs="Calibri"/>
                  <w:sz w:val="18"/>
                  <w:color w:val="1155CC"/>
                  <w:u w:val="single"/>
                </w:rPr>
                <w:t xml:space="preserve">msdmanuals.com - activity restriction in myocarditis (MSD Manual)</w:t>
              </w:r>
            </w:hyperlink>
          </w:p>
          <w:p>
            <w:pPr>
              <w:spacing w:before="60" w:after="40"/>
            </w:pPr>
            <w:r>
              <w:rPr>
                <w:rFonts w:ascii="Calibri" w:hAnsi="Calibri"/>
                <w:b w:val="0"/>
                <w:i w:val="0"/>
                <w:color w:val="5A5A5A"/>
                <w:sz w:val="18"/>
              </w:rPr>
              <w:t>#athletes  #exercise  #returntoplay  #suddencardiacdeath  #viralillness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heavy alcohol use is directly toxic to the myocardium and impairs immune defences, increasing susceptibility to and severity of infective myocarditis and compounding myocardial injury; it also predisposes to the dilated cardiomyopathy into which myocarditis can evolve.</w:t>
            </w:r>
          </w:p>
          <w:p>
            <w:pPr>
              <w:spacing w:after="40" w:before="60" w:line="259" w:lineRule="auto"/>
            </w:pPr>
            <w:r>
              <w:rPr>
                <w:rFonts w:ascii="Calibri" w:hAnsi="Calibri"/>
                <w:b w:val="0"/>
                <w:i w:val="0"/>
                <w:color w:val="212121"/>
                <w:sz w:val="19"/>
              </w:rPr>
              <w:t>Alcohol is a recognised cardiotoxin that both injures the myocardium directly and worsens the course of myocardial inflammation and heart failure.</w:t>
            </w:r>
          </w:p>
          <w:p>
            <w:pPr>
              <w:spacing w:before="60" w:after="40"/>
            </w:pPr>
            <w:r>
              <w:rPr>
                <w:rFonts w:ascii="Calibri" w:hAnsi="Calibri"/>
                <w:b w:val="0"/>
                <w:i w:val="0"/>
                <w:color w:val="5A5A5A"/>
                <w:sz w:val="18"/>
              </w:rPr>
              <w:t>#alcohol  #cardiotoxin  #immunecompromise  #DCM  #lifestyle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Substance use</w:t>
            </w:r>
          </w:p>
        </w:tc>
        <w:tc>
          <w:tcPr>
            <w:tcW w:type="dxa" w:w="2160"/>
            <w:vAlign w:val="top"/>
          </w:tcPr>
          <w:p>
            <w:pPr>
              <w:spacing w:after="40" w:before="0" w:line="259" w:lineRule="auto"/>
            </w:pPr>
            <w:r>
              <w:rPr>
                <w:rFonts w:ascii="Calibri" w:hAnsi="Calibri"/>
                <w:b w:val="0"/>
                <w:i w:val="0"/>
                <w:color w:val="212121"/>
                <w:sz w:val="19"/>
              </w:rPr>
              <w:t>Cocaine and stimulant users</w:t>
            </w:r>
          </w:p>
        </w:tc>
        <w:tc>
          <w:tcPr>
            <w:tcW w:type="dxa" w:w="4276"/>
            <w:vAlign w:val="top"/>
          </w:tcPr>
          <w:p>
            <w:pPr>
              <w:spacing w:after="60" w:line="259" w:lineRule="auto"/>
            </w:pPr>
            <w:r>
              <w:rPr>
                <w:rFonts w:ascii="Calibri" w:hAnsi="Calibri"/>
                <w:b w:val="0"/>
                <w:i w:val="0"/>
                <w:color w:val="212121"/>
                <w:sz w:val="19"/>
              </w:rPr>
              <w:t>Cocaine, amphetamines and other stimulants can cause myocarditis directly and through intense catecholamine-driven myocardial stress, vasospasm and ischaemia, producing chest pain, arrhythmia and acute heart failure that mimic and overlap with a heart attack.</w:t>
            </w:r>
          </w:p>
          <w:p>
            <w:pPr>
              <w:spacing w:after="40" w:before="60" w:line="259" w:lineRule="auto"/>
            </w:pPr>
            <w:r>
              <w:rPr>
                <w:rFonts w:ascii="Calibri" w:hAnsi="Calibri"/>
                <w:b w:val="0"/>
                <w:i w:val="0"/>
                <w:color w:val="212121"/>
                <w:sz w:val="19"/>
              </w:rPr>
              <w:t>Cocaine and other recreational stimulants are listed among the drug and toxin causes of myocarditis and acute myocardial injury.</w:t>
            </w:r>
          </w:p>
          <w:p>
            <w:pPr>
              <w:spacing w:after="40" w:line="252" w:lineRule="auto"/>
            </w:pPr>
            <w:hyperlink r:id="rId12">
              <w:r>
                <w:rPr>
                  <w:rFonts w:ascii="Calibri" w:hAnsi="Calibri" w:cs="Calibri"/>
                  <w:sz w:val="18"/>
                  <w:color w:val="1155CC"/>
                  <w:u w:val="single"/>
                </w:rPr>
                <w:t xml:space="preserve">mayoclinic.org - Myocarditis causes (Mayo Clinic)</w:t>
              </w:r>
            </w:hyperlink>
          </w:p>
          <w:p>
            <w:pPr>
              <w:spacing w:before="60" w:after="40"/>
            </w:pPr>
            <w:r>
              <w:rPr>
                <w:rFonts w:ascii="Calibri" w:hAnsi="Calibri"/>
                <w:b w:val="0"/>
                <w:i w:val="0"/>
                <w:color w:val="5A5A5A"/>
                <w:sz w:val="18"/>
              </w:rPr>
              <w:t>#cocaine  #stimulants  #substanceuse  #catecholamine  #toxicmyocarditis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Selenium deficiency</w:t>
            </w:r>
          </w:p>
        </w:tc>
        <w:tc>
          <w:tcPr>
            <w:tcW w:type="dxa" w:w="2160"/>
            <w:vAlign w:val="top"/>
          </w:tcPr>
          <w:p>
            <w:pPr>
              <w:spacing w:after="40" w:before="0" w:line="259" w:lineRule="auto"/>
            </w:pPr>
            <w:r>
              <w:rPr>
                <w:rFonts w:ascii="Calibri" w:hAnsi="Calibri"/>
                <w:b w:val="0"/>
                <w:i w:val="0"/>
                <w:color w:val="212121"/>
                <w:sz w:val="19"/>
              </w:rPr>
              <w:t>Severely selenium-deficient populations (Keshan disease)</w:t>
            </w:r>
          </w:p>
        </w:tc>
        <w:tc>
          <w:tcPr>
            <w:tcW w:type="dxa" w:w="4276"/>
            <w:vAlign w:val="top"/>
          </w:tcPr>
          <w:p>
            <w:pPr>
              <w:spacing w:after="60" w:line="259" w:lineRule="auto"/>
            </w:pPr>
            <w:r>
              <w:rPr>
                <w:rFonts w:ascii="Calibri" w:hAnsi="Calibri"/>
                <w:b w:val="0"/>
                <w:i w:val="0"/>
                <w:color w:val="212121"/>
                <w:sz w:val="19"/>
              </w:rPr>
              <w:t>Severe dietary selenium deficiency causes Keshan disease, an endemic nutritional cardiomyopathy/myocarditis in which selenium-deficient myocardium is more vulnerable to Coxsackievirus-induced injury; it illustrates how micronutrient status shapes susceptibility to viral myocarditis.</w:t>
            </w:r>
          </w:p>
          <w:p>
            <w:pPr>
              <w:spacing w:after="40" w:before="60" w:line="259" w:lineRule="auto"/>
            </w:pPr>
            <w:r>
              <w:rPr>
                <w:rFonts w:ascii="Calibri" w:hAnsi="Calibri"/>
                <w:b w:val="0"/>
                <w:i w:val="0"/>
                <w:color w:val="212121"/>
                <w:sz w:val="19"/>
              </w:rPr>
              <w:t>Selenium deficiency (Keshan disease) is a recognised nutritional cause of myocarditis/cardiomyopathy, and adequate selenium status appears to protect the myocardium against Coxsackievirus injury.</w:t>
            </w:r>
          </w:p>
          <w:p>
            <w:pPr>
              <w:spacing w:before="60" w:after="40"/>
            </w:pPr>
            <w:r>
              <w:rPr>
                <w:rFonts w:ascii="Calibri" w:hAnsi="Calibri"/>
                <w:b w:val="0"/>
                <w:i w:val="0"/>
                <w:color w:val="5A5A5A"/>
                <w:sz w:val="18"/>
              </w:rPr>
              <w:t>#selenium  #Keshandisease  #micronutrient  #nutrition  #coxsackie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w:t>
            </w:r>
          </w:p>
        </w:tc>
        <w:tc>
          <w:tcPr>
            <w:tcW w:type="dxa" w:w="2160"/>
            <w:vAlign w:val="top"/>
          </w:tcPr>
          <w:p>
            <w:pPr>
              <w:spacing w:after="40" w:before="0" w:line="259" w:lineRule="auto"/>
            </w:pPr>
            <w:r>
              <w:rPr>
                <w:rFonts w:ascii="Calibri" w:hAnsi="Calibri"/>
                <w:b w:val="0"/>
                <w:i w:val="0"/>
                <w:color w:val="212121"/>
                <w:sz w:val="19"/>
              </w:rPr>
              <w:t>Protein-energy malnourished children and adults</w:t>
            </w:r>
          </w:p>
        </w:tc>
        <w:tc>
          <w:tcPr>
            <w:tcW w:type="dxa" w:w="4276"/>
            <w:vAlign w:val="top"/>
          </w:tcPr>
          <w:p>
            <w:pPr>
              <w:spacing w:after="60" w:line="259" w:lineRule="auto"/>
            </w:pPr>
            <w:r>
              <w:rPr>
                <w:rFonts w:ascii="Calibri" w:hAnsi="Calibri"/>
                <w:b w:val="0"/>
                <w:i w:val="0"/>
                <w:color w:val="212121"/>
                <w:sz w:val="19"/>
              </w:rPr>
              <w:t>Undernutrition and micronutrient deficiency impair immune competence, so malnourished children and adults - still common in parts of India - are more likely to develop severe or prolonged infective myocarditis and to tolerate it poorly.</w:t>
            </w:r>
          </w:p>
          <w:p>
            <w:pPr>
              <w:spacing w:after="40" w:before="60" w:line="259" w:lineRule="auto"/>
            </w:pPr>
            <w:r>
              <w:rPr>
                <w:rFonts w:ascii="Calibri" w:hAnsi="Calibri"/>
                <w:b w:val="0"/>
                <w:i w:val="0"/>
                <w:color w:val="212121"/>
                <w:sz w:val="19"/>
              </w:rPr>
              <w:t>Poor nutritional status weakens host immune defences and is associated with more severe and complicated infections, including infective myocarditis.</w:t>
            </w:r>
          </w:p>
          <w:p>
            <w:pPr>
              <w:spacing w:before="60" w:after="40"/>
            </w:pPr>
            <w:r>
              <w:rPr>
                <w:rFonts w:ascii="Calibri" w:hAnsi="Calibri"/>
                <w:b w:val="0"/>
                <w:i w:val="0"/>
                <w:color w:val="5A5A5A"/>
                <w:sz w:val="18"/>
              </w:rPr>
              <w:t>#malnutrition  #undernutrition  #immunity  #India  #infectionrisk</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immunogenetics</w:t>
            </w:r>
          </w:p>
        </w:tc>
        <w:tc>
          <w:tcPr>
            <w:tcW w:type="dxa" w:w="2160"/>
            <w:vAlign w:val="top"/>
          </w:tcPr>
          <w:p>
            <w:pPr>
              <w:spacing w:after="40" w:before="0" w:line="259" w:lineRule="auto"/>
            </w:pPr>
            <w:r>
              <w:rPr>
                <w:rFonts w:ascii="Calibri" w:hAnsi="Calibri"/>
                <w:b w:val="0"/>
                <w:i w:val="0"/>
                <w:color w:val="212121"/>
                <w:sz w:val="19"/>
              </w:rPr>
              <w:t>HLA and inflammatory-gene predisposition</w:t>
            </w:r>
          </w:p>
        </w:tc>
        <w:tc>
          <w:tcPr>
            <w:tcW w:type="dxa" w:w="4276"/>
            <w:vAlign w:val="top"/>
          </w:tcPr>
          <w:p>
            <w:pPr>
              <w:spacing w:after="60" w:line="259" w:lineRule="auto"/>
            </w:pPr>
            <w:r>
              <w:rPr>
                <w:rFonts w:ascii="Calibri" w:hAnsi="Calibri"/>
                <w:b w:val="0"/>
                <w:i w:val="0"/>
                <w:color w:val="212121"/>
                <w:sz w:val="19"/>
              </w:rPr>
              <w:t>Host genetic make-up, including HLA type and genes controlling the inflammatory response, influences who mounts a damaging autoimmune reaction to a common virus and who progresses to chronic myocarditis and dilated cardiomyopathy; a family history of unexplained young cardiomyopathy or sudden death raises concern.</w:t>
            </w:r>
          </w:p>
          <w:p>
            <w:pPr>
              <w:spacing w:after="40" w:before="60" w:line="259" w:lineRule="auto"/>
            </w:pPr>
            <w:r>
              <w:rPr>
                <w:rFonts w:ascii="Calibri" w:hAnsi="Calibri"/>
                <w:b w:val="0"/>
                <w:i w:val="0"/>
                <w:color w:val="212121"/>
                <w:sz w:val="19"/>
              </w:rPr>
              <w:t>Genetic predisposition shapes the individual inflammatory response to myocardial injury and the risk of progression, and familial clustering of inflammatory dilated cardiomyopathy is recognised.</w:t>
            </w:r>
          </w:p>
          <w:p>
            <w:pPr>
              <w:spacing w:before="60" w:after="40"/>
            </w:pPr>
            <w:r>
              <w:rPr>
                <w:rFonts w:ascii="Calibri" w:hAnsi="Calibri"/>
                <w:b w:val="0"/>
                <w:i w:val="0"/>
                <w:color w:val="5A5A5A"/>
                <w:sz w:val="18"/>
              </w:rPr>
              <w:t>#genetics  #HLA  #immunogenetics  #familyhistory  #DCM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Desmosomal gene variants</w:t>
            </w:r>
          </w:p>
        </w:tc>
        <w:tc>
          <w:tcPr>
            <w:tcW w:type="dxa" w:w="2160"/>
            <w:vAlign w:val="top"/>
          </w:tcPr>
          <w:p>
            <w:pPr>
              <w:spacing w:after="40" w:before="0" w:line="259" w:lineRule="auto"/>
            </w:pPr>
            <w:r>
              <w:rPr>
                <w:rFonts w:ascii="Calibri" w:hAnsi="Calibri"/>
                <w:b w:val="0"/>
                <w:i w:val="0"/>
                <w:color w:val="212121"/>
                <w:sz w:val="19"/>
              </w:rPr>
              <w:t>Carriers of arrhythmogenic-cardiomyopathy variants</w:t>
            </w:r>
          </w:p>
        </w:tc>
        <w:tc>
          <w:tcPr>
            <w:tcW w:type="dxa" w:w="4276"/>
            <w:vAlign w:val="top"/>
          </w:tcPr>
          <w:p>
            <w:pPr>
              <w:spacing w:after="60" w:line="259" w:lineRule="auto"/>
            </w:pPr>
            <w:r>
              <w:rPr>
                <w:rFonts w:ascii="Calibri" w:hAnsi="Calibri"/>
                <w:b w:val="0"/>
                <w:i w:val="0"/>
                <w:color w:val="212121"/>
                <w:sz w:val="19"/>
              </w:rPr>
              <w:t>Carriers of desmosomal gene variants (as in arrhythmogenic cardiomyopathy) can suffer recurrent 'hot phases' of myocarditis-like myocardial inflammation, with chest pain, troponin rise and arrhythmia; genetic myocardial disease and inflammation increasingly overlap.</w:t>
            </w:r>
          </w:p>
          <w:p>
            <w:pPr>
              <w:spacing w:after="40" w:before="60" w:line="259" w:lineRule="auto"/>
            </w:pPr>
            <w:r>
              <w:rPr>
                <w:rFonts w:ascii="Calibri" w:hAnsi="Calibri"/>
                <w:b w:val="0"/>
                <w:i w:val="0"/>
                <w:color w:val="212121"/>
                <w:sz w:val="19"/>
              </w:rPr>
              <w:t>Recurrent myocarditis-like episodes ('hot phases') are increasingly recognised in carriers of desmosomal and other cardiomyopathy gene variants, linking genetic predisposition with myocardial inflammation and arrhythmia.</w:t>
            </w:r>
          </w:p>
          <w:p>
            <w:pPr>
              <w:spacing w:before="60" w:after="40"/>
            </w:pPr>
            <w:r>
              <w:rPr>
                <w:rFonts w:ascii="Calibri" w:hAnsi="Calibri"/>
                <w:b w:val="0"/>
                <w:i w:val="0"/>
                <w:color w:val="5A5A5A"/>
                <w:sz w:val="18"/>
              </w:rPr>
              <w:t>#desmosomal  #arrhythmogenic  #hotphase  #genetics  #recurrentmyocarditis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Recent viral infection</w:t>
            </w:r>
          </w:p>
        </w:tc>
        <w:tc>
          <w:tcPr>
            <w:tcW w:type="dxa" w:w="2160"/>
            <w:vAlign w:val="top"/>
          </w:tcPr>
          <w:p>
            <w:pPr>
              <w:spacing w:after="40" w:before="0" w:line="259" w:lineRule="auto"/>
            </w:pPr>
            <w:r>
              <w:rPr>
                <w:rFonts w:ascii="Calibri" w:hAnsi="Calibri"/>
                <w:b w:val="0"/>
                <w:i w:val="0"/>
                <w:color w:val="212121"/>
                <w:sz w:val="19"/>
              </w:rPr>
              <w:t>Recent respiratory or gastrointestinal viral illness</w:t>
            </w:r>
          </w:p>
        </w:tc>
        <w:tc>
          <w:tcPr>
            <w:tcW w:type="dxa" w:w="4276"/>
            <w:vAlign w:val="top"/>
          </w:tcPr>
          <w:p>
            <w:pPr>
              <w:spacing w:after="60" w:line="259" w:lineRule="auto"/>
            </w:pPr>
            <w:r>
              <w:rPr>
                <w:rFonts w:ascii="Calibri" w:hAnsi="Calibri"/>
                <w:b w:val="0"/>
                <w:i w:val="0"/>
                <w:color w:val="212121"/>
                <w:sz w:val="19"/>
              </w:rPr>
              <w:t>A recent viral respiratory or gastrointestinal infection is the single most important antecedent of myocarditis; the virus, or the immune response to it, reaches and inflames the myocardium, typically 1-4 weeks after the initial illness.</w:t>
            </w:r>
          </w:p>
          <w:p>
            <w:pPr>
              <w:spacing w:after="40" w:before="60" w:line="259" w:lineRule="auto"/>
            </w:pPr>
            <w:r>
              <w:rPr>
                <w:rFonts w:ascii="Calibri" w:hAnsi="Calibri"/>
                <w:b w:val="0"/>
                <w:i w:val="0"/>
                <w:color w:val="212121"/>
                <w:sz w:val="19"/>
              </w:rPr>
              <w:t>About 60% of patients with acute myocarditis report a preceding acute febrile illness, and myocardial involvement is detectable in up to 5% of people with an acute viral infection.</w:t>
            </w:r>
          </w:p>
          <w:p>
            <w:pPr>
              <w:spacing w:after="40" w:line="252" w:lineRule="auto"/>
            </w:pPr>
            <w:hyperlink r:id="rId9">
              <w:r>
                <w:rPr>
                  <w:rFonts w:ascii="Calibri" w:hAnsi="Calibri" w:cs="Calibri"/>
                  <w:sz w:val="18"/>
                  <w:color w:val="1155CC"/>
                  <w:u w:val="single"/>
                </w:rPr>
                <w:t xml:space="preserve">ncbi.nlm.nih.gov/books/NBK441847 - antecedent viral illness (StatPearls)</w:t>
              </w:r>
            </w:hyperlink>
          </w:p>
          <w:p>
            <w:pPr>
              <w:spacing w:before="60" w:after="40"/>
            </w:pPr>
            <w:r>
              <w:rPr>
                <w:rFonts w:ascii="Calibri" w:hAnsi="Calibri"/>
                <w:b w:val="0"/>
                <w:i w:val="0"/>
                <w:color w:val="5A5A5A"/>
                <w:sz w:val="18"/>
              </w:rPr>
              <w:t>#viralinfection  #antecedentillness  #respiratoryvirus  #trigger  #postviral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disease</w:t>
            </w:r>
          </w:p>
        </w:tc>
        <w:tc>
          <w:tcPr>
            <w:tcW w:type="dxa" w:w="2160"/>
            <w:vAlign w:val="top"/>
          </w:tcPr>
          <w:p>
            <w:pPr>
              <w:spacing w:after="40" w:before="0" w:line="259" w:lineRule="auto"/>
            </w:pPr>
            <w:r>
              <w:rPr>
                <w:rFonts w:ascii="Calibri" w:hAnsi="Calibri"/>
                <w:b w:val="0"/>
                <w:i w:val="0"/>
                <w:color w:val="212121"/>
                <w:sz w:val="19"/>
              </w:rPr>
              <w:t>Systemic autoimmune / inflammatory disease</w:t>
            </w:r>
          </w:p>
        </w:tc>
        <w:tc>
          <w:tcPr>
            <w:tcW w:type="dxa" w:w="4276"/>
            <w:vAlign w:val="top"/>
          </w:tcPr>
          <w:p>
            <w:pPr>
              <w:spacing w:after="60" w:line="259" w:lineRule="auto"/>
            </w:pPr>
            <w:r>
              <w:rPr>
                <w:rFonts w:ascii="Calibri" w:hAnsi="Calibri"/>
                <w:b w:val="0"/>
                <w:i w:val="0"/>
                <w:color w:val="212121"/>
                <w:sz w:val="19"/>
              </w:rPr>
              <w:t>Systemic autoimmune and inflammatory diseases - systemic lupus erythematosus, sarcoidosis, inflammatory bowel disease, rheumatoid arthritis and the vasculitides - can inflame the myocardium directly, producing a myocarditis that needs immunosuppression rather than antimicrobial treatment.</w:t>
            </w:r>
          </w:p>
          <w:p>
            <w:pPr>
              <w:spacing w:after="40" w:before="60" w:line="259" w:lineRule="auto"/>
            </w:pPr>
            <w:r>
              <w:rPr>
                <w:rFonts w:ascii="Calibri" w:hAnsi="Calibri"/>
                <w:b w:val="0"/>
                <w:i w:val="0"/>
                <w:color w:val="212121"/>
                <w:sz w:val="19"/>
              </w:rPr>
              <w:t>Autoimmune and inflammatory disorders (e.g. SLE, sarcoidosis, polymyositis/dermatomyositis, IBD) are established non-infective causes of myocarditis and often require immunosuppressive therapy.</w:t>
            </w:r>
          </w:p>
          <w:p>
            <w:pPr>
              <w:spacing w:after="40" w:line="252" w:lineRule="auto"/>
            </w:pPr>
            <w:hyperlink r:id="rId10">
              <w:r>
                <w:rPr>
                  <w:rFonts w:ascii="Calibri" w:hAnsi="Calibri" w:cs="Calibri"/>
                  <w:sz w:val="18"/>
                  <w:color w:val="1155CC"/>
                  <w:u w:val="single"/>
                </w:rPr>
                <w:t xml:space="preserve">msdmanuals.com - immunologic causes of myocarditis (MSD Manual)</w:t>
              </w:r>
            </w:hyperlink>
          </w:p>
          <w:p>
            <w:pPr>
              <w:spacing w:before="60" w:after="40"/>
            </w:pPr>
            <w:r>
              <w:rPr>
                <w:rFonts w:ascii="Calibri" w:hAnsi="Calibri"/>
                <w:b w:val="0"/>
                <w:i w:val="0"/>
                <w:color w:val="5A5A5A"/>
                <w:sz w:val="18"/>
              </w:rPr>
              <w:t>#autoimmune  #SLE  #sarcoidosis  #immunosuppression  #systemicdisease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Immunocompromise / immunotherapy</w:t>
            </w:r>
          </w:p>
        </w:tc>
        <w:tc>
          <w:tcPr>
            <w:tcW w:type="dxa" w:w="2160"/>
            <w:vAlign w:val="top"/>
          </w:tcPr>
          <w:p>
            <w:pPr>
              <w:spacing w:after="40" w:before="0" w:line="259" w:lineRule="auto"/>
            </w:pPr>
            <w:r>
              <w:rPr>
                <w:rFonts w:ascii="Calibri" w:hAnsi="Calibri"/>
                <w:b w:val="0"/>
                <w:i w:val="0"/>
                <w:color w:val="212121"/>
                <w:sz w:val="19"/>
              </w:rPr>
              <w:t>HIV and cancer-immunotherapy patients</w:t>
            </w:r>
          </w:p>
        </w:tc>
        <w:tc>
          <w:tcPr>
            <w:tcW w:type="dxa" w:w="4276"/>
            <w:vAlign w:val="top"/>
          </w:tcPr>
          <w:p>
            <w:pPr>
              <w:spacing w:after="60" w:line="259" w:lineRule="auto"/>
            </w:pPr>
            <w:r>
              <w:rPr>
                <w:rFonts w:ascii="Calibri" w:hAnsi="Calibri"/>
                <w:b w:val="0"/>
                <w:i w:val="0"/>
                <w:color w:val="212121"/>
                <w:sz w:val="19"/>
              </w:rPr>
              <w:t>Immunocompromised patients (including people living with HIV) are prone to infective and opportunistic myocarditis, while cancer patients on immune-checkpoint inhibitors can develop a distinct, often severe immunotherapy-associated myocarditis - both groups are growing in India.</w:t>
            </w:r>
          </w:p>
          <w:p>
            <w:pPr>
              <w:spacing w:after="40" w:before="60" w:line="259" w:lineRule="auto"/>
            </w:pPr>
            <w:r>
              <w:rPr>
                <w:rFonts w:ascii="Calibri" w:hAnsi="Calibri"/>
                <w:b w:val="0"/>
                <w:i w:val="0"/>
                <w:color w:val="212121"/>
                <w:sz w:val="19"/>
              </w:rPr>
              <w:t>Immune-checkpoint-inhibitor-associated myocarditis, though uncommon, carries a high fatality rate and mandates urgent recognition; HIV is also a recognised cause of myocarditis and dilated cardiomyopathy.</w:t>
            </w:r>
          </w:p>
          <w:p>
            <w:pPr>
              <w:spacing w:after="40" w:line="252" w:lineRule="auto"/>
            </w:pPr>
            <w:hyperlink r:id="rId10">
              <w:r>
                <w:rPr>
                  <w:rFonts w:ascii="Calibri" w:hAnsi="Calibri" w:cs="Calibri"/>
                  <w:sz w:val="18"/>
                  <w:color w:val="1155CC"/>
                  <w:u w:val="single"/>
                </w:rPr>
                <w:t xml:space="preserve">msdmanuals.com - ICI-associated myocarditis (MSD Manual)</w:t>
              </w:r>
            </w:hyperlink>
          </w:p>
          <w:p>
            <w:pPr>
              <w:spacing w:before="60" w:after="40"/>
            </w:pPr>
            <w:r>
              <w:rPr>
                <w:rFonts w:ascii="Calibri" w:hAnsi="Calibri"/>
                <w:b w:val="0"/>
                <w:i w:val="0"/>
                <w:color w:val="5A5A5A"/>
                <w:sz w:val="18"/>
              </w:rPr>
              <w:t>#immunecheckpointinhibitor  #HIV  #immunocompromised  #immunotherapy  #oncocardiology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COVID-19</w:t>
            </w:r>
          </w:p>
        </w:tc>
        <w:tc>
          <w:tcPr>
            <w:tcW w:type="dxa" w:w="2160"/>
            <w:vAlign w:val="top"/>
          </w:tcPr>
          <w:p>
            <w:pPr>
              <w:spacing w:after="40" w:before="0" w:line="259" w:lineRule="auto"/>
            </w:pPr>
            <w:r>
              <w:rPr>
                <w:rFonts w:ascii="Calibri" w:hAnsi="Calibri"/>
                <w:b w:val="0"/>
                <w:i w:val="0"/>
                <w:color w:val="212121"/>
                <w:sz w:val="19"/>
              </w:rPr>
              <w:t>People infected with SARS-CoV-2</w:t>
            </w:r>
          </w:p>
        </w:tc>
        <w:tc>
          <w:tcPr>
            <w:tcW w:type="dxa" w:w="4276"/>
            <w:vAlign w:val="top"/>
          </w:tcPr>
          <w:p>
            <w:pPr>
              <w:spacing w:after="60" w:line="259" w:lineRule="auto"/>
            </w:pPr>
            <w:r>
              <w:rPr>
                <w:rFonts w:ascii="Calibri" w:hAnsi="Calibri"/>
                <w:b w:val="0"/>
                <w:i w:val="0"/>
                <w:color w:val="212121"/>
                <w:sz w:val="19"/>
              </w:rPr>
              <w:t>SARS-CoV-2 infection can cause myocarditis and myocardial injury directly and through immune activation; the risk of myocarditis is far higher after COVID-19 infection than after vaccination, and it contributes to the acute and post-acute cardiac effects of the disease.</w:t>
            </w:r>
          </w:p>
          <w:p>
            <w:pPr>
              <w:spacing w:after="40" w:before="60" w:line="259" w:lineRule="auto"/>
            </w:pPr>
            <w:r>
              <w:rPr>
                <w:rFonts w:ascii="Calibri" w:hAnsi="Calibri"/>
                <w:b w:val="0"/>
                <w:i w:val="0"/>
                <w:color w:val="212121"/>
                <w:sz w:val="19"/>
              </w:rPr>
              <w:t>The risk of myocarditis is estimated to be 5-16 times higher in people infected with SARS-CoV-2 than in the uninfected, and is far greater than the very rare risk after mRNA vaccination.</w:t>
            </w:r>
          </w:p>
          <w:p>
            <w:pPr>
              <w:spacing w:after="40" w:line="252" w:lineRule="auto"/>
            </w:pPr>
            <w:hyperlink r:id="rId10">
              <w:r>
                <w:rPr>
                  <w:rFonts w:ascii="Calibri" w:hAnsi="Calibri" w:cs="Calibri"/>
                  <w:sz w:val="18"/>
                  <w:color w:val="1155CC"/>
                  <w:u w:val="single"/>
                </w:rPr>
                <w:t xml:space="preserve">msdmanuals.com - COVID-19 and myocarditis (MSD Manual)</w:t>
              </w:r>
            </w:hyperlink>
          </w:p>
          <w:p>
            <w:pPr>
              <w:spacing w:before="60" w:after="40"/>
            </w:pPr>
            <w:r>
              <w:rPr>
                <w:rFonts w:ascii="Calibri" w:hAnsi="Calibri"/>
                <w:b w:val="0"/>
                <w:i w:val="0"/>
                <w:color w:val="5A5A5A"/>
                <w:sz w:val="18"/>
              </w:rPr>
              <w:t>#COVID19  #SARSCoV2  #viralmyocarditis  #postCOVID  #myocardialinjury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activity has a critical, disease-specific role: strenuous or competitive exercise during acute myocarditis increases myocardial inflammation, ventricular arrhythmia and the risk of sudden death, so exertion is restricted for 3-6 months. Conversely, prolonged inactivity and deconditioning slow recovery, and supervised, graded activity is reintroduced once inflammation resolves.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influences myocarditis mainly through nutrition and heart-failure management. Severe micronutrient deficiency (selenium - Keshan disease) predisposes to viral myocarditis, malnutrition impairs immune defence, and once heart failure develops, salt and fluid moderation help control congestion.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sleep supports immune function and cardiovascular recovery; sleep deprivation impairs immune defences and raises sympathetic tone, and disturbed sleep is common during acute illness and convalescence. Direct evidence linking sleep duration to myocarditis risk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not a primary cause of myocarditis but impairs respiratory and immune defences, promotes coronary and microvascular disease and worsens myocardial oxygen supply, aggravating injury and slowing recovery of inflamed myocardium.</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heavy alcohol use is directly cardiotoxic and immunosuppressive, increasing susceptibility to and severity of infective myocarditis and predisposing to the dilated cardiomyopathy into which myocarditis can progress; binge drinking can also precipitate arrhythmia.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severe emotional or physical stress drives catecholamine surges that can precipitate stress (Takotsubo) cardiomyopathy, which overlaps clinically with myocarditis, while the anxiety and low mood that follow an acute cardiac illness and enforced activity restriction affect recovery and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is not a cause of myocarditis, but fluid balance matters in management: careful fluid and salt handling is needed once heart failure develops, while adequate hydration supports recovery from a febrile viral illness.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caffeine is generally safe, but high doses and energy drinks can provoke palpitations and arrhythmia in an inflamed, electrically unstable myocardium and are best limited during acute myocarditis and recovery.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Hygiene and infection control are directly relevant because most myocarditis is infective: hand and food hygiene reduce viral and enteric infections, immunisation (diphtheria/DTP, influenza, COVID-19) prevents specific causes, and vector control reduces dengue and scorpion exposure.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Clear precipitants provoke or unmask myocarditis and its complications: a recent viral (respiratory or GI) infection, strenuous exertion during illness, diphtheria in the unimmunised, dengue and other tropical infections, scorpion envenomation, cardiotoxic drugs and cancer immunotherapy, and severe autoimmune flares.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Exercise restriction after diagnosis</w:t>
            </w:r>
          </w:p>
        </w:tc>
        <w:tc>
          <w:tcPr>
            <w:tcW w:type="dxa" w:w="1655"/>
            <w:vAlign w:val="top"/>
          </w:tcPr>
          <w:p>
            <w:pPr>
              <w:spacing w:after="40" w:before="0" w:line="259" w:lineRule="auto"/>
            </w:pPr>
            <w:r>
              <w:rPr>
                <w:rFonts w:ascii="Calibri" w:hAnsi="Calibri"/>
                <w:b w:val="0"/>
                <w:i w:val="0"/>
                <w:color w:val="212121"/>
                <w:sz w:val="19"/>
              </w:rPr>
              <w:t>Patients with acute myocarditis; athletes</w:t>
            </w:r>
          </w:p>
        </w:tc>
        <w:tc>
          <w:tcPr>
            <w:tcW w:type="dxa" w:w="1512"/>
            <w:vAlign w:val="top"/>
          </w:tcPr>
          <w:p>
            <w:pPr>
              <w:spacing w:after="40" w:before="0" w:line="259" w:lineRule="auto"/>
            </w:pPr>
            <w:r>
              <w:rPr>
                <w:rFonts w:ascii="Calibri" w:hAnsi="Calibri"/>
                <w:b w:val="0"/>
                <w:i w:val="0"/>
                <w:color w:val="212121"/>
                <w:sz w:val="19"/>
              </w:rPr>
              <w:t>Rest; avoid strenuous/competitive exercise for 3-6 months</w:t>
            </w:r>
          </w:p>
        </w:tc>
        <w:tc>
          <w:tcPr>
            <w:tcW w:type="dxa" w:w="1512"/>
            <w:vAlign w:val="top"/>
          </w:tcPr>
          <w:p>
            <w:pPr>
              <w:spacing w:after="40" w:before="0" w:line="259" w:lineRule="auto"/>
            </w:pPr>
            <w:r>
              <w:rPr>
                <w:rFonts w:ascii="Calibri" w:hAnsi="Calibri"/>
                <w:b w:val="0"/>
                <w:i w:val="0"/>
                <w:color w:val="212121"/>
                <w:sz w:val="19"/>
              </w:rPr>
              <w:t>Strenuous or competitive exertion during the acute phase</w:t>
            </w:r>
          </w:p>
        </w:tc>
        <w:tc>
          <w:tcPr>
            <w:tcW w:type="dxa" w:w="1468"/>
            <w:vAlign w:val="top"/>
          </w:tcPr>
          <w:p>
            <w:pPr>
              <w:spacing w:after="60" w:line="259" w:lineRule="auto"/>
            </w:pPr>
            <w:r>
              <w:rPr>
                <w:rFonts w:ascii="Calibri" w:hAnsi="Calibri"/>
                <w:b w:val="0"/>
                <w:i w:val="0"/>
                <w:color w:val="212121"/>
                <w:sz w:val="19"/>
              </w:rPr>
              <w:t>Exertion worsens inflammation and arrhythmia/sudden-death risk</w:t>
            </w:r>
          </w:p>
          <w:p>
            <w:pPr>
              <w:spacing w:after="40" w:line="252" w:lineRule="auto"/>
            </w:pPr>
            <w:hyperlink r:id="rId10">
              <w:r>
                <w:rPr>
                  <w:rFonts w:ascii="Calibri" w:hAnsi="Calibri" w:cs="Calibri"/>
                  <w:sz w:val="18"/>
                  <w:color w:val="1155CC"/>
                  <w:u w:val="single"/>
                </w:rPr>
                <w:t xml:space="preserve">https://www.msdmanuals.com/professional/cardiovascular-disorders/myocarditis-and-pericarditis/myocarditis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(Asian-Indian cut-offs)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25 kg/m2 (obesity, Asian-Indian)</w:t>
            </w:r>
          </w:p>
        </w:tc>
        <w:tc>
          <w:tcPr>
            <w:tcW w:type="dxa" w:w="1468"/>
            <w:vAlign w:val="top"/>
          </w:tcPr>
          <w:p>
            <w:pPr>
              <w:spacing w:after="40" w:before="0" w:line="259" w:lineRule="auto"/>
            </w:pPr>
            <w:r>
              <w:rPr>
                <w:rFonts w:ascii="Calibri" w:hAnsi="Calibri"/>
                <w:b w:val="0"/>
                <w:i w:val="0"/>
                <w:color w:val="212121"/>
                <w:sz w:val="19"/>
              </w:rPr>
              <w:t>Obesity worsens heart-failure risk if cardiomyopathy develops</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salt (sodium)</w:t>
            </w:r>
          </w:p>
        </w:tc>
        <w:tc>
          <w:tcPr>
            <w:tcW w:type="dxa" w:w="1655"/>
            <w:vAlign w:val="top"/>
          </w:tcPr>
          <w:p>
            <w:pPr>
              <w:spacing w:after="40" w:before="0" w:line="259" w:lineRule="auto"/>
            </w:pPr>
            <w:r>
              <w:rPr>
                <w:rFonts w:ascii="Calibri" w:hAnsi="Calibri"/>
                <w:b w:val="0"/>
                <w:i w:val="0"/>
                <w:color w:val="212121"/>
                <w:sz w:val="19"/>
              </w:rPr>
              <w:t>Patients with myocarditis-related heart failure</w:t>
            </w:r>
          </w:p>
        </w:tc>
        <w:tc>
          <w:tcPr>
            <w:tcW w:type="dxa" w:w="1512"/>
            <w:vAlign w:val="top"/>
          </w:tcPr>
          <w:p>
            <w:pPr>
              <w:spacing w:after="40" w:before="0" w:line="259" w:lineRule="auto"/>
            </w:pPr>
            <w:r>
              <w:rPr>
                <w:rFonts w:ascii="Calibri" w:hAnsi="Calibri"/>
                <w:b w:val="0"/>
                <w:i w:val="0"/>
                <w:color w:val="212121"/>
                <w:sz w:val="19"/>
              </w:rPr>
              <w:t>&lt; 5 g salt/day</w:t>
            </w:r>
          </w:p>
        </w:tc>
        <w:tc>
          <w:tcPr>
            <w:tcW w:type="dxa" w:w="1512"/>
            <w:vAlign w:val="top"/>
          </w:tcPr>
          <w:p>
            <w:pPr>
              <w:spacing w:after="40" w:before="0" w:line="259" w:lineRule="auto"/>
            </w:pPr>
            <w:r>
              <w:rPr>
                <w:rFonts w:ascii="Calibri" w:hAnsi="Calibri"/>
                <w:b w:val="0"/>
                <w:i w:val="0"/>
                <w:color w:val="212121"/>
                <w:sz w:val="19"/>
              </w:rPr>
              <w:t>&gt; 5-6 g salt/day</w:t>
            </w:r>
          </w:p>
        </w:tc>
        <w:tc>
          <w:tcPr>
            <w:tcW w:type="dxa" w:w="1468"/>
            <w:vAlign w:val="top"/>
          </w:tcPr>
          <w:p>
            <w:pPr>
              <w:spacing w:after="40" w:before="0" w:line="259" w:lineRule="auto"/>
            </w:pPr>
            <w:r>
              <w:rPr>
                <w:rFonts w:ascii="Calibri" w:hAnsi="Calibri"/>
                <w:b w:val="0"/>
                <w:i w:val="0"/>
                <w:color w:val="212121"/>
                <w:sz w:val="19"/>
              </w:rPr>
              <w:t>High salt worsens fluid retention and congestion in heart failure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Selenium / micronutrient status</w:t>
            </w:r>
          </w:p>
        </w:tc>
        <w:tc>
          <w:tcPr>
            <w:tcW w:type="dxa" w:w="1655"/>
            <w:vAlign w:val="top"/>
          </w:tcPr>
          <w:p>
            <w:pPr>
              <w:spacing w:after="40" w:before="0" w:line="259" w:lineRule="auto"/>
            </w:pPr>
            <w:r>
              <w:rPr>
                <w:rFonts w:ascii="Calibri" w:hAnsi="Calibri"/>
                <w:b w:val="0"/>
                <w:i w:val="0"/>
                <w:color w:val="212121"/>
                <w:sz w:val="19"/>
              </w:rPr>
              <w:t>Nutritionally deficient populations</w:t>
            </w:r>
          </w:p>
        </w:tc>
        <w:tc>
          <w:tcPr>
            <w:tcW w:type="dxa" w:w="1512"/>
            <w:vAlign w:val="top"/>
          </w:tcPr>
          <w:p>
            <w:pPr>
              <w:spacing w:after="40" w:before="0" w:line="259" w:lineRule="auto"/>
            </w:pPr>
            <w:r>
              <w:rPr>
                <w:rFonts w:ascii="Calibri" w:hAnsi="Calibri"/>
                <w:b w:val="0"/>
                <w:i w:val="0"/>
                <w:color w:val="212121"/>
                <w:sz w:val="19"/>
              </w:rPr>
              <w:t>Adequate selenium and protein intake</w:t>
            </w:r>
          </w:p>
        </w:tc>
        <w:tc>
          <w:tcPr>
            <w:tcW w:type="dxa" w:w="1512"/>
            <w:vAlign w:val="top"/>
          </w:tcPr>
          <w:p>
            <w:pPr>
              <w:spacing w:after="40" w:before="0" w:line="259" w:lineRule="auto"/>
            </w:pPr>
            <w:r>
              <w:rPr>
                <w:rFonts w:ascii="Calibri" w:hAnsi="Calibri"/>
                <w:b w:val="0"/>
                <w:i w:val="0"/>
                <w:color w:val="212121"/>
                <w:sz w:val="19"/>
              </w:rPr>
              <w:t>Severe selenium/micronutrient deficiency</w:t>
            </w:r>
          </w:p>
        </w:tc>
        <w:tc>
          <w:tcPr>
            <w:tcW w:type="dxa" w:w="1468"/>
            <w:vAlign w:val="top"/>
          </w:tcPr>
          <w:p>
            <w:pPr>
              <w:spacing w:after="40" w:before="0" w:line="259" w:lineRule="auto"/>
            </w:pPr>
            <w:r>
              <w:rPr>
                <w:rFonts w:ascii="Calibri" w:hAnsi="Calibri"/>
                <w:b w:val="0"/>
                <w:i w:val="0"/>
                <w:color w:val="212121"/>
                <w:sz w:val="19"/>
              </w:rPr>
              <w:t>Deficiency (Keshan) predisposes myocardium to viral injury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Quantity (hours/night)</w:t>
            </w:r>
          </w:p>
        </w:tc>
        <w:tc>
          <w:tcPr>
            <w:tcW w:type="dxa" w:w="1655"/>
            <w:vAlign w:val="top"/>
          </w:tcPr>
          <w:p>
            <w:pPr>
              <w:spacing w:after="40" w:before="0" w:line="259" w:lineRule="auto"/>
            </w:pPr>
            <w:r>
              <w:rPr>
                <w:rFonts w:ascii="Calibri" w:hAnsi="Calibri"/>
                <w:b w:val="0"/>
                <w:i w:val="0"/>
                <w:color w:val="212121"/>
                <w:sz w:val="19"/>
              </w:rPr>
              <w:t>Convalescents and 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Adequate sleep supports immune and cardiovascular recovery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with or at risk of myocarditis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Tobacco impairs immune/respiratory defence and slows recovery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especially heavy drinkers</w:t>
            </w:r>
          </w:p>
        </w:tc>
        <w:tc>
          <w:tcPr>
            <w:tcW w:type="dxa" w:w="1512"/>
            <w:vAlign w:val="top"/>
          </w:tcPr>
          <w:p>
            <w:pPr>
              <w:spacing w:after="40" w:before="0" w:line="259" w:lineRule="auto"/>
            </w:pPr>
            <w:r>
              <w:rPr>
                <w:rFonts w:ascii="Calibri" w:hAnsi="Calibri"/>
                <w:b w:val="0"/>
                <w:i w:val="0"/>
                <w:color w:val="212121"/>
                <w:sz w:val="19"/>
              </w:rPr>
              <w:t>None or minimal</w:t>
            </w:r>
          </w:p>
        </w:tc>
        <w:tc>
          <w:tcPr>
            <w:tcW w:type="dxa" w:w="1512"/>
            <w:vAlign w:val="top"/>
          </w:tcPr>
          <w:p>
            <w:pPr>
              <w:spacing w:after="40" w:before="0" w:line="259" w:lineRule="auto"/>
            </w:pPr>
            <w:r>
              <w:rPr>
                <w:rFonts w:ascii="Calibri" w:hAnsi="Calibri"/>
                <w:b w:val="0"/>
                <w:i w:val="0"/>
                <w:color w:val="212121"/>
                <w:sz w:val="19"/>
              </w:rPr>
              <w:t>Chronic heavy use or binge drinking</w:t>
            </w:r>
          </w:p>
        </w:tc>
        <w:tc>
          <w:tcPr>
            <w:tcW w:type="dxa" w:w="1468"/>
            <w:vAlign w:val="top"/>
          </w:tcPr>
          <w:p>
            <w:pPr>
              <w:spacing w:after="40" w:before="0" w:line="259" w:lineRule="auto"/>
            </w:pPr>
            <w:r>
              <w:rPr>
                <w:rFonts w:ascii="Calibri" w:hAnsi="Calibri"/>
                <w:b w:val="0"/>
                <w:i w:val="0"/>
                <w:color w:val="212121"/>
                <w:sz w:val="19"/>
              </w:rPr>
              <w:t>Cardiotoxic and immunosuppressive; worsens the course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Cardiac troponin</w:t>
            </w:r>
          </w:p>
        </w:tc>
        <w:tc>
          <w:tcPr>
            <w:tcW w:type="dxa" w:w="1655"/>
            <w:vAlign w:val="top"/>
          </w:tcPr>
          <w:p>
            <w:pPr>
              <w:spacing w:after="40" w:before="0" w:line="259" w:lineRule="auto"/>
            </w:pPr>
            <w:r>
              <w:rPr>
                <w:rFonts w:ascii="Calibri" w:hAnsi="Calibri"/>
                <w:b w:val="0"/>
                <w:i w:val="0"/>
                <w:color w:val="212121"/>
                <w:sz w:val="19"/>
              </w:rPr>
              <w:t>Suspected myocarditis</w:t>
            </w:r>
          </w:p>
        </w:tc>
        <w:tc>
          <w:tcPr>
            <w:tcW w:type="dxa" w:w="1512"/>
            <w:vAlign w:val="top"/>
          </w:tcPr>
          <w:p>
            <w:pPr>
              <w:spacing w:after="40" w:before="0" w:line="259" w:lineRule="auto"/>
            </w:pPr>
            <w:r>
              <w:rPr>
                <w:rFonts w:ascii="Calibri" w:hAnsi="Calibri"/>
                <w:b w:val="0"/>
                <w:i w:val="0"/>
                <w:color w:val="212121"/>
                <w:sz w:val="19"/>
              </w:rPr>
              <w:t>Below assay threshold</w:t>
            </w:r>
          </w:p>
        </w:tc>
        <w:tc>
          <w:tcPr>
            <w:tcW w:type="dxa" w:w="1512"/>
            <w:vAlign w:val="top"/>
          </w:tcPr>
          <w:p>
            <w:pPr>
              <w:spacing w:after="40" w:before="0" w:line="259" w:lineRule="auto"/>
            </w:pPr>
            <w:r>
              <w:rPr>
                <w:rFonts w:ascii="Calibri" w:hAnsi="Calibri"/>
                <w:b w:val="0"/>
                <w:i w:val="0"/>
                <w:color w:val="212121"/>
                <w:sz w:val="19"/>
              </w:rPr>
              <w:t>Elevated troponin I/T</w:t>
            </w:r>
          </w:p>
        </w:tc>
        <w:tc>
          <w:tcPr>
            <w:tcW w:type="dxa" w:w="1468"/>
            <w:vAlign w:val="top"/>
          </w:tcPr>
          <w:p>
            <w:pPr>
              <w:spacing w:after="60" w:line="259" w:lineRule="auto"/>
            </w:pPr>
            <w:r>
              <w:rPr>
                <w:rFonts w:ascii="Calibri" w:hAnsi="Calibri"/>
                <w:b w:val="0"/>
                <w:i w:val="0"/>
                <w:color w:val="212121"/>
                <w:sz w:val="19"/>
              </w:rPr>
              <w:t>Marks myocyte injury; raised in over half of biopsy-proven cases</w:t>
            </w:r>
          </w:p>
          <w:p>
            <w:pPr>
              <w:spacing w:after="40" w:line="252" w:lineRule="auto"/>
            </w:pPr>
            <w:hyperlink r:id="rId9">
              <w:r>
                <w:rPr>
                  <w:rFonts w:ascii="Calibri" w:hAnsi="Calibri" w:cs="Calibri"/>
                  <w:sz w:val="18"/>
                  <w:color w:val="1155CC"/>
                  <w:u w:val="single"/>
                </w:rPr>
                <w:t xml:space="preserve">https://www.ncbi.nlm.nih.gov/books/NBK441847/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Left ventricular ejection fraction (LVEF)</w:t>
            </w:r>
          </w:p>
        </w:tc>
        <w:tc>
          <w:tcPr>
            <w:tcW w:type="dxa" w:w="1655"/>
            <w:vAlign w:val="top"/>
          </w:tcPr>
          <w:p>
            <w:pPr>
              <w:spacing w:after="40" w:before="0" w:line="259" w:lineRule="auto"/>
            </w:pPr>
            <w:r>
              <w:rPr>
                <w:rFonts w:ascii="Calibri" w:hAnsi="Calibri"/>
                <w:b w:val="0"/>
                <w:i w:val="0"/>
                <w:color w:val="212121"/>
                <w:sz w:val="19"/>
              </w:rPr>
              <w:t>Suspected/confirmed myocarditis</w:t>
            </w:r>
          </w:p>
        </w:tc>
        <w:tc>
          <w:tcPr>
            <w:tcW w:type="dxa" w:w="1512"/>
            <w:vAlign w:val="top"/>
          </w:tcPr>
          <w:p>
            <w:pPr>
              <w:spacing w:after="40" w:before="0" w:line="259" w:lineRule="auto"/>
            </w:pPr>
            <w:r>
              <w:rPr>
                <w:rFonts w:ascii="Calibri" w:hAnsi="Calibri"/>
                <w:b w:val="0"/>
                <w:i w:val="0"/>
                <w:color w:val="212121"/>
                <w:sz w:val="19"/>
              </w:rPr>
              <w:t>&gt;= 50%</w:t>
            </w:r>
          </w:p>
        </w:tc>
        <w:tc>
          <w:tcPr>
            <w:tcW w:type="dxa" w:w="1512"/>
            <w:vAlign w:val="top"/>
          </w:tcPr>
          <w:p>
            <w:pPr>
              <w:spacing w:after="40" w:before="0" w:line="259" w:lineRule="auto"/>
            </w:pPr>
            <w:r>
              <w:rPr>
                <w:rFonts w:ascii="Calibri" w:hAnsi="Calibri"/>
                <w:b w:val="0"/>
                <w:i w:val="0"/>
                <w:color w:val="212121"/>
                <w:sz w:val="19"/>
              </w:rPr>
              <w:t>&lt; 50% (especially &lt; 40%)</w:t>
            </w:r>
          </w:p>
        </w:tc>
        <w:tc>
          <w:tcPr>
            <w:tcW w:type="dxa" w:w="1468"/>
            <w:vAlign w:val="top"/>
          </w:tcPr>
          <w:p>
            <w:pPr>
              <w:spacing w:after="60" w:line="259" w:lineRule="auto"/>
            </w:pPr>
            <w:r>
              <w:rPr>
                <w:rFonts w:ascii="Calibri" w:hAnsi="Calibri"/>
                <w:b w:val="0"/>
                <w:i w:val="0"/>
                <w:color w:val="212121"/>
                <w:sz w:val="19"/>
              </w:rPr>
              <w:t>About 25% present with reduced LVEF, arrhythmia or low output</w:t>
            </w:r>
          </w:p>
          <w:p>
            <w:pPr>
              <w:spacing w:after="40" w:line="252" w:lineRule="auto"/>
            </w:pPr>
            <w:hyperlink r:id="rId9">
              <w:r>
                <w:rPr>
                  <w:rFonts w:ascii="Calibri" w:hAnsi="Calibri" w:cs="Calibri"/>
                  <w:sz w:val="18"/>
                  <w:color w:val="1155CC"/>
                  <w:u w:val="single"/>
                </w:rPr>
                <w:t xml:space="preserve">https://www.ncbi.nlm.nih.gov/books/NBK441847/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NT-proBNP / BNP</w:t>
            </w:r>
          </w:p>
        </w:tc>
        <w:tc>
          <w:tcPr>
            <w:tcW w:type="dxa" w:w="1655"/>
            <w:vAlign w:val="top"/>
          </w:tcPr>
          <w:p>
            <w:pPr>
              <w:spacing w:after="40" w:before="0" w:line="259" w:lineRule="auto"/>
            </w:pPr>
            <w:r>
              <w:rPr>
                <w:rFonts w:ascii="Calibri" w:hAnsi="Calibri"/>
                <w:b w:val="0"/>
                <w:i w:val="0"/>
                <w:color w:val="212121"/>
                <w:sz w:val="19"/>
              </w:rPr>
              <w:t>Suspected heart failure</w:t>
            </w:r>
          </w:p>
        </w:tc>
        <w:tc>
          <w:tcPr>
            <w:tcW w:type="dxa" w:w="1512"/>
            <w:vAlign w:val="top"/>
          </w:tcPr>
          <w:p>
            <w:pPr>
              <w:spacing w:after="40" w:before="0" w:line="259" w:lineRule="auto"/>
            </w:pPr>
            <w:r>
              <w:rPr>
                <w:rFonts w:ascii="Calibri" w:hAnsi="Calibri"/>
                <w:b w:val="0"/>
                <w:i w:val="0"/>
                <w:color w:val="212121"/>
                <w:sz w:val="19"/>
              </w:rPr>
              <w:t>NT-proBNP &lt; 125 pg/mL (age-dependent)</w:t>
            </w:r>
          </w:p>
        </w:tc>
        <w:tc>
          <w:tcPr>
            <w:tcW w:type="dxa" w:w="1512"/>
            <w:vAlign w:val="top"/>
          </w:tcPr>
          <w:p>
            <w:pPr>
              <w:spacing w:after="40" w:before="0" w:line="259" w:lineRule="auto"/>
            </w:pPr>
            <w:r>
              <w:rPr>
                <w:rFonts w:ascii="Calibri" w:hAnsi="Calibri"/>
                <w:b w:val="0"/>
                <w:i w:val="0"/>
                <w:color w:val="212121"/>
                <w:sz w:val="19"/>
              </w:rPr>
              <w:t>Elevated for age</w:t>
            </w:r>
          </w:p>
        </w:tc>
        <w:tc>
          <w:tcPr>
            <w:tcW w:type="dxa" w:w="1468"/>
            <w:vAlign w:val="top"/>
          </w:tcPr>
          <w:p>
            <w:pPr>
              <w:spacing w:after="40" w:before="0" w:line="259" w:lineRule="auto"/>
            </w:pPr>
            <w:r>
              <w:rPr>
                <w:rFonts w:ascii="Calibri" w:hAnsi="Calibri"/>
                <w:b w:val="0"/>
                <w:i w:val="0"/>
                <w:color w:val="212121"/>
                <w:sz w:val="19"/>
              </w:rPr>
              <w:t>Rises with heart-failure severity and wall stress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Inflammatory markers (CRP/ESR)</w:t>
            </w:r>
          </w:p>
        </w:tc>
        <w:tc>
          <w:tcPr>
            <w:tcW w:type="dxa" w:w="1655"/>
            <w:vAlign w:val="top"/>
          </w:tcPr>
          <w:p>
            <w:pPr>
              <w:spacing w:after="40" w:before="0" w:line="259" w:lineRule="auto"/>
            </w:pPr>
            <w:r>
              <w:rPr>
                <w:rFonts w:ascii="Calibri" w:hAnsi="Calibri"/>
                <w:b w:val="0"/>
                <w:i w:val="0"/>
                <w:color w:val="212121"/>
                <w:sz w:val="19"/>
              </w:rPr>
              <w:t>Acute myocarditis</w:t>
            </w:r>
          </w:p>
        </w:tc>
        <w:tc>
          <w:tcPr>
            <w:tcW w:type="dxa" w:w="1512"/>
            <w:vAlign w:val="top"/>
          </w:tcPr>
          <w:p>
            <w:pPr>
              <w:spacing w:after="40" w:before="0" w:line="259" w:lineRule="auto"/>
            </w:pPr>
            <w:r>
              <w:rPr>
                <w:rFonts w:ascii="Calibri" w:hAnsi="Calibri"/>
                <w:b w:val="0"/>
                <w:i w:val="0"/>
                <w:color w:val="212121"/>
                <w:sz w:val="19"/>
              </w:rPr>
              <w:t>Normal CRP and ESR</w:t>
            </w:r>
          </w:p>
        </w:tc>
        <w:tc>
          <w:tcPr>
            <w:tcW w:type="dxa" w:w="1512"/>
            <w:vAlign w:val="top"/>
          </w:tcPr>
          <w:p>
            <w:pPr>
              <w:spacing w:after="40" w:before="0" w:line="259" w:lineRule="auto"/>
            </w:pPr>
            <w:r>
              <w:rPr>
                <w:rFonts w:ascii="Calibri" w:hAnsi="Calibri"/>
                <w:b w:val="0"/>
                <w:i w:val="0"/>
                <w:color w:val="212121"/>
                <w:sz w:val="19"/>
              </w:rPr>
              <w:t>Raised CRP/ESR; eosinophilia in hypersensitivity</w:t>
            </w:r>
          </w:p>
        </w:tc>
        <w:tc>
          <w:tcPr>
            <w:tcW w:type="dxa" w:w="1468"/>
            <w:vAlign w:val="top"/>
          </w:tcPr>
          <w:p>
            <w:pPr>
              <w:spacing w:after="40" w:before="0" w:line="259" w:lineRule="auto"/>
            </w:pPr>
            <w:r>
              <w:rPr>
                <w:rFonts w:ascii="Calibri" w:hAnsi="Calibri"/>
                <w:b w:val="0"/>
                <w:i w:val="0"/>
                <w:color w:val="212121"/>
                <w:sz w:val="19"/>
              </w:rPr>
              <w:t>Support active inflammation; eosinophilia suggests eosinophilic myocarditis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Resting heart rate / rhythm</w:t>
            </w:r>
          </w:p>
        </w:tc>
        <w:tc>
          <w:tcPr>
            <w:tcW w:type="dxa" w:w="1655"/>
            <w:vAlign w:val="top"/>
          </w:tcPr>
          <w:p>
            <w:pPr>
              <w:spacing w:after="40" w:before="0" w:line="259" w:lineRule="auto"/>
            </w:pPr>
            <w:r>
              <w:rPr>
                <w:rFonts w:ascii="Calibri" w:hAnsi="Calibri"/>
                <w:b w:val="0"/>
                <w:i w:val="0"/>
                <w:color w:val="212121"/>
                <w:sz w:val="19"/>
              </w:rPr>
              <w:t>Acute myocarditis</w:t>
            </w:r>
          </w:p>
        </w:tc>
        <w:tc>
          <w:tcPr>
            <w:tcW w:type="dxa" w:w="1512"/>
            <w:vAlign w:val="top"/>
          </w:tcPr>
          <w:p>
            <w:pPr>
              <w:spacing w:after="40" w:before="0" w:line="259" w:lineRule="auto"/>
            </w:pPr>
            <w:r>
              <w:rPr>
                <w:rFonts w:ascii="Calibri" w:hAnsi="Calibri"/>
                <w:b w:val="0"/>
                <w:i w:val="0"/>
                <w:color w:val="212121"/>
                <w:sz w:val="19"/>
              </w:rPr>
              <w:t>60-100 bpm, proportionate to fever</w:t>
            </w:r>
          </w:p>
        </w:tc>
        <w:tc>
          <w:tcPr>
            <w:tcW w:type="dxa" w:w="1512"/>
            <w:vAlign w:val="top"/>
          </w:tcPr>
          <w:p>
            <w:pPr>
              <w:spacing w:after="40" w:before="0" w:line="259" w:lineRule="auto"/>
            </w:pPr>
            <w:r>
              <w:rPr>
                <w:rFonts w:ascii="Calibri" w:hAnsi="Calibri"/>
                <w:b w:val="0"/>
                <w:i w:val="0"/>
                <w:color w:val="212121"/>
                <w:sz w:val="19"/>
              </w:rPr>
              <w:t>Tachycardia out of proportion to fever; new arrhythmia</w:t>
            </w:r>
          </w:p>
        </w:tc>
        <w:tc>
          <w:tcPr>
            <w:tcW w:type="dxa" w:w="1468"/>
            <w:vAlign w:val="top"/>
          </w:tcPr>
          <w:p>
            <w:pPr>
              <w:spacing w:after="40" w:before="0" w:line="259" w:lineRule="auto"/>
            </w:pPr>
            <w:r>
              <w:rPr>
                <w:rFonts w:ascii="Calibri" w:hAnsi="Calibri"/>
                <w:b w:val="0"/>
                <w:i w:val="0"/>
                <w:color w:val="212121"/>
                <w:sz w:val="19"/>
              </w:rPr>
              <w:t>Disproportionate sinus tachycardia is an early bedside clue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Biomarker</w:t>
            </w:r>
          </w:p>
        </w:tc>
        <w:tc>
          <w:tcPr>
            <w:tcW w:type="dxa" w:w="1036"/>
            <w:vAlign w:val="top"/>
          </w:tcPr>
          <w:p>
            <w:pPr>
              <w:spacing w:after="40" w:before="0" w:line="259" w:lineRule="auto"/>
            </w:pPr>
            <w:r>
              <w:rPr>
                <w:rFonts w:ascii="Calibri" w:hAnsi="Calibri"/>
                <w:b w:val="0"/>
                <w:i w:val="0"/>
                <w:color w:val="212121"/>
                <w:sz w:val="16"/>
              </w:rPr>
              <w:t>Cardiac troponin (I/T)</w:t>
            </w:r>
          </w:p>
        </w:tc>
        <w:tc>
          <w:tcPr>
            <w:tcW w:type="dxa" w:w="892"/>
            <w:vAlign w:val="top"/>
          </w:tcPr>
          <w:p>
            <w:pPr>
              <w:spacing w:after="40" w:before="0" w:line="259" w:lineRule="auto"/>
            </w:pPr>
            <w:r>
              <w:rPr>
                <w:rFonts w:ascii="Calibri" w:hAnsi="Calibri"/>
                <w:b w:val="0"/>
                <w:i w:val="0"/>
                <w:color w:val="212121"/>
                <w:sz w:val="16"/>
              </w:rPr>
              <w:t>High-sensitivity troponin</w:t>
            </w:r>
          </w:p>
        </w:tc>
        <w:tc>
          <w:tcPr>
            <w:tcW w:type="dxa" w:w="950"/>
            <w:vAlign w:val="top"/>
          </w:tcPr>
          <w:p>
            <w:pPr>
              <w:spacing w:after="40" w:before="0" w:line="259" w:lineRule="auto"/>
            </w:pPr>
            <w:r>
              <w:rPr>
                <w:rFonts w:ascii="Calibri" w:hAnsi="Calibri"/>
                <w:b w:val="0"/>
                <w:i w:val="0"/>
                <w:color w:val="212121"/>
                <w:sz w:val="16"/>
              </w:rPr>
              <w:t>Below assay 99th-centile threshold</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Indicates myocyte injury; raised in over half of biopsy-proven cases (high-sensitivity sensitivity 64-100%)</w:t>
            </w:r>
          </w:p>
        </w:tc>
        <w:tc>
          <w:tcPr>
            <w:tcW w:type="dxa" w:w="1036"/>
            <w:vAlign w:val="top"/>
          </w:tcPr>
          <w:p>
            <w:pPr>
              <w:spacing w:after="40" w:before="0" w:line="259" w:lineRule="auto"/>
            </w:pPr>
            <w:r>
              <w:rPr>
                <w:rFonts w:ascii="Calibri" w:hAnsi="Calibri"/>
                <w:b w:val="0"/>
                <w:i w:val="0"/>
                <w:color w:val="212121"/>
                <w:sz w:val="16"/>
              </w:rPr>
              <w:t>All suspected myocarditis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Non-specific; interpret with imaging and exclude myocardial infarction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12-lead ECG</w:t>
            </w:r>
          </w:p>
        </w:tc>
        <w:tc>
          <w:tcPr>
            <w:tcW w:type="dxa" w:w="892"/>
            <w:vAlign w:val="top"/>
          </w:tcPr>
          <w:p>
            <w:pPr>
              <w:spacing w:after="40" w:before="0" w:line="259" w:lineRule="auto"/>
            </w:pPr>
            <w:r>
              <w:rPr>
                <w:rFonts w:ascii="Calibri" w:hAnsi="Calibri"/>
                <w:b w:val="0"/>
                <w:i w:val="0"/>
                <w:color w:val="212121"/>
                <w:sz w:val="16"/>
              </w:rPr>
              <w:t>Electrocardiography</w:t>
            </w:r>
          </w:p>
        </w:tc>
        <w:tc>
          <w:tcPr>
            <w:tcW w:type="dxa" w:w="950"/>
            <w:vAlign w:val="top"/>
          </w:tcPr>
          <w:p>
            <w:pPr>
              <w:spacing w:after="40" w:before="0" w:line="259" w:lineRule="auto"/>
            </w:pPr>
            <w:r>
              <w:rPr>
                <w:rFonts w:ascii="Calibri" w:hAnsi="Calibri"/>
                <w:b w:val="0"/>
                <w:i w:val="0"/>
                <w:color w:val="212121"/>
                <w:sz w:val="16"/>
              </w:rPr>
              <w:t>Normal complexes and rhythm</w:t>
            </w:r>
          </w:p>
        </w:tc>
        <w:tc>
          <w:tcPr>
            <w:tcW w:type="dxa" w:w="950"/>
            <w:vAlign w:val="top"/>
          </w:tcPr>
          <w:p>
            <w:pPr>
              <w:spacing w:after="40" w:before="0" w:line="259" w:lineRule="auto"/>
            </w:pPr>
            <w:r>
              <w:rPr>
                <w:rFonts w:ascii="Calibri" w:hAnsi="Calibri"/>
                <w:b w:val="0"/>
                <w:i w:val="0"/>
                <w:color w:val="212121"/>
                <w:sz w:val="16"/>
              </w:rPr>
              <w:t>Sinus tachycardia, diffuse ST elevation/PR depression, ST-T changes, low voltage, block or VT</w:t>
            </w:r>
          </w:p>
        </w:tc>
        <w:tc>
          <w:tcPr>
            <w:tcW w:type="dxa" w:w="1036"/>
            <w:vAlign w:val="top"/>
          </w:tcPr>
          <w:p>
            <w:pPr>
              <w:spacing w:after="40" w:before="0" w:line="259" w:lineRule="auto"/>
            </w:pPr>
            <w:r>
              <w:rPr>
                <w:rFonts w:ascii="Calibri" w:hAnsi="Calibri"/>
                <w:b w:val="0"/>
                <w:i w:val="0"/>
                <w:color w:val="212121"/>
                <w:sz w:val="16"/>
              </w:rPr>
              <w:t>Frequently abnormal but non-specific; sensitivity only ~47%</w:t>
            </w:r>
          </w:p>
        </w:tc>
        <w:tc>
          <w:tcPr>
            <w:tcW w:type="dxa" w:w="1036"/>
            <w:vAlign w:val="top"/>
          </w:tcPr>
          <w:p>
            <w:pPr>
              <w:spacing w:after="40" w:before="0" w:line="259" w:lineRule="auto"/>
            </w:pPr>
            <w:r>
              <w:rPr>
                <w:rFonts w:ascii="Calibri" w:hAnsi="Calibri"/>
                <w:b w:val="0"/>
                <w:i w:val="0"/>
                <w:color w:val="212121"/>
                <w:sz w:val="16"/>
              </w:rPr>
              <w:t>All suspected myocarditis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Diffuse concave ST elevation with PR depression suggests myopericarditis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imaging</w:t>
            </w:r>
          </w:p>
        </w:tc>
        <w:tc>
          <w:tcPr>
            <w:tcW w:type="dxa" w:w="1036"/>
            <w:vAlign w:val="top"/>
          </w:tcPr>
          <w:p>
            <w:pPr>
              <w:spacing w:after="40" w:before="0" w:line="259" w:lineRule="auto"/>
            </w:pPr>
            <w:r>
              <w:rPr>
                <w:rFonts w:ascii="Calibri" w:hAnsi="Calibri"/>
                <w:b w:val="0"/>
                <w:i w:val="0"/>
                <w:color w:val="212121"/>
                <w:sz w:val="16"/>
              </w:rPr>
              <w:t>Echocardiography with Doppler</w:t>
            </w:r>
          </w:p>
        </w:tc>
        <w:tc>
          <w:tcPr>
            <w:tcW w:type="dxa" w:w="892"/>
            <w:vAlign w:val="top"/>
          </w:tcPr>
          <w:p>
            <w:pPr>
              <w:spacing w:after="40" w:before="0" w:line="259" w:lineRule="auto"/>
            </w:pPr>
            <w:r>
              <w:rPr>
                <w:rFonts w:ascii="Calibri" w:hAnsi="Calibri"/>
                <w:b w:val="0"/>
                <w:i w:val="0"/>
                <w:color w:val="212121"/>
                <w:sz w:val="16"/>
              </w:rPr>
              <w:t>2D/Doppler echocardiography</w:t>
            </w:r>
          </w:p>
        </w:tc>
        <w:tc>
          <w:tcPr>
            <w:tcW w:type="dxa" w:w="950"/>
            <w:vAlign w:val="top"/>
          </w:tcPr>
          <w:p>
            <w:pPr>
              <w:spacing w:after="40" w:before="0" w:line="259" w:lineRule="auto"/>
            </w:pPr>
            <w:r>
              <w:rPr>
                <w:rFonts w:ascii="Calibri" w:hAnsi="Calibri"/>
                <w:b w:val="0"/>
                <w:i w:val="0"/>
                <w:color w:val="212121"/>
                <w:sz w:val="16"/>
              </w:rPr>
              <w:t>Normal chamber size, wall thickness and LVEF</w:t>
            </w:r>
          </w:p>
        </w:tc>
        <w:tc>
          <w:tcPr>
            <w:tcW w:type="dxa" w:w="950"/>
            <w:vAlign w:val="top"/>
          </w:tcPr>
          <w:p>
            <w:pPr>
              <w:spacing w:after="40" w:before="0" w:line="259" w:lineRule="auto"/>
            </w:pPr>
            <w:r>
              <w:rPr>
                <w:rFonts w:ascii="Calibri" w:hAnsi="Calibri"/>
                <w:b w:val="0"/>
                <w:i w:val="0"/>
                <w:color w:val="212121"/>
                <w:sz w:val="16"/>
              </w:rPr>
              <w:t>Global/regional wall-motion abnormality, reduced LVEF, dilatation, oedema-related wall thickening, pericardial effusion</w:t>
            </w:r>
          </w:p>
        </w:tc>
        <w:tc>
          <w:tcPr>
            <w:tcW w:type="dxa" w:w="1036"/>
            <w:vAlign w:val="top"/>
          </w:tcPr>
          <w:p>
            <w:pPr>
              <w:spacing w:after="40" w:before="0" w:line="259" w:lineRule="auto"/>
            </w:pPr>
            <w:r>
              <w:rPr>
                <w:rFonts w:ascii="Calibri" w:hAnsi="Calibri"/>
                <w:b w:val="0"/>
                <w:i w:val="0"/>
                <w:color w:val="212121"/>
                <w:sz w:val="16"/>
              </w:rPr>
              <w:t>Assesses function and excludes other causes; may be normal in mild disease</w:t>
            </w:r>
          </w:p>
        </w:tc>
        <w:tc>
          <w:tcPr>
            <w:tcW w:type="dxa" w:w="1036"/>
            <w:vAlign w:val="top"/>
          </w:tcPr>
          <w:p>
            <w:pPr>
              <w:spacing w:after="40" w:before="0" w:line="259" w:lineRule="auto"/>
            </w:pPr>
            <w:r>
              <w:rPr>
                <w:rFonts w:ascii="Calibri" w:hAnsi="Calibri"/>
                <w:b w:val="0"/>
                <w:i w:val="0"/>
                <w:color w:val="212121"/>
                <w:sz w:val="16"/>
              </w:rPr>
              <w:t>All suspected myocarditis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First-line bedside test; guides urgency and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imaging</w:t>
            </w:r>
          </w:p>
        </w:tc>
        <w:tc>
          <w:tcPr>
            <w:tcW w:type="dxa" w:w="1036"/>
            <w:vAlign w:val="top"/>
          </w:tcPr>
          <w:p>
            <w:pPr>
              <w:spacing w:after="40" w:before="0" w:line="259" w:lineRule="auto"/>
            </w:pPr>
            <w:r>
              <w:rPr>
                <w:rFonts w:ascii="Calibri" w:hAnsi="Calibri"/>
                <w:b w:val="0"/>
                <w:i w:val="0"/>
                <w:color w:val="212121"/>
                <w:sz w:val="16"/>
              </w:rPr>
              <w:t>Cardiac MRI (Lake Louise criteria)</w:t>
            </w:r>
          </w:p>
        </w:tc>
        <w:tc>
          <w:tcPr>
            <w:tcW w:type="dxa" w:w="892"/>
            <w:vAlign w:val="top"/>
          </w:tcPr>
          <w:p>
            <w:pPr>
              <w:spacing w:after="40" w:before="0" w:line="259" w:lineRule="auto"/>
            </w:pPr>
            <w:r>
              <w:rPr>
                <w:rFonts w:ascii="Calibri" w:hAnsi="Calibri"/>
                <w:b w:val="0"/>
                <w:i w:val="0"/>
                <w:color w:val="212121"/>
                <w:sz w:val="16"/>
              </w:rPr>
              <w:t>CMR with T1/T2 mapping and LGE</w:t>
            </w:r>
          </w:p>
        </w:tc>
        <w:tc>
          <w:tcPr>
            <w:tcW w:type="dxa" w:w="950"/>
            <w:vAlign w:val="top"/>
          </w:tcPr>
          <w:p>
            <w:pPr>
              <w:spacing w:after="40" w:before="0" w:line="259" w:lineRule="auto"/>
            </w:pPr>
            <w:r>
              <w:rPr>
                <w:rFonts w:ascii="Calibri" w:hAnsi="Calibri"/>
                <w:b w:val="0"/>
                <w:i w:val="0"/>
                <w:color w:val="212121"/>
                <w:sz w:val="16"/>
              </w:rPr>
              <w:t>No oedema, hyperaemia or fibrosis</w:t>
            </w:r>
          </w:p>
        </w:tc>
        <w:tc>
          <w:tcPr>
            <w:tcW w:type="dxa" w:w="950"/>
            <w:vAlign w:val="top"/>
          </w:tcPr>
          <w:p>
            <w:pPr>
              <w:spacing w:after="40" w:before="0" w:line="259" w:lineRule="auto"/>
            </w:pPr>
            <w:r>
              <w:rPr>
                <w:rFonts w:ascii="Calibri" w:hAnsi="Calibri"/>
                <w:b w:val="0"/>
                <w:i w:val="0"/>
                <w:color w:val="212121"/>
                <w:sz w:val="16"/>
              </w:rPr>
              <w:t>&gt;= 1 T2 criterion (oedema) plus &gt;= 1 T1 criterion (hyperaemia/necrosis/fibrosis) - subepicardial/mid-wall LGE</w:t>
            </w:r>
          </w:p>
        </w:tc>
        <w:tc>
          <w:tcPr>
            <w:tcW w:type="dxa" w:w="1036"/>
            <w:vAlign w:val="top"/>
          </w:tcPr>
          <w:p>
            <w:pPr>
              <w:spacing w:after="40" w:before="0" w:line="259" w:lineRule="auto"/>
            </w:pPr>
            <w:r>
              <w:rPr>
                <w:rFonts w:ascii="Calibri" w:hAnsi="Calibri"/>
                <w:b w:val="0"/>
                <w:i w:val="0"/>
                <w:color w:val="212121"/>
                <w:sz w:val="16"/>
              </w:rPr>
              <w:t>Non-invasive gold standard confirming inflammation and tissue injury</w:t>
            </w:r>
          </w:p>
        </w:tc>
        <w:tc>
          <w:tcPr>
            <w:tcW w:type="dxa" w:w="1036"/>
            <w:vAlign w:val="top"/>
          </w:tcPr>
          <w:p>
            <w:pPr>
              <w:spacing w:after="40" w:before="0" w:line="259" w:lineRule="auto"/>
            </w:pPr>
            <w:r>
              <w:rPr>
                <w:rFonts w:ascii="Calibri" w:hAnsi="Calibri"/>
                <w:b w:val="0"/>
                <w:i w:val="0"/>
                <w:color w:val="212121"/>
                <w:sz w:val="16"/>
              </w:rPr>
              <w:t>Haemodynamically stable suspected myocarditis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Best performed within the first 2-3 weeks of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Histology</w:t>
            </w:r>
          </w:p>
        </w:tc>
        <w:tc>
          <w:tcPr>
            <w:tcW w:type="dxa" w:w="1036"/>
            <w:vAlign w:val="top"/>
          </w:tcPr>
          <w:p>
            <w:pPr>
              <w:spacing w:after="40" w:before="0" w:line="259" w:lineRule="auto"/>
            </w:pPr>
            <w:r>
              <w:rPr>
                <w:rFonts w:ascii="Calibri" w:hAnsi="Calibri"/>
                <w:b w:val="0"/>
                <w:i w:val="0"/>
                <w:color w:val="212121"/>
                <w:sz w:val="16"/>
              </w:rPr>
              <w:t>Endomyocardial biopsy (EMB)</w:t>
            </w:r>
          </w:p>
        </w:tc>
        <w:tc>
          <w:tcPr>
            <w:tcW w:type="dxa" w:w="892"/>
            <w:vAlign w:val="top"/>
          </w:tcPr>
          <w:p>
            <w:pPr>
              <w:spacing w:after="40" w:before="0" w:line="259" w:lineRule="auto"/>
            </w:pPr>
            <w:r>
              <w:rPr>
                <w:rFonts w:ascii="Calibri" w:hAnsi="Calibri"/>
                <w:b w:val="0"/>
                <w:i w:val="0"/>
                <w:color w:val="212121"/>
                <w:sz w:val="16"/>
              </w:rPr>
              <w:t>Dallas / Marburg (ESC) criteria</w:t>
            </w:r>
          </w:p>
        </w:tc>
        <w:tc>
          <w:tcPr>
            <w:tcW w:type="dxa" w:w="950"/>
            <w:vAlign w:val="top"/>
          </w:tcPr>
          <w:p>
            <w:pPr>
              <w:spacing w:after="40" w:before="0" w:line="259" w:lineRule="auto"/>
            </w:pPr>
            <w:r>
              <w:rPr>
                <w:rFonts w:ascii="Calibri" w:hAnsi="Calibri"/>
                <w:b w:val="0"/>
                <w:i w:val="0"/>
                <w:color w:val="212121"/>
                <w:sz w:val="16"/>
              </w:rPr>
              <w:t>No inflammatory infiltrate or necrosis</w:t>
            </w:r>
          </w:p>
        </w:tc>
        <w:tc>
          <w:tcPr>
            <w:tcW w:type="dxa" w:w="950"/>
            <w:vAlign w:val="top"/>
          </w:tcPr>
          <w:p>
            <w:pPr>
              <w:spacing w:after="40" w:before="0" w:line="259" w:lineRule="auto"/>
            </w:pPr>
            <w:r>
              <w:rPr>
                <w:rFonts w:ascii="Calibri" w:hAnsi="Calibri"/>
                <w:b w:val="0"/>
                <w:i w:val="0"/>
                <w:color w:val="212121"/>
                <w:sz w:val="16"/>
              </w:rPr>
              <w:t>Inflammatory infiltrate with myocyte necrosis (Dallas) or &gt;= 14 leucocytes/mm2 (Marburg)</w:t>
            </w:r>
          </w:p>
        </w:tc>
        <w:tc>
          <w:tcPr>
            <w:tcW w:type="dxa" w:w="1036"/>
            <w:vAlign w:val="top"/>
          </w:tcPr>
          <w:p>
            <w:pPr>
              <w:spacing w:after="40" w:before="0" w:line="259" w:lineRule="auto"/>
            </w:pPr>
            <w:r>
              <w:rPr>
                <w:rFonts w:ascii="Calibri" w:hAnsi="Calibri"/>
                <w:b w:val="0"/>
                <w:i w:val="0"/>
                <w:color w:val="212121"/>
                <w:sz w:val="16"/>
              </w:rPr>
              <w:t>Diagnostic gold standard; identifies giant-cell, eosinophilic and granulomatous types</w:t>
            </w:r>
          </w:p>
        </w:tc>
        <w:tc>
          <w:tcPr>
            <w:tcW w:type="dxa" w:w="1036"/>
            <w:vAlign w:val="top"/>
          </w:tcPr>
          <w:p>
            <w:pPr>
              <w:spacing w:after="40" w:before="0" w:line="259" w:lineRule="auto"/>
            </w:pPr>
            <w:r>
              <w:rPr>
                <w:rFonts w:ascii="Calibri" w:hAnsi="Calibri"/>
                <w:b w:val="0"/>
                <w:i w:val="0"/>
                <w:color w:val="212121"/>
                <w:sz w:val="16"/>
              </w:rPr>
              <w:t>Fulminant, giant-cell, eosinophilic or ICI-related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Sampling error limits sensitivity (~60%); major-complication rate &lt; 1% in expert centres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Biomarker</w:t>
            </w:r>
          </w:p>
        </w:tc>
        <w:tc>
          <w:tcPr>
            <w:tcW w:type="dxa" w:w="1036"/>
            <w:vAlign w:val="top"/>
          </w:tcPr>
          <w:p>
            <w:pPr>
              <w:spacing w:after="40" w:before="0" w:line="259" w:lineRule="auto"/>
            </w:pPr>
            <w:r>
              <w:rPr>
                <w:rFonts w:ascii="Calibri" w:hAnsi="Calibri"/>
                <w:b w:val="0"/>
                <w:i w:val="0"/>
                <w:color w:val="212121"/>
                <w:sz w:val="16"/>
              </w:rPr>
              <w:t>NT-proBNP / BNP</w:t>
            </w:r>
          </w:p>
        </w:tc>
        <w:tc>
          <w:tcPr>
            <w:tcW w:type="dxa" w:w="892"/>
            <w:vAlign w:val="top"/>
          </w:tcPr>
          <w:p>
            <w:pPr>
              <w:spacing w:after="40" w:before="0" w:line="259" w:lineRule="auto"/>
            </w:pPr>
            <w:r>
              <w:rPr>
                <w:rFonts w:ascii="Calibri" w:hAnsi="Calibri"/>
                <w:b w:val="0"/>
                <w:i w:val="0"/>
                <w:color w:val="212121"/>
                <w:sz w:val="16"/>
              </w:rPr>
              <w:t>Natriuretic peptide</w:t>
            </w:r>
          </w:p>
        </w:tc>
        <w:tc>
          <w:tcPr>
            <w:tcW w:type="dxa" w:w="950"/>
            <w:vAlign w:val="top"/>
          </w:tcPr>
          <w:p>
            <w:pPr>
              <w:spacing w:after="40" w:before="0" w:line="259" w:lineRule="auto"/>
            </w:pPr>
            <w:r>
              <w:rPr>
                <w:rFonts w:ascii="Calibri" w:hAnsi="Calibri"/>
                <w:b w:val="0"/>
                <w:i w:val="0"/>
                <w:color w:val="212121"/>
                <w:sz w:val="16"/>
              </w:rPr>
              <w:t>NT-proBNP &lt; 125 pg/mL (age-dependent)</w:t>
            </w:r>
          </w:p>
        </w:tc>
        <w:tc>
          <w:tcPr>
            <w:tcW w:type="dxa" w:w="950"/>
            <w:vAlign w:val="top"/>
          </w:tcPr>
          <w:p>
            <w:pPr>
              <w:spacing w:after="40" w:before="0" w:line="259" w:lineRule="auto"/>
            </w:pPr>
            <w:r>
              <w:rPr>
                <w:rFonts w:ascii="Calibri" w:hAnsi="Calibri"/>
                <w:b w:val="0"/>
                <w:i w:val="0"/>
                <w:color w:val="212121"/>
                <w:sz w:val="16"/>
              </w:rPr>
              <w:t>Elevated for age</w:t>
            </w:r>
          </w:p>
        </w:tc>
        <w:tc>
          <w:tcPr>
            <w:tcW w:type="dxa" w:w="1036"/>
            <w:vAlign w:val="top"/>
          </w:tcPr>
          <w:p>
            <w:pPr>
              <w:spacing w:after="40" w:before="0" w:line="259" w:lineRule="auto"/>
            </w:pPr>
            <w:r>
              <w:rPr>
                <w:rFonts w:ascii="Calibri" w:hAnsi="Calibri"/>
                <w:b w:val="0"/>
                <w:i w:val="0"/>
                <w:color w:val="212121"/>
                <w:sz w:val="16"/>
              </w:rPr>
              <w:t>Confirms and grades heart failure; aids prognosis</w:t>
            </w:r>
          </w:p>
        </w:tc>
        <w:tc>
          <w:tcPr>
            <w:tcW w:type="dxa" w:w="1036"/>
            <w:vAlign w:val="top"/>
          </w:tcPr>
          <w:p>
            <w:pPr>
              <w:spacing w:after="40" w:before="0" w:line="259" w:lineRule="auto"/>
            </w:pPr>
            <w:r>
              <w:rPr>
                <w:rFonts w:ascii="Calibri" w:hAnsi="Calibri"/>
                <w:b w:val="0"/>
                <w:i w:val="0"/>
                <w:color w:val="212121"/>
                <w:sz w:val="16"/>
              </w:rPr>
              <w:t>Symptomatic patients with suspected heart failure</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Normal value has useful rule-out power for heart failure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biochemistry</w:t>
            </w:r>
          </w:p>
        </w:tc>
        <w:tc>
          <w:tcPr>
            <w:tcW w:type="dxa" w:w="1036"/>
            <w:vAlign w:val="top"/>
          </w:tcPr>
          <w:p>
            <w:pPr>
              <w:spacing w:after="40" w:before="0" w:line="259" w:lineRule="auto"/>
            </w:pPr>
            <w:r>
              <w:rPr>
                <w:rFonts w:ascii="Calibri" w:hAnsi="Calibri"/>
                <w:b w:val="0"/>
                <w:i w:val="0"/>
                <w:color w:val="212121"/>
                <w:sz w:val="16"/>
              </w:rPr>
              <w:t>Inflammatory and blood counts</w:t>
            </w:r>
          </w:p>
        </w:tc>
        <w:tc>
          <w:tcPr>
            <w:tcW w:type="dxa" w:w="892"/>
            <w:vAlign w:val="top"/>
          </w:tcPr>
          <w:p>
            <w:pPr>
              <w:spacing w:after="40" w:before="0" w:line="259" w:lineRule="auto"/>
            </w:pPr>
            <w:r>
              <w:rPr>
                <w:rFonts w:ascii="Calibri" w:hAnsi="Calibri"/>
                <w:b w:val="0"/>
                <w:i w:val="0"/>
                <w:color w:val="212121"/>
                <w:sz w:val="16"/>
              </w:rPr>
              <w:t>CRP, ESR, full blood count with eosinophils</w:t>
            </w:r>
          </w:p>
        </w:tc>
        <w:tc>
          <w:tcPr>
            <w:tcW w:type="dxa" w:w="950"/>
            <w:vAlign w:val="top"/>
          </w:tcPr>
          <w:p>
            <w:pPr>
              <w:spacing w:after="40" w:before="0" w:line="259" w:lineRule="auto"/>
            </w:pPr>
            <w:r>
              <w:rPr>
                <w:rFonts w:ascii="Calibri" w:hAnsi="Calibri"/>
                <w:b w:val="0"/>
                <w:i w:val="0"/>
                <w:color w:val="212121"/>
                <w:sz w:val="16"/>
              </w:rPr>
              <w:t>Normal CRP/ESR and counts</w:t>
            </w:r>
          </w:p>
        </w:tc>
        <w:tc>
          <w:tcPr>
            <w:tcW w:type="dxa" w:w="950"/>
            <w:vAlign w:val="top"/>
          </w:tcPr>
          <w:p>
            <w:pPr>
              <w:spacing w:after="40" w:before="0" w:line="259" w:lineRule="auto"/>
            </w:pPr>
            <w:r>
              <w:rPr>
                <w:rFonts w:ascii="Calibri" w:hAnsi="Calibri"/>
                <w:b w:val="0"/>
                <w:i w:val="0"/>
                <w:color w:val="212121"/>
                <w:sz w:val="16"/>
              </w:rPr>
              <w:t>Raised CRP/ESR; eosinophilia in hypersensitivity/eosinophilic myocarditis</w:t>
            </w:r>
          </w:p>
        </w:tc>
        <w:tc>
          <w:tcPr>
            <w:tcW w:type="dxa" w:w="1036"/>
            <w:vAlign w:val="top"/>
          </w:tcPr>
          <w:p>
            <w:pPr>
              <w:spacing w:after="40" w:before="0" w:line="259" w:lineRule="auto"/>
            </w:pPr>
            <w:r>
              <w:rPr>
                <w:rFonts w:ascii="Calibri" w:hAnsi="Calibri"/>
                <w:b w:val="0"/>
                <w:i w:val="0"/>
                <w:color w:val="212121"/>
                <w:sz w:val="16"/>
              </w:rPr>
              <w:t>Support active inflammation and point to specific subtypes</w:t>
            </w:r>
          </w:p>
        </w:tc>
        <w:tc>
          <w:tcPr>
            <w:tcW w:type="dxa" w:w="1036"/>
            <w:vAlign w:val="top"/>
          </w:tcPr>
          <w:p>
            <w:pPr>
              <w:spacing w:after="40" w:before="0" w:line="259" w:lineRule="auto"/>
            </w:pPr>
            <w:r>
              <w:rPr>
                <w:rFonts w:ascii="Calibri" w:hAnsi="Calibri"/>
                <w:b w:val="0"/>
                <w:i w:val="0"/>
                <w:color w:val="212121"/>
                <w:sz w:val="16"/>
              </w:rPr>
              <w:t>Acute myocarditis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Marked eosinophilia should prompt search for a drug or parasitic cause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Aetiological workup</w:t>
            </w:r>
          </w:p>
        </w:tc>
        <w:tc>
          <w:tcPr>
            <w:tcW w:type="dxa" w:w="1036"/>
            <w:vAlign w:val="top"/>
          </w:tcPr>
          <w:p>
            <w:pPr>
              <w:spacing w:after="40" w:before="0" w:line="259" w:lineRule="auto"/>
            </w:pPr>
            <w:r>
              <w:rPr>
                <w:rFonts w:ascii="Calibri" w:hAnsi="Calibri"/>
                <w:b w:val="0"/>
                <w:i w:val="0"/>
                <w:color w:val="212121"/>
                <w:sz w:val="16"/>
              </w:rPr>
              <w:t>Cause-specific tests</w:t>
            </w:r>
          </w:p>
        </w:tc>
        <w:tc>
          <w:tcPr>
            <w:tcW w:type="dxa" w:w="892"/>
            <w:vAlign w:val="top"/>
          </w:tcPr>
          <w:p>
            <w:pPr>
              <w:spacing w:after="40" w:before="0" w:line="259" w:lineRule="auto"/>
            </w:pPr>
            <w:r>
              <w:rPr>
                <w:rFonts w:ascii="Calibri" w:hAnsi="Calibri"/>
                <w:b w:val="0"/>
                <w:i w:val="0"/>
                <w:color w:val="212121"/>
                <w:sz w:val="16"/>
              </w:rPr>
              <w:t>Viral serology/PCR, throat swab and culture for diphtheria, autoimmune serology, HIV</w:t>
            </w:r>
          </w:p>
        </w:tc>
        <w:tc>
          <w:tcPr>
            <w:tcW w:type="dxa" w:w="950"/>
            <w:vAlign w:val="top"/>
          </w:tcPr>
          <w:p>
            <w:pPr>
              <w:spacing w:after="40" w:before="0" w:line="259" w:lineRule="auto"/>
            </w:pPr>
            <w:r>
              <w:rPr>
                <w:rFonts w:ascii="Calibri" w:hAnsi="Calibri"/>
                <w:b w:val="0"/>
                <w:i w:val="0"/>
                <w:color w:val="212121"/>
                <w:sz w:val="16"/>
              </w:rPr>
              <w:t>No causative organism or autoantibody</w:t>
            </w:r>
          </w:p>
        </w:tc>
        <w:tc>
          <w:tcPr>
            <w:tcW w:type="dxa" w:w="950"/>
            <w:vAlign w:val="top"/>
          </w:tcPr>
          <w:p>
            <w:pPr>
              <w:spacing w:after="40" w:before="0" w:line="259" w:lineRule="auto"/>
            </w:pPr>
            <w:r>
              <w:rPr>
                <w:rFonts w:ascii="Calibri" w:hAnsi="Calibri"/>
                <w:b w:val="0"/>
                <w:i w:val="0"/>
                <w:color w:val="212121"/>
                <w:sz w:val="16"/>
              </w:rPr>
              <w:t>Positive viral/dengue tests, diphtheria culture, autoantibodies or HIV</w:t>
            </w:r>
          </w:p>
        </w:tc>
        <w:tc>
          <w:tcPr>
            <w:tcW w:type="dxa" w:w="1036"/>
            <w:vAlign w:val="top"/>
          </w:tcPr>
          <w:p>
            <w:pPr>
              <w:spacing w:after="40" w:before="0" w:line="259" w:lineRule="auto"/>
            </w:pPr>
            <w:r>
              <w:rPr>
                <w:rFonts w:ascii="Calibri" w:hAnsi="Calibri"/>
                <w:b w:val="0"/>
                <w:i w:val="0"/>
                <w:color w:val="212121"/>
                <w:sz w:val="16"/>
              </w:rPr>
              <w:t>Identifies treatable and notifiable causes and directs specific therapy</w:t>
            </w:r>
          </w:p>
        </w:tc>
        <w:tc>
          <w:tcPr>
            <w:tcW w:type="dxa" w:w="1036"/>
            <w:vAlign w:val="top"/>
          </w:tcPr>
          <w:p>
            <w:pPr>
              <w:spacing w:after="40" w:before="0" w:line="259" w:lineRule="auto"/>
            </w:pPr>
            <w:r>
              <w:rPr>
                <w:rFonts w:ascii="Calibri" w:hAnsi="Calibri"/>
                <w:b w:val="0"/>
                <w:i w:val="0"/>
                <w:color w:val="212121"/>
                <w:sz w:val="16"/>
              </w:rPr>
              <w:t>India-relevant infective/autoimmune myocarditis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Notify and treat diphtheria (antitoxin + antibiotics); coronary imaging excludes MI</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Antecedent illness</w:t>
            </w:r>
          </w:p>
        </w:tc>
        <w:tc>
          <w:tcPr>
            <w:tcW w:type="dxa" w:w="979"/>
            <w:vAlign w:val="top"/>
          </w:tcPr>
          <w:p>
            <w:pPr>
              <w:spacing w:after="40" w:before="0" w:line="259" w:lineRule="auto"/>
            </w:pPr>
            <w:r>
              <w:rPr>
                <w:rFonts w:ascii="Calibri" w:hAnsi="Calibri"/>
                <w:b w:val="0"/>
                <w:i w:val="0"/>
                <w:color w:val="212121"/>
                <w:sz w:val="16"/>
              </w:rPr>
              <w:t>Recent viral fever, respiratory or GI infection (1-4 weeks prior)</w:t>
            </w:r>
          </w:p>
        </w:tc>
        <w:tc>
          <w:tcPr>
            <w:tcW w:type="dxa" w:w="950"/>
            <w:vAlign w:val="top"/>
          </w:tcPr>
          <w:p>
            <w:pPr>
              <w:spacing w:after="40" w:before="0" w:line="259" w:lineRule="auto"/>
            </w:pPr>
            <w:r>
              <w:rPr>
                <w:rFonts w:ascii="Calibri" w:hAnsi="Calibri"/>
                <w:b w:val="0"/>
                <w:i w:val="0"/>
                <w:color w:val="212121"/>
                <w:sz w:val="16"/>
              </w:rPr>
              <w:t>No preceding illness</w:t>
            </w:r>
          </w:p>
        </w:tc>
        <w:tc>
          <w:tcPr>
            <w:tcW w:type="dxa" w:w="950"/>
            <w:vAlign w:val="top"/>
          </w:tcPr>
          <w:p>
            <w:pPr>
              <w:spacing w:after="40" w:before="0" w:line="259" w:lineRule="auto"/>
            </w:pPr>
            <w:r>
              <w:rPr>
                <w:rFonts w:ascii="Calibri" w:hAnsi="Calibri"/>
                <w:b w:val="0"/>
                <w:i w:val="0"/>
                <w:color w:val="212121"/>
                <w:sz w:val="16"/>
              </w:rPr>
              <w:t>Recent febrile/viral illness before cardiac symptoms</w:t>
            </w:r>
          </w:p>
        </w:tc>
        <w:tc>
          <w:tcPr>
            <w:tcW w:type="dxa" w:w="1036"/>
            <w:vAlign w:val="top"/>
          </w:tcPr>
          <w:p>
            <w:pPr>
              <w:spacing w:after="40" w:before="0" w:line="259" w:lineRule="auto"/>
            </w:pPr>
            <w:r>
              <w:rPr>
                <w:rFonts w:ascii="Calibri" w:hAnsi="Calibri"/>
                <w:b w:val="0"/>
                <w:i w:val="0"/>
                <w:color w:val="212121"/>
                <w:sz w:val="16"/>
              </w:rPr>
              <w:t>A preceding viral illness (reported by ~60%) is the key clue to myocarditis</w:t>
            </w:r>
          </w:p>
        </w:tc>
        <w:tc>
          <w:tcPr>
            <w:tcW w:type="dxa" w:w="1036"/>
            <w:vAlign w:val="top"/>
          </w:tcPr>
          <w:p>
            <w:pPr>
              <w:spacing w:after="40" w:before="0" w:line="259" w:lineRule="auto"/>
            </w:pPr>
            <w:r>
              <w:rPr>
                <w:rFonts w:ascii="Calibri" w:hAnsi="Calibri"/>
                <w:b w:val="0"/>
                <w:i w:val="0"/>
                <w:color w:val="212121"/>
                <w:sz w:val="16"/>
              </w:rPr>
              <w:t>Children and young adults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dengue, diphtheria contacts and immunisation status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Cardiac symptoms</w:t>
            </w:r>
          </w:p>
        </w:tc>
        <w:tc>
          <w:tcPr>
            <w:tcW w:type="dxa" w:w="979"/>
            <w:vAlign w:val="top"/>
          </w:tcPr>
          <w:p>
            <w:pPr>
              <w:spacing w:after="40" w:before="0" w:line="259" w:lineRule="auto"/>
            </w:pPr>
            <w:r>
              <w:rPr>
                <w:rFonts w:ascii="Calibri" w:hAnsi="Calibri"/>
                <w:b w:val="0"/>
                <w:i w:val="0"/>
                <w:color w:val="212121"/>
                <w:sz w:val="16"/>
              </w:rPr>
              <w:t>Chest pain, breathlessness, palpitations, syncope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New chest pain, dyspnoea, palpitations or fainting</w:t>
            </w:r>
          </w:p>
        </w:tc>
        <w:tc>
          <w:tcPr>
            <w:tcW w:type="dxa" w:w="1036"/>
            <w:vAlign w:val="top"/>
          </w:tcPr>
          <w:p>
            <w:pPr>
              <w:spacing w:after="40" w:before="0" w:line="259" w:lineRule="auto"/>
            </w:pPr>
            <w:r>
              <w:rPr>
                <w:rFonts w:ascii="Calibri" w:hAnsi="Calibri"/>
                <w:b w:val="0"/>
                <w:i w:val="0"/>
                <w:color w:val="212121"/>
                <w:sz w:val="16"/>
              </w:rPr>
              <w:t>Reflect myocardial injury, heart failure or arrhythmia</w:t>
            </w:r>
          </w:p>
        </w:tc>
        <w:tc>
          <w:tcPr>
            <w:tcW w:type="dxa" w:w="1036"/>
            <w:vAlign w:val="top"/>
          </w:tcPr>
          <w:p>
            <w:pPr>
              <w:spacing w:after="40" w:before="0" w:line="259" w:lineRule="auto"/>
            </w:pPr>
            <w:r>
              <w:rPr>
                <w:rFonts w:ascii="Calibri" w:hAnsi="Calibri"/>
                <w:b w:val="0"/>
                <w:i w:val="0"/>
                <w:color w:val="212121"/>
                <w:sz w:val="16"/>
              </w:rPr>
              <w:t>All suspected myocarditis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Exertional syncope or shock are red-flag features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and risk history</w:t>
            </w:r>
          </w:p>
        </w:tc>
        <w:tc>
          <w:tcPr>
            <w:tcW w:type="dxa" w:w="979"/>
            <w:vAlign w:val="top"/>
          </w:tcPr>
          <w:p>
            <w:pPr>
              <w:spacing w:after="40" w:before="0" w:line="259" w:lineRule="auto"/>
            </w:pPr>
            <w:r>
              <w:rPr>
                <w:rFonts w:ascii="Calibri" w:hAnsi="Calibri"/>
                <w:b w:val="0"/>
                <w:i w:val="0"/>
                <w:color w:val="212121"/>
                <w:sz w:val="16"/>
              </w:rPr>
              <w:t>Immunisation status, drugs/stimulants, cancer immunotherapy, autoimmune disease, scorpion sting</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Incomplete DTP, checkpoint-inhibitor therapy, cocaine use, autoimmune disease or envenomation</w:t>
            </w:r>
          </w:p>
        </w:tc>
        <w:tc>
          <w:tcPr>
            <w:tcW w:type="dxa" w:w="1036"/>
            <w:vAlign w:val="top"/>
          </w:tcPr>
          <w:p>
            <w:pPr>
              <w:spacing w:after="40" w:before="0" w:line="259" w:lineRule="auto"/>
            </w:pPr>
            <w:r>
              <w:rPr>
                <w:rFonts w:ascii="Calibri" w:hAnsi="Calibri"/>
                <w:b w:val="0"/>
                <w:i w:val="0"/>
                <w:color w:val="212121"/>
                <w:sz w:val="16"/>
              </w:rPr>
              <w:t>Identifies specific and treatable causes (diphtheritic, toxic, immune, ICI-related)</w:t>
            </w:r>
          </w:p>
        </w:tc>
        <w:tc>
          <w:tcPr>
            <w:tcW w:type="dxa" w:w="1036"/>
            <w:vAlign w:val="top"/>
          </w:tcPr>
          <w:p>
            <w:pPr>
              <w:spacing w:after="40" w:before="0" w:line="259" w:lineRule="auto"/>
            </w:pPr>
            <w:r>
              <w:rPr>
                <w:rFonts w:ascii="Calibri" w:hAnsi="Calibri"/>
                <w:b w:val="0"/>
                <w:i w:val="0"/>
                <w:color w:val="212121"/>
                <w:sz w:val="16"/>
              </w:rPr>
              <w:t>India-relevant at-risk groups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targeted testing and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Vital signs</w:t>
            </w:r>
          </w:p>
        </w:tc>
        <w:tc>
          <w:tcPr>
            <w:tcW w:type="dxa" w:w="979"/>
            <w:vAlign w:val="top"/>
          </w:tcPr>
          <w:p>
            <w:pPr>
              <w:spacing w:after="40" w:before="0" w:line="259" w:lineRule="auto"/>
            </w:pPr>
            <w:r>
              <w:rPr>
                <w:rFonts w:ascii="Calibri" w:hAnsi="Calibri"/>
                <w:b w:val="0"/>
                <w:i w:val="0"/>
                <w:color w:val="212121"/>
                <w:sz w:val="16"/>
              </w:rPr>
              <w:t>Tachycardia disproportionate to fever, hypotension, tachypnoea</w:t>
            </w:r>
          </w:p>
        </w:tc>
        <w:tc>
          <w:tcPr>
            <w:tcW w:type="dxa" w:w="950"/>
            <w:vAlign w:val="top"/>
          </w:tcPr>
          <w:p>
            <w:pPr>
              <w:spacing w:after="40" w:before="0" w:line="259" w:lineRule="auto"/>
            </w:pPr>
            <w:r>
              <w:rPr>
                <w:rFonts w:ascii="Calibri" w:hAnsi="Calibri"/>
                <w:b w:val="0"/>
                <w:i w:val="0"/>
                <w:color w:val="212121"/>
                <w:sz w:val="16"/>
              </w:rPr>
              <w:t>Stable, proportionate vitals</w:t>
            </w:r>
          </w:p>
        </w:tc>
        <w:tc>
          <w:tcPr>
            <w:tcW w:type="dxa" w:w="950"/>
            <w:vAlign w:val="top"/>
          </w:tcPr>
          <w:p>
            <w:pPr>
              <w:spacing w:after="40" w:before="0" w:line="259" w:lineRule="auto"/>
            </w:pPr>
            <w:r>
              <w:rPr>
                <w:rFonts w:ascii="Calibri" w:hAnsi="Calibri"/>
                <w:b w:val="0"/>
                <w:i w:val="0"/>
                <w:color w:val="212121"/>
                <w:sz w:val="16"/>
              </w:rPr>
              <w:t>Sinus tachycardia out of proportion to fever; hypotension; tachypnoea</w:t>
            </w:r>
          </w:p>
        </w:tc>
        <w:tc>
          <w:tcPr>
            <w:tcW w:type="dxa" w:w="1036"/>
            <w:vAlign w:val="top"/>
          </w:tcPr>
          <w:p>
            <w:pPr>
              <w:spacing w:after="40" w:before="0" w:line="259" w:lineRule="auto"/>
            </w:pPr>
            <w:r>
              <w:rPr>
                <w:rFonts w:ascii="Calibri" w:hAnsi="Calibri"/>
                <w:b w:val="0"/>
                <w:i w:val="0"/>
                <w:color w:val="212121"/>
                <w:sz w:val="16"/>
              </w:rPr>
              <w:t>Early markers of myocardial dysfunction and impending decompensation</w:t>
            </w:r>
          </w:p>
        </w:tc>
        <w:tc>
          <w:tcPr>
            <w:tcW w:type="dxa" w:w="1036"/>
            <w:vAlign w:val="top"/>
          </w:tcPr>
          <w:p>
            <w:pPr>
              <w:spacing w:after="40" w:before="0" w:line="259" w:lineRule="auto"/>
            </w:pPr>
            <w:r>
              <w:rPr>
                <w:rFonts w:ascii="Calibri" w:hAnsi="Calibri"/>
                <w:b w:val="0"/>
                <w:i w:val="0"/>
                <w:color w:val="212121"/>
                <w:sz w:val="16"/>
              </w:rPr>
              <w:t>Acute/fulminant myocarditis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Disproportionate tachycardia is an important early sign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Cardiac auscultation</w:t>
            </w:r>
          </w:p>
        </w:tc>
        <w:tc>
          <w:tcPr>
            <w:tcW w:type="dxa" w:w="979"/>
            <w:vAlign w:val="top"/>
          </w:tcPr>
          <w:p>
            <w:pPr>
              <w:spacing w:after="40" w:before="0" w:line="259" w:lineRule="auto"/>
            </w:pPr>
            <w:r>
              <w:rPr>
                <w:rFonts w:ascii="Calibri" w:hAnsi="Calibri"/>
                <w:b w:val="0"/>
                <w:i w:val="0"/>
                <w:color w:val="212121"/>
                <w:sz w:val="16"/>
              </w:rPr>
              <w:t>S3/S4 gallop, muffled sounds, MR murmur, pericardial rub</w:t>
            </w:r>
          </w:p>
        </w:tc>
        <w:tc>
          <w:tcPr>
            <w:tcW w:type="dxa" w:w="950"/>
            <w:vAlign w:val="top"/>
          </w:tcPr>
          <w:p>
            <w:pPr>
              <w:spacing w:after="40" w:before="0" w:line="259" w:lineRule="auto"/>
            </w:pPr>
            <w:r>
              <w:rPr>
                <w:rFonts w:ascii="Calibri" w:hAnsi="Calibri"/>
                <w:b w:val="0"/>
                <w:i w:val="0"/>
                <w:color w:val="212121"/>
                <w:sz w:val="16"/>
              </w:rPr>
              <w:t>Normal heart sounds</w:t>
            </w:r>
          </w:p>
        </w:tc>
        <w:tc>
          <w:tcPr>
            <w:tcW w:type="dxa" w:w="950"/>
            <w:vAlign w:val="top"/>
          </w:tcPr>
          <w:p>
            <w:pPr>
              <w:spacing w:after="40" w:before="0" w:line="259" w:lineRule="auto"/>
            </w:pPr>
            <w:r>
              <w:rPr>
                <w:rFonts w:ascii="Calibri" w:hAnsi="Calibri"/>
                <w:b w:val="0"/>
                <w:i w:val="0"/>
                <w:color w:val="212121"/>
                <w:sz w:val="16"/>
              </w:rPr>
              <w:t>S3 gallop, soft/muffled sounds, mitral regurgitation murmur, friction rub</w:t>
            </w:r>
          </w:p>
        </w:tc>
        <w:tc>
          <w:tcPr>
            <w:tcW w:type="dxa" w:w="1036"/>
            <w:vAlign w:val="top"/>
          </w:tcPr>
          <w:p>
            <w:pPr>
              <w:spacing w:after="40" w:before="0" w:line="259" w:lineRule="auto"/>
            </w:pPr>
            <w:r>
              <w:rPr>
                <w:rFonts w:ascii="Calibri" w:hAnsi="Calibri"/>
                <w:b w:val="0"/>
                <w:i w:val="0"/>
                <w:color w:val="212121"/>
                <w:sz w:val="16"/>
              </w:rPr>
              <w:t>Indicate ventricular dysfunction and pericardial involvement (myopericarditis)</w:t>
            </w:r>
          </w:p>
        </w:tc>
        <w:tc>
          <w:tcPr>
            <w:tcW w:type="dxa" w:w="1036"/>
            <w:vAlign w:val="top"/>
          </w:tcPr>
          <w:p>
            <w:pPr>
              <w:spacing w:after="40" w:before="0" w:line="259" w:lineRule="auto"/>
            </w:pPr>
            <w:r>
              <w:rPr>
                <w:rFonts w:ascii="Calibri" w:hAnsi="Calibri"/>
                <w:b w:val="0"/>
                <w:i w:val="0"/>
                <w:color w:val="212121"/>
                <w:sz w:val="16"/>
              </w:rPr>
              <w:t>Myocarditis with dysfunction/myopericarditis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friction rub points to accompanying pericarditis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Heart-failure and congestion signs</w:t>
            </w:r>
          </w:p>
        </w:tc>
        <w:tc>
          <w:tcPr>
            <w:tcW w:type="dxa" w:w="979"/>
            <w:vAlign w:val="top"/>
          </w:tcPr>
          <w:p>
            <w:pPr>
              <w:spacing w:after="40" w:before="0" w:line="259" w:lineRule="auto"/>
            </w:pPr>
            <w:r>
              <w:rPr>
                <w:rFonts w:ascii="Calibri" w:hAnsi="Calibri"/>
                <w:b w:val="0"/>
                <w:i w:val="0"/>
                <w:color w:val="212121"/>
                <w:sz w:val="16"/>
              </w:rPr>
              <w:t>Raised JVP, bibasal crackles, oedema, hepatomegaly</w:t>
            </w:r>
          </w:p>
        </w:tc>
        <w:tc>
          <w:tcPr>
            <w:tcW w:type="dxa" w:w="950"/>
            <w:vAlign w:val="top"/>
          </w:tcPr>
          <w:p>
            <w:pPr>
              <w:spacing w:after="40" w:before="0" w:line="259" w:lineRule="auto"/>
            </w:pPr>
            <w:r>
              <w:rPr>
                <w:rFonts w:ascii="Calibri" w:hAnsi="Calibri"/>
                <w:b w:val="0"/>
                <w:i w:val="0"/>
                <w:color w:val="212121"/>
                <w:sz w:val="16"/>
              </w:rPr>
              <w:t>No congestion</w:t>
            </w:r>
          </w:p>
        </w:tc>
        <w:tc>
          <w:tcPr>
            <w:tcW w:type="dxa" w:w="950"/>
            <w:vAlign w:val="top"/>
          </w:tcPr>
          <w:p>
            <w:pPr>
              <w:spacing w:after="40" w:before="0" w:line="259" w:lineRule="auto"/>
            </w:pPr>
            <w:r>
              <w:rPr>
                <w:rFonts w:ascii="Calibri" w:hAnsi="Calibri"/>
                <w:b w:val="0"/>
                <w:i w:val="0"/>
                <w:color w:val="212121"/>
                <w:sz w:val="16"/>
              </w:rPr>
              <w:t>Elevated JVP, crackles, peripheral oedema, tender hepatomegaly</w:t>
            </w:r>
          </w:p>
        </w:tc>
        <w:tc>
          <w:tcPr>
            <w:tcW w:type="dxa" w:w="1036"/>
            <w:vAlign w:val="top"/>
          </w:tcPr>
          <w:p>
            <w:pPr>
              <w:spacing w:after="40" w:before="0" w:line="259" w:lineRule="auto"/>
            </w:pPr>
            <w:r>
              <w:rPr>
                <w:rFonts w:ascii="Calibri" w:hAnsi="Calibri"/>
                <w:b w:val="0"/>
                <w:i w:val="0"/>
                <w:color w:val="212121"/>
                <w:sz w:val="16"/>
              </w:rPr>
              <w:t>Mark developing or established heart failure</w:t>
            </w:r>
          </w:p>
        </w:tc>
        <w:tc>
          <w:tcPr>
            <w:tcW w:type="dxa" w:w="1036"/>
            <w:vAlign w:val="top"/>
          </w:tcPr>
          <w:p>
            <w:pPr>
              <w:spacing w:after="40" w:before="0" w:line="259" w:lineRule="auto"/>
            </w:pPr>
            <w:r>
              <w:rPr>
                <w:rFonts w:ascii="Calibri" w:hAnsi="Calibri"/>
                <w:b w:val="0"/>
                <w:i w:val="0"/>
                <w:color w:val="212121"/>
                <w:sz w:val="16"/>
              </w:rPr>
              <w:t>Myocarditis with heart failure; infants</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 infants, hepatomegaly and poor feeding may dominate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underlying cause</w:t>
            </w:r>
          </w:p>
        </w:tc>
        <w:tc>
          <w:tcPr>
            <w:tcW w:type="dxa" w:w="979"/>
            <w:vAlign w:val="top"/>
          </w:tcPr>
          <w:p>
            <w:pPr>
              <w:spacing w:after="40" w:before="0" w:line="259" w:lineRule="auto"/>
            </w:pPr>
            <w:r>
              <w:rPr>
                <w:rFonts w:ascii="Calibri" w:hAnsi="Calibri"/>
                <w:b w:val="0"/>
                <w:i w:val="0"/>
                <w:color w:val="212121"/>
                <w:sz w:val="16"/>
              </w:rPr>
              <w:t>Diphtheritic pseudomembrane/'bull neck', autoimmune rash/arthritis, systemic features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Pharyngeal pseudomembrane and 'bull neck' (diphtheria); malar rash/arthritis (SLE); dengue features</w:t>
            </w:r>
          </w:p>
        </w:tc>
        <w:tc>
          <w:tcPr>
            <w:tcW w:type="dxa" w:w="1036"/>
            <w:vAlign w:val="top"/>
          </w:tcPr>
          <w:p>
            <w:pPr>
              <w:spacing w:after="40" w:before="0" w:line="259" w:lineRule="auto"/>
            </w:pPr>
            <w:r>
              <w:rPr>
                <w:rFonts w:ascii="Calibri" w:hAnsi="Calibri"/>
                <w:b w:val="0"/>
                <w:i w:val="0"/>
                <w:color w:val="212121"/>
                <w:sz w:val="16"/>
              </w:rPr>
              <w:t>Points to the specific aetiology requiring targeted treatment</w:t>
            </w:r>
          </w:p>
        </w:tc>
        <w:tc>
          <w:tcPr>
            <w:tcW w:type="dxa" w:w="1036"/>
            <w:vAlign w:val="top"/>
          </w:tcPr>
          <w:p>
            <w:pPr>
              <w:spacing w:after="40" w:before="0" w:line="259" w:lineRule="auto"/>
            </w:pPr>
            <w:r>
              <w:rPr>
                <w:rFonts w:ascii="Calibri" w:hAnsi="Calibri"/>
                <w:b w:val="0"/>
                <w:i w:val="0"/>
                <w:color w:val="212121"/>
                <w:sz w:val="16"/>
              </w:rPr>
              <w:t>Infective and autoimmune myocarditis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Recognising diphtheria mandates urgent antitoxin and isolation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and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cardiac output and myocardial inflammation cause tiredness and breathlessness on effort, often after a viral illness.</w:t>
            </w:r>
          </w:p>
        </w:tc>
      </w:tr>
      <w:tr>
        <w:trPr>
          <w:cantSplit/>
        </w:trPr>
        <w:tc>
          <w:tcPr>
            <w:tcW w:type="dxa" w:w="2304"/>
            <w:vAlign w:val="top"/>
          </w:tcPr>
          <w:p>
            <w:pPr>
              <w:spacing w:after="40" w:before="0" w:line="259" w:lineRule="auto"/>
            </w:pPr>
            <w:r>
              <w:rPr>
                <w:rFonts w:ascii="Calibri" w:hAnsi="Calibri"/>
                <w:b/>
                <w:i w:val="0"/>
                <w:color w:val="212121"/>
                <w:sz w:val="19"/>
              </w:rPr>
              <w:t>Breathlessness (dyspnoea) on exertion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impaired ventricular function and pulmonary congestion as heart failure develops.</w:t>
            </w:r>
          </w:p>
        </w:tc>
      </w:tr>
      <w:tr>
        <w:trPr>
          <w:cantSplit/>
        </w:trPr>
        <w:tc>
          <w:tcPr>
            <w:tcW w:type="dxa" w:w="2304"/>
            <w:vAlign w:val="top"/>
          </w:tcPr>
          <w:p>
            <w:pPr>
              <w:spacing w:after="40" w:before="0" w:line="259" w:lineRule="auto"/>
            </w:pPr>
            <w:r>
              <w:rPr>
                <w:rFonts w:ascii="Calibri" w:hAnsi="Calibri"/>
                <w:b/>
                <w:i w:val="0"/>
                <w:color w:val="212121"/>
                <w:sz w:val="19"/>
              </w:rPr>
              <w:t>Chest pain or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Sharp or pressure-like pain from myocardial inflammation and accompanying pericarditis; can closely mimic a heart attack.</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Awareness of skipped, fast or irregular beats from atrial and ventricular arrhythmia in inflamed myocardium.</w:t>
            </w:r>
          </w:p>
        </w:tc>
      </w:tr>
      <w:tr>
        <w:trPr>
          <w:cantSplit/>
        </w:trPr>
        <w:tc>
          <w:tcPr>
            <w:tcW w:type="dxa" w:w="2304"/>
            <w:vAlign w:val="top"/>
          </w:tcPr>
          <w:p>
            <w:pPr>
              <w:spacing w:after="40" w:before="0" w:line="259" w:lineRule="auto"/>
            </w:pPr>
            <w:r>
              <w:rPr>
                <w:rFonts w:ascii="Calibri" w:hAnsi="Calibri"/>
                <w:b/>
                <w:i w:val="0"/>
                <w:color w:val="212121"/>
                <w:sz w:val="19"/>
              </w:rPr>
              <w:t>Fever and flu-like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 the antecedent or ongoing viral/infective trigger; myalgia, sore throat and malaise are common.</w:t>
            </w:r>
          </w:p>
        </w:tc>
      </w:tr>
      <w:tr>
        <w:trPr>
          <w:cantSplit/>
        </w:trPr>
        <w:tc>
          <w:tcPr>
            <w:tcW w:type="dxa" w:w="2304"/>
            <w:vAlign w:val="top"/>
          </w:tcPr>
          <w:p>
            <w:pPr>
              <w:spacing w:after="40" w:before="0" w:line="259" w:lineRule="auto"/>
            </w:pPr>
            <w:r>
              <w:rPr>
                <w:rFonts w:ascii="Calibri" w:hAnsi="Calibri"/>
                <w:b/>
                <w:i w:val="0"/>
                <w:color w:val="212121"/>
                <w:sz w:val="19"/>
              </w:rPr>
              <w:t>Orthopnoea and paroxysmal nocturnal dyspnoea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Breathlessness lying flat or waking at night from pulmonary congestion in significant heart failure.</w:t>
            </w:r>
          </w:p>
        </w:tc>
      </w:tr>
      <w:tr>
        <w:trPr>
          <w:cantSplit/>
        </w:trPr>
        <w:tc>
          <w:tcPr>
            <w:tcW w:type="dxa" w:w="2304"/>
            <w:vAlign w:val="top"/>
          </w:tcPr>
          <w:p>
            <w:pPr>
              <w:spacing w:after="40" w:before="0" w:line="259" w:lineRule="auto"/>
            </w:pPr>
            <w:r>
              <w:rPr>
                <w:rFonts w:ascii="Calibri" w:hAnsi="Calibri"/>
                <w:b/>
                <w:i w:val="0"/>
                <w:color w:val="212121"/>
                <w:sz w:val="19"/>
              </w:rPr>
              <w:t>Ankle and leg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Peripheral oedema from fluid retention and right heart involvement.</w:t>
            </w:r>
          </w:p>
        </w:tc>
      </w:tr>
      <w:tr>
        <w:trPr>
          <w:cantSplit/>
        </w:trPr>
        <w:tc>
          <w:tcPr>
            <w:tcW w:type="dxa" w:w="2304"/>
            <w:vAlign w:val="top"/>
          </w:tcPr>
          <w:p>
            <w:pPr>
              <w:spacing w:after="40" w:before="0" w:line="259" w:lineRule="auto"/>
            </w:pPr>
            <w:r>
              <w:rPr>
                <w:rFonts w:ascii="Calibri" w:hAnsi="Calibri"/>
                <w:b/>
                <w:i w:val="0"/>
                <w:color w:val="212121"/>
                <w:sz w:val="19"/>
              </w:rPr>
              <w:t>Light-headedness or dizziness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arrhythmia or low cardiac output, especially on standing or exertion.</w:t>
            </w:r>
          </w:p>
        </w:tc>
      </w:tr>
      <w:tr>
        <w:trPr>
          <w:cantSplit/>
        </w:trPr>
        <w:tc>
          <w:tcPr>
            <w:tcW w:type="dxa" w:w="2304"/>
            <w:vAlign w:val="top"/>
          </w:tcPr>
          <w:p>
            <w:pPr>
              <w:spacing w:after="40" w:before="0" w:line="259" w:lineRule="auto"/>
            </w:pPr>
            <w:r>
              <w:rPr>
                <w:rFonts w:ascii="Calibri" w:hAnsi="Calibri"/>
                <w:b/>
                <w:i w:val="0"/>
                <w:color w:val="212121"/>
                <w:sz w:val="19"/>
              </w:rPr>
              <w:t>Fainting (syncope)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red-flag symptom suggesting significant arrhythmia or high-grade conduction block and heightened sudden-death risk.</w:t>
            </w:r>
          </w:p>
        </w:tc>
      </w:tr>
      <w:tr>
        <w:trPr>
          <w:cantSplit/>
        </w:trPr>
        <w:tc>
          <w:tcPr>
            <w:tcW w:type="dxa" w:w="2304"/>
            <w:vAlign w:val="top"/>
          </w:tcPr>
          <w:p>
            <w:pPr>
              <w:spacing w:after="40" w:before="0" w:line="259" w:lineRule="auto"/>
            </w:pPr>
            <w:r>
              <w:rPr>
                <w:rFonts w:ascii="Calibri" w:hAnsi="Calibri"/>
                <w:b/>
                <w:i w:val="0"/>
                <w:color w:val="212121"/>
                <w:sz w:val="19"/>
              </w:rPr>
              <w:t>Poor feeding, lethargy and grunting (infants)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Non-specific presentation of infant myocarditis, easily mistaken for sepsis or pneumonia.</w:t>
            </w:r>
          </w:p>
        </w:tc>
      </w:tr>
      <w:tr>
        <w:trPr>
          <w:cantSplit/>
        </w:trPr>
        <w:tc>
          <w:tcPr>
            <w:tcW w:type="dxa" w:w="2304"/>
            <w:vAlign w:val="top"/>
          </w:tcPr>
          <w:p>
            <w:pPr>
              <w:spacing w:after="40" w:before="0" w:line="259" w:lineRule="auto"/>
            </w:pPr>
            <w:r>
              <w:rPr>
                <w:rFonts w:ascii="Calibri" w:hAnsi="Calibri"/>
                <w:b/>
                <w:i w:val="0"/>
                <w:color w:val="212121"/>
                <w:sz w:val="19"/>
              </w:rPr>
              <w:t>Sudden cardiac arrest as first presentation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Ventricular fibrillation and sudden death can be the first sign in a previously well young person or athlete.</w:t>
            </w:r>
          </w:p>
        </w:tc>
      </w:tr>
      <w:tr>
        <w:trPr>
          <w:cantSplit/>
        </w:trPr>
        <w:tc>
          <w:tcPr>
            <w:tcW w:type="dxa" w:w="2304"/>
            <w:vAlign w:val="top"/>
          </w:tcPr>
          <w:p>
            <w:pPr>
              <w:spacing w:after="40" w:before="0" w:line="259" w:lineRule="auto"/>
            </w:pPr>
            <w:r>
              <w:rPr>
                <w:rFonts w:ascii="Calibri" w:hAnsi="Calibri"/>
                <w:b/>
                <w:i w:val="0"/>
                <w:color w:val="212121"/>
                <w:sz w:val="19"/>
              </w:rPr>
              <w:t>Abdominal pain, nausea and vomiting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Especially in children, from hepatic congestion and low output; may obscure the cardiac diagnosis.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Sinus tachycardia disproportionate to 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 early, characteristic sign - the heart rate is higher than the temperature would explain.</w:t>
            </w:r>
          </w:p>
        </w:tc>
      </w:tr>
      <w:tr>
        <w:trPr>
          <w:cantSplit/>
        </w:trPr>
        <w:tc>
          <w:tcPr>
            <w:tcW w:type="dxa" w:w="3456"/>
            <w:vAlign w:val="top"/>
          </w:tcPr>
          <w:p>
            <w:pPr>
              <w:spacing w:after="40" w:before="0" w:line="259" w:lineRule="auto"/>
            </w:pPr>
            <w:r>
              <w:rPr>
                <w:rFonts w:ascii="Calibri" w:hAnsi="Calibri"/>
                <w:b/>
                <w:i w:val="0"/>
                <w:color w:val="212121"/>
                <w:sz w:val="19"/>
              </w:rPr>
              <w:t>Third heart sound (S3 gallop)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a volume-loaded, poorly contracting ventricle in myocarditis-related heart failure.</w:t>
            </w:r>
          </w:p>
        </w:tc>
      </w:tr>
      <w:tr>
        <w:trPr>
          <w:cantSplit/>
        </w:trPr>
        <w:tc>
          <w:tcPr>
            <w:tcW w:type="dxa" w:w="3456"/>
            <w:vAlign w:val="top"/>
          </w:tcPr>
          <w:p>
            <w:pPr>
              <w:spacing w:after="40" w:before="0" w:line="259" w:lineRule="auto"/>
            </w:pPr>
            <w:r>
              <w:rPr>
                <w:rFonts w:ascii="Calibri" w:hAnsi="Calibri"/>
                <w:b/>
                <w:i w:val="0"/>
                <w:color w:val="212121"/>
                <w:sz w:val="19"/>
              </w:rPr>
              <w:t>Bibasal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Pulmonary congestion audible at the lung bases when left heart failure develops.</w:t>
            </w:r>
          </w:p>
        </w:tc>
      </w:tr>
      <w:tr>
        <w:trPr>
          <w:cantSplit/>
        </w:trPr>
        <w:tc>
          <w:tcPr>
            <w:tcW w:type="dxa" w:w="3456"/>
            <w:vAlign w:val="top"/>
          </w:tcPr>
          <w:p>
            <w:pPr>
              <w:spacing w:after="40" w:before="0" w:line="259" w:lineRule="auto"/>
            </w:pPr>
            <w:r>
              <w:rPr>
                <w:rFonts w:ascii="Calibri" w:hAnsi="Calibri"/>
                <w:b/>
                <w:i w:val="0"/>
                <w:color w:val="212121"/>
                <w:sz w:val="19"/>
              </w:rPr>
              <w:t>Raised jugular venous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Indicates elevated right-heart filling pressures and systemic venous congestion.</w:t>
            </w:r>
          </w:p>
        </w:tc>
      </w:tr>
      <w:tr>
        <w:trPr>
          <w:cantSplit/>
        </w:trPr>
        <w:tc>
          <w:tcPr>
            <w:tcW w:type="dxa" w:w="3456"/>
            <w:vAlign w:val="top"/>
          </w:tcPr>
          <w:p>
            <w:pPr>
              <w:spacing w:after="40" w:before="0" w:line="259" w:lineRule="auto"/>
            </w:pPr>
            <w:r>
              <w:rPr>
                <w:rFonts w:ascii="Calibri" w:hAnsi="Calibri"/>
                <w:b/>
                <w:i w:val="0"/>
                <w:color w:val="212121"/>
                <w:sz w:val="19"/>
              </w:rPr>
              <w:t>Peripheral (dependent)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Pitting oedema of ankles/legs from fluid retention and venous congestion.</w:t>
            </w:r>
          </w:p>
        </w:tc>
      </w:tr>
      <w:tr>
        <w:trPr>
          <w:cantSplit/>
        </w:trPr>
        <w:tc>
          <w:tcPr>
            <w:tcW w:type="dxa" w:w="3456"/>
            <w:vAlign w:val="top"/>
          </w:tcPr>
          <w:p>
            <w:pPr>
              <w:spacing w:after="40" w:before="0" w:line="259" w:lineRule="auto"/>
            </w:pPr>
            <w:r>
              <w:rPr>
                <w:rFonts w:ascii="Calibri" w:hAnsi="Calibri"/>
                <w:b/>
                <w:i w:val="0"/>
                <w:color w:val="212121"/>
                <w:sz w:val="19"/>
              </w:rPr>
              <w:t>Muffled/soft heart sounds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reduced contractility or an accompanying pericardial effusion (myopericarditis).</w:t>
            </w:r>
          </w:p>
        </w:tc>
      </w:tr>
      <w:tr>
        <w:trPr>
          <w:cantSplit/>
        </w:trPr>
        <w:tc>
          <w:tcPr>
            <w:tcW w:type="dxa" w:w="3456"/>
            <w:vAlign w:val="top"/>
          </w:tcPr>
          <w:p>
            <w:pPr>
              <w:spacing w:after="40" w:before="0" w:line="259" w:lineRule="auto"/>
            </w:pPr>
            <w:r>
              <w:rPr>
                <w:rFonts w:ascii="Calibri" w:hAnsi="Calibri"/>
                <w:b/>
                <w:i w:val="0"/>
                <w:color w:val="212121"/>
                <w:sz w:val="19"/>
              </w:rPr>
              <w:t>Pericardial friction rub</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scratchy sound of pericardial inflammation, indicating myopericarditis.</w:t>
            </w:r>
          </w:p>
        </w:tc>
      </w:tr>
      <w:tr>
        <w:trPr>
          <w:cantSplit/>
        </w:trPr>
        <w:tc>
          <w:tcPr>
            <w:tcW w:type="dxa" w:w="3456"/>
            <w:vAlign w:val="top"/>
          </w:tcPr>
          <w:p>
            <w:pPr>
              <w:spacing w:after="40" w:before="0" w:line="259" w:lineRule="auto"/>
            </w:pPr>
            <w:r>
              <w:rPr>
                <w:rFonts w:ascii="Calibri" w:hAnsi="Calibri"/>
                <w:b/>
                <w:i w:val="0"/>
                <w:color w:val="212121"/>
                <w:sz w:val="19"/>
              </w:rPr>
              <w:t>Pansystolic murmur of mitral regurgitation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ventricular dilatation and papillary-muscle dysfunction in significant myocardial disease.</w:t>
            </w:r>
          </w:p>
        </w:tc>
      </w:tr>
      <w:tr>
        <w:trPr>
          <w:cantSplit/>
        </w:trPr>
        <w:tc>
          <w:tcPr>
            <w:tcW w:type="dxa" w:w="3456"/>
            <w:vAlign w:val="top"/>
          </w:tcPr>
          <w:p>
            <w:pPr>
              <w:spacing w:after="40" w:before="0" w:line="259" w:lineRule="auto"/>
            </w:pPr>
            <w:r>
              <w:rPr>
                <w:rFonts w:ascii="Calibri" w:hAnsi="Calibri"/>
                <w:b/>
                <w:i w:val="0"/>
                <w:color w:val="212121"/>
                <w:sz w:val="19"/>
              </w:rPr>
              <w:t>Hypotension and cool peripheries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low cardiac output and cardiogenic shock in fulminant myocarditis.</w:t>
            </w:r>
          </w:p>
        </w:tc>
      </w:tr>
      <w:tr>
        <w:trPr>
          <w:cantSplit/>
        </w:trPr>
        <w:tc>
          <w:tcPr>
            <w:tcW w:type="dxa" w:w="3456"/>
            <w:vAlign w:val="top"/>
          </w:tcPr>
          <w:p>
            <w:pPr>
              <w:spacing w:after="40" w:before="0" w:line="259" w:lineRule="auto"/>
            </w:pPr>
            <w:r>
              <w:rPr>
                <w:rFonts w:ascii="Calibri" w:hAnsi="Calibri"/>
                <w:b/>
                <w:i w:val="0"/>
                <w:color w:val="212121"/>
                <w:sz w:val="19"/>
              </w:rPr>
              <w:t>Tender hepatomegaly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Congestive hepatomegaly from right heart failure, prominent in children and infants.</w:t>
            </w:r>
          </w:p>
        </w:tc>
      </w:tr>
      <w:tr>
        <w:trPr>
          <w:cantSplit/>
        </w:trPr>
        <w:tc>
          <w:tcPr>
            <w:tcW w:type="dxa" w:w="3456"/>
            <w:vAlign w:val="top"/>
          </w:tcPr>
          <w:p>
            <w:pPr>
              <w:spacing w:after="40" w:before="0" w:line="259" w:lineRule="auto"/>
            </w:pPr>
            <w:r>
              <w:rPr>
                <w:rFonts w:ascii="Calibri" w:hAnsi="Calibri"/>
                <w:b/>
                <w:i w:val="0"/>
                <w:color w:val="212121"/>
                <w:sz w:val="19"/>
              </w:rPr>
              <w:t>Pulsus alternans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Alternating strong and weak beats indicating severe left ventricular systolic dysfunction.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left-ventricular dysfunction and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Cardiogenic shock (fulminant myocarditis) requiring inotropes or mechanical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Ventricular tachycardia/fibrillation and high-grade atrioventricular block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Pericardial involvement with effusion (myopericarditis) and rarely tamponade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(functional) mitral regurgitation from ventricular dilatation</w:t>
            </w:r>
          </w:p>
        </w:tc>
        <w:tc>
          <w:tcPr>
            <w:tcW w:type="dxa" w:w="2980"/>
            <w:vAlign w:val="top"/>
          </w:tcPr>
          <w:p>
            <w:pPr>
              <w:spacing w:after="40" w:before="0" w:line="259" w:lineRule="auto"/>
            </w:pPr>
            <w:r>
              <w:rPr>
                <w:rFonts w:ascii="Calibri" w:hAnsi="Calibri"/>
                <w:b w:val="0"/>
                <w:i w:val="0"/>
                <w:color w:val="212121"/>
                <w:sz w:val="19"/>
              </w:rPr>
              <w:t>Direct consequences of acute myocardial inflammation, oedema and necrosis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dilated cardiomyopathy and chronic heart failure (in at least half of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or recurrent (relapsing) myocarditis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Intracardiac (mural) thrombus with systemic and cerebral thromboembolism and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arrhythmia and conduction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 from chronic left-heart failure</w:t>
            </w:r>
          </w:p>
        </w:tc>
        <w:tc>
          <w:tcPr>
            <w:tcW w:type="dxa" w:w="2980"/>
            <w:vAlign w:val="top"/>
          </w:tcPr>
          <w:p>
            <w:pPr>
              <w:spacing w:after="40" w:before="0" w:line="259" w:lineRule="auto"/>
            </w:pPr>
            <w:r>
              <w:rPr>
                <w:rFonts w:ascii="Calibri" w:hAnsi="Calibri"/>
                <w:b w:val="0"/>
                <w:i w:val="0"/>
                <w:color w:val="212121"/>
                <w:sz w:val="19"/>
              </w:rPr>
              <w:t>Downstream results of unresolved inflammation, scarring and chamber remodelling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heart failure requiring mechanical circulatory support (ECMO/LVAD) or heart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Sudden cardiac death from ventricular arrhythmia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Implantable cardioverter-defibrillator (ICD) dependence for arrhythmia protection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hospitalisation and long-term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with loss of productive life-years in young adults</w:t>
            </w:r>
          </w:p>
        </w:tc>
        <w:tc>
          <w:tcPr>
            <w:tcW w:type="dxa" w:w="2980"/>
            <w:vAlign w:val="top"/>
          </w:tcPr>
          <w:p>
            <w:pPr>
              <w:spacing w:after="40" w:before="0" w:line="259" w:lineRule="auto"/>
            </w:pPr>
            <w:r>
              <w:rPr>
                <w:rFonts w:ascii="Calibri" w:hAnsi="Calibri"/>
                <w:b w:val="0"/>
                <w:i w:val="0"/>
                <w:color w:val="212121"/>
                <w:sz w:val="19"/>
              </w:rPr>
              <w:t>Irreversible, disabling end-stage outcomes of severe or unresolved myocarditis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Dilated cardiomyopathy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Myocarditis is a major cause of new dilated cardiomyopathy; at least half of acute cases develop some degree of cardiomyopathy.</w:t>
            </w:r>
          </w:p>
          <w:p>
            <w:pPr>
              <w:spacing w:after="40" w:before="0" w:line="259" w:lineRule="auto"/>
            </w:pPr>
            <w:r>
              <w:rPr>
                <w:rFonts w:ascii="Calibri" w:hAnsi="Calibri"/>
                <w:b/>
                <w:i w:val="0"/>
                <w:color w:val="212121"/>
                <w:sz w:val="19"/>
              </w:rPr>
              <w:t>At least 50%</w:t>
            </w:r>
          </w:p>
        </w:tc>
      </w:tr>
      <w:tr>
        <w:trPr>
          <w:cantSplit/>
        </w:trPr>
        <w:tc>
          <w:tcPr>
            <w:tcW w:type="dxa" w:w="2232"/>
            <w:vAlign w:val="top"/>
          </w:tcPr>
          <w:p>
            <w:pPr>
              <w:spacing w:after="40" w:before="0" w:line="259" w:lineRule="auto"/>
            </w:pPr>
            <w:r>
              <w:rPr>
                <w:rFonts w:ascii="Calibri" w:hAnsi="Calibri"/>
                <w:b/>
                <w:i w:val="0"/>
                <w:color w:val="212121"/>
                <w:sz w:val="19"/>
              </w:rPr>
              <w:t>Recent viral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commonest antecedent - about 60% of patients report a preceding acute febrile illness.</w:t>
            </w:r>
          </w:p>
          <w:p>
            <w:pPr>
              <w:spacing w:after="40" w:before="0" w:line="259" w:lineRule="auto"/>
            </w:pPr>
            <w:r>
              <w:rPr>
                <w:rFonts w:ascii="Calibri" w:hAnsi="Calibri"/>
                <w:b/>
                <w:i w:val="0"/>
                <w:color w:val="212121"/>
                <w:sz w:val="19"/>
              </w:rPr>
              <w:t>~60% report preceding febrile illness</w:t>
            </w:r>
          </w:p>
        </w:tc>
      </w:tr>
      <w:tr>
        <w:trPr>
          <w:cantSplit/>
        </w:trPr>
        <w:tc>
          <w:tcPr>
            <w:tcW w:type="dxa" w:w="2232"/>
            <w:vAlign w:val="top"/>
          </w:tcPr>
          <w:p>
            <w:pPr>
              <w:spacing w:after="40" w:before="0" w:line="259" w:lineRule="auto"/>
            </w:pPr>
            <w:r>
              <w:rPr>
                <w:rFonts w:ascii="Calibri" w:hAnsi="Calibri"/>
                <w:b/>
                <w:i w:val="0"/>
                <w:color w:val="212121"/>
                <w:sz w:val="19"/>
              </w:rPr>
              <w:t>Pericarditis (myopericarditis)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Frequent overlap; pericardial inflammation accompanies myocarditis, giving pleuritic chest pain and a friction rub.</w:t>
            </w:r>
          </w:p>
        </w:tc>
      </w:tr>
      <w:tr>
        <w:trPr>
          <w:cantSplit/>
        </w:trPr>
        <w:tc>
          <w:tcPr>
            <w:tcW w:type="dxa" w:w="2232"/>
            <w:vAlign w:val="top"/>
          </w:tcPr>
          <w:p>
            <w:pPr>
              <w:spacing w:after="40" w:before="0" w:line="259" w:lineRule="auto"/>
            </w:pPr>
            <w:r>
              <w:rPr>
                <w:rFonts w:ascii="Calibri" w:hAnsi="Calibri"/>
                <w:b/>
                <w:i w:val="0"/>
                <w:color w:val="212121"/>
                <w:sz w:val="19"/>
              </w:rPr>
              <w:t>Heart failure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Significant myocardial dysfunction leads to acute and, sometimes, chronic heart failure - the main cause of morbidity.</w:t>
            </w:r>
          </w:p>
        </w:tc>
      </w:tr>
      <w:tr>
        <w:trPr>
          <w:cantSplit/>
        </w:trPr>
        <w:tc>
          <w:tcPr>
            <w:tcW w:type="dxa" w:w="2232"/>
            <w:vAlign w:val="top"/>
          </w:tcPr>
          <w:p>
            <w:pPr>
              <w:spacing w:after="40" w:before="0" w:line="259" w:lineRule="auto"/>
            </w:pPr>
            <w:r>
              <w:rPr>
                <w:rFonts w:ascii="Calibri" w:hAnsi="Calibri"/>
                <w:b/>
                <w:i w:val="0"/>
                <w:color w:val="212121"/>
                <w:sz w:val="19"/>
              </w:rPr>
              <w:t>Ventricular arrhythmia / sudden cardiac death</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Inflamed and scarred myocardium is arrhythmogenic; myocarditis is a leading cause of sudden death in the young.</w:t>
            </w:r>
          </w:p>
        </w:tc>
      </w:tr>
      <w:tr>
        <w:trPr>
          <w:cantSplit/>
        </w:trPr>
        <w:tc>
          <w:tcPr>
            <w:tcW w:type="dxa" w:w="2232"/>
            <w:vAlign w:val="top"/>
          </w:tcPr>
          <w:p>
            <w:pPr>
              <w:spacing w:after="40" w:before="0" w:line="259" w:lineRule="auto"/>
            </w:pPr>
            <w:r>
              <w:rPr>
                <w:rFonts w:ascii="Calibri" w:hAnsi="Calibri"/>
                <w:b/>
                <w:i w:val="0"/>
                <w:color w:val="212121"/>
                <w:sz w:val="19"/>
              </w:rPr>
              <w:t>Autoimmune and systemic inflammatory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SLE, sarcoidosis, inflammatory bowel disease and rheumatoid arthritis can cause or accompany myocarditis and need immunosuppression.</w:t>
            </w:r>
          </w:p>
        </w:tc>
      </w:tr>
      <w:tr>
        <w:trPr>
          <w:cantSplit/>
        </w:trPr>
        <w:tc>
          <w:tcPr>
            <w:tcW w:type="dxa" w:w="2232"/>
            <w:vAlign w:val="top"/>
          </w:tcPr>
          <w:p>
            <w:pPr>
              <w:spacing w:after="40" w:before="0" w:line="259" w:lineRule="auto"/>
            </w:pPr>
            <w:r>
              <w:rPr>
                <w:rFonts w:ascii="Calibri" w:hAnsi="Calibri"/>
                <w:b/>
                <w:i w:val="0"/>
                <w:color w:val="212121"/>
                <w:sz w:val="19"/>
              </w:rPr>
              <w:t>COVID-19</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SARS-CoV-2 infection raises the risk of myocarditis severalfold over baseline and contributes to post-COVID cardiac effects.</w:t>
            </w:r>
          </w:p>
          <w:p>
            <w:pPr>
              <w:spacing w:after="40" w:before="0" w:line="259" w:lineRule="auto"/>
            </w:pPr>
            <w:r>
              <w:rPr>
                <w:rFonts w:ascii="Calibri" w:hAnsi="Calibri"/>
                <w:b/>
                <w:i w:val="0"/>
                <w:color w:val="212121"/>
                <w:sz w:val="19"/>
              </w:rPr>
              <w:t>5-16x higher risk after infection</w:t>
            </w:r>
          </w:p>
        </w:tc>
      </w:tr>
      <w:tr>
        <w:trPr>
          <w:cantSplit/>
        </w:trPr>
        <w:tc>
          <w:tcPr>
            <w:tcW w:type="dxa" w:w="2232"/>
            <w:vAlign w:val="top"/>
          </w:tcPr>
          <w:p>
            <w:pPr>
              <w:spacing w:after="40" w:before="0" w:line="259" w:lineRule="auto"/>
            </w:pPr>
            <w:r>
              <w:rPr>
                <w:rFonts w:ascii="Calibri" w:hAnsi="Calibri"/>
                <w:b/>
                <w:i w:val="0"/>
                <w:color w:val="212121"/>
                <w:sz w:val="19"/>
              </w:rPr>
              <w:t>Diphtheria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Diphtheritic myocarditis is a leading cause of diphtheria deaths in under-immunised populations, appearing in the second week.</w:t>
            </w:r>
          </w:p>
        </w:tc>
      </w:tr>
      <w:tr>
        <w:trPr>
          <w:cantSplit/>
        </w:trPr>
        <w:tc>
          <w:tcPr>
            <w:tcW w:type="dxa" w:w="2232"/>
            <w:vAlign w:val="top"/>
          </w:tcPr>
          <w:p>
            <w:pPr>
              <w:spacing w:after="40" w:before="0" w:line="259" w:lineRule="auto"/>
            </w:pPr>
            <w:r>
              <w:rPr>
                <w:rFonts w:ascii="Calibri" w:hAnsi="Calibri"/>
                <w:b/>
                <w:i w:val="0"/>
                <w:color w:val="212121"/>
                <w:sz w:val="19"/>
              </w:rPr>
              <w:t>Dengue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Cardiac involvement and myocarditis are increasingly recognised in dengue, especially in severe disease - highly relevant in India.</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recognised cause of myocarditis and dilated cardiomyopathy, particularly in advanced or untreated disease.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myocarditis is inflammation of the heart muscle, usually triggered by a common viral infection or the body's immune reaction to it, and that it can affect previously healthy children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symptoms that need urgent assessment - especially chest pain, breathlessness, palpitations, fainting or extreme fatigue during or in the weeks after a viral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and do not push through strenuous or competitive exercise while you have a fever or viral illness, and follow medical advice to avoid vigorous exercise for 3-6 months after myocarditis.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childhood and adult immunisations up to date (diphtheria/DTP, influenza, COVID-19), as several important causes of myocarditis are vaccine-preventable.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hand and food hygiene and, in dengue-endemic areas, use mosquito precautions, to reduce the infections that trigger myocarditis.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care for dengue with warning signs, high fever with breathlessness, or a scorpion sting with sweating and breathlessness, particularly in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physically active people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recovering from viral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with low immunisation coverage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 diagnosis of myocarditis, rest and avoid strenuous, competitive or heavy isometric exercise for about 3-6 months, as guided by your cardiologist.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the acute illness, avoid all vigorous exertion, which can worsen inflammation and trigger dangerous arrhythmias.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exercise only gradually and after review of heart function (echocardiography/MRI) and rhythm monitoring confirm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Reintroduce activity slowly, starting with light aerobic exercise and building up, and stop immediately for chest pain, palpitations, breathlessness or dizziness.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should obtain formal cardiology clearance before returning to competitive sport.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myocarditis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Physically active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rehabilitation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nutrient-adequate diet to maintain a healthy immune system, with sufficient micronutrients (including selenium) and protein - severe deficiency can predispose the heart to viral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good food and water hygiene to reduce the enteric and viral infections that can lead to myocarditis.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myocarditis has caused heart failure, limit dietary salt (aim below about 5 g/day) and follow individualised fluid advice to control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and avoid energy drinks and excessive caffeine, which can stress an inflamed heart and provoke palpitations.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control blood pressure, sugar and lipids to protect the heart if any lasting muscle damage occurs.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myocarditis-related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Nutritionally at-risk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alcohol use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immune defence and cardiovascular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rest during and after any viral illness, allowing the body and heart to recover fully before resuming 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routine during convalescence, and report worsening breathlessness when lying flat, which may signal heart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insomnia and manage stress, as poor sleep impairs immune function and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recovering from viral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myocarditis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which impair immune and respiratory defences and worsen recovery of inflamed heart muscle.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and indoor biomass smoke, especially during and after 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proven quit aids (counselling, nicotine replacement or medication) and set a firm quit 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household members to quit to reduce respiratory infections and protect the whole family.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 recovering from myocarditis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or minimise alcohol - it is directly toxic to heart muscle and suppresses immunity, worsening myocarditis and the risk of progressing to a dilated, failing heart.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while recovering from acute myocarditis and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can trigger arrhythmia and acute decompensation.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structured support for alcohol dependence, and correct associated thiamine and nutritional deficiencies.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myocarditis/heart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alcohol dependence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 sudden cardiac illness and enforced rest or exercise restriction can cause anxiety and low mood, especially in young, active people and athletes - seek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simple stress-reduction techniques (paced breathing, relaxation, mindfulness), as severe acute stress can itself precipitate a heart-muscle problem (stress cardiomyopathy).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family, peer and professional support during recovery, and get clear information to reduce fear and uncertainty.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affect adherence and recovery, and seek help around major decisions such as return to sport or device implantation.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patients and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myocarditis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anxiety or low mood</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41847/" TargetMode="External"/><Relationship Id="rId10" Type="http://schemas.openxmlformats.org/officeDocument/2006/relationships/hyperlink" Target="https://www.msdmanuals.com/professional/cardiovascular-disorders/myocarditis-and-pericarditis/myocarditis" TargetMode="External"/><Relationship Id="rId11" Type="http://schemas.openxmlformats.org/officeDocument/2006/relationships/hyperlink" Target="https://www.who.int/news-room/fact-sheets/detail/diphtheria" TargetMode="External"/><Relationship Id="rId12" Type="http://schemas.openxmlformats.org/officeDocument/2006/relationships/hyperlink" Target="https://www.mayoclinic.org/diseases-conditions/myocarditis/symptoms-causes/syc-203525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