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Deep Vein Thrombosis</w:t>
      </w:r>
    </w:p>
    <w:p>
      <w:pPr>
        <w:spacing w:before="0" w:after="160"/>
      </w:pPr>
      <w:r>
        <w:rPr>
          <w:rFonts w:ascii="Calibri" w:hAnsi="Calibri"/>
          <w:b/>
          <w:i w:val="0"/>
          <w:color w:val="212121"/>
          <w:sz w:val="22"/>
        </w:rPr>
        <w:t xml:space="preserve">AKA </w:t>
      </w:r>
      <w:r>
        <w:rPr>
          <w:rFonts w:ascii="Calibri" w:hAnsi="Calibri"/>
          <w:b w:val="0"/>
          <w:i w:val="0"/>
          <w:color w:val="212121"/>
          <w:sz w:val="22"/>
        </w:rPr>
        <w:t>i.e., Venous thrombosis, Blood clot in the leg, Deep-vein thrombophlebitis, DVT; part of Venous Thromboembolism (VTE) together with pulmonary embolism</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Deep vein thrombosis (DVT) is the formation of a blood clot (thrombus) within the deep veins, most commonly of the calf and lower limb, that partially or completely obstructs venous return. It arises from the interplay of venous stasis, endothelial injury and hypercoagulability (Virchow's triad). DVT and pulmonary embolism together constitute venous thromboembolism (VTE): a proximal-limb thrombus may dislodge and travel to the lungs, causing potentially fatal pulmonary embolism, while chronic venous obstruction leads to the post-thrombotic syndrome.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Deep vein thrombosis was long regarded as uncommon in Indians, and community incidence in Asian populations is estimated to be lower than in white and African-American populations (overall incidence roughly 1.6 per 1,000 people per year, about 80 per 100,000). However, Indian hospital, surgical and intensive-care registries show that DVT is substantially under-recognised, that thromboprophylaxis is frequently under-used, and that rates in immobilised, post-operative, obstetric and cancer patients approach those reported in the West — a burden rising with ageing, obesity, urban sedentary living and longer, more complex surgeries.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DVT is suspected clinically and confirmed with a validated pre-test probability score, D-dimer testing and compression ultrasonography, following a stepwise approach: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Estimate pre-test probability with the Wells DVT score; a score of 0–1 indicates low/“unlikely” probability and ≥ 2 indicates high/“likely” probability of DVT.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low/unlikely probability, a normal (age-adjusted) D-dimer effectively excludes DVT without imaging; D-dimer is highly sensitive but poorly specific (also raised in pregnancy, cancer, infection and old age).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Whole-leg or proximal compression ultrasonography showing a non-compressible venous segment (with or without visible thrombus and absent Doppler flow) confirms DVT and is the first-line imaging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high probability or a positive D-dimer, proceed directly to compression ultrasound; if an initial proximal scan is negative but suspicion persists, repeat in 5–7 days or perform whole-leg scanning.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CT or MR venography (or contrast venography, the historical gold standard) is reserved for suspected iliac/IVC or pelvic thrombosis, or for inconclusive ultrasound.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Deep vein thrombosis is classified by anatomical level, temporal course and the presence or absence of a provoking factor:</w:t>
      </w:r>
    </w:p>
    <w:p>
      <w:pPr>
        <w:spacing w:before="0" w:after="80"/>
      </w:pPr>
      <w:r>
        <w:rPr>
          <w:rFonts w:ascii="Calibri" w:hAnsi="Calibri"/>
          <w:b w:val="0"/>
          <w:i w:val="0"/>
          <w:color w:val="212121"/>
          <w:sz w:val="21"/>
        </w:rPr>
        <w:t>(1) By location — proximal DVT (popliteal, femoral or iliac veins) carries a markedly higher risk of pulmonary embolism and post-thrombotic syndrome, whereas distal (below-knee/calf) DVT is lower-risk and may be managed with surveillance ultrasound in selected patients.</w:t>
      </w:r>
    </w:p>
    <w:p>
      <w:pPr>
        <w:spacing w:before="0" w:after="80"/>
      </w:pPr>
      <w:r>
        <w:rPr>
          <w:rFonts w:ascii="Calibri" w:hAnsi="Calibri"/>
          <w:b w:val="0"/>
          <w:i w:val="0"/>
          <w:color w:val="212121"/>
          <w:sz w:val="21"/>
        </w:rPr>
        <w:t>(2) By chronicity — acute (recent, within ~14 days), subacute and chronic (organised) thrombus, distinguished on ultrasound by compressibility, echogenicity and vein diameter.</w:t>
      </w:r>
    </w:p>
    <w:p>
      <w:pPr>
        <w:spacing w:before="0" w:after="80"/>
      </w:pPr>
      <w:r>
        <w:rPr>
          <w:rFonts w:ascii="Calibri" w:hAnsi="Calibri"/>
          <w:b w:val="0"/>
          <w:i w:val="0"/>
          <w:color w:val="212121"/>
          <w:sz w:val="21"/>
        </w:rPr>
        <w:t>(3) By provoking factor — provoked DVT follows a transient (surgery, trauma, immobilisation, pregnancy, oestrogen therapy) or persistent (active cancer, antiphospholipid syndrome) risk factor, whereas unprovoked (idiopathic) DVT occurs without an identifiable trigger and carries a higher recurrence risk that lengthens anticoagulation.</w:t>
      </w:r>
    </w:p>
    <w:p>
      <w:pPr>
        <w:spacing w:before="0" w:after="80"/>
      </w:pPr>
      <w:r>
        <w:rPr>
          <w:rFonts w:ascii="Calibri" w:hAnsi="Calibri"/>
          <w:b w:val="0"/>
          <w:i w:val="0"/>
          <w:color w:val="212121"/>
          <w:sz w:val="21"/>
        </w:rPr>
        <w:t>(4) Special forms — upper-extremity DVT (axillary/subclavian, often catheter- or effort-related [Paget–Schroetter syndrome]) and phlegmasia cerulea dolens, a limb-threatening massive iliofemoral thrombosis.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Venous stasis: Immobility, prolonged bed rest, long-haul travel, paralysis and hospitalisation slow calf venous return, allowing a clot to nucleate.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Endothelial / vessel-wall injury: Surgery, trauma, central venous catheters and prior DVT damage the venous endothelium and activate the clotting cascade.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Hypercoagulability: Inherited thrombophilias (Factor V Leiden, prothrombin G20210A, protein C/S and antithrombin deficiency), malignancy, pregnancy, oestrogen therapy and systemic inflammation tip the haemostatic balance toward clotting.</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Advancing age and obesity: Cumulative endothelial change, reduced mobility and higher intra-abdominal pressure raise risk steeply after about age 40.</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Acquired provokers: Active cancer and chemotherapy, major orthopaedic or pelvic surgery, pregnancy and the puerperium, oestrogen-containing contraception/HRT, and acute medical illness.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Dehydration and haemoconcentration: Inadequate fluid intake, hot climate and diuresis increase blood viscosity and venous stasis.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(&gt; 40 years)</w:t>
            </w:r>
          </w:p>
        </w:tc>
        <w:tc>
          <w:tcPr>
            <w:tcW w:type="dxa" w:w="4276"/>
            <w:vAlign w:val="top"/>
          </w:tcPr>
          <w:p>
            <w:pPr>
              <w:spacing w:after="60" w:line="259" w:lineRule="auto"/>
            </w:pPr>
            <w:r>
              <w:rPr>
                <w:rFonts w:ascii="Calibri" w:hAnsi="Calibri"/>
                <w:b w:val="0"/>
                <w:i w:val="0"/>
                <w:color w:val="212121"/>
                <w:sz w:val="19"/>
              </w:rPr>
              <w:t>DVT is rare in children and rises steeply from midlife as endothelial change, reduced mobility and comorbidities accumulate. Cumulative exposure to provokers (surgery, illness, immobility) compounds the age effect.</w:t>
            </w:r>
          </w:p>
          <w:p>
            <w:pPr>
              <w:spacing w:after="40" w:before="60" w:line="259" w:lineRule="auto"/>
            </w:pPr>
            <w:r>
              <w:rPr>
                <w:rFonts w:ascii="Calibri" w:hAnsi="Calibri"/>
                <w:b w:val="0"/>
                <w:i w:val="0"/>
                <w:color w:val="212121"/>
                <w:sz w:val="19"/>
              </w:rPr>
              <w:t>Risk increases significantly after age 40 and DVT is rare in children; overall community incidence is about 1.6 per 1,000 per year (~80 per 100,000).</w:t>
            </w:r>
          </w:p>
          <w:p>
            <w:pPr>
              <w:spacing w:after="40" w:line="252" w:lineRule="auto"/>
            </w:pPr>
            <w:hyperlink r:id="rId9">
              <w:r>
                <w:rPr>
                  <w:rFonts w:ascii="Calibri" w:hAnsi="Calibri" w:cs="Calibri"/>
                  <w:sz w:val="18"/>
                  <w:color w:val="1155CC"/>
                  <w:u w:val="single"/>
                </w:rPr>
                <w:t xml:space="preserve">ncbi.nlm.nih.gov/books/NBK507708 — Deep venous thrombosis (StatPearls)</w:t>
              </w:r>
            </w:hyperlink>
          </w:p>
          <w:p>
            <w:pPr>
              <w:spacing w:before="60" w:after="40"/>
            </w:pPr>
            <w:r>
              <w:rPr>
                <w:rFonts w:ascii="Calibri" w:hAnsi="Calibri"/>
                <w:b w:val="0"/>
                <w:i w:val="0"/>
                <w:color w:val="5A5A5A"/>
                <w:sz w:val="18"/>
              </w:rPr>
              <w:t>#DVT  #ageing  #stasis  #endothelium  #midlife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 60–70 years)</w:t>
            </w:r>
          </w:p>
        </w:tc>
        <w:tc>
          <w:tcPr>
            <w:tcW w:type="dxa" w:w="4276"/>
            <w:vAlign w:val="top"/>
          </w:tcPr>
          <w:p>
            <w:pPr>
              <w:spacing w:after="60" w:line="259" w:lineRule="auto"/>
            </w:pPr>
            <w:r>
              <w:rPr>
                <w:rFonts w:ascii="Calibri" w:hAnsi="Calibri"/>
                <w:b w:val="0"/>
                <w:i w:val="0"/>
                <w:color w:val="212121"/>
                <w:sz w:val="19"/>
              </w:rPr>
              <w:t>Incidence rises roughly exponentially with age owing to immobility, polypharmacy, cancer, heart failure and frequent hospitalisation. Older patients also present later and have higher case-fatality.</w:t>
            </w:r>
          </w:p>
          <w:p>
            <w:pPr>
              <w:spacing w:after="40" w:before="60" w:line="259" w:lineRule="auto"/>
            </w:pPr>
            <w:r>
              <w:rPr>
                <w:rFonts w:ascii="Calibri" w:hAnsi="Calibri"/>
                <w:b w:val="0"/>
                <w:i w:val="0"/>
                <w:color w:val="212121"/>
                <w:sz w:val="19"/>
              </w:rPr>
              <w:t>Advanced age (&gt; 60) is a recognised constitutional risk factor and combines with immobility and comorbidity to sharply raise VTE incidence in the elderly.</w:t>
            </w:r>
          </w:p>
          <w:p>
            <w:pPr>
              <w:spacing w:after="40" w:line="252" w:lineRule="auto"/>
            </w:pPr>
            <w:hyperlink r:id="rId9">
              <w:r>
                <w:rPr>
                  <w:rFonts w:ascii="Calibri" w:hAnsi="Calibri" w:cs="Calibri"/>
                  <w:sz w:val="18"/>
                  <w:color w:val="1155CC"/>
                  <w:u w:val="single"/>
                </w:rPr>
                <w:t xml:space="preserve">ncbi.nlm.nih.gov/books/NBK507708 — Deep venous thrombosis (StatPearls)</w:t>
              </w:r>
            </w:hyperlink>
          </w:p>
          <w:p>
            <w:pPr>
              <w:spacing w:before="60" w:after="40"/>
            </w:pPr>
            <w:r>
              <w:rPr>
                <w:rFonts w:ascii="Calibri" w:hAnsi="Calibri"/>
                <w:b w:val="0"/>
                <w:i w:val="0"/>
                <w:color w:val="5A5A5A"/>
                <w:sz w:val="18"/>
              </w:rPr>
              <w:t>#elderly  #immobility  #polypharmacy  #hospitalisation  #frailty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of reproductive age</w:t>
            </w:r>
          </w:p>
        </w:tc>
        <w:tc>
          <w:tcPr>
            <w:tcW w:type="dxa" w:w="4276"/>
            <w:vAlign w:val="top"/>
          </w:tcPr>
          <w:p>
            <w:pPr>
              <w:spacing w:after="60" w:line="259" w:lineRule="auto"/>
            </w:pPr>
            <w:r>
              <w:rPr>
                <w:rFonts w:ascii="Calibri" w:hAnsi="Calibri"/>
                <w:b w:val="0"/>
                <w:i w:val="0"/>
                <w:color w:val="212121"/>
                <w:sz w:val="19"/>
              </w:rPr>
              <w:t>Pregnancy, the postpartum period, oestrogen-containing contraception and hormone therapy create a hypercoagulable, higher-oestrogen state that raises venous clotting risk.</w:t>
            </w:r>
          </w:p>
          <w:p>
            <w:pPr>
              <w:spacing w:after="40" w:before="60" w:line="259" w:lineRule="auto"/>
            </w:pPr>
            <w:r>
              <w:rPr>
                <w:rFonts w:ascii="Calibri" w:hAnsi="Calibri"/>
                <w:b w:val="0"/>
                <w:i w:val="0"/>
                <w:color w:val="212121"/>
                <w:sz w:val="19"/>
              </w:rPr>
              <w:t>Women have about a 5-fold higher risk of VTE during pregnancy, childbirth or the three months postpartum.</w:t>
            </w:r>
          </w:p>
          <w:p>
            <w:pPr>
              <w:spacing w:after="40" w:line="252" w:lineRule="auto"/>
            </w:pPr>
            <w:hyperlink r:id="rId10">
              <w:r>
                <w:rPr>
                  <w:rFonts w:ascii="Calibri" w:hAnsi="Calibri" w:cs="Calibri"/>
                  <w:sz w:val="18"/>
                  <w:color w:val="1155CC"/>
                  <w:u w:val="single"/>
                </w:rPr>
                <w:t xml:space="preserve">cdc.gov — VTE data &amp; statistics</w:t>
              </w:r>
            </w:hyperlink>
          </w:p>
          <w:p>
            <w:pPr>
              <w:spacing w:before="60" w:after="40"/>
            </w:pPr>
            <w:r>
              <w:rPr>
                <w:rFonts w:ascii="Calibri" w:hAnsi="Calibri"/>
                <w:b w:val="0"/>
                <w:i w:val="0"/>
                <w:color w:val="5A5A5A"/>
                <w:sz w:val="18"/>
              </w:rPr>
              <w:t>#pregnancy  #oestrogen  #OCP  #postpartum  #hormonal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Men (unprovoked / recurrent DVT)</w:t>
            </w:r>
          </w:p>
        </w:tc>
        <w:tc>
          <w:tcPr>
            <w:tcW w:type="dxa" w:w="4276"/>
            <w:vAlign w:val="top"/>
          </w:tcPr>
          <w:p>
            <w:pPr>
              <w:spacing w:after="60" w:line="259" w:lineRule="auto"/>
            </w:pPr>
            <w:r>
              <w:rPr>
                <w:rFonts w:ascii="Calibri" w:hAnsi="Calibri"/>
                <w:b w:val="0"/>
                <w:i w:val="0"/>
                <w:color w:val="212121"/>
                <w:sz w:val="19"/>
              </w:rPr>
              <w:t>After the reproductive years men carry a higher risk of unprovoked and recurrent VTE than women, influencing decisions on extended anticoagulation.</w:t>
            </w:r>
          </w:p>
          <w:p>
            <w:pPr>
              <w:spacing w:after="40" w:before="60" w:line="259" w:lineRule="auto"/>
            </w:pPr>
            <w:r>
              <w:rPr>
                <w:rFonts w:ascii="Calibri" w:hAnsi="Calibri"/>
                <w:b w:val="0"/>
                <w:i w:val="0"/>
                <w:color w:val="212121"/>
                <w:sz w:val="19"/>
              </w:rPr>
              <w:t>Men have a higher rate of recurrent unprovoked VTE, which is factored into anticoagulation duration decisions.</w:t>
            </w:r>
          </w:p>
          <w:p>
            <w:pPr>
              <w:spacing w:before="60" w:after="40"/>
            </w:pPr>
            <w:r>
              <w:rPr>
                <w:rFonts w:ascii="Calibri" w:hAnsi="Calibri"/>
                <w:b w:val="0"/>
                <w:i w:val="0"/>
                <w:color w:val="5A5A5A"/>
                <w:sz w:val="18"/>
              </w:rPr>
              <w:t>#male  #unprovoked  #recurrence  #anticoagulation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Hospitalised patients with limited prophylaxis access</w:t>
            </w:r>
          </w:p>
        </w:tc>
        <w:tc>
          <w:tcPr>
            <w:tcW w:type="dxa" w:w="4276"/>
            <w:vAlign w:val="top"/>
          </w:tcPr>
          <w:p>
            <w:pPr>
              <w:spacing w:after="60" w:line="259" w:lineRule="auto"/>
            </w:pPr>
            <w:r>
              <w:rPr>
                <w:rFonts w:ascii="Calibri" w:hAnsi="Calibri"/>
                <w:b w:val="0"/>
                <w:i w:val="0"/>
                <w:color w:val="212121"/>
                <w:sz w:val="19"/>
              </w:rPr>
              <w:t>Under-recognition of VTE risk and inconsistent use of thromboprophylaxis in resource-limited settings leave many admitted and post-operative patients unprotected, a recurring finding in Indian audits.</w:t>
            </w:r>
          </w:p>
          <w:p>
            <w:pPr>
              <w:spacing w:after="40" w:before="60" w:line="259" w:lineRule="auto"/>
            </w:pPr>
            <w:r>
              <w:rPr>
                <w:rFonts w:ascii="Calibri" w:hAnsi="Calibri"/>
                <w:b w:val="0"/>
                <w:i w:val="0"/>
                <w:color w:val="212121"/>
                <w:sz w:val="19"/>
              </w:rPr>
              <w:t>More than one-third of VTE is hospital-associated, and up to 70% of healthcare-associated VTE is considered preventable with appropriate prophylaxis.</w:t>
            </w:r>
          </w:p>
          <w:p>
            <w:pPr>
              <w:spacing w:after="40" w:line="252" w:lineRule="auto"/>
            </w:pPr>
            <w:hyperlink r:id="rId10">
              <w:r>
                <w:rPr>
                  <w:rFonts w:ascii="Calibri" w:hAnsi="Calibri" w:cs="Calibri"/>
                  <w:sz w:val="18"/>
                  <w:color w:val="1155CC"/>
                  <w:u w:val="single"/>
                </w:rPr>
                <w:t xml:space="preserve">cdc.gov — VTE data &amp; statistics</w:t>
              </w:r>
            </w:hyperlink>
          </w:p>
          <w:p>
            <w:pPr>
              <w:spacing w:before="60" w:after="40"/>
            </w:pPr>
            <w:r>
              <w:rPr>
                <w:rFonts w:ascii="Calibri" w:hAnsi="Calibri"/>
                <w:b w:val="0"/>
                <w:i w:val="0"/>
                <w:color w:val="5A5A5A"/>
                <w:sz w:val="18"/>
              </w:rPr>
              <w:t>#hospitalacquired  #prophylaxisgap  #preventable  #India  #audit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Asian / Indian populations</w:t>
            </w:r>
          </w:p>
        </w:tc>
        <w:tc>
          <w:tcPr>
            <w:tcW w:type="dxa" w:w="4276"/>
            <w:vAlign w:val="top"/>
          </w:tcPr>
          <w:p>
            <w:pPr>
              <w:spacing w:after="60" w:line="259" w:lineRule="auto"/>
            </w:pPr>
            <w:r>
              <w:rPr>
                <w:rFonts w:ascii="Calibri" w:hAnsi="Calibri"/>
                <w:b w:val="0"/>
                <w:i w:val="0"/>
                <w:color w:val="212121"/>
                <w:sz w:val="19"/>
              </w:rPr>
              <w:t>Baseline community VTE incidence is lower in Asian than in white or African-American groups, and Factor V Leiden — the commonest Western thrombophilia — is rare in Indians; other deficiencies (protein C/S, antithrombin) and acquired provokers remain relevant, and true burden is under-estimated by under-diagnosis.</w:t>
            </w:r>
          </w:p>
          <w:p>
            <w:pPr>
              <w:spacing w:after="40" w:before="60" w:line="259" w:lineRule="auto"/>
            </w:pPr>
            <w:r>
              <w:rPr>
                <w:rFonts w:ascii="Calibri" w:hAnsi="Calibri"/>
                <w:b w:val="0"/>
                <w:i w:val="0"/>
                <w:color w:val="212121"/>
                <w:sz w:val="19"/>
              </w:rPr>
              <w:t>Reported incidence is higher in African-American and white populations than in Hispanic and Asian groups.</w:t>
            </w:r>
          </w:p>
          <w:p>
            <w:pPr>
              <w:spacing w:after="40" w:line="252" w:lineRule="auto"/>
            </w:pPr>
            <w:hyperlink r:id="rId9">
              <w:r>
                <w:rPr>
                  <w:rFonts w:ascii="Calibri" w:hAnsi="Calibri" w:cs="Calibri"/>
                  <w:sz w:val="18"/>
                  <w:color w:val="1155CC"/>
                  <w:u w:val="single"/>
                </w:rPr>
                <w:t xml:space="preserve">ncbi.nlm.nih.gov/books/NBK507708 — Deep venous thrombosis (StatPearls)</w:t>
              </w:r>
            </w:hyperlink>
          </w:p>
          <w:p>
            <w:pPr>
              <w:spacing w:before="60" w:after="40"/>
            </w:pPr>
            <w:r>
              <w:rPr>
                <w:rFonts w:ascii="Calibri" w:hAnsi="Calibri"/>
                <w:b w:val="0"/>
                <w:i w:val="0"/>
                <w:color w:val="5A5A5A"/>
                <w:sz w:val="18"/>
              </w:rPr>
              <w:t>#ethnicity  #Asian  #India  #FactorVLeiden  #underdiagnosis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Travel / mobility</w:t>
            </w:r>
          </w:p>
        </w:tc>
        <w:tc>
          <w:tcPr>
            <w:tcW w:type="dxa" w:w="2160"/>
            <w:vAlign w:val="top"/>
          </w:tcPr>
          <w:p>
            <w:pPr>
              <w:spacing w:after="40" w:before="0" w:line="259" w:lineRule="auto"/>
            </w:pPr>
            <w:r>
              <w:rPr>
                <w:rFonts w:ascii="Calibri" w:hAnsi="Calibri"/>
                <w:b w:val="0"/>
                <w:i w:val="0"/>
                <w:color w:val="212121"/>
                <w:sz w:val="19"/>
              </w:rPr>
              <w:t>Long-haul travellers (flights/train &gt; 4 h)</w:t>
            </w:r>
          </w:p>
        </w:tc>
        <w:tc>
          <w:tcPr>
            <w:tcW w:type="dxa" w:w="4276"/>
            <w:vAlign w:val="top"/>
          </w:tcPr>
          <w:p>
            <w:pPr>
              <w:spacing w:after="60" w:line="259" w:lineRule="auto"/>
            </w:pPr>
            <w:r>
              <w:rPr>
                <w:rFonts w:ascii="Calibri" w:hAnsi="Calibri"/>
                <w:b w:val="0"/>
                <w:i w:val="0"/>
                <w:color w:val="212121"/>
                <w:sz w:val="19"/>
              </w:rPr>
              <w:t>Prolonged cramped immobility during long flights or train journeys causes calf venous stasis and dehydration — the so-called “economy-class syndrome.”</w:t>
            </w:r>
          </w:p>
          <w:p>
            <w:pPr>
              <w:spacing w:after="40" w:before="60" w:line="259" w:lineRule="auto"/>
            </w:pPr>
            <w:r>
              <w:rPr>
                <w:rFonts w:ascii="Calibri" w:hAnsi="Calibri"/>
                <w:b w:val="0"/>
                <w:i w:val="0"/>
                <w:color w:val="212121"/>
                <w:sz w:val="19"/>
              </w:rPr>
              <w:t>Long flights and prolonged immobility are established reduced-blood-flow risk factors for DVT.</w:t>
            </w:r>
          </w:p>
          <w:p>
            <w:pPr>
              <w:spacing w:after="40" w:line="252" w:lineRule="auto"/>
            </w:pPr>
            <w:hyperlink r:id="rId9">
              <w:r>
                <w:rPr>
                  <w:rFonts w:ascii="Calibri" w:hAnsi="Calibri" w:cs="Calibri"/>
                  <w:sz w:val="18"/>
                  <w:color w:val="1155CC"/>
                  <w:u w:val="single"/>
                </w:rPr>
                <w:t xml:space="preserve">ncbi.nlm.nih.gov/books/NBK507708 — Deep venous thrombosis (StatPearls)</w:t>
              </w:r>
            </w:hyperlink>
          </w:p>
          <w:p>
            <w:pPr>
              <w:spacing w:before="60" w:after="40"/>
            </w:pPr>
            <w:r>
              <w:rPr>
                <w:rFonts w:ascii="Calibri" w:hAnsi="Calibri"/>
                <w:b w:val="0"/>
                <w:i w:val="0"/>
                <w:color w:val="5A5A5A"/>
                <w:sz w:val="18"/>
              </w:rPr>
              <w:t>#travel  #economyclass  #stasis  #dehydration  #longhaul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immobility</w:t>
            </w:r>
          </w:p>
        </w:tc>
        <w:tc>
          <w:tcPr>
            <w:tcW w:type="dxa" w:w="2160"/>
            <w:vAlign w:val="top"/>
          </w:tcPr>
          <w:p>
            <w:pPr>
              <w:spacing w:after="40" w:before="0" w:line="259" w:lineRule="auto"/>
            </w:pPr>
            <w:r>
              <w:rPr>
                <w:rFonts w:ascii="Calibri" w:hAnsi="Calibri"/>
                <w:b w:val="0"/>
                <w:i w:val="0"/>
                <w:color w:val="212121"/>
                <w:sz w:val="19"/>
              </w:rPr>
              <w:t>Bedridden, ICU and prolonged-sitting individuals</w:t>
            </w:r>
          </w:p>
        </w:tc>
        <w:tc>
          <w:tcPr>
            <w:tcW w:type="dxa" w:w="4276"/>
            <w:vAlign w:val="top"/>
          </w:tcPr>
          <w:p>
            <w:pPr>
              <w:spacing w:after="60" w:line="259" w:lineRule="auto"/>
            </w:pPr>
            <w:r>
              <w:rPr>
                <w:rFonts w:ascii="Calibri" w:hAnsi="Calibri"/>
                <w:b w:val="0"/>
                <w:i w:val="0"/>
                <w:color w:val="212121"/>
                <w:sz w:val="19"/>
              </w:rPr>
              <w:t>Immobility removes the calf-muscle pump that drives venous return, allowing blood to pool and clot; more than ~72 hours of immobility is a strong transient provoker.</w:t>
            </w:r>
          </w:p>
          <w:p>
            <w:pPr>
              <w:spacing w:after="40" w:before="60" w:line="259" w:lineRule="auto"/>
            </w:pPr>
            <w:r>
              <w:rPr>
                <w:rFonts w:ascii="Calibri" w:hAnsi="Calibri"/>
                <w:b w:val="0"/>
                <w:i w:val="0"/>
                <w:color w:val="212121"/>
                <w:sz w:val="19"/>
              </w:rPr>
              <w:t>Immobility, bed rest, surgery and anaesthesia are listed among the leading reduced-blood-flow risk factors for DVT.</w:t>
            </w:r>
          </w:p>
          <w:p>
            <w:pPr>
              <w:spacing w:after="40" w:line="252" w:lineRule="auto"/>
            </w:pPr>
            <w:hyperlink r:id="rId9">
              <w:r>
                <w:rPr>
                  <w:rFonts w:ascii="Calibri" w:hAnsi="Calibri" w:cs="Calibri"/>
                  <w:sz w:val="18"/>
                  <w:color w:val="1155CC"/>
                  <w:u w:val="single"/>
                </w:rPr>
                <w:t xml:space="preserve">ncbi.nlm.nih.gov/books/NBK507708 — Deep venous thrombosis (StatPearls)</w:t>
              </w:r>
            </w:hyperlink>
          </w:p>
          <w:p>
            <w:pPr>
              <w:spacing w:before="60" w:after="40"/>
            </w:pPr>
            <w:r>
              <w:rPr>
                <w:rFonts w:ascii="Calibri" w:hAnsi="Calibri"/>
                <w:b w:val="0"/>
                <w:i w:val="0"/>
                <w:color w:val="5A5A5A"/>
                <w:sz w:val="18"/>
              </w:rPr>
              <w:t>#immobility  #bedrest  #ICU  #calfpump  #screenbound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Tobacco promotes a hypercoagulable, pro-inflammatory state and endothelial injury; risk is magnified when smoking is combined with oestrogen-containing contraception.</w:t>
            </w:r>
          </w:p>
          <w:p>
            <w:pPr>
              <w:spacing w:after="40" w:before="60" w:line="259" w:lineRule="auto"/>
            </w:pPr>
            <w:r>
              <w:rPr>
                <w:rFonts w:ascii="Calibri" w:hAnsi="Calibri"/>
                <w:b w:val="0"/>
                <w:i w:val="0"/>
                <w:color w:val="212121"/>
                <w:sz w:val="19"/>
              </w:rPr>
              <w:t>Smoking is listed among factors that increase coagulation and DVT risk.</w:t>
            </w:r>
          </w:p>
          <w:p>
            <w:pPr>
              <w:spacing w:after="40" w:line="252" w:lineRule="auto"/>
            </w:pPr>
            <w:hyperlink r:id="rId9">
              <w:r>
                <w:rPr>
                  <w:rFonts w:ascii="Calibri" w:hAnsi="Calibri" w:cs="Calibri"/>
                  <w:sz w:val="18"/>
                  <w:color w:val="1155CC"/>
                  <w:u w:val="single"/>
                </w:rPr>
                <w:t xml:space="preserve">ncbi.nlm.nih.gov/books/NBK507708 — Deep venous thrombosis (StatPearls)</w:t>
              </w:r>
            </w:hyperlink>
          </w:p>
          <w:p>
            <w:pPr>
              <w:spacing w:before="60" w:after="40"/>
            </w:pPr>
            <w:r>
              <w:rPr>
                <w:rFonts w:ascii="Calibri" w:hAnsi="Calibri"/>
                <w:b w:val="0"/>
                <w:i w:val="0"/>
                <w:color w:val="5A5A5A"/>
                <w:sz w:val="18"/>
              </w:rPr>
              <w:t>#smoking  #hypercoagulable  #endothelium  #OCPsynergy  #tobacco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binge drinkers</w:t>
            </w:r>
          </w:p>
        </w:tc>
        <w:tc>
          <w:tcPr>
            <w:tcW w:type="dxa" w:w="4276"/>
            <w:vAlign w:val="top"/>
          </w:tcPr>
          <w:p>
            <w:pPr>
              <w:spacing w:after="60" w:line="259" w:lineRule="auto"/>
            </w:pPr>
            <w:r>
              <w:rPr>
                <w:rFonts w:ascii="Calibri" w:hAnsi="Calibri"/>
                <w:b w:val="0"/>
                <w:i w:val="0"/>
                <w:color w:val="212121"/>
                <w:sz w:val="19"/>
              </w:rPr>
              <w:t>Heavy alcohol use contributes indirectly through dehydration, inactivity and, on anticoagulants, unstable INR and bleeding risk; direct causal evidence is weak.</w:t>
            </w:r>
          </w:p>
          <w:p>
            <w:pPr>
              <w:spacing w:after="40" w:before="60" w:line="259" w:lineRule="auto"/>
            </w:pPr>
            <w:r>
              <w:rPr>
                <w:rFonts w:ascii="Calibri" w:hAnsi="Calibri"/>
                <w:b w:val="0"/>
                <w:i w:val="0"/>
                <w:color w:val="212121"/>
                <w:sz w:val="19"/>
              </w:rPr>
              <w:t>Binge drinking promotes dehydration and immobility, both of which favour venous stasis.</w:t>
            </w:r>
          </w:p>
          <w:p>
            <w:pPr>
              <w:spacing w:before="60" w:after="40"/>
            </w:pPr>
            <w:r>
              <w:rPr>
                <w:rFonts w:ascii="Calibri" w:hAnsi="Calibri"/>
                <w:b w:val="0"/>
                <w:i w:val="0"/>
                <w:color w:val="5A5A5A"/>
                <w:sz w:val="18"/>
              </w:rPr>
              <w:t>#alcohol  #dehydration  #INR  #bleeding  #lifestyle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adults (BMI 25–29.9)</w:t>
            </w:r>
          </w:p>
        </w:tc>
        <w:tc>
          <w:tcPr>
            <w:tcW w:type="dxa" w:w="4276"/>
            <w:vAlign w:val="top"/>
          </w:tcPr>
          <w:p>
            <w:pPr>
              <w:spacing w:after="60" w:line="259" w:lineRule="auto"/>
            </w:pPr>
            <w:r>
              <w:rPr>
                <w:rFonts w:ascii="Calibri" w:hAnsi="Calibri"/>
                <w:b w:val="0"/>
                <w:i w:val="0"/>
                <w:color w:val="212121"/>
                <w:sz w:val="19"/>
              </w:rPr>
              <w:t>Excess weight raises intra-abdominal pressure and venous pressure in the legs and is associated with a mildly pro-thrombotic, inflammatory state.</w:t>
            </w:r>
          </w:p>
          <w:p>
            <w:pPr>
              <w:spacing w:after="40" w:before="60" w:line="259" w:lineRule="auto"/>
            </w:pPr>
            <w:r>
              <w:rPr>
                <w:rFonts w:ascii="Calibri" w:hAnsi="Calibri"/>
                <w:b w:val="0"/>
                <w:i w:val="0"/>
                <w:color w:val="212121"/>
                <w:sz w:val="19"/>
              </w:rPr>
              <w:t>Obesity is listed among the constitutional risk factors for DVT.</w:t>
            </w:r>
          </w:p>
          <w:p>
            <w:pPr>
              <w:spacing w:after="40" w:line="252" w:lineRule="auto"/>
            </w:pPr>
            <w:hyperlink r:id="rId9">
              <w:r>
                <w:rPr>
                  <w:rFonts w:ascii="Calibri" w:hAnsi="Calibri" w:cs="Calibri"/>
                  <w:sz w:val="18"/>
                  <w:color w:val="1155CC"/>
                  <w:u w:val="single"/>
                </w:rPr>
                <w:t xml:space="preserve">ncbi.nlm.nih.gov/books/NBK507708 — Deep venous thrombosis (StatPearls)</w:t>
              </w:r>
            </w:hyperlink>
          </w:p>
          <w:p>
            <w:pPr>
              <w:spacing w:before="60" w:after="40"/>
            </w:pPr>
            <w:r>
              <w:rPr>
                <w:rFonts w:ascii="Calibri" w:hAnsi="Calibri"/>
                <w:b w:val="0"/>
                <w:i w:val="0"/>
                <w:color w:val="5A5A5A"/>
                <w:sz w:val="18"/>
              </w:rPr>
              <w:t>#overweight  #BMI  #venouspressure  #inflammation  #lifestyle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individuals (BMI ≥ 30) with high-calorie diet</w:t>
            </w:r>
          </w:p>
        </w:tc>
        <w:tc>
          <w:tcPr>
            <w:tcW w:type="dxa" w:w="4276"/>
            <w:vAlign w:val="top"/>
          </w:tcPr>
          <w:p>
            <w:pPr>
              <w:spacing w:after="60" w:line="259" w:lineRule="auto"/>
            </w:pPr>
            <w:r>
              <w:rPr>
                <w:rFonts w:ascii="Calibri" w:hAnsi="Calibri"/>
                <w:b w:val="0"/>
                <w:i w:val="0"/>
                <w:color w:val="212121"/>
                <w:sz w:val="19"/>
              </w:rPr>
              <w:t>Central obesity from energy-dense, ultra-processed diets increases intra-abdominal pressure, venous stasis and inflammatory pro-coagulant activity, compounding immobility.</w:t>
            </w:r>
          </w:p>
          <w:p>
            <w:pPr>
              <w:spacing w:after="40" w:before="60" w:line="259" w:lineRule="auto"/>
            </w:pPr>
            <w:r>
              <w:rPr>
                <w:rFonts w:ascii="Calibri" w:hAnsi="Calibri"/>
                <w:b w:val="0"/>
                <w:i w:val="0"/>
                <w:color w:val="212121"/>
                <w:sz w:val="19"/>
              </w:rPr>
              <w:t>Obesity is a recognised constitutional risk factor that acts alongside age, immobility and surgery to raise DVT risk.</w:t>
            </w:r>
          </w:p>
          <w:p>
            <w:pPr>
              <w:spacing w:after="40" w:line="252" w:lineRule="auto"/>
            </w:pPr>
            <w:hyperlink r:id="rId9">
              <w:r>
                <w:rPr>
                  <w:rFonts w:ascii="Calibri" w:hAnsi="Calibri" w:cs="Calibri"/>
                  <w:sz w:val="18"/>
                  <w:color w:val="1155CC"/>
                  <w:u w:val="single"/>
                </w:rPr>
                <w:t xml:space="preserve">ncbi.nlm.nih.gov/books/NBK507708 — Deep venous thrombosis (StatPearls)</w:t>
              </w:r>
            </w:hyperlink>
          </w:p>
          <w:p>
            <w:pPr>
              <w:spacing w:before="60" w:after="40"/>
            </w:pPr>
            <w:r>
              <w:rPr>
                <w:rFonts w:ascii="Calibri" w:hAnsi="Calibri"/>
                <w:b w:val="0"/>
                <w:i w:val="0"/>
                <w:color w:val="5A5A5A"/>
                <w:sz w:val="18"/>
              </w:rPr>
              <w:t>#obesity  #visceralfat  #ultraprocessed  #procoagulant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Hydration</w:t>
            </w:r>
          </w:p>
        </w:tc>
        <w:tc>
          <w:tcPr>
            <w:tcW w:type="dxa" w:w="2160"/>
            <w:vAlign w:val="top"/>
          </w:tcPr>
          <w:p>
            <w:pPr>
              <w:spacing w:after="40" w:before="0" w:line="259" w:lineRule="auto"/>
            </w:pPr>
            <w:r>
              <w:rPr>
                <w:rFonts w:ascii="Calibri" w:hAnsi="Calibri"/>
                <w:b w:val="0"/>
                <w:i w:val="0"/>
                <w:color w:val="212121"/>
                <w:sz w:val="19"/>
              </w:rPr>
              <w:t>Low fluid intake / hot-climate &amp; fasting individuals</w:t>
            </w:r>
          </w:p>
        </w:tc>
        <w:tc>
          <w:tcPr>
            <w:tcW w:type="dxa" w:w="4276"/>
            <w:vAlign w:val="top"/>
          </w:tcPr>
          <w:p>
            <w:pPr>
              <w:spacing w:after="60" w:line="259" w:lineRule="auto"/>
            </w:pPr>
            <w:r>
              <w:rPr>
                <w:rFonts w:ascii="Calibri" w:hAnsi="Calibri"/>
                <w:b w:val="0"/>
                <w:i w:val="0"/>
                <w:color w:val="212121"/>
                <w:sz w:val="19"/>
              </w:rPr>
              <w:t>Inadequate fluids, hot climate, diuretics and prolonged fasting cause haemoconcentration that raises blood viscosity and promotes stasis and clotting.</w:t>
            </w:r>
          </w:p>
          <w:p>
            <w:pPr>
              <w:spacing w:after="40" w:before="60" w:line="259" w:lineRule="auto"/>
            </w:pPr>
            <w:r>
              <w:rPr>
                <w:rFonts w:ascii="Calibri" w:hAnsi="Calibri"/>
                <w:b w:val="0"/>
                <w:i w:val="0"/>
                <w:color w:val="212121"/>
                <w:sz w:val="19"/>
              </w:rPr>
              <w:t>Dehydration is listed among the constitutional risk factors for DVT.</w:t>
            </w:r>
          </w:p>
          <w:p>
            <w:pPr>
              <w:spacing w:after="40" w:line="252" w:lineRule="auto"/>
            </w:pPr>
            <w:hyperlink r:id="rId9">
              <w:r>
                <w:rPr>
                  <w:rFonts w:ascii="Calibri" w:hAnsi="Calibri" w:cs="Calibri"/>
                  <w:sz w:val="18"/>
                  <w:color w:val="1155CC"/>
                  <w:u w:val="single"/>
                </w:rPr>
                <w:t xml:space="preserve">ncbi.nlm.nih.gov/books/NBK507708 — Deep venous thrombosis (StatPearls)</w:t>
              </w:r>
            </w:hyperlink>
          </w:p>
          <w:p>
            <w:pPr>
              <w:spacing w:before="60" w:after="40"/>
            </w:pPr>
            <w:r>
              <w:rPr>
                <w:rFonts w:ascii="Calibri" w:hAnsi="Calibri"/>
                <w:b w:val="0"/>
                <w:i w:val="0"/>
                <w:color w:val="5A5A5A"/>
                <w:sz w:val="18"/>
              </w:rPr>
              <w:t>#dehydration  #viscosity  #hotclimate  #fasting  #hydration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inherited thrombophilia</w:t>
            </w:r>
          </w:p>
        </w:tc>
        <w:tc>
          <w:tcPr>
            <w:tcW w:type="dxa" w:w="2160"/>
            <w:vAlign w:val="top"/>
          </w:tcPr>
          <w:p>
            <w:pPr>
              <w:spacing w:after="40" w:before="0" w:line="259" w:lineRule="auto"/>
            </w:pPr>
            <w:r>
              <w:rPr>
                <w:rFonts w:ascii="Calibri" w:hAnsi="Calibri"/>
                <w:b w:val="0"/>
                <w:i w:val="0"/>
                <w:color w:val="212121"/>
                <w:sz w:val="19"/>
              </w:rPr>
              <w:t>First-degree relatives with VTE or a known thrombophilia</w:t>
            </w:r>
          </w:p>
        </w:tc>
        <w:tc>
          <w:tcPr>
            <w:tcW w:type="dxa" w:w="4276"/>
            <w:vAlign w:val="top"/>
          </w:tcPr>
          <w:p>
            <w:pPr>
              <w:spacing w:after="60" w:line="259" w:lineRule="auto"/>
            </w:pPr>
            <w:r>
              <w:rPr>
                <w:rFonts w:ascii="Calibri" w:hAnsi="Calibri"/>
                <w:b w:val="0"/>
                <w:i w:val="0"/>
                <w:color w:val="212121"/>
                <w:sz w:val="19"/>
              </w:rPr>
              <w:t>Inherited thrombophilias (Factor V Leiden, prothrombin G20210A, and protein C, protein S and antithrombin deficiency) create a lifelong hypercoagulable state, especially with an added provoker such as surgery, pregnancy or oestrogen.</w:t>
            </w:r>
          </w:p>
          <w:p>
            <w:pPr>
              <w:spacing w:after="40" w:before="60" w:line="259" w:lineRule="auto"/>
            </w:pPr>
            <w:r>
              <w:rPr>
                <w:rFonts w:ascii="Calibri" w:hAnsi="Calibri"/>
                <w:b w:val="0"/>
                <w:i w:val="0"/>
                <w:color w:val="212121"/>
                <w:sz w:val="19"/>
              </w:rPr>
              <w:t>Factor V Leiden and protein C/S deficiency are named inherited hypercoagulable risk factors for DVT.</w:t>
            </w:r>
          </w:p>
          <w:p>
            <w:pPr>
              <w:spacing w:after="40" w:line="252" w:lineRule="auto"/>
            </w:pPr>
            <w:hyperlink r:id="rId9">
              <w:r>
                <w:rPr>
                  <w:rFonts w:ascii="Calibri" w:hAnsi="Calibri" w:cs="Calibri"/>
                  <w:sz w:val="18"/>
                  <w:color w:val="1155CC"/>
                  <w:u w:val="single"/>
                </w:rPr>
                <w:t xml:space="preserve">ncbi.nlm.nih.gov/books/NBK507708 — Deep venous thrombosis (StatPearls)</w:t>
              </w:r>
            </w:hyperlink>
          </w:p>
          <w:p>
            <w:pPr>
              <w:spacing w:before="60" w:after="40"/>
            </w:pPr>
            <w:r>
              <w:rPr>
                <w:rFonts w:ascii="Calibri" w:hAnsi="Calibri"/>
                <w:b w:val="0"/>
                <w:i w:val="0"/>
                <w:color w:val="5A5A5A"/>
                <w:sz w:val="18"/>
              </w:rPr>
              <w:t>#thrombophilia  #FactorVLeiden  #proteinC  #familyhistory  #inherited</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Active malignancy</w:t>
            </w:r>
          </w:p>
        </w:tc>
        <w:tc>
          <w:tcPr>
            <w:tcW w:type="dxa" w:w="2160"/>
            <w:vAlign w:val="top"/>
          </w:tcPr>
          <w:p>
            <w:pPr>
              <w:spacing w:after="40" w:before="0" w:line="259" w:lineRule="auto"/>
            </w:pPr>
            <w:r>
              <w:rPr>
                <w:rFonts w:ascii="Calibri" w:hAnsi="Calibri"/>
                <w:b w:val="0"/>
                <w:i w:val="0"/>
                <w:color w:val="212121"/>
                <w:sz w:val="19"/>
              </w:rPr>
              <w:t>Patients with cancer / on chemotherapy</w:t>
            </w:r>
          </w:p>
        </w:tc>
        <w:tc>
          <w:tcPr>
            <w:tcW w:type="dxa" w:w="4276"/>
            <w:vAlign w:val="top"/>
          </w:tcPr>
          <w:p>
            <w:pPr>
              <w:spacing w:after="60" w:line="259" w:lineRule="auto"/>
            </w:pPr>
            <w:r>
              <w:rPr>
                <w:rFonts w:ascii="Calibri" w:hAnsi="Calibri"/>
                <w:b w:val="0"/>
                <w:i w:val="0"/>
                <w:color w:val="212121"/>
                <w:sz w:val="19"/>
              </w:rPr>
              <w:t>Tumours release pro-coagulant factors and cytokines, and chemotherapy, central lines and immobility add further risk; DVT can be the presenting sign of an occult cancer.</w:t>
            </w:r>
          </w:p>
          <w:p>
            <w:pPr>
              <w:spacing w:after="40" w:before="60" w:line="259" w:lineRule="auto"/>
            </w:pPr>
            <w:r>
              <w:rPr>
                <w:rFonts w:ascii="Calibri" w:hAnsi="Calibri"/>
                <w:b w:val="0"/>
                <w:i w:val="0"/>
                <w:color w:val="212121"/>
                <w:sz w:val="19"/>
              </w:rPr>
              <w:t>Roughly one in five VTE cases is associated with cancer and its treatment.</w:t>
            </w:r>
          </w:p>
          <w:p>
            <w:pPr>
              <w:spacing w:after="40" w:line="252" w:lineRule="auto"/>
            </w:pPr>
            <w:hyperlink r:id="rId10">
              <w:r>
                <w:rPr>
                  <w:rFonts w:ascii="Calibri" w:hAnsi="Calibri" w:cs="Calibri"/>
                  <w:sz w:val="18"/>
                  <w:color w:val="1155CC"/>
                  <w:u w:val="single"/>
                </w:rPr>
                <w:t xml:space="preserve">cdc.gov — VTE data &amp; statistics</w:t>
              </w:r>
            </w:hyperlink>
          </w:p>
          <w:p>
            <w:pPr>
              <w:spacing w:before="60" w:after="40"/>
            </w:pPr>
            <w:r>
              <w:rPr>
                <w:rFonts w:ascii="Calibri" w:hAnsi="Calibri"/>
                <w:b w:val="0"/>
                <w:i w:val="0"/>
                <w:color w:val="5A5A5A"/>
                <w:sz w:val="18"/>
              </w:rPr>
              <w:t>#cancer  #Trousseau  #chemotherapy  #procoagulant  #occultmalignancy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Recent major surgery / trauma</w:t>
            </w:r>
          </w:p>
        </w:tc>
        <w:tc>
          <w:tcPr>
            <w:tcW w:type="dxa" w:w="2160"/>
            <w:vAlign w:val="top"/>
          </w:tcPr>
          <w:p>
            <w:pPr>
              <w:spacing w:after="40" w:before="0" w:line="259" w:lineRule="auto"/>
            </w:pPr>
            <w:r>
              <w:rPr>
                <w:rFonts w:ascii="Calibri" w:hAnsi="Calibri"/>
                <w:b w:val="0"/>
                <w:i w:val="0"/>
                <w:color w:val="212121"/>
                <w:sz w:val="19"/>
              </w:rPr>
              <w:t>Post-operative (hip/knee, pelvic, abdominal) &amp; major-trauma patients</w:t>
            </w:r>
          </w:p>
        </w:tc>
        <w:tc>
          <w:tcPr>
            <w:tcW w:type="dxa" w:w="4276"/>
            <w:vAlign w:val="top"/>
          </w:tcPr>
          <w:p>
            <w:pPr>
              <w:spacing w:after="60" w:line="259" w:lineRule="auto"/>
            </w:pPr>
            <w:r>
              <w:rPr>
                <w:rFonts w:ascii="Calibri" w:hAnsi="Calibri"/>
                <w:b w:val="0"/>
                <w:i w:val="0"/>
                <w:color w:val="212121"/>
                <w:sz w:val="19"/>
              </w:rPr>
              <w:t>Surgery and trauma combine endothelial injury, immobilisation and an acute-phase hypercoagulable response; major orthopaedic and pelvic operations are among the highest-risk settings, mandating prophylaxis.</w:t>
            </w:r>
          </w:p>
          <w:p>
            <w:pPr>
              <w:spacing w:after="40" w:before="60" w:line="259" w:lineRule="auto"/>
            </w:pPr>
            <w:r>
              <w:rPr>
                <w:rFonts w:ascii="Calibri" w:hAnsi="Calibri"/>
                <w:b w:val="0"/>
                <w:i w:val="0"/>
                <w:color w:val="212121"/>
                <w:sz w:val="19"/>
              </w:rPr>
              <w:t>Surgery, anaesthesia and immobilisation lasting more than 72 hours are among the leading transient provokers of DVT.</w:t>
            </w:r>
          </w:p>
          <w:p>
            <w:pPr>
              <w:spacing w:after="40" w:line="252" w:lineRule="auto"/>
            </w:pPr>
            <w:hyperlink r:id="rId9">
              <w:r>
                <w:rPr>
                  <w:rFonts w:ascii="Calibri" w:hAnsi="Calibri" w:cs="Calibri"/>
                  <w:sz w:val="18"/>
                  <w:color w:val="1155CC"/>
                  <w:u w:val="single"/>
                </w:rPr>
                <w:t xml:space="preserve">ncbi.nlm.nih.gov/books/NBK507708 — Deep venous thrombosis (StatPearls)</w:t>
              </w:r>
            </w:hyperlink>
          </w:p>
          <w:p>
            <w:pPr>
              <w:spacing w:before="60" w:after="40"/>
            </w:pPr>
            <w:r>
              <w:rPr>
                <w:rFonts w:ascii="Calibri" w:hAnsi="Calibri"/>
                <w:b w:val="0"/>
                <w:i w:val="0"/>
                <w:color w:val="5A5A5A"/>
                <w:sz w:val="18"/>
              </w:rPr>
              <w:t>#postoperative  #orthopaedic  #trauma  #prophylaxis  #immobilisation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 &amp; puerperium</w:t>
            </w:r>
          </w:p>
        </w:tc>
        <w:tc>
          <w:tcPr>
            <w:tcW w:type="dxa" w:w="2160"/>
            <w:vAlign w:val="top"/>
          </w:tcPr>
          <w:p>
            <w:pPr>
              <w:spacing w:after="40" w:before="0" w:line="259" w:lineRule="auto"/>
            </w:pPr>
            <w:r>
              <w:rPr>
                <w:rFonts w:ascii="Calibri" w:hAnsi="Calibri"/>
                <w:b w:val="0"/>
                <w:i w:val="0"/>
                <w:color w:val="212121"/>
                <w:sz w:val="19"/>
              </w:rPr>
              <w:t>Pregnant and postpartum women</w:t>
            </w:r>
          </w:p>
        </w:tc>
        <w:tc>
          <w:tcPr>
            <w:tcW w:type="dxa" w:w="4276"/>
            <w:vAlign w:val="top"/>
          </w:tcPr>
          <w:p>
            <w:pPr>
              <w:spacing w:after="60" w:line="259" w:lineRule="auto"/>
            </w:pPr>
            <w:r>
              <w:rPr>
                <w:rFonts w:ascii="Calibri" w:hAnsi="Calibri"/>
                <w:b w:val="0"/>
                <w:i w:val="0"/>
                <w:color w:val="212121"/>
                <w:sz w:val="19"/>
              </w:rPr>
              <w:t>Pregnancy raises clotting factors and venous stasis from uterine compression, with risk highest in the postpartum weeks; left-leg iliofemoral DVT is characteristic.</w:t>
            </w:r>
          </w:p>
          <w:p>
            <w:pPr>
              <w:spacing w:after="40" w:before="60" w:line="259" w:lineRule="auto"/>
            </w:pPr>
            <w:r>
              <w:rPr>
                <w:rFonts w:ascii="Calibri" w:hAnsi="Calibri"/>
                <w:b w:val="0"/>
                <w:i w:val="0"/>
                <w:color w:val="212121"/>
                <w:sz w:val="19"/>
              </w:rPr>
              <w:t>Risk of VTE is about 5-fold higher during pregnancy, childbirth and the first three months postpartum.</w:t>
            </w:r>
          </w:p>
          <w:p>
            <w:pPr>
              <w:spacing w:after="40" w:line="252" w:lineRule="auto"/>
            </w:pPr>
            <w:hyperlink r:id="rId10">
              <w:r>
                <w:rPr>
                  <w:rFonts w:ascii="Calibri" w:hAnsi="Calibri" w:cs="Calibri"/>
                  <w:sz w:val="18"/>
                  <w:color w:val="1155CC"/>
                  <w:u w:val="single"/>
                </w:rPr>
                <w:t xml:space="preserve">cdc.gov — VTE data &amp; statistics</w:t>
              </w:r>
            </w:hyperlink>
          </w:p>
          <w:p>
            <w:pPr>
              <w:spacing w:before="60" w:after="40"/>
            </w:pPr>
            <w:r>
              <w:rPr>
                <w:rFonts w:ascii="Calibri" w:hAnsi="Calibri"/>
                <w:b w:val="0"/>
                <w:i w:val="0"/>
                <w:color w:val="5A5A5A"/>
                <w:sz w:val="18"/>
              </w:rPr>
              <w:t>#pregnancy  #puerperium  #iliofemoral  #hypercoagulable  #maternal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Acute medical illness / hospitalisation</w:t>
            </w:r>
          </w:p>
        </w:tc>
        <w:tc>
          <w:tcPr>
            <w:tcW w:type="dxa" w:w="2160"/>
            <w:vAlign w:val="top"/>
          </w:tcPr>
          <w:p>
            <w:pPr>
              <w:spacing w:after="40" w:before="0" w:line="259" w:lineRule="auto"/>
            </w:pPr>
            <w:r>
              <w:rPr>
                <w:rFonts w:ascii="Calibri" w:hAnsi="Calibri"/>
                <w:b w:val="0"/>
                <w:i w:val="0"/>
                <w:color w:val="212121"/>
                <w:sz w:val="19"/>
              </w:rPr>
              <w:t>Immobilised acutely ill inpatients (sepsis, stroke, respiratory/cardiac failure)</w:t>
            </w:r>
          </w:p>
        </w:tc>
        <w:tc>
          <w:tcPr>
            <w:tcW w:type="dxa" w:w="4276"/>
            <w:vAlign w:val="top"/>
          </w:tcPr>
          <w:p>
            <w:pPr>
              <w:spacing w:after="60" w:line="259" w:lineRule="auto"/>
            </w:pPr>
            <w:r>
              <w:rPr>
                <w:rFonts w:ascii="Calibri" w:hAnsi="Calibri"/>
                <w:b w:val="0"/>
                <w:i w:val="0"/>
                <w:color w:val="212121"/>
                <w:sz w:val="19"/>
              </w:rPr>
              <w:t>Acute illness combines immobility, inflammation and dehydration; most such patients warrant risk assessment and pharmacological or mechanical prophylaxis.</w:t>
            </w:r>
          </w:p>
          <w:p>
            <w:pPr>
              <w:spacing w:after="40" w:before="60" w:line="259" w:lineRule="auto"/>
            </w:pPr>
            <w:r>
              <w:rPr>
                <w:rFonts w:ascii="Calibri" w:hAnsi="Calibri"/>
                <w:b w:val="0"/>
                <w:i w:val="0"/>
                <w:color w:val="212121"/>
                <w:sz w:val="19"/>
              </w:rPr>
              <w:t>More than one-third of VTE is hospital-associated, and much of it is preventable with prophylaxis.</w:t>
            </w:r>
          </w:p>
          <w:p>
            <w:pPr>
              <w:spacing w:after="40" w:line="252" w:lineRule="auto"/>
            </w:pPr>
            <w:hyperlink r:id="rId10">
              <w:r>
                <w:rPr>
                  <w:rFonts w:ascii="Calibri" w:hAnsi="Calibri" w:cs="Calibri"/>
                  <w:sz w:val="18"/>
                  <w:color w:val="1155CC"/>
                  <w:u w:val="single"/>
                </w:rPr>
                <w:t xml:space="preserve">cdc.gov — VTE data &amp; statistics</w:t>
              </w:r>
            </w:hyperlink>
          </w:p>
          <w:p>
            <w:pPr>
              <w:spacing w:before="60" w:after="40"/>
            </w:pPr>
            <w:r>
              <w:rPr>
                <w:rFonts w:ascii="Calibri" w:hAnsi="Calibri"/>
                <w:b w:val="0"/>
                <w:i w:val="0"/>
                <w:color w:val="5A5A5A"/>
                <w:sz w:val="18"/>
              </w:rPr>
              <w:t>#hospitalised  #acuteillness  #stroke  #sepsis  #prophylaxis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Heart failure</w:t>
            </w:r>
          </w:p>
        </w:tc>
        <w:tc>
          <w:tcPr>
            <w:tcW w:type="dxa" w:w="2160"/>
            <w:vAlign w:val="top"/>
          </w:tcPr>
          <w:p>
            <w:pPr>
              <w:spacing w:after="40" w:before="0" w:line="259" w:lineRule="auto"/>
            </w:pPr>
            <w:r>
              <w:rPr>
                <w:rFonts w:ascii="Calibri" w:hAnsi="Calibri"/>
                <w:b w:val="0"/>
                <w:i w:val="0"/>
                <w:color w:val="212121"/>
                <w:sz w:val="19"/>
              </w:rPr>
              <w:t>Patients with congestive heart failure</w:t>
            </w:r>
          </w:p>
        </w:tc>
        <w:tc>
          <w:tcPr>
            <w:tcW w:type="dxa" w:w="4276"/>
            <w:vAlign w:val="top"/>
          </w:tcPr>
          <w:p>
            <w:pPr>
              <w:spacing w:after="60" w:line="259" w:lineRule="auto"/>
            </w:pPr>
            <w:r>
              <w:rPr>
                <w:rFonts w:ascii="Calibri" w:hAnsi="Calibri"/>
                <w:b w:val="0"/>
                <w:i w:val="0"/>
                <w:color w:val="212121"/>
                <w:sz w:val="19"/>
              </w:rPr>
              <w:t>Low cardiac output, venous congestion and reduced mobility promote lower-limb stasis and clotting in heart-failure patients.</w:t>
            </w:r>
          </w:p>
          <w:p>
            <w:pPr>
              <w:spacing w:after="40" w:before="60" w:line="259" w:lineRule="auto"/>
            </w:pPr>
            <w:r>
              <w:rPr>
                <w:rFonts w:ascii="Calibri" w:hAnsi="Calibri"/>
                <w:b w:val="0"/>
                <w:i w:val="0"/>
                <w:color w:val="212121"/>
                <w:sz w:val="19"/>
              </w:rPr>
              <w:t>Heart failure is listed among conditions that increase coagulation risk and DVT.</w:t>
            </w:r>
          </w:p>
          <w:p>
            <w:pPr>
              <w:spacing w:after="40" w:line="252" w:lineRule="auto"/>
            </w:pPr>
            <w:hyperlink r:id="rId9">
              <w:r>
                <w:rPr>
                  <w:rFonts w:ascii="Calibri" w:hAnsi="Calibri" w:cs="Calibri"/>
                  <w:sz w:val="18"/>
                  <w:color w:val="1155CC"/>
                  <w:u w:val="single"/>
                </w:rPr>
                <w:t xml:space="preserve">ncbi.nlm.nih.gov/books/NBK507708 — Deep venous thrombosis (StatPearls)</w:t>
              </w:r>
            </w:hyperlink>
          </w:p>
          <w:p>
            <w:pPr>
              <w:spacing w:before="60" w:after="40"/>
            </w:pPr>
            <w:r>
              <w:rPr>
                <w:rFonts w:ascii="Calibri" w:hAnsi="Calibri"/>
                <w:b w:val="0"/>
                <w:i w:val="0"/>
                <w:color w:val="5A5A5A"/>
                <w:sz w:val="18"/>
              </w:rPr>
              <w:t>#heartfailure  #venouscongestion  #lowoutput  #stasis  #comorbidity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Immobility and prolonged sitting remove the calf-muscle pump and are among the strongest provokers of DVT; early mobilisation, ambulation and calf exercises restore venous return and lower risk.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Obesity from energy-dense diets raises intra-abdominal and venous pressure and pro-coagulant activity; for warfarin users, inconsistent vitamin-K intake destabilises INR.</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itself is not a strong independent factor, but prolonged unbroken immobility during illness or cramped overnight travel promotes stasis and clotting.</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promotes a hypercoagulable, pro-inflammatory state and endothelial injury and markedly raises VTE risk, especially combined with oestrogen contraception.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Heavy/binge drinking contributes indirectly via dehydration and inactivity and destabilises anticoagulation; direct causal evidence is weak and mixed.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Depression and severe mental illness reduce mobility, and some antipsychotic drugs modestly increase VTE risk; adherence to prophylaxis and anticoagulation may also be affected.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Dehydration raises blood viscosity and haemoconcentration, favouring stasis and clotting; adequate hydration during travel, illness and hot weather is protective.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direct link to DVT; very high caffeine intake may contribute mildly to dehydration but is not an established risk factor.</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Limb skin care and hygiene are relevant to preventing ulceration and infection in post-thrombotic and venous-stasis limbs rather than to DVT causation.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Surgery, trauma, immobilisation, active cancer, pregnancy, oestrogen therapy, central lines and acute illness are the dominant, potentially modifiable provokers of DVT and the focus of prophylaxis.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Prolonged dependent, immobile or cramped posture (crossed legs, tight seating) promotes venous pooling; frequent position change and leg elevation counteract stasis.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Duration of immobility</w:t>
            </w:r>
          </w:p>
        </w:tc>
        <w:tc>
          <w:tcPr>
            <w:tcW w:type="dxa" w:w="1655"/>
            <w:vAlign w:val="top"/>
          </w:tcPr>
          <w:p>
            <w:pPr>
              <w:spacing w:after="40" w:before="0" w:line="259" w:lineRule="auto"/>
            </w:pPr>
            <w:r>
              <w:rPr>
                <w:rFonts w:ascii="Calibri" w:hAnsi="Calibri"/>
                <w:b w:val="0"/>
                <w:i w:val="0"/>
                <w:color w:val="212121"/>
                <w:sz w:val="19"/>
              </w:rPr>
              <w:t>Post-op, bedridden, ICU patients</w:t>
            </w:r>
          </w:p>
        </w:tc>
        <w:tc>
          <w:tcPr>
            <w:tcW w:type="dxa" w:w="1512"/>
            <w:vAlign w:val="top"/>
          </w:tcPr>
          <w:p>
            <w:pPr>
              <w:spacing w:after="40" w:before="0" w:line="259" w:lineRule="auto"/>
            </w:pPr>
            <w:r>
              <w:rPr>
                <w:rFonts w:ascii="Calibri" w:hAnsi="Calibri"/>
                <w:b w:val="0"/>
                <w:i w:val="0"/>
                <w:color w:val="212121"/>
                <w:sz w:val="19"/>
              </w:rPr>
              <w:t>Early mobilisation; ambulate day of/after surgery</w:t>
            </w:r>
          </w:p>
        </w:tc>
        <w:tc>
          <w:tcPr>
            <w:tcW w:type="dxa" w:w="1512"/>
            <w:vAlign w:val="top"/>
          </w:tcPr>
          <w:p>
            <w:pPr>
              <w:spacing w:after="40" w:before="0" w:line="259" w:lineRule="auto"/>
            </w:pPr>
            <w:r>
              <w:rPr>
                <w:rFonts w:ascii="Calibri" w:hAnsi="Calibri"/>
                <w:b w:val="0"/>
                <w:i w:val="0"/>
                <w:color w:val="212121"/>
                <w:sz w:val="19"/>
              </w:rPr>
              <w:t>≥ 72 hours continuous immobility</w:t>
            </w:r>
          </w:p>
        </w:tc>
        <w:tc>
          <w:tcPr>
            <w:tcW w:type="dxa" w:w="1468"/>
            <w:vAlign w:val="top"/>
          </w:tcPr>
          <w:p>
            <w:pPr>
              <w:spacing w:after="60" w:line="259" w:lineRule="auto"/>
            </w:pPr>
            <w:r>
              <w:rPr>
                <w:rFonts w:ascii="Calibri" w:hAnsi="Calibri"/>
                <w:b w:val="0"/>
                <w:i w:val="0"/>
                <w:color w:val="212121"/>
                <w:sz w:val="19"/>
              </w:rPr>
              <w:t>Prolonged immobility is a leading provoker of calf DVT</w:t>
            </w:r>
          </w:p>
          <w:p>
            <w:pPr>
              <w:spacing w:after="40" w:line="252" w:lineRule="auto"/>
            </w:pPr>
            <w:hyperlink r:id="rId9">
              <w:r>
                <w:rPr>
                  <w:rFonts w:ascii="Calibri" w:hAnsi="Calibri" w:cs="Calibri"/>
                  <w:sz w:val="18"/>
                  <w:color w:val="1155CC"/>
                  <w:u w:val="single"/>
                </w:rPr>
                <w:t xml:space="preserve">https://www.ncbi.nlm.nih.gov/books/NBK507708/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VTE risk score (Caprini / Padua)</w:t>
            </w:r>
          </w:p>
        </w:tc>
        <w:tc>
          <w:tcPr>
            <w:tcW w:type="dxa" w:w="1655"/>
            <w:vAlign w:val="top"/>
          </w:tcPr>
          <w:p>
            <w:pPr>
              <w:spacing w:after="40" w:before="0" w:line="259" w:lineRule="auto"/>
            </w:pPr>
            <w:r>
              <w:rPr>
                <w:rFonts w:ascii="Calibri" w:hAnsi="Calibri"/>
                <w:b w:val="0"/>
                <w:i w:val="0"/>
                <w:color w:val="212121"/>
                <w:sz w:val="19"/>
              </w:rPr>
              <w:t>Hospitalised medical &amp; surgical patients</w:t>
            </w:r>
          </w:p>
        </w:tc>
        <w:tc>
          <w:tcPr>
            <w:tcW w:type="dxa" w:w="1512"/>
            <w:vAlign w:val="top"/>
          </w:tcPr>
          <w:p>
            <w:pPr>
              <w:spacing w:after="40" w:before="0" w:line="259" w:lineRule="auto"/>
            </w:pPr>
            <w:r>
              <w:rPr>
                <w:rFonts w:ascii="Calibri" w:hAnsi="Calibri"/>
                <w:b w:val="0"/>
                <w:i w:val="0"/>
                <w:color w:val="212121"/>
                <w:sz w:val="19"/>
              </w:rPr>
              <w:t>Low score → mechanical measures</w:t>
            </w:r>
          </w:p>
        </w:tc>
        <w:tc>
          <w:tcPr>
            <w:tcW w:type="dxa" w:w="1512"/>
            <w:vAlign w:val="top"/>
          </w:tcPr>
          <w:p>
            <w:pPr>
              <w:spacing w:after="40" w:before="0" w:line="259" w:lineRule="auto"/>
            </w:pPr>
            <w:r>
              <w:rPr>
                <w:rFonts w:ascii="Calibri" w:hAnsi="Calibri"/>
                <w:b w:val="0"/>
                <w:i w:val="0"/>
                <w:color w:val="212121"/>
                <w:sz w:val="19"/>
              </w:rPr>
              <w:t>High score → add pharmacological prophylaxis</w:t>
            </w:r>
          </w:p>
        </w:tc>
        <w:tc>
          <w:tcPr>
            <w:tcW w:type="dxa" w:w="1468"/>
            <w:vAlign w:val="top"/>
          </w:tcPr>
          <w:p>
            <w:pPr>
              <w:spacing w:after="40" w:before="0" w:line="259" w:lineRule="auto"/>
            </w:pPr>
            <w:r>
              <w:rPr>
                <w:rFonts w:ascii="Calibri" w:hAnsi="Calibri"/>
                <w:b w:val="0"/>
                <w:i w:val="0"/>
                <w:color w:val="212121"/>
                <w:sz w:val="19"/>
              </w:rPr>
              <w:t>Structured scoring guides thromboprophylaxis decisions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In-travel movement</w:t>
            </w:r>
          </w:p>
        </w:tc>
        <w:tc>
          <w:tcPr>
            <w:tcW w:type="dxa" w:w="1655"/>
            <w:vAlign w:val="top"/>
          </w:tcPr>
          <w:p>
            <w:pPr>
              <w:spacing w:after="40" w:before="0" w:line="259" w:lineRule="auto"/>
            </w:pPr>
            <w:r>
              <w:rPr>
                <w:rFonts w:ascii="Calibri" w:hAnsi="Calibri"/>
                <w:b w:val="0"/>
                <w:i w:val="0"/>
                <w:color w:val="212121"/>
                <w:sz w:val="19"/>
              </w:rPr>
              <w:t>Long-haul travellers (&gt; 4 h)</w:t>
            </w:r>
          </w:p>
        </w:tc>
        <w:tc>
          <w:tcPr>
            <w:tcW w:type="dxa" w:w="1512"/>
            <w:vAlign w:val="top"/>
          </w:tcPr>
          <w:p>
            <w:pPr>
              <w:spacing w:after="40" w:before="0" w:line="259" w:lineRule="auto"/>
            </w:pPr>
            <w:r>
              <w:rPr>
                <w:rFonts w:ascii="Calibri" w:hAnsi="Calibri"/>
                <w:b w:val="0"/>
                <w:i w:val="0"/>
                <w:color w:val="212121"/>
                <w:sz w:val="19"/>
              </w:rPr>
              <w:t>Stand/walk every 1–2 h; calf exercises</w:t>
            </w:r>
          </w:p>
        </w:tc>
        <w:tc>
          <w:tcPr>
            <w:tcW w:type="dxa" w:w="1512"/>
            <w:vAlign w:val="top"/>
          </w:tcPr>
          <w:p>
            <w:pPr>
              <w:spacing w:after="40" w:before="0" w:line="259" w:lineRule="auto"/>
            </w:pPr>
            <w:r>
              <w:rPr>
                <w:rFonts w:ascii="Calibri" w:hAnsi="Calibri"/>
                <w:b w:val="0"/>
                <w:i w:val="0"/>
                <w:color w:val="212121"/>
                <w:sz w:val="19"/>
              </w:rPr>
              <w:t>No movement for &gt; 4–6 h</w:t>
            </w:r>
          </w:p>
        </w:tc>
        <w:tc>
          <w:tcPr>
            <w:tcW w:type="dxa" w:w="1468"/>
            <w:vAlign w:val="top"/>
          </w:tcPr>
          <w:p>
            <w:pPr>
              <w:spacing w:after="60" w:line="259" w:lineRule="auto"/>
            </w:pPr>
            <w:r>
              <w:rPr>
                <w:rFonts w:ascii="Calibri" w:hAnsi="Calibri"/>
                <w:b w:val="0"/>
                <w:i w:val="0"/>
                <w:color w:val="212121"/>
                <w:sz w:val="19"/>
              </w:rPr>
              <w:t>Reduces travel-related venous stasis</w:t>
            </w:r>
          </w:p>
          <w:p>
            <w:pPr>
              <w:spacing w:after="40" w:line="252" w:lineRule="auto"/>
            </w:pPr>
            <w:hyperlink r:id="rId11">
              <w:r>
                <w:rPr>
                  <w:rFonts w:ascii="Calibri" w:hAnsi="Calibri" w:cs="Calibri"/>
                  <w:sz w:val="18"/>
                  <w:color w:val="1155CC"/>
                  <w:u w:val="single"/>
                </w:rPr>
                <w:t xml:space="preserve">https://www.cdc.gov/blood-clots/about/index.html</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30 kg/m² (obesity)</w:t>
            </w:r>
          </w:p>
        </w:tc>
        <w:tc>
          <w:tcPr>
            <w:tcW w:type="dxa" w:w="1468"/>
            <w:vAlign w:val="top"/>
          </w:tcPr>
          <w:p>
            <w:pPr>
              <w:spacing w:after="60" w:line="259" w:lineRule="auto"/>
            </w:pPr>
            <w:r>
              <w:rPr>
                <w:rFonts w:ascii="Calibri" w:hAnsi="Calibri"/>
                <w:b w:val="0"/>
                <w:i w:val="0"/>
                <w:color w:val="212121"/>
                <w:sz w:val="19"/>
              </w:rPr>
              <w:t>Obesity raises intra-abdominal pressure and stasis</w:t>
            </w:r>
          </w:p>
          <w:p>
            <w:pPr>
              <w:spacing w:after="40" w:line="252" w:lineRule="auto"/>
            </w:pPr>
            <w:hyperlink r:id="rId9">
              <w:r>
                <w:rPr>
                  <w:rFonts w:ascii="Calibri" w:hAnsi="Calibri" w:cs="Calibri"/>
                  <w:sz w:val="18"/>
                  <w:color w:val="1155CC"/>
                  <w:u w:val="single"/>
                </w:rPr>
                <w:t xml:space="preserve">https://www.ncbi.nlm.nih.gov/books/NBK507708/</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Travellers, hospitalised, hot-climate workers</w:t>
            </w:r>
          </w:p>
        </w:tc>
        <w:tc>
          <w:tcPr>
            <w:tcW w:type="dxa" w:w="1512"/>
            <w:vAlign w:val="top"/>
          </w:tcPr>
          <w:p>
            <w:pPr>
              <w:spacing w:after="40" w:before="0" w:line="259" w:lineRule="auto"/>
            </w:pPr>
            <w:r>
              <w:rPr>
                <w:rFonts w:ascii="Calibri" w:hAnsi="Calibri"/>
                <w:b w:val="0"/>
                <w:i w:val="0"/>
                <w:color w:val="212121"/>
                <w:sz w:val="19"/>
              </w:rPr>
              <w:t>~2–3 L/day unless restricted</w:t>
            </w:r>
          </w:p>
        </w:tc>
        <w:tc>
          <w:tcPr>
            <w:tcW w:type="dxa" w:w="1512"/>
            <w:vAlign w:val="top"/>
          </w:tcPr>
          <w:p>
            <w:pPr>
              <w:spacing w:after="40" w:before="0" w:line="259" w:lineRule="auto"/>
            </w:pPr>
            <w:r>
              <w:rPr>
                <w:rFonts w:ascii="Calibri" w:hAnsi="Calibri"/>
                <w:b w:val="0"/>
                <w:i w:val="0"/>
                <w:color w:val="212121"/>
                <w:sz w:val="19"/>
              </w:rPr>
              <w:t>Clinical dehydration / concentrated urine</w:t>
            </w:r>
          </w:p>
        </w:tc>
        <w:tc>
          <w:tcPr>
            <w:tcW w:type="dxa" w:w="1468"/>
            <w:vAlign w:val="top"/>
          </w:tcPr>
          <w:p>
            <w:pPr>
              <w:spacing w:after="40" w:before="0" w:line="259" w:lineRule="auto"/>
            </w:pPr>
            <w:r>
              <w:rPr>
                <w:rFonts w:ascii="Calibri" w:hAnsi="Calibri"/>
                <w:b w:val="0"/>
                <w:i w:val="0"/>
                <w:color w:val="212121"/>
                <w:sz w:val="19"/>
              </w:rPr>
              <w:t>Dehydration raises blood viscosity and stasis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women on oestrogen</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1/day (synergistic with OCP)</w:t>
            </w:r>
          </w:p>
        </w:tc>
        <w:tc>
          <w:tcPr>
            <w:tcW w:type="dxa" w:w="1468"/>
            <w:vAlign w:val="top"/>
          </w:tcPr>
          <w:p>
            <w:pPr>
              <w:spacing w:after="60" w:line="259" w:lineRule="auto"/>
            </w:pPr>
            <w:r>
              <w:rPr>
                <w:rFonts w:ascii="Calibri" w:hAnsi="Calibri"/>
                <w:b w:val="0"/>
                <w:i w:val="0"/>
                <w:color w:val="212121"/>
                <w:sz w:val="19"/>
              </w:rPr>
              <w:t>Smoking promotes hypercoagulability and endothelial injury</w:t>
            </w:r>
          </w:p>
          <w:p>
            <w:pPr>
              <w:spacing w:after="40" w:line="252" w:lineRule="auto"/>
            </w:pPr>
            <w:hyperlink r:id="rId9">
              <w:r>
                <w:rPr>
                  <w:rFonts w:ascii="Calibri" w:hAnsi="Calibri" w:cs="Calibri"/>
                  <w:sz w:val="18"/>
                  <w:color w:val="1155CC"/>
                  <w:u w:val="single"/>
                </w:rPr>
                <w:t xml:space="preserve">https://www.ncbi.nlm.nih.gov/books/NBK507708/</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Adults; anticoagulated patients</w:t>
            </w:r>
          </w:p>
        </w:tc>
        <w:tc>
          <w:tcPr>
            <w:tcW w:type="dxa" w:w="1512"/>
            <w:vAlign w:val="top"/>
          </w:tcPr>
          <w:p>
            <w:pPr>
              <w:spacing w:after="40" w:before="0" w:line="259" w:lineRule="auto"/>
            </w:pPr>
            <w:r>
              <w:rPr>
                <w:rFonts w:ascii="Calibri" w:hAnsi="Calibri"/>
                <w:b w:val="0"/>
                <w:i w:val="0"/>
                <w:color w:val="212121"/>
                <w:sz w:val="19"/>
              </w:rPr>
              <w:t>≤ 14 units/week</w:t>
            </w:r>
          </w:p>
        </w:tc>
        <w:tc>
          <w:tcPr>
            <w:tcW w:type="dxa" w:w="1512"/>
            <w:vAlign w:val="top"/>
          </w:tcPr>
          <w:p>
            <w:pPr>
              <w:spacing w:after="40" w:before="0" w:line="259" w:lineRule="auto"/>
            </w:pPr>
            <w:r>
              <w:rPr>
                <w:rFonts w:ascii="Calibri" w:hAnsi="Calibri"/>
                <w:b w:val="0"/>
                <w:i w:val="0"/>
                <w:color w:val="212121"/>
                <w:sz w:val="19"/>
              </w:rPr>
              <w:t>Binge drinking with immobility/dehydration</w:t>
            </w:r>
          </w:p>
        </w:tc>
        <w:tc>
          <w:tcPr>
            <w:tcW w:type="dxa" w:w="1468"/>
            <w:vAlign w:val="top"/>
          </w:tcPr>
          <w:p>
            <w:pPr>
              <w:spacing w:after="40" w:before="0" w:line="259" w:lineRule="auto"/>
            </w:pPr>
            <w:r>
              <w:rPr>
                <w:rFonts w:ascii="Calibri" w:hAnsi="Calibri"/>
                <w:b w:val="0"/>
                <w:i w:val="0"/>
                <w:color w:val="212121"/>
                <w:sz w:val="19"/>
              </w:rPr>
              <w:t>Excess alcohol → dehydration, inactivity, unstable INR</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Wells DVT score</w:t>
            </w:r>
          </w:p>
        </w:tc>
        <w:tc>
          <w:tcPr>
            <w:tcW w:type="dxa" w:w="1655"/>
            <w:vAlign w:val="top"/>
          </w:tcPr>
          <w:p>
            <w:pPr>
              <w:spacing w:after="40" w:before="0" w:line="259" w:lineRule="auto"/>
            </w:pPr>
            <w:r>
              <w:rPr>
                <w:rFonts w:ascii="Calibri" w:hAnsi="Calibri"/>
                <w:b w:val="0"/>
                <w:i w:val="0"/>
                <w:color w:val="212121"/>
                <w:sz w:val="19"/>
              </w:rPr>
              <w:t>Symptomatic outpatients</w:t>
            </w:r>
          </w:p>
        </w:tc>
        <w:tc>
          <w:tcPr>
            <w:tcW w:type="dxa" w:w="1512"/>
            <w:vAlign w:val="top"/>
          </w:tcPr>
          <w:p>
            <w:pPr>
              <w:spacing w:after="40" w:before="0" w:line="259" w:lineRule="auto"/>
            </w:pPr>
            <w:r>
              <w:rPr>
                <w:rFonts w:ascii="Calibri" w:hAnsi="Calibri"/>
                <w:b w:val="0"/>
                <w:i w:val="0"/>
                <w:color w:val="212121"/>
                <w:sz w:val="19"/>
              </w:rPr>
              <w:t>≤ 1 (DVT unlikely)</w:t>
            </w:r>
          </w:p>
        </w:tc>
        <w:tc>
          <w:tcPr>
            <w:tcW w:type="dxa" w:w="1512"/>
            <w:vAlign w:val="top"/>
          </w:tcPr>
          <w:p>
            <w:pPr>
              <w:spacing w:after="40" w:before="0" w:line="259" w:lineRule="auto"/>
            </w:pPr>
            <w:r>
              <w:rPr>
                <w:rFonts w:ascii="Calibri" w:hAnsi="Calibri"/>
                <w:b w:val="0"/>
                <w:i w:val="0"/>
                <w:color w:val="212121"/>
                <w:sz w:val="19"/>
              </w:rPr>
              <w:t>≥ 2 (DVT likely)</w:t>
            </w:r>
          </w:p>
        </w:tc>
        <w:tc>
          <w:tcPr>
            <w:tcW w:type="dxa" w:w="1468"/>
            <w:vAlign w:val="top"/>
          </w:tcPr>
          <w:p>
            <w:pPr>
              <w:spacing w:after="60" w:line="259" w:lineRule="auto"/>
            </w:pPr>
            <w:r>
              <w:rPr>
                <w:rFonts w:ascii="Calibri" w:hAnsi="Calibri"/>
                <w:b w:val="0"/>
                <w:i w:val="0"/>
                <w:color w:val="212121"/>
                <w:sz w:val="19"/>
              </w:rPr>
              <w:t>Directs choice of D-dimer vs immediate ultrasound</w:t>
            </w:r>
          </w:p>
          <w:p>
            <w:pPr>
              <w:spacing w:after="40" w:line="252" w:lineRule="auto"/>
            </w:pPr>
            <w:hyperlink r:id="rId9">
              <w:r>
                <w:rPr>
                  <w:rFonts w:ascii="Calibri" w:hAnsi="Calibri" w:cs="Calibri"/>
                  <w:sz w:val="18"/>
                  <w:color w:val="1155CC"/>
                  <w:u w:val="single"/>
                </w:rPr>
                <w:t xml:space="preserve">https://www.ncbi.nlm.nih.gov/books/NBK507708/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D-dimer</w:t>
            </w:r>
          </w:p>
        </w:tc>
        <w:tc>
          <w:tcPr>
            <w:tcW w:type="dxa" w:w="1655"/>
            <w:vAlign w:val="top"/>
          </w:tcPr>
          <w:p>
            <w:pPr>
              <w:spacing w:after="40" w:before="0" w:line="259" w:lineRule="auto"/>
            </w:pPr>
            <w:r>
              <w:rPr>
                <w:rFonts w:ascii="Calibri" w:hAnsi="Calibri"/>
                <w:b w:val="0"/>
                <w:i w:val="0"/>
                <w:color w:val="212121"/>
                <w:sz w:val="19"/>
              </w:rPr>
              <w:t>Low/unlikely-probability patients</w:t>
            </w:r>
          </w:p>
        </w:tc>
        <w:tc>
          <w:tcPr>
            <w:tcW w:type="dxa" w:w="1512"/>
            <w:vAlign w:val="top"/>
          </w:tcPr>
          <w:p>
            <w:pPr>
              <w:spacing w:after="40" w:before="0" w:line="259" w:lineRule="auto"/>
            </w:pPr>
            <w:r>
              <w:rPr>
                <w:rFonts w:ascii="Calibri" w:hAnsi="Calibri"/>
                <w:b w:val="0"/>
                <w:i w:val="0"/>
                <w:color w:val="212121"/>
                <w:sz w:val="19"/>
              </w:rPr>
              <w:t>&lt; 500 ng/mL FEU (age-adjusted &gt; 50 y = age×10)</w:t>
            </w:r>
          </w:p>
        </w:tc>
        <w:tc>
          <w:tcPr>
            <w:tcW w:type="dxa" w:w="1512"/>
            <w:vAlign w:val="top"/>
          </w:tcPr>
          <w:p>
            <w:pPr>
              <w:spacing w:after="40" w:before="0" w:line="259" w:lineRule="auto"/>
            </w:pPr>
            <w:r>
              <w:rPr>
                <w:rFonts w:ascii="Calibri" w:hAnsi="Calibri"/>
                <w:b w:val="0"/>
                <w:i w:val="0"/>
                <w:color w:val="212121"/>
                <w:sz w:val="19"/>
              </w:rPr>
              <w:t>Elevated → imaging required</w:t>
            </w:r>
          </w:p>
        </w:tc>
        <w:tc>
          <w:tcPr>
            <w:tcW w:type="dxa" w:w="1468"/>
            <w:vAlign w:val="top"/>
          </w:tcPr>
          <w:p>
            <w:pPr>
              <w:spacing w:after="60" w:line="259" w:lineRule="auto"/>
            </w:pPr>
            <w:r>
              <w:rPr>
                <w:rFonts w:ascii="Calibri" w:hAnsi="Calibri"/>
                <w:b w:val="0"/>
                <w:i w:val="0"/>
                <w:color w:val="212121"/>
                <w:sz w:val="19"/>
              </w:rPr>
              <w:t>Highly sensitive rule-out; not specific</w:t>
            </w:r>
          </w:p>
          <w:p>
            <w:pPr>
              <w:spacing w:after="40" w:line="252" w:lineRule="auto"/>
            </w:pPr>
            <w:hyperlink r:id="rId9">
              <w:r>
                <w:rPr>
                  <w:rFonts w:ascii="Calibri" w:hAnsi="Calibri" w:cs="Calibri"/>
                  <w:sz w:val="18"/>
                  <w:color w:val="1155CC"/>
                  <w:u w:val="single"/>
                </w:rPr>
                <w:t xml:space="preserve">https://www.ncbi.nlm.nih.gov/books/NBK507708/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Calf-circumference difference</w:t>
            </w:r>
          </w:p>
        </w:tc>
        <w:tc>
          <w:tcPr>
            <w:tcW w:type="dxa" w:w="1655"/>
            <w:vAlign w:val="top"/>
          </w:tcPr>
          <w:p>
            <w:pPr>
              <w:spacing w:after="40" w:before="0" w:line="259" w:lineRule="auto"/>
            </w:pPr>
            <w:r>
              <w:rPr>
                <w:rFonts w:ascii="Calibri" w:hAnsi="Calibri"/>
                <w:b w:val="0"/>
                <w:i w:val="0"/>
                <w:color w:val="212121"/>
                <w:sz w:val="19"/>
              </w:rPr>
              <w:t>Symptomatic limb</w:t>
            </w:r>
          </w:p>
        </w:tc>
        <w:tc>
          <w:tcPr>
            <w:tcW w:type="dxa" w:w="1512"/>
            <w:vAlign w:val="top"/>
          </w:tcPr>
          <w:p>
            <w:pPr>
              <w:spacing w:after="40" w:before="0" w:line="259" w:lineRule="auto"/>
            </w:pPr>
            <w:r>
              <w:rPr>
                <w:rFonts w:ascii="Calibri" w:hAnsi="Calibri"/>
                <w:b w:val="0"/>
                <w:i w:val="0"/>
                <w:color w:val="212121"/>
                <w:sz w:val="19"/>
              </w:rPr>
              <w:t>&lt; 3 cm vs asymptomatic side</w:t>
            </w:r>
          </w:p>
        </w:tc>
        <w:tc>
          <w:tcPr>
            <w:tcW w:type="dxa" w:w="1512"/>
            <w:vAlign w:val="top"/>
          </w:tcPr>
          <w:p>
            <w:pPr>
              <w:spacing w:after="40" w:before="0" w:line="259" w:lineRule="auto"/>
            </w:pPr>
            <w:r>
              <w:rPr>
                <w:rFonts w:ascii="Calibri" w:hAnsi="Calibri"/>
                <w:b w:val="0"/>
                <w:i w:val="0"/>
                <w:color w:val="212121"/>
                <w:sz w:val="19"/>
              </w:rPr>
              <w:t>≥ 3 cm difference</w:t>
            </w:r>
          </w:p>
        </w:tc>
        <w:tc>
          <w:tcPr>
            <w:tcW w:type="dxa" w:w="1468"/>
            <w:vAlign w:val="top"/>
          </w:tcPr>
          <w:p>
            <w:pPr>
              <w:spacing w:after="60" w:line="259" w:lineRule="auto"/>
            </w:pPr>
            <w:r>
              <w:rPr>
                <w:rFonts w:ascii="Calibri" w:hAnsi="Calibri"/>
                <w:b w:val="0"/>
                <w:i w:val="0"/>
                <w:color w:val="212121"/>
                <w:sz w:val="19"/>
              </w:rPr>
              <w:t>Asymmetric swelling supports DVT</w:t>
            </w:r>
          </w:p>
          <w:p>
            <w:pPr>
              <w:spacing w:after="40" w:line="252" w:lineRule="auto"/>
            </w:pPr>
            <w:hyperlink r:id="rId9">
              <w:r>
                <w:rPr>
                  <w:rFonts w:ascii="Calibri" w:hAnsi="Calibri" w:cs="Calibri"/>
                  <w:sz w:val="18"/>
                  <w:color w:val="1155CC"/>
                  <w:u w:val="single"/>
                </w:rPr>
                <w:t xml:space="preserve">https://www.ncbi.nlm.nih.gov/books/NBK507708/</w:t>
              </w:r>
            </w:hyperlink>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Continuous sitting time</w:t>
            </w:r>
          </w:p>
        </w:tc>
        <w:tc>
          <w:tcPr>
            <w:tcW w:type="dxa" w:w="1655"/>
            <w:vAlign w:val="top"/>
          </w:tcPr>
          <w:p>
            <w:pPr>
              <w:spacing w:after="40" w:before="0" w:line="259" w:lineRule="auto"/>
            </w:pPr>
            <w:r>
              <w:rPr>
                <w:rFonts w:ascii="Calibri" w:hAnsi="Calibri"/>
                <w:b w:val="0"/>
                <w:i w:val="0"/>
                <w:color w:val="212121"/>
                <w:sz w:val="19"/>
              </w:rPr>
              <w:t>Office / travel / screen-bound</w:t>
            </w:r>
          </w:p>
        </w:tc>
        <w:tc>
          <w:tcPr>
            <w:tcW w:type="dxa" w:w="1512"/>
            <w:vAlign w:val="top"/>
          </w:tcPr>
          <w:p>
            <w:pPr>
              <w:spacing w:after="40" w:before="0" w:line="259" w:lineRule="auto"/>
            </w:pPr>
            <w:r>
              <w:rPr>
                <w:rFonts w:ascii="Calibri" w:hAnsi="Calibri"/>
                <w:b w:val="0"/>
                <w:i w:val="0"/>
                <w:color w:val="212121"/>
                <w:sz w:val="19"/>
              </w:rPr>
              <w:t>Break every 30–60 min</w:t>
            </w:r>
          </w:p>
        </w:tc>
        <w:tc>
          <w:tcPr>
            <w:tcW w:type="dxa" w:w="1512"/>
            <w:vAlign w:val="top"/>
          </w:tcPr>
          <w:p>
            <w:pPr>
              <w:spacing w:after="40" w:before="0" w:line="259" w:lineRule="auto"/>
            </w:pPr>
            <w:r>
              <w:rPr>
                <w:rFonts w:ascii="Calibri" w:hAnsi="Calibri"/>
                <w:b w:val="0"/>
                <w:i w:val="0"/>
                <w:color w:val="212121"/>
                <w:sz w:val="19"/>
              </w:rPr>
              <w:t>&gt; 4–6 h uninterrupted sitting</w:t>
            </w:r>
          </w:p>
        </w:tc>
        <w:tc>
          <w:tcPr>
            <w:tcW w:type="dxa" w:w="1468"/>
            <w:vAlign w:val="top"/>
          </w:tcPr>
          <w:p>
            <w:pPr>
              <w:spacing w:after="40" w:before="0" w:line="259" w:lineRule="auto"/>
            </w:pPr>
            <w:r>
              <w:rPr>
                <w:rFonts w:ascii="Calibri" w:hAnsi="Calibri"/>
                <w:b w:val="0"/>
                <w:i w:val="0"/>
                <w:color w:val="212121"/>
                <w:sz w:val="19"/>
              </w:rPr>
              <w:t>Dependent immobile posture promotes venous pooling</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Compression Doppler ultrasonography</w:t>
            </w:r>
          </w:p>
        </w:tc>
        <w:tc>
          <w:tcPr>
            <w:tcW w:type="dxa" w:w="892"/>
            <w:vAlign w:val="top"/>
          </w:tcPr>
          <w:p>
            <w:pPr>
              <w:spacing w:after="40" w:before="0" w:line="259" w:lineRule="auto"/>
            </w:pPr>
            <w:r>
              <w:rPr>
                <w:rFonts w:ascii="Calibri" w:hAnsi="Calibri"/>
                <w:b w:val="0"/>
                <w:i w:val="0"/>
                <w:color w:val="212121"/>
                <w:sz w:val="16"/>
              </w:rPr>
              <w:t>Venous ultrasound</w:t>
            </w:r>
          </w:p>
        </w:tc>
        <w:tc>
          <w:tcPr>
            <w:tcW w:type="dxa" w:w="950"/>
            <w:vAlign w:val="top"/>
          </w:tcPr>
          <w:p>
            <w:pPr>
              <w:spacing w:after="40" w:before="0" w:line="259" w:lineRule="auto"/>
            </w:pPr>
            <w:r>
              <w:rPr>
                <w:rFonts w:ascii="Calibri" w:hAnsi="Calibri"/>
                <w:b w:val="0"/>
                <w:i w:val="0"/>
                <w:color w:val="212121"/>
                <w:sz w:val="16"/>
              </w:rPr>
              <w:t>Fully compressible veins, normal phasic flow</w:t>
            </w:r>
          </w:p>
        </w:tc>
        <w:tc>
          <w:tcPr>
            <w:tcW w:type="dxa" w:w="950"/>
            <w:vAlign w:val="top"/>
          </w:tcPr>
          <w:p>
            <w:pPr>
              <w:spacing w:after="40" w:before="0" w:line="259" w:lineRule="auto"/>
            </w:pPr>
            <w:r>
              <w:rPr>
                <w:rFonts w:ascii="Calibri" w:hAnsi="Calibri"/>
                <w:b w:val="0"/>
                <w:i w:val="0"/>
                <w:color w:val="212121"/>
                <w:sz w:val="16"/>
              </w:rPr>
              <w:t>Non-compressible segment ± echogenic thrombus, absent flow</w:t>
            </w:r>
          </w:p>
        </w:tc>
        <w:tc>
          <w:tcPr>
            <w:tcW w:type="dxa" w:w="1036"/>
            <w:vAlign w:val="top"/>
          </w:tcPr>
          <w:p>
            <w:pPr>
              <w:spacing w:after="40" w:before="0" w:line="259" w:lineRule="auto"/>
            </w:pPr>
            <w:r>
              <w:rPr>
                <w:rFonts w:ascii="Calibri" w:hAnsi="Calibri"/>
                <w:b w:val="0"/>
                <w:i w:val="0"/>
                <w:color w:val="212121"/>
                <w:sz w:val="16"/>
              </w:rPr>
              <w:t>Confirms DVT and distinguishes proximal from distal</w:t>
            </w:r>
          </w:p>
        </w:tc>
        <w:tc>
          <w:tcPr>
            <w:tcW w:type="dxa" w:w="1036"/>
            <w:vAlign w:val="top"/>
          </w:tcPr>
          <w:p>
            <w:pPr>
              <w:spacing w:after="40" w:before="0" w:line="259" w:lineRule="auto"/>
            </w:pPr>
            <w:r>
              <w:rPr>
                <w:rFonts w:ascii="Calibri" w:hAnsi="Calibri"/>
                <w:b w:val="0"/>
                <w:i w:val="0"/>
                <w:color w:val="212121"/>
                <w:sz w:val="16"/>
              </w:rPr>
              <w:t>Suspected DVT, post-op, pregnant patients</w:t>
            </w:r>
          </w:p>
        </w:tc>
        <w:tc>
          <w:tcPr>
            <w:tcW w:type="dxa" w:w="720"/>
            <w:vAlign w:val="top"/>
          </w:tcPr>
          <w:p>
            <w:pPr>
              <w:spacing w:after="40" w:before="0" w:line="259" w:lineRule="auto"/>
            </w:pPr>
            <w:r>
              <w:rPr>
                <w:rFonts w:ascii="Calibri" w:hAnsi="Calibri"/>
                <w:b w:val="0"/>
                <w:i w:val="0"/>
                <w:color w:val="212121"/>
                <w:sz w:val="16"/>
              </w:rPr>
              <w:t>Provoking factors; Physical activity</w:t>
            </w:r>
          </w:p>
        </w:tc>
        <w:tc>
          <w:tcPr>
            <w:tcW w:type="dxa" w:w="720"/>
            <w:vAlign w:val="top"/>
          </w:tcPr>
          <w:p>
            <w:pPr>
              <w:spacing w:after="40" w:before="0" w:line="259" w:lineRule="auto"/>
            </w:pPr>
            <w:r>
              <w:rPr>
                <w:rFonts w:ascii="Calibri" w:hAnsi="Calibri"/>
                <w:b w:val="0"/>
                <w:i w:val="0"/>
                <w:color w:val="212121"/>
                <w:sz w:val="16"/>
              </w:rPr>
              <w:t>First-line / gold standard (non-invasive)</w:t>
            </w:r>
          </w:p>
        </w:tc>
        <w:tc>
          <w:tcPr>
            <w:tcW w:type="dxa" w:w="720"/>
            <w:vAlign w:val="top"/>
          </w:tcPr>
          <w:p>
            <w:pPr>
              <w:spacing w:after="40" w:before="0" w:line="259" w:lineRule="auto"/>
            </w:pPr>
            <w:r>
              <w:rPr>
                <w:rFonts w:ascii="Calibri" w:hAnsi="Calibri"/>
                <w:b w:val="0"/>
                <w:i w:val="0"/>
                <w:color w:val="212121"/>
                <w:sz w:val="16"/>
              </w:rPr>
              <w:t>Operator-dependent; may repeat in 5–7 days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D-dimer (quantitative ELISA)</w:t>
            </w:r>
          </w:p>
        </w:tc>
        <w:tc>
          <w:tcPr>
            <w:tcW w:type="dxa" w:w="892"/>
            <w:vAlign w:val="top"/>
          </w:tcPr>
          <w:p>
            <w:pPr>
              <w:spacing w:after="40" w:before="0" w:line="259" w:lineRule="auto"/>
            </w:pPr>
            <w:r>
              <w:rPr>
                <w:rFonts w:ascii="Calibri" w:hAnsi="Calibri"/>
                <w:b w:val="0"/>
                <w:i w:val="0"/>
                <w:color w:val="212121"/>
                <w:sz w:val="16"/>
              </w:rPr>
              <w:t>D-dimer assay</w:t>
            </w:r>
          </w:p>
        </w:tc>
        <w:tc>
          <w:tcPr>
            <w:tcW w:type="dxa" w:w="950"/>
            <w:vAlign w:val="top"/>
          </w:tcPr>
          <w:p>
            <w:pPr>
              <w:spacing w:after="40" w:before="0" w:line="259" w:lineRule="auto"/>
            </w:pPr>
            <w:r>
              <w:rPr>
                <w:rFonts w:ascii="Calibri" w:hAnsi="Calibri"/>
                <w:b w:val="0"/>
                <w:i w:val="0"/>
                <w:color w:val="212121"/>
                <w:sz w:val="16"/>
              </w:rPr>
              <w:t>&lt; 500 ng/mL FEU (age-adjusted)</w:t>
            </w:r>
          </w:p>
        </w:tc>
        <w:tc>
          <w:tcPr>
            <w:tcW w:type="dxa" w:w="950"/>
            <w:vAlign w:val="top"/>
          </w:tcPr>
          <w:p>
            <w:pPr>
              <w:spacing w:after="40" w:before="0" w:line="259" w:lineRule="auto"/>
            </w:pPr>
            <w:r>
              <w:rPr>
                <w:rFonts w:ascii="Calibri" w:hAnsi="Calibri"/>
                <w:b w:val="0"/>
                <w:i w:val="0"/>
                <w:color w:val="212121"/>
                <w:sz w:val="16"/>
              </w:rPr>
              <w:t>Elevated (&gt; 500 or &gt; age×10)</w:t>
            </w:r>
          </w:p>
        </w:tc>
        <w:tc>
          <w:tcPr>
            <w:tcW w:type="dxa" w:w="1036"/>
            <w:vAlign w:val="top"/>
          </w:tcPr>
          <w:p>
            <w:pPr>
              <w:spacing w:after="40" w:before="0" w:line="259" w:lineRule="auto"/>
            </w:pPr>
            <w:r>
              <w:rPr>
                <w:rFonts w:ascii="Calibri" w:hAnsi="Calibri"/>
                <w:b w:val="0"/>
                <w:i w:val="0"/>
                <w:color w:val="212121"/>
                <w:sz w:val="16"/>
              </w:rPr>
              <w:t>High negative predictive value; normal value excludes DVT in low probability</w:t>
            </w:r>
          </w:p>
        </w:tc>
        <w:tc>
          <w:tcPr>
            <w:tcW w:type="dxa" w:w="1036"/>
            <w:vAlign w:val="top"/>
          </w:tcPr>
          <w:p>
            <w:pPr>
              <w:spacing w:after="40" w:before="0" w:line="259" w:lineRule="auto"/>
            </w:pPr>
            <w:r>
              <w:rPr>
                <w:rFonts w:ascii="Calibri" w:hAnsi="Calibri"/>
                <w:b w:val="0"/>
                <w:i w:val="0"/>
                <w:color w:val="212121"/>
                <w:sz w:val="16"/>
              </w:rPr>
              <w:t>Low pre-test probability outpatients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Rule-out screen</w:t>
            </w:r>
          </w:p>
        </w:tc>
        <w:tc>
          <w:tcPr>
            <w:tcW w:type="dxa" w:w="720"/>
            <w:vAlign w:val="top"/>
          </w:tcPr>
          <w:p>
            <w:pPr>
              <w:spacing w:after="40" w:before="0" w:line="259" w:lineRule="auto"/>
            </w:pPr>
            <w:r>
              <w:rPr>
                <w:rFonts w:ascii="Calibri" w:hAnsi="Calibri"/>
                <w:b w:val="0"/>
                <w:i w:val="0"/>
                <w:color w:val="212121"/>
                <w:sz w:val="16"/>
              </w:rPr>
              <w:t>Raised in pregnancy, cancer, infection, old age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CT / MR venography</w:t>
            </w:r>
          </w:p>
        </w:tc>
        <w:tc>
          <w:tcPr>
            <w:tcW w:type="dxa" w:w="892"/>
            <w:vAlign w:val="top"/>
          </w:tcPr>
          <w:p>
            <w:pPr>
              <w:spacing w:after="40" w:before="0" w:line="259" w:lineRule="auto"/>
            </w:pPr>
            <w:r>
              <w:rPr>
                <w:rFonts w:ascii="Calibri" w:hAnsi="Calibri"/>
                <w:b w:val="0"/>
                <w:i w:val="0"/>
                <w:color w:val="212121"/>
                <w:sz w:val="16"/>
              </w:rPr>
              <w:t>Cross-sectional venography</w:t>
            </w:r>
          </w:p>
        </w:tc>
        <w:tc>
          <w:tcPr>
            <w:tcW w:type="dxa" w:w="950"/>
            <w:vAlign w:val="top"/>
          </w:tcPr>
          <w:p>
            <w:pPr>
              <w:spacing w:after="40" w:before="0" w:line="259" w:lineRule="auto"/>
            </w:pPr>
            <w:r>
              <w:rPr>
                <w:rFonts w:ascii="Calibri" w:hAnsi="Calibri"/>
                <w:b w:val="0"/>
                <w:i w:val="0"/>
                <w:color w:val="212121"/>
                <w:sz w:val="16"/>
              </w:rPr>
              <w:t>Patent iliac/IVC and pelvic veins</w:t>
            </w:r>
          </w:p>
        </w:tc>
        <w:tc>
          <w:tcPr>
            <w:tcW w:type="dxa" w:w="950"/>
            <w:vAlign w:val="top"/>
          </w:tcPr>
          <w:p>
            <w:pPr>
              <w:spacing w:after="40" w:before="0" w:line="259" w:lineRule="auto"/>
            </w:pPr>
            <w:r>
              <w:rPr>
                <w:rFonts w:ascii="Calibri" w:hAnsi="Calibri"/>
                <w:b w:val="0"/>
                <w:i w:val="0"/>
                <w:color w:val="212121"/>
                <w:sz w:val="16"/>
              </w:rPr>
              <w:t>Filling defect / non-opacified segment</w:t>
            </w:r>
          </w:p>
        </w:tc>
        <w:tc>
          <w:tcPr>
            <w:tcW w:type="dxa" w:w="1036"/>
            <w:vAlign w:val="top"/>
          </w:tcPr>
          <w:p>
            <w:pPr>
              <w:spacing w:after="40" w:before="0" w:line="259" w:lineRule="auto"/>
            </w:pPr>
            <w:r>
              <w:rPr>
                <w:rFonts w:ascii="Calibri" w:hAnsi="Calibri"/>
                <w:b w:val="0"/>
                <w:i w:val="0"/>
                <w:color w:val="212121"/>
                <w:sz w:val="16"/>
              </w:rPr>
              <w:t>Detects iliocaval and pelvic thrombus not seen on leg ultrasound</w:t>
            </w:r>
          </w:p>
        </w:tc>
        <w:tc>
          <w:tcPr>
            <w:tcW w:type="dxa" w:w="1036"/>
            <w:vAlign w:val="top"/>
          </w:tcPr>
          <w:p>
            <w:pPr>
              <w:spacing w:after="40" w:before="0" w:line="259" w:lineRule="auto"/>
            </w:pPr>
            <w:r>
              <w:rPr>
                <w:rFonts w:ascii="Calibri" w:hAnsi="Calibri"/>
                <w:b w:val="0"/>
                <w:i w:val="0"/>
                <w:color w:val="212121"/>
                <w:sz w:val="16"/>
              </w:rPr>
              <w:t>Suspected iliofemoral/IVC or inconclusive ultrasound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Problem-solving</w:t>
            </w:r>
          </w:p>
        </w:tc>
        <w:tc>
          <w:tcPr>
            <w:tcW w:type="dxa" w:w="720"/>
            <w:vAlign w:val="top"/>
          </w:tcPr>
          <w:p>
            <w:pPr>
              <w:spacing w:after="40" w:before="0" w:line="259" w:lineRule="auto"/>
            </w:pPr>
            <w:r>
              <w:rPr>
                <w:rFonts w:ascii="Calibri" w:hAnsi="Calibri"/>
                <w:b w:val="0"/>
                <w:i w:val="0"/>
                <w:color w:val="212121"/>
                <w:sz w:val="16"/>
              </w:rPr>
              <w:t>Contrast and radiation considerations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CT pulmonary angiography</w:t>
            </w:r>
          </w:p>
        </w:tc>
        <w:tc>
          <w:tcPr>
            <w:tcW w:type="dxa" w:w="892"/>
            <w:vAlign w:val="top"/>
          </w:tcPr>
          <w:p>
            <w:pPr>
              <w:spacing w:after="40" w:before="0" w:line="259" w:lineRule="auto"/>
            </w:pPr>
            <w:r>
              <w:rPr>
                <w:rFonts w:ascii="Calibri" w:hAnsi="Calibri"/>
                <w:b w:val="0"/>
                <w:i w:val="0"/>
                <w:color w:val="212121"/>
                <w:sz w:val="16"/>
              </w:rPr>
              <w:t>CTPA</w:t>
            </w:r>
          </w:p>
        </w:tc>
        <w:tc>
          <w:tcPr>
            <w:tcW w:type="dxa" w:w="950"/>
            <w:vAlign w:val="top"/>
          </w:tcPr>
          <w:p>
            <w:pPr>
              <w:spacing w:after="40" w:before="0" w:line="259" w:lineRule="auto"/>
            </w:pPr>
            <w:r>
              <w:rPr>
                <w:rFonts w:ascii="Calibri" w:hAnsi="Calibri"/>
                <w:b w:val="0"/>
                <w:i w:val="0"/>
                <w:color w:val="212121"/>
                <w:sz w:val="16"/>
              </w:rPr>
              <w:t>No filling defect in pulmonary arteries</w:t>
            </w:r>
          </w:p>
        </w:tc>
        <w:tc>
          <w:tcPr>
            <w:tcW w:type="dxa" w:w="950"/>
            <w:vAlign w:val="top"/>
          </w:tcPr>
          <w:p>
            <w:pPr>
              <w:spacing w:after="40" w:before="0" w:line="259" w:lineRule="auto"/>
            </w:pPr>
            <w:r>
              <w:rPr>
                <w:rFonts w:ascii="Calibri" w:hAnsi="Calibri"/>
                <w:b w:val="0"/>
                <w:i w:val="0"/>
                <w:color w:val="212121"/>
                <w:sz w:val="16"/>
              </w:rPr>
              <w:t>Intraluminal filling defect</w:t>
            </w:r>
          </w:p>
        </w:tc>
        <w:tc>
          <w:tcPr>
            <w:tcW w:type="dxa" w:w="1036"/>
            <w:vAlign w:val="top"/>
          </w:tcPr>
          <w:p>
            <w:pPr>
              <w:spacing w:after="40" w:before="0" w:line="259" w:lineRule="auto"/>
            </w:pPr>
            <w:r>
              <w:rPr>
                <w:rFonts w:ascii="Calibri" w:hAnsi="Calibri"/>
                <w:b w:val="0"/>
                <w:i w:val="0"/>
                <w:color w:val="212121"/>
                <w:sz w:val="16"/>
              </w:rPr>
              <w:t>Diagnoses concurrent pulmonary embolism</w:t>
            </w:r>
          </w:p>
        </w:tc>
        <w:tc>
          <w:tcPr>
            <w:tcW w:type="dxa" w:w="1036"/>
            <w:vAlign w:val="top"/>
          </w:tcPr>
          <w:p>
            <w:pPr>
              <w:spacing w:after="40" w:before="0" w:line="259" w:lineRule="auto"/>
            </w:pPr>
            <w:r>
              <w:rPr>
                <w:rFonts w:ascii="Calibri" w:hAnsi="Calibri"/>
                <w:b w:val="0"/>
                <w:i w:val="0"/>
                <w:color w:val="212121"/>
                <w:sz w:val="16"/>
              </w:rPr>
              <w:t>DVT with dyspnoea, chest pain or syncope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for PE</w:t>
            </w:r>
          </w:p>
        </w:tc>
        <w:tc>
          <w:tcPr>
            <w:tcW w:type="dxa" w:w="720"/>
            <w:vAlign w:val="top"/>
          </w:tcPr>
          <w:p>
            <w:pPr>
              <w:spacing w:after="40" w:before="0" w:line="259" w:lineRule="auto"/>
            </w:pPr>
            <w:r>
              <w:rPr>
                <w:rFonts w:ascii="Calibri" w:hAnsi="Calibri"/>
                <w:b w:val="0"/>
                <w:i w:val="0"/>
                <w:color w:val="212121"/>
                <w:sz w:val="16"/>
              </w:rPr>
              <w:t>For suspected embolism — a medical emergency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Complete blood count &amp; platelets</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Platelets 150–410 ×10⁹/L</w:t>
            </w:r>
          </w:p>
        </w:tc>
        <w:tc>
          <w:tcPr>
            <w:tcW w:type="dxa" w:w="950"/>
            <w:vAlign w:val="top"/>
          </w:tcPr>
          <w:p>
            <w:pPr>
              <w:spacing w:after="40" w:before="0" w:line="259" w:lineRule="auto"/>
            </w:pPr>
            <w:r>
              <w:rPr>
                <w:rFonts w:ascii="Calibri" w:hAnsi="Calibri"/>
                <w:b w:val="0"/>
                <w:i w:val="0"/>
                <w:color w:val="212121"/>
                <w:sz w:val="16"/>
              </w:rPr>
              <w:t>Thrombocytopenia (baseline or heparin-induced)</w:t>
            </w:r>
          </w:p>
        </w:tc>
        <w:tc>
          <w:tcPr>
            <w:tcW w:type="dxa" w:w="1036"/>
            <w:vAlign w:val="top"/>
          </w:tcPr>
          <w:p>
            <w:pPr>
              <w:spacing w:after="40" w:before="0" w:line="259" w:lineRule="auto"/>
            </w:pPr>
            <w:r>
              <w:rPr>
                <w:rFonts w:ascii="Calibri" w:hAnsi="Calibri"/>
                <w:b w:val="0"/>
                <w:i w:val="0"/>
                <w:color w:val="212121"/>
                <w:sz w:val="16"/>
              </w:rPr>
              <w:t>Baseline before anticoagulation; monitors for HIT</w:t>
            </w:r>
          </w:p>
        </w:tc>
        <w:tc>
          <w:tcPr>
            <w:tcW w:type="dxa" w:w="1036"/>
            <w:vAlign w:val="top"/>
          </w:tcPr>
          <w:p>
            <w:pPr>
              <w:spacing w:after="40" w:before="0" w:line="259" w:lineRule="auto"/>
            </w:pPr>
            <w:r>
              <w:rPr>
                <w:rFonts w:ascii="Calibri" w:hAnsi="Calibri"/>
                <w:b w:val="0"/>
                <w:i w:val="0"/>
                <w:color w:val="212121"/>
                <w:sz w:val="16"/>
              </w:rPr>
              <w:t>All patients started on heparin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Safety monitoring</w:t>
            </w:r>
          </w:p>
        </w:tc>
        <w:tc>
          <w:tcPr>
            <w:tcW w:type="dxa" w:w="720"/>
            <w:vAlign w:val="top"/>
          </w:tcPr>
          <w:p>
            <w:pPr>
              <w:spacing w:after="40" w:before="0" w:line="259" w:lineRule="auto"/>
            </w:pPr>
            <w:r>
              <w:rPr>
                <w:rFonts w:ascii="Calibri" w:hAnsi="Calibri"/>
                <w:b w:val="0"/>
                <w:i w:val="0"/>
                <w:color w:val="212121"/>
                <w:sz w:val="16"/>
              </w:rPr>
              <w:t>Falling platelets on heparin → suspect HIT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Coagulation</w:t>
            </w:r>
          </w:p>
        </w:tc>
        <w:tc>
          <w:tcPr>
            <w:tcW w:type="dxa" w:w="1036"/>
            <w:vAlign w:val="top"/>
          </w:tcPr>
          <w:p>
            <w:pPr>
              <w:spacing w:after="40" w:before="0" w:line="259" w:lineRule="auto"/>
            </w:pPr>
            <w:r>
              <w:rPr>
                <w:rFonts w:ascii="Calibri" w:hAnsi="Calibri"/>
                <w:b w:val="0"/>
                <w:i w:val="0"/>
                <w:color w:val="212121"/>
                <w:sz w:val="16"/>
              </w:rPr>
              <w:t>PT/INR &amp; aPTT</w:t>
            </w:r>
          </w:p>
        </w:tc>
        <w:tc>
          <w:tcPr>
            <w:tcW w:type="dxa" w:w="892"/>
            <w:vAlign w:val="top"/>
          </w:tcPr>
          <w:p>
            <w:pPr>
              <w:spacing w:after="40" w:before="0" w:line="259" w:lineRule="auto"/>
            </w:pPr>
            <w:r>
              <w:rPr>
                <w:rFonts w:ascii="Calibri" w:hAnsi="Calibri"/>
                <w:b w:val="0"/>
                <w:i w:val="0"/>
                <w:color w:val="212121"/>
                <w:sz w:val="16"/>
              </w:rPr>
              <w:t>Coagulation profile</w:t>
            </w:r>
          </w:p>
        </w:tc>
        <w:tc>
          <w:tcPr>
            <w:tcW w:type="dxa" w:w="950"/>
            <w:vAlign w:val="top"/>
          </w:tcPr>
          <w:p>
            <w:pPr>
              <w:spacing w:after="40" w:before="0" w:line="259" w:lineRule="auto"/>
            </w:pPr>
            <w:r>
              <w:rPr>
                <w:rFonts w:ascii="Calibri" w:hAnsi="Calibri"/>
                <w:b w:val="0"/>
                <w:i w:val="0"/>
                <w:color w:val="212121"/>
                <w:sz w:val="16"/>
              </w:rPr>
              <w:t>INR ~1.0; aPTT normal</w:t>
            </w:r>
          </w:p>
        </w:tc>
        <w:tc>
          <w:tcPr>
            <w:tcW w:type="dxa" w:w="950"/>
            <w:vAlign w:val="top"/>
          </w:tcPr>
          <w:p>
            <w:pPr>
              <w:spacing w:after="40" w:before="0" w:line="259" w:lineRule="auto"/>
            </w:pPr>
            <w:r>
              <w:rPr>
                <w:rFonts w:ascii="Calibri" w:hAnsi="Calibri"/>
                <w:b w:val="0"/>
                <w:i w:val="0"/>
                <w:color w:val="212121"/>
                <w:sz w:val="16"/>
              </w:rPr>
              <w:t>Prolonged / supratherapeutic</w:t>
            </w:r>
          </w:p>
        </w:tc>
        <w:tc>
          <w:tcPr>
            <w:tcW w:type="dxa" w:w="1036"/>
            <w:vAlign w:val="top"/>
          </w:tcPr>
          <w:p>
            <w:pPr>
              <w:spacing w:after="40" w:before="0" w:line="259" w:lineRule="auto"/>
            </w:pPr>
            <w:r>
              <w:rPr>
                <w:rFonts w:ascii="Calibri" w:hAnsi="Calibri"/>
                <w:b w:val="0"/>
                <w:i w:val="0"/>
                <w:color w:val="212121"/>
                <w:sz w:val="16"/>
              </w:rPr>
              <w:t>Baseline and monitoring of warfarin / heparin therapy</w:t>
            </w:r>
          </w:p>
        </w:tc>
        <w:tc>
          <w:tcPr>
            <w:tcW w:type="dxa" w:w="1036"/>
            <w:vAlign w:val="top"/>
          </w:tcPr>
          <w:p>
            <w:pPr>
              <w:spacing w:after="40" w:before="0" w:line="259" w:lineRule="auto"/>
            </w:pPr>
            <w:r>
              <w:rPr>
                <w:rFonts w:ascii="Calibri" w:hAnsi="Calibri"/>
                <w:b w:val="0"/>
                <w:i w:val="0"/>
                <w:color w:val="212121"/>
                <w:sz w:val="16"/>
              </w:rPr>
              <w:t>Patients on anticoagulation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Treatment monitoring</w:t>
            </w:r>
          </w:p>
        </w:tc>
        <w:tc>
          <w:tcPr>
            <w:tcW w:type="dxa" w:w="720"/>
            <w:vAlign w:val="top"/>
          </w:tcPr>
          <w:p>
            <w:pPr>
              <w:spacing w:after="40" w:before="0" w:line="259" w:lineRule="auto"/>
            </w:pPr>
            <w:r>
              <w:rPr>
                <w:rFonts w:ascii="Calibri" w:hAnsi="Calibri"/>
                <w:b w:val="0"/>
                <w:i w:val="0"/>
                <w:color w:val="212121"/>
                <w:sz w:val="16"/>
              </w:rPr>
              <w:t>DOACs need less routine monitoring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Renal &amp; liver function</w:t>
            </w:r>
          </w:p>
        </w:tc>
        <w:tc>
          <w:tcPr>
            <w:tcW w:type="dxa" w:w="892"/>
            <w:vAlign w:val="top"/>
          </w:tcPr>
          <w:p>
            <w:pPr>
              <w:spacing w:after="40" w:before="0" w:line="259" w:lineRule="auto"/>
            </w:pPr>
            <w:r>
              <w:rPr>
                <w:rFonts w:ascii="Calibri" w:hAnsi="Calibri"/>
                <w:b w:val="0"/>
                <w:i w:val="0"/>
                <w:color w:val="212121"/>
                <w:sz w:val="16"/>
              </w:rPr>
              <w:t>RFT / LFT</w:t>
            </w:r>
          </w:p>
        </w:tc>
        <w:tc>
          <w:tcPr>
            <w:tcW w:type="dxa" w:w="950"/>
            <w:vAlign w:val="top"/>
          </w:tcPr>
          <w:p>
            <w:pPr>
              <w:spacing w:after="40" w:before="0" w:line="259" w:lineRule="auto"/>
            </w:pPr>
            <w:r>
              <w:rPr>
                <w:rFonts w:ascii="Calibri" w:hAnsi="Calibri"/>
                <w:b w:val="0"/>
                <w:i w:val="0"/>
                <w:color w:val="212121"/>
                <w:sz w:val="16"/>
              </w:rPr>
              <w:t>Normal creatinine / eGFR</w:t>
            </w:r>
          </w:p>
        </w:tc>
        <w:tc>
          <w:tcPr>
            <w:tcW w:type="dxa" w:w="950"/>
            <w:vAlign w:val="top"/>
          </w:tcPr>
          <w:p>
            <w:pPr>
              <w:spacing w:after="40" w:before="0" w:line="259" w:lineRule="auto"/>
            </w:pPr>
            <w:r>
              <w:rPr>
                <w:rFonts w:ascii="Calibri" w:hAnsi="Calibri"/>
                <w:b w:val="0"/>
                <w:i w:val="0"/>
                <w:color w:val="212121"/>
                <w:sz w:val="16"/>
              </w:rPr>
              <w:t>Reduced eGFR / deranged LFT</w:t>
            </w:r>
          </w:p>
        </w:tc>
        <w:tc>
          <w:tcPr>
            <w:tcW w:type="dxa" w:w="1036"/>
            <w:vAlign w:val="top"/>
          </w:tcPr>
          <w:p>
            <w:pPr>
              <w:spacing w:after="40" w:before="0" w:line="259" w:lineRule="auto"/>
            </w:pPr>
            <w:r>
              <w:rPr>
                <w:rFonts w:ascii="Calibri" w:hAnsi="Calibri"/>
                <w:b w:val="0"/>
                <w:i w:val="0"/>
                <w:color w:val="212121"/>
                <w:sz w:val="16"/>
              </w:rPr>
              <w:t>Guides LMWH and DOAC choice and dosing</w:t>
            </w:r>
          </w:p>
        </w:tc>
        <w:tc>
          <w:tcPr>
            <w:tcW w:type="dxa" w:w="1036"/>
            <w:vAlign w:val="top"/>
          </w:tcPr>
          <w:p>
            <w:pPr>
              <w:spacing w:after="40" w:before="0" w:line="259" w:lineRule="auto"/>
            </w:pPr>
            <w:r>
              <w:rPr>
                <w:rFonts w:ascii="Calibri" w:hAnsi="Calibri"/>
                <w:b w:val="0"/>
                <w:i w:val="0"/>
                <w:color w:val="212121"/>
                <w:sz w:val="16"/>
              </w:rPr>
              <w:t>Elderly, CKD, cancer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Dosing safety</w:t>
            </w:r>
          </w:p>
        </w:tc>
        <w:tc>
          <w:tcPr>
            <w:tcW w:type="dxa" w:w="720"/>
            <w:vAlign w:val="top"/>
          </w:tcPr>
          <w:p>
            <w:pPr>
              <w:spacing w:after="40" w:before="0" w:line="259" w:lineRule="auto"/>
            </w:pPr>
            <w:r>
              <w:rPr>
                <w:rFonts w:ascii="Calibri" w:hAnsi="Calibri"/>
                <w:b w:val="0"/>
                <w:i w:val="0"/>
                <w:color w:val="212121"/>
                <w:sz w:val="16"/>
              </w:rPr>
              <w:t>Dose-adjust or avoid DOACs in severe renal impairment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Thrombophilia &amp; antiphospholipid panel</w:t>
            </w:r>
          </w:p>
        </w:tc>
        <w:tc>
          <w:tcPr>
            <w:tcW w:type="dxa" w:w="892"/>
            <w:vAlign w:val="top"/>
          </w:tcPr>
          <w:p>
            <w:pPr>
              <w:spacing w:after="40" w:before="0" w:line="259" w:lineRule="auto"/>
            </w:pPr>
            <w:r>
              <w:rPr>
                <w:rFonts w:ascii="Calibri" w:hAnsi="Calibri"/>
                <w:b w:val="0"/>
                <w:i w:val="0"/>
                <w:color w:val="212121"/>
                <w:sz w:val="16"/>
              </w:rPr>
              <w:t>Thrombophilia screen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Factor V Leiden, prothrombin G20210A, protein C/S or antithrombin deficiency, lupus anticoagulant / antiphospholipid positive</w:t>
            </w:r>
          </w:p>
        </w:tc>
        <w:tc>
          <w:tcPr>
            <w:tcW w:type="dxa" w:w="1036"/>
            <w:vAlign w:val="top"/>
          </w:tcPr>
          <w:p>
            <w:pPr>
              <w:spacing w:after="40" w:before="0" w:line="259" w:lineRule="auto"/>
            </w:pPr>
            <w:r>
              <w:rPr>
                <w:rFonts w:ascii="Calibri" w:hAnsi="Calibri"/>
                <w:b w:val="0"/>
                <w:i w:val="0"/>
                <w:color w:val="212121"/>
                <w:sz w:val="16"/>
              </w:rPr>
              <w:t>Explains unprovoked, recurrent or young-onset DVT and informs duration</w:t>
            </w:r>
          </w:p>
        </w:tc>
        <w:tc>
          <w:tcPr>
            <w:tcW w:type="dxa" w:w="1036"/>
            <w:vAlign w:val="top"/>
          </w:tcPr>
          <w:p>
            <w:pPr>
              <w:spacing w:after="40" w:before="0" w:line="259" w:lineRule="auto"/>
            </w:pPr>
            <w:r>
              <w:rPr>
                <w:rFonts w:ascii="Calibri" w:hAnsi="Calibri"/>
                <w:b w:val="0"/>
                <w:i w:val="0"/>
                <w:color w:val="212121"/>
                <w:sz w:val="16"/>
              </w:rPr>
              <w:t>Unprovoked, age &lt; 45, recurrent, strong family history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Test off anticoagulation and outside the acute phase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Unilateral leg pain, swelling, warmth, redness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Cardinal features of DVT</w:t>
            </w:r>
          </w:p>
        </w:tc>
        <w:tc>
          <w:tcPr>
            <w:tcW w:type="dxa" w:w="1036"/>
            <w:vAlign w:val="top"/>
          </w:tcPr>
          <w:p>
            <w:pPr>
              <w:spacing w:after="40" w:before="0" w:line="259" w:lineRule="auto"/>
            </w:pPr>
            <w:r>
              <w:rPr>
                <w:rFonts w:ascii="Calibri" w:hAnsi="Calibri"/>
                <w:b w:val="0"/>
                <w:i w:val="0"/>
                <w:color w:val="212121"/>
                <w:sz w:val="16"/>
              </w:rPr>
              <w:t>Symptomatic limb, post-op, travellers</w:t>
            </w:r>
          </w:p>
        </w:tc>
        <w:tc>
          <w:tcPr>
            <w:tcW w:type="dxa" w:w="720"/>
            <w:vAlign w:val="top"/>
          </w:tcPr>
          <w:p>
            <w:pPr>
              <w:spacing w:after="40" w:before="0" w:line="259" w:lineRule="auto"/>
            </w:pPr>
            <w:r>
              <w:rPr>
                <w:rFonts w:ascii="Calibri" w:hAnsi="Calibri"/>
                <w:b w:val="0"/>
                <w:i w:val="0"/>
                <w:color w:val="212121"/>
                <w:sz w:val="16"/>
              </w:rPr>
              <w:t>Provoking factors;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About half of DVTs are asymptomatic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 provoker history</w:t>
            </w:r>
          </w:p>
        </w:tc>
        <w:tc>
          <w:tcPr>
            <w:tcW w:type="dxa" w:w="979"/>
            <w:vAlign w:val="top"/>
          </w:tcPr>
          <w:p>
            <w:pPr>
              <w:spacing w:after="40" w:before="0" w:line="259" w:lineRule="auto"/>
            </w:pPr>
            <w:r>
              <w:rPr>
                <w:rFonts w:ascii="Calibri" w:hAnsi="Calibri"/>
                <w:b w:val="0"/>
                <w:i w:val="0"/>
                <w:color w:val="212121"/>
                <w:sz w:val="16"/>
              </w:rPr>
              <w:t>Recent surgery, immobilisation, long travel, cancer, pregnancy, oestrogen, prior VTE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Establishes provoked vs unprovoked and informs anticoagulation duration</w:t>
            </w:r>
          </w:p>
        </w:tc>
        <w:tc>
          <w:tcPr>
            <w:tcW w:type="dxa" w:w="1036"/>
            <w:vAlign w:val="top"/>
          </w:tcPr>
          <w:p>
            <w:pPr>
              <w:spacing w:after="40" w:before="0" w:line="259" w:lineRule="auto"/>
            </w:pPr>
            <w:r>
              <w:rPr>
                <w:rFonts w:ascii="Calibri" w:hAnsi="Calibri"/>
                <w:b w:val="0"/>
                <w:i w:val="0"/>
                <w:color w:val="212121"/>
                <w:sz w:val="16"/>
              </w:rPr>
              <w:t>All suspected DVT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Distinguish transient from persistent provokers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First-degree relatives with VTE / thrombophilia</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affected first-degree relative</w:t>
            </w:r>
          </w:p>
        </w:tc>
        <w:tc>
          <w:tcPr>
            <w:tcW w:type="dxa" w:w="1036"/>
            <w:vAlign w:val="top"/>
          </w:tcPr>
          <w:p>
            <w:pPr>
              <w:spacing w:after="40" w:before="0" w:line="259" w:lineRule="auto"/>
            </w:pPr>
            <w:r>
              <w:rPr>
                <w:rFonts w:ascii="Calibri" w:hAnsi="Calibri"/>
                <w:b w:val="0"/>
                <w:i w:val="0"/>
                <w:color w:val="212121"/>
                <w:sz w:val="16"/>
              </w:rPr>
              <w:t>Suggests inherited thrombophilia</w:t>
            </w:r>
          </w:p>
        </w:tc>
        <w:tc>
          <w:tcPr>
            <w:tcW w:type="dxa" w:w="1036"/>
            <w:vAlign w:val="top"/>
          </w:tcPr>
          <w:p>
            <w:pPr>
              <w:spacing w:after="40" w:before="0" w:line="259" w:lineRule="auto"/>
            </w:pPr>
            <w:r>
              <w:rPr>
                <w:rFonts w:ascii="Calibri" w:hAnsi="Calibri"/>
                <w:b w:val="0"/>
                <w:i w:val="0"/>
                <w:color w:val="212121"/>
                <w:sz w:val="16"/>
              </w:rPr>
              <w:t>Young, recurrent or unprovoked DVT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at onset in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Limb inspection &amp; measurement</w:t>
            </w:r>
          </w:p>
        </w:tc>
        <w:tc>
          <w:tcPr>
            <w:tcW w:type="dxa" w:w="979"/>
            <w:vAlign w:val="top"/>
          </w:tcPr>
          <w:p>
            <w:pPr>
              <w:spacing w:after="40" w:before="0" w:line="259" w:lineRule="auto"/>
            </w:pPr>
            <w:r>
              <w:rPr>
                <w:rFonts w:ascii="Calibri" w:hAnsi="Calibri"/>
                <w:b w:val="0"/>
                <w:i w:val="0"/>
                <w:color w:val="212121"/>
                <w:sz w:val="16"/>
              </w:rPr>
              <w:t>Unilateral pitting oedema, calf circumference ≥ 3 cm larger, erythema, dilated superficial veins</w:t>
            </w:r>
          </w:p>
        </w:tc>
        <w:tc>
          <w:tcPr>
            <w:tcW w:type="dxa" w:w="950"/>
            <w:vAlign w:val="top"/>
          </w:tcPr>
          <w:p>
            <w:pPr>
              <w:spacing w:after="40" w:before="0" w:line="259" w:lineRule="auto"/>
            </w:pPr>
            <w:r>
              <w:rPr>
                <w:rFonts w:ascii="Calibri" w:hAnsi="Calibri"/>
                <w:b w:val="0"/>
                <w:i w:val="0"/>
                <w:color w:val="212121"/>
                <w:sz w:val="16"/>
              </w:rPr>
              <w:t>Symmetric limbs</w:t>
            </w:r>
          </w:p>
        </w:tc>
        <w:tc>
          <w:tcPr>
            <w:tcW w:type="dxa" w:w="950"/>
            <w:vAlign w:val="top"/>
          </w:tcPr>
          <w:p>
            <w:pPr>
              <w:spacing w:after="40" w:before="0" w:line="259" w:lineRule="auto"/>
            </w:pPr>
            <w:r>
              <w:rPr>
                <w:rFonts w:ascii="Calibri" w:hAnsi="Calibri"/>
                <w:b w:val="0"/>
                <w:i w:val="0"/>
                <w:color w:val="212121"/>
                <w:sz w:val="16"/>
              </w:rPr>
              <w:t>Asymmetry / swelling present</w:t>
            </w:r>
          </w:p>
        </w:tc>
        <w:tc>
          <w:tcPr>
            <w:tcW w:type="dxa" w:w="1036"/>
            <w:vAlign w:val="top"/>
          </w:tcPr>
          <w:p>
            <w:pPr>
              <w:spacing w:after="40" w:before="0" w:line="259" w:lineRule="auto"/>
            </w:pPr>
            <w:r>
              <w:rPr>
                <w:rFonts w:ascii="Calibri" w:hAnsi="Calibri"/>
                <w:b w:val="0"/>
                <w:i w:val="0"/>
                <w:color w:val="212121"/>
                <w:sz w:val="16"/>
              </w:rPr>
              <w:t>Objective signs supporting DVT</w:t>
            </w:r>
          </w:p>
        </w:tc>
        <w:tc>
          <w:tcPr>
            <w:tcW w:type="dxa" w:w="1036"/>
            <w:vAlign w:val="top"/>
          </w:tcPr>
          <w:p>
            <w:pPr>
              <w:spacing w:after="40" w:before="0" w:line="259" w:lineRule="auto"/>
            </w:pPr>
            <w:r>
              <w:rPr>
                <w:rFonts w:ascii="Calibri" w:hAnsi="Calibri"/>
                <w:b w:val="0"/>
                <w:i w:val="0"/>
                <w:color w:val="212121"/>
                <w:sz w:val="16"/>
              </w:rPr>
              <w:t>Symptomatic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adjunct</w:t>
            </w:r>
          </w:p>
        </w:tc>
        <w:tc>
          <w:tcPr>
            <w:tcW w:type="dxa" w:w="720"/>
            <w:vAlign w:val="top"/>
          </w:tcPr>
          <w:p>
            <w:pPr>
              <w:spacing w:after="40" w:before="0" w:line="259" w:lineRule="auto"/>
            </w:pPr>
            <w:r>
              <w:rPr>
                <w:rFonts w:ascii="Calibri" w:hAnsi="Calibri"/>
                <w:b w:val="0"/>
                <w:i w:val="0"/>
                <w:color w:val="212121"/>
                <w:sz w:val="16"/>
              </w:rPr>
              <w:t>Measure 10 cm below tibial tuberosity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Palpation</w:t>
            </w:r>
          </w:p>
        </w:tc>
        <w:tc>
          <w:tcPr>
            <w:tcW w:type="dxa" w:w="979"/>
            <w:vAlign w:val="top"/>
          </w:tcPr>
          <w:p>
            <w:pPr>
              <w:spacing w:after="40" w:before="0" w:line="259" w:lineRule="auto"/>
            </w:pPr>
            <w:r>
              <w:rPr>
                <w:rFonts w:ascii="Calibri" w:hAnsi="Calibri"/>
                <w:b w:val="0"/>
                <w:i w:val="0"/>
                <w:color w:val="212121"/>
                <w:sz w:val="16"/>
              </w:rPr>
              <w:t>Deep-vein tenderness, palpable cord, warmth</w:t>
            </w:r>
          </w:p>
        </w:tc>
        <w:tc>
          <w:tcPr>
            <w:tcW w:type="dxa" w:w="950"/>
            <w:vAlign w:val="top"/>
          </w:tcPr>
          <w:p>
            <w:pPr>
              <w:spacing w:after="40" w:before="0" w:line="259" w:lineRule="auto"/>
            </w:pPr>
            <w:r>
              <w:rPr>
                <w:rFonts w:ascii="Calibri" w:hAnsi="Calibri"/>
                <w:b w:val="0"/>
                <w:i w:val="0"/>
                <w:color w:val="212121"/>
                <w:sz w:val="16"/>
              </w:rPr>
              <w:t>Non-tender soft calf</w:t>
            </w:r>
          </w:p>
        </w:tc>
        <w:tc>
          <w:tcPr>
            <w:tcW w:type="dxa" w:w="950"/>
            <w:vAlign w:val="top"/>
          </w:tcPr>
          <w:p>
            <w:pPr>
              <w:spacing w:after="40" w:before="0" w:line="259" w:lineRule="auto"/>
            </w:pPr>
            <w:r>
              <w:rPr>
                <w:rFonts w:ascii="Calibri" w:hAnsi="Calibri"/>
                <w:b w:val="0"/>
                <w:i w:val="0"/>
                <w:color w:val="212121"/>
                <w:sz w:val="16"/>
              </w:rPr>
              <w:t>Tenderness / cord / warmth</w:t>
            </w:r>
          </w:p>
        </w:tc>
        <w:tc>
          <w:tcPr>
            <w:tcW w:type="dxa" w:w="1036"/>
            <w:vAlign w:val="top"/>
          </w:tcPr>
          <w:p>
            <w:pPr>
              <w:spacing w:after="40" w:before="0" w:line="259" w:lineRule="auto"/>
            </w:pPr>
            <w:r>
              <w:rPr>
                <w:rFonts w:ascii="Calibri" w:hAnsi="Calibri"/>
                <w:b w:val="0"/>
                <w:i w:val="0"/>
                <w:color w:val="212121"/>
                <w:sz w:val="16"/>
              </w:rPr>
              <w:t>Localises the thrombosed segment</w:t>
            </w:r>
          </w:p>
        </w:tc>
        <w:tc>
          <w:tcPr>
            <w:tcW w:type="dxa" w:w="1036"/>
            <w:vAlign w:val="top"/>
          </w:tcPr>
          <w:p>
            <w:pPr>
              <w:spacing w:after="40" w:before="0" w:line="259" w:lineRule="auto"/>
            </w:pPr>
            <w:r>
              <w:rPr>
                <w:rFonts w:ascii="Calibri" w:hAnsi="Calibri"/>
                <w:b w:val="0"/>
                <w:i w:val="0"/>
                <w:color w:val="212121"/>
                <w:sz w:val="16"/>
              </w:rPr>
              <w:t>Symptomatic limb</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Homan's sign is insensitive and nonspecific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Pre-test probability (Wells)</w:t>
            </w:r>
          </w:p>
        </w:tc>
        <w:tc>
          <w:tcPr>
            <w:tcW w:type="dxa" w:w="979"/>
            <w:vAlign w:val="top"/>
          </w:tcPr>
          <w:p>
            <w:pPr>
              <w:spacing w:after="40" w:before="0" w:line="259" w:lineRule="auto"/>
            </w:pPr>
            <w:r>
              <w:rPr>
                <w:rFonts w:ascii="Calibri" w:hAnsi="Calibri"/>
                <w:b w:val="0"/>
                <w:i w:val="0"/>
                <w:color w:val="212121"/>
                <w:sz w:val="16"/>
              </w:rPr>
              <w:t>Wells DVT score</w:t>
            </w:r>
          </w:p>
        </w:tc>
        <w:tc>
          <w:tcPr>
            <w:tcW w:type="dxa" w:w="950"/>
            <w:vAlign w:val="top"/>
          </w:tcPr>
          <w:p>
            <w:pPr>
              <w:spacing w:after="40" w:before="0" w:line="259" w:lineRule="auto"/>
            </w:pPr>
            <w:r>
              <w:rPr>
                <w:rFonts w:ascii="Calibri" w:hAnsi="Calibri"/>
                <w:b w:val="0"/>
                <w:i w:val="0"/>
                <w:color w:val="212121"/>
                <w:sz w:val="16"/>
              </w:rPr>
              <w:t>≤ 1 (unlikely)</w:t>
            </w:r>
          </w:p>
        </w:tc>
        <w:tc>
          <w:tcPr>
            <w:tcW w:type="dxa" w:w="950"/>
            <w:vAlign w:val="top"/>
          </w:tcPr>
          <w:p>
            <w:pPr>
              <w:spacing w:after="40" w:before="0" w:line="259" w:lineRule="auto"/>
            </w:pPr>
            <w:r>
              <w:rPr>
                <w:rFonts w:ascii="Calibri" w:hAnsi="Calibri"/>
                <w:b w:val="0"/>
                <w:i w:val="0"/>
                <w:color w:val="212121"/>
                <w:sz w:val="16"/>
              </w:rPr>
              <w:t>≥ 2 (likely)</w:t>
            </w:r>
          </w:p>
        </w:tc>
        <w:tc>
          <w:tcPr>
            <w:tcW w:type="dxa" w:w="1036"/>
            <w:vAlign w:val="top"/>
          </w:tcPr>
          <w:p>
            <w:pPr>
              <w:spacing w:after="40" w:before="0" w:line="259" w:lineRule="auto"/>
            </w:pPr>
            <w:r>
              <w:rPr>
                <w:rFonts w:ascii="Calibri" w:hAnsi="Calibri"/>
                <w:b w:val="0"/>
                <w:i w:val="0"/>
                <w:color w:val="212121"/>
                <w:sz w:val="16"/>
              </w:rPr>
              <w:t>Stratifies to D-dimer vs ultrasound</w:t>
            </w:r>
          </w:p>
        </w:tc>
        <w:tc>
          <w:tcPr>
            <w:tcW w:type="dxa" w:w="1036"/>
            <w:vAlign w:val="top"/>
          </w:tcPr>
          <w:p>
            <w:pPr>
              <w:spacing w:after="40" w:before="0" w:line="259" w:lineRule="auto"/>
            </w:pPr>
            <w:r>
              <w:rPr>
                <w:rFonts w:ascii="Calibri" w:hAnsi="Calibri"/>
                <w:b w:val="0"/>
                <w:i w:val="0"/>
                <w:color w:val="212121"/>
                <w:sz w:val="16"/>
              </w:rPr>
              <w:t>Symptomatic outpatients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Decision tool</w:t>
            </w:r>
          </w:p>
        </w:tc>
        <w:tc>
          <w:tcPr>
            <w:tcW w:type="dxa" w:w="720"/>
            <w:vAlign w:val="top"/>
          </w:tcPr>
          <w:p>
            <w:pPr>
              <w:spacing w:after="40" w:before="0" w:line="259" w:lineRule="auto"/>
            </w:pPr>
            <w:r>
              <w:rPr>
                <w:rFonts w:ascii="Calibri" w:hAnsi="Calibri"/>
                <w:b w:val="0"/>
                <w:i w:val="0"/>
                <w:color w:val="212121"/>
                <w:sz w:val="16"/>
              </w:rPr>
              <w:t>Combine with D-dimer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Signs of pulmonary embolism</w:t>
            </w:r>
          </w:p>
        </w:tc>
        <w:tc>
          <w:tcPr>
            <w:tcW w:type="dxa" w:w="979"/>
            <w:vAlign w:val="top"/>
          </w:tcPr>
          <w:p>
            <w:pPr>
              <w:spacing w:after="40" w:before="0" w:line="259" w:lineRule="auto"/>
            </w:pPr>
            <w:r>
              <w:rPr>
                <w:rFonts w:ascii="Calibri" w:hAnsi="Calibri"/>
                <w:b w:val="0"/>
                <w:i w:val="0"/>
                <w:color w:val="212121"/>
                <w:sz w:val="16"/>
              </w:rPr>
              <w:t>Dyspnoea, tachycardia, pleuritic pain, hypotension, syncope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Detects life-threatening PE complicating DVT</w:t>
            </w:r>
          </w:p>
        </w:tc>
        <w:tc>
          <w:tcPr>
            <w:tcW w:type="dxa" w:w="1036"/>
            <w:vAlign w:val="top"/>
          </w:tcPr>
          <w:p>
            <w:pPr>
              <w:spacing w:after="40" w:before="0" w:line="259" w:lineRule="auto"/>
            </w:pPr>
            <w:r>
              <w:rPr>
                <w:rFonts w:ascii="Calibri" w:hAnsi="Calibri"/>
                <w:b w:val="0"/>
                <w:i w:val="0"/>
                <w:color w:val="212121"/>
                <w:sz w:val="16"/>
              </w:rPr>
              <w:t>DVT with chest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w:t>
            </w:r>
          </w:p>
        </w:tc>
        <w:tc>
          <w:tcPr>
            <w:tcW w:type="dxa" w:w="720"/>
            <w:vAlign w:val="top"/>
          </w:tcPr>
          <w:p>
            <w:pPr>
              <w:spacing w:after="40" w:before="0" w:line="259" w:lineRule="auto"/>
            </w:pPr>
            <w:r>
              <w:rPr>
                <w:rFonts w:ascii="Calibri" w:hAnsi="Calibri"/>
                <w:b w:val="0"/>
                <w:i w:val="0"/>
                <w:color w:val="212121"/>
                <w:sz w:val="16"/>
              </w:rPr>
              <w:t>Urgent CTPA / echocardiography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Severe-limb assessment</w:t>
            </w:r>
          </w:p>
        </w:tc>
        <w:tc>
          <w:tcPr>
            <w:tcW w:type="dxa" w:w="979"/>
            <w:vAlign w:val="top"/>
          </w:tcPr>
          <w:p>
            <w:pPr>
              <w:spacing w:after="40" w:before="0" w:line="259" w:lineRule="auto"/>
            </w:pPr>
            <w:r>
              <w:rPr>
                <w:rFonts w:ascii="Calibri" w:hAnsi="Calibri"/>
                <w:b w:val="0"/>
                <w:i w:val="0"/>
                <w:color w:val="212121"/>
                <w:sz w:val="16"/>
              </w:rPr>
              <w:t>Massive swelling, cyanosis, pain (phlegmasia cerulea dolens)</w:t>
            </w:r>
          </w:p>
        </w:tc>
        <w:tc>
          <w:tcPr>
            <w:tcW w:type="dxa" w:w="950"/>
            <w:vAlign w:val="top"/>
          </w:tcPr>
          <w:p>
            <w:pPr>
              <w:spacing w:after="40" w:before="0" w:line="259" w:lineRule="auto"/>
            </w:pPr>
            <w:r>
              <w:rPr>
                <w:rFonts w:ascii="Calibri" w:hAnsi="Calibri"/>
                <w:b w:val="0"/>
                <w:i w:val="0"/>
                <w:color w:val="212121"/>
                <w:sz w:val="16"/>
              </w:rPr>
              <w:t>Warm, well-perfused limb</w:t>
            </w:r>
          </w:p>
        </w:tc>
        <w:tc>
          <w:tcPr>
            <w:tcW w:type="dxa" w:w="950"/>
            <w:vAlign w:val="top"/>
          </w:tcPr>
          <w:p>
            <w:pPr>
              <w:spacing w:after="40" w:before="0" w:line="259" w:lineRule="auto"/>
            </w:pPr>
            <w:r>
              <w:rPr>
                <w:rFonts w:ascii="Calibri" w:hAnsi="Calibri"/>
                <w:b w:val="0"/>
                <w:i w:val="0"/>
                <w:color w:val="212121"/>
                <w:sz w:val="16"/>
              </w:rPr>
              <w:t>Cyanotic, tensely swollen limb</w:t>
            </w:r>
          </w:p>
        </w:tc>
        <w:tc>
          <w:tcPr>
            <w:tcW w:type="dxa" w:w="1036"/>
            <w:vAlign w:val="top"/>
          </w:tcPr>
          <w:p>
            <w:pPr>
              <w:spacing w:after="40" w:before="0" w:line="259" w:lineRule="auto"/>
            </w:pPr>
            <w:r>
              <w:rPr>
                <w:rFonts w:ascii="Calibri" w:hAnsi="Calibri"/>
                <w:b w:val="0"/>
                <w:i w:val="0"/>
                <w:color w:val="212121"/>
                <w:sz w:val="16"/>
              </w:rPr>
              <w:t>Identifies limb-threatening iliofemoral DVT</w:t>
            </w:r>
          </w:p>
        </w:tc>
        <w:tc>
          <w:tcPr>
            <w:tcW w:type="dxa" w:w="1036"/>
            <w:vAlign w:val="top"/>
          </w:tcPr>
          <w:p>
            <w:pPr>
              <w:spacing w:after="40" w:before="0" w:line="259" w:lineRule="auto"/>
            </w:pPr>
            <w:r>
              <w:rPr>
                <w:rFonts w:ascii="Calibri" w:hAnsi="Calibri"/>
                <w:b w:val="0"/>
                <w:i w:val="0"/>
                <w:color w:val="212121"/>
                <w:sz w:val="16"/>
              </w:rPr>
              <w:t>Extensive proximal DVT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Emergency</w:t>
            </w:r>
          </w:p>
        </w:tc>
        <w:tc>
          <w:tcPr>
            <w:tcW w:type="dxa" w:w="720"/>
            <w:vAlign w:val="top"/>
          </w:tcPr>
          <w:p>
            <w:pPr>
              <w:spacing w:after="40" w:before="0" w:line="259" w:lineRule="auto"/>
            </w:pPr>
            <w:r>
              <w:rPr>
                <w:rFonts w:ascii="Calibri" w:hAnsi="Calibri"/>
                <w:b w:val="0"/>
                <w:i w:val="0"/>
                <w:color w:val="212121"/>
                <w:sz w:val="16"/>
              </w:rPr>
              <w:t>Needs urgent vascular intervention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Unilateral leg swelling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Oedema of one calf or the whole leg from obstructed venous outflow; often the first and most reliable symptom.</w:t>
            </w:r>
          </w:p>
        </w:tc>
      </w:tr>
      <w:tr>
        <w:trPr>
          <w:cantSplit/>
        </w:trPr>
        <w:tc>
          <w:tcPr>
            <w:tcW w:type="dxa" w:w="2304"/>
            <w:vAlign w:val="top"/>
          </w:tcPr>
          <w:p>
            <w:pPr>
              <w:spacing w:after="40" w:before="0" w:line="259" w:lineRule="auto"/>
            </w:pPr>
            <w:r>
              <w:rPr>
                <w:rFonts w:ascii="Calibri" w:hAnsi="Calibri"/>
                <w:b/>
                <w:i w:val="0"/>
                <w:color w:val="212121"/>
                <w:sz w:val="19"/>
              </w:rPr>
              <w:t>Calf or leg pain / tenderness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or cramping pain, often worse on standing or walking, localised along the deep veins.</w:t>
            </w:r>
          </w:p>
        </w:tc>
      </w:tr>
      <w:tr>
        <w:trPr>
          <w:cantSplit/>
        </w:trPr>
        <w:tc>
          <w:tcPr>
            <w:tcW w:type="dxa" w:w="2304"/>
            <w:vAlign w:val="top"/>
          </w:tcPr>
          <w:p>
            <w:pPr>
              <w:spacing w:after="40" w:before="0" w:line="259" w:lineRule="auto"/>
            </w:pPr>
            <w:r>
              <w:rPr>
                <w:rFonts w:ascii="Calibri" w:hAnsi="Calibri"/>
                <w:b/>
                <w:i w:val="0"/>
                <w:color w:val="212121"/>
                <w:sz w:val="19"/>
              </w:rPr>
              <w:t>Warmth over the affected area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Increased skin temperature from inflammation around the thrombus.</w:t>
            </w:r>
          </w:p>
        </w:tc>
      </w:tr>
      <w:tr>
        <w:trPr>
          <w:cantSplit/>
        </w:trPr>
        <w:tc>
          <w:tcPr>
            <w:tcW w:type="dxa" w:w="2304"/>
            <w:vAlign w:val="top"/>
          </w:tcPr>
          <w:p>
            <w:pPr>
              <w:spacing w:after="40" w:before="0" w:line="259" w:lineRule="auto"/>
            </w:pPr>
            <w:r>
              <w:rPr>
                <w:rFonts w:ascii="Calibri" w:hAnsi="Calibri"/>
                <w:b/>
                <w:i w:val="0"/>
                <w:color w:val="212121"/>
                <w:sz w:val="19"/>
              </w:rPr>
              <w:t>Redness or bluish discoloration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Erythematous or cyanotic skin over the affected venous segment.</w:t>
            </w:r>
          </w:p>
        </w:tc>
      </w:tr>
      <w:tr>
        <w:trPr>
          <w:cantSplit/>
        </w:trPr>
        <w:tc>
          <w:tcPr>
            <w:tcW w:type="dxa" w:w="2304"/>
            <w:vAlign w:val="top"/>
          </w:tcPr>
          <w:p>
            <w:pPr>
              <w:spacing w:after="40" w:before="0" w:line="259" w:lineRule="auto"/>
            </w:pPr>
            <w:r>
              <w:rPr>
                <w:rFonts w:ascii="Calibri" w:hAnsi="Calibri"/>
                <w:b/>
                <w:i w:val="0"/>
                <w:color w:val="212121"/>
                <w:sz w:val="19"/>
              </w:rPr>
              <w:t>Leg heaviness or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Sensation of fullness or heaviness from venous congestion.</w:t>
            </w:r>
          </w:p>
        </w:tc>
      </w:tr>
      <w:tr>
        <w:trPr>
          <w:cantSplit/>
        </w:trPr>
        <w:tc>
          <w:tcPr>
            <w:tcW w:type="dxa" w:w="2304"/>
            <w:vAlign w:val="top"/>
          </w:tcPr>
          <w:p>
            <w:pPr>
              <w:spacing w:after="40" w:before="0" w:line="259" w:lineRule="auto"/>
            </w:pPr>
            <w:r>
              <w:rPr>
                <w:rFonts w:ascii="Calibri" w:hAnsi="Calibri"/>
                <w:b/>
                <w:i w:val="0"/>
                <w:color w:val="212121"/>
                <w:sz w:val="19"/>
              </w:rPr>
              <w:t>Asymptomatic / silent DVT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About half of DVTs cause no symptoms and are detected only on screening or when pulmonary embolism occurs.</w:t>
            </w:r>
          </w:p>
        </w:tc>
      </w:tr>
      <w:tr>
        <w:trPr>
          <w:cantSplit/>
        </w:trPr>
        <w:tc>
          <w:tcPr>
            <w:tcW w:type="dxa" w:w="2304"/>
            <w:vAlign w:val="top"/>
          </w:tcPr>
          <w:p>
            <w:pPr>
              <w:spacing w:after="40" w:before="0" w:line="259" w:lineRule="auto"/>
            </w:pPr>
            <w:r>
              <w:rPr>
                <w:rFonts w:ascii="Calibri" w:hAnsi="Calibri"/>
                <w:b/>
                <w:i w:val="0"/>
                <w:color w:val="212121"/>
                <w:sz w:val="19"/>
              </w:rPr>
              <w:t>Dilated superficial (collateral) veins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Prominent surface veins as blood diverts around the blocked deep vein.</w:t>
            </w:r>
          </w:p>
        </w:tc>
      </w:tr>
      <w:tr>
        <w:trPr>
          <w:cantSplit/>
        </w:trPr>
        <w:tc>
          <w:tcPr>
            <w:tcW w:type="dxa" w:w="2304"/>
            <w:vAlign w:val="top"/>
          </w:tcPr>
          <w:p>
            <w:pPr>
              <w:spacing w:after="40" w:before="0" w:line="259" w:lineRule="auto"/>
            </w:pPr>
            <w:r>
              <w:rPr>
                <w:rFonts w:ascii="Calibri" w:hAnsi="Calibri"/>
                <w:b/>
                <w:i w:val="0"/>
                <w:color w:val="212121"/>
                <w:sz w:val="19"/>
              </w:rPr>
              <w:t>Calf pain on foot dorsiflexion (Homan's)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Historically described discomfort on passive dorsiflexion; insensitive and nonspecific.</w:t>
            </w:r>
          </w:p>
        </w:tc>
      </w:tr>
      <w:tr>
        <w:trPr>
          <w:cantSplit/>
        </w:trPr>
        <w:tc>
          <w:tcPr>
            <w:tcW w:type="dxa" w:w="2304"/>
            <w:vAlign w:val="top"/>
          </w:tcPr>
          <w:p>
            <w:pPr>
              <w:spacing w:after="40" w:before="0" w:line="259" w:lineRule="auto"/>
            </w:pPr>
            <w:r>
              <w:rPr>
                <w:rFonts w:ascii="Calibri" w:hAnsi="Calibri"/>
                <w:b/>
                <w:i w:val="0"/>
                <w:color w:val="212121"/>
                <w:sz w:val="19"/>
              </w:rPr>
              <w:t>Whole-limb massive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Extensive iliofemoral thrombosis causing swelling of the entire limb.</w:t>
            </w:r>
          </w:p>
        </w:tc>
      </w:tr>
      <w:tr>
        <w:trPr>
          <w:cantSplit/>
        </w:trPr>
        <w:tc>
          <w:tcPr>
            <w:tcW w:type="dxa" w:w="2304"/>
            <w:vAlign w:val="top"/>
          </w:tcPr>
          <w:p>
            <w:pPr>
              <w:spacing w:after="40" w:before="0" w:line="259" w:lineRule="auto"/>
            </w:pPr>
            <w:r>
              <w:rPr>
                <w:rFonts w:ascii="Calibri" w:hAnsi="Calibri"/>
                <w:b/>
                <w:i w:val="0"/>
                <w:color w:val="212121"/>
                <w:sz w:val="19"/>
              </w:rPr>
              <w:t>Low-grade fever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Mild pyrexia from thrombus-associated inflammation.</w:t>
            </w:r>
          </w:p>
        </w:tc>
      </w:tr>
      <w:tr>
        <w:trPr>
          <w:cantSplit/>
        </w:trPr>
        <w:tc>
          <w:tcPr>
            <w:tcW w:type="dxa" w:w="2304"/>
            <w:vAlign w:val="top"/>
          </w:tcPr>
          <w:p>
            <w:pPr>
              <w:spacing w:after="40" w:before="0" w:line="259" w:lineRule="auto"/>
            </w:pPr>
            <w:r>
              <w:rPr>
                <w:rFonts w:ascii="Calibri" w:hAnsi="Calibri"/>
                <w:b/>
                <w:i w:val="0"/>
                <w:color w:val="212121"/>
                <w:sz w:val="19"/>
              </w:rPr>
              <w:t>Sudden breathlessness, chest pain or coughing blood</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pulmonary embolism from an embolised clot — a medical emergency; a quarter of PE cases present with sudden death.</w:t>
            </w:r>
          </w:p>
        </w:tc>
      </w:tr>
      <w:tr>
        <w:trPr>
          <w:cantSplit/>
        </w:trPr>
        <w:tc>
          <w:tcPr>
            <w:tcW w:type="dxa" w:w="2304"/>
            <w:vAlign w:val="top"/>
          </w:tcPr>
          <w:p>
            <w:pPr>
              <w:spacing w:after="40" w:before="0" w:line="259" w:lineRule="auto"/>
            </w:pPr>
            <w:r>
              <w:rPr>
                <w:rFonts w:ascii="Calibri" w:hAnsi="Calibri"/>
                <w:b/>
                <w:i w:val="0"/>
                <w:color w:val="212121"/>
                <w:sz w:val="19"/>
              </w:rPr>
              <w:t>Painful blue swollen leg (phlegmasia cerulea dolens)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Limb-threatening massive proximal thrombosis with cyanosis and compromised perfusion.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Unilateral pitting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Asymmetric swelling; calf circumference ≥ 3 cm greater than the other side supports DVT.</w:t>
            </w:r>
          </w:p>
        </w:tc>
      </w:tr>
      <w:tr>
        <w:trPr>
          <w:cantSplit/>
        </w:trPr>
        <w:tc>
          <w:tcPr>
            <w:tcW w:type="dxa" w:w="3456"/>
            <w:vAlign w:val="top"/>
          </w:tcPr>
          <w:p>
            <w:pPr>
              <w:spacing w:after="40" w:before="0" w:line="259" w:lineRule="auto"/>
            </w:pPr>
            <w:r>
              <w:rPr>
                <w:rFonts w:ascii="Calibri" w:hAnsi="Calibri"/>
                <w:b/>
                <w:i w:val="0"/>
                <w:color w:val="212121"/>
                <w:sz w:val="19"/>
              </w:rPr>
              <w:t>Warmth and erythema of the limb</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 warmth and redness over the affected segment.</w:t>
            </w:r>
          </w:p>
        </w:tc>
      </w:tr>
      <w:tr>
        <w:trPr>
          <w:cantSplit/>
        </w:trPr>
        <w:tc>
          <w:tcPr>
            <w:tcW w:type="dxa" w:w="3456"/>
            <w:vAlign w:val="top"/>
          </w:tcPr>
          <w:p>
            <w:pPr>
              <w:spacing w:after="40" w:before="0" w:line="259" w:lineRule="auto"/>
            </w:pPr>
            <w:r>
              <w:rPr>
                <w:rFonts w:ascii="Calibri" w:hAnsi="Calibri"/>
                <w:b/>
                <w:i w:val="0"/>
                <w:color w:val="212121"/>
                <w:sz w:val="19"/>
              </w:rPr>
              <w:t>Tenderness along the deep venous tract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Pain on palpation of the calf or thigh over the deep veins.</w:t>
            </w:r>
          </w:p>
        </w:tc>
      </w:tr>
      <w:tr>
        <w:trPr>
          <w:cantSplit/>
        </w:trPr>
        <w:tc>
          <w:tcPr>
            <w:tcW w:type="dxa" w:w="3456"/>
            <w:vAlign w:val="top"/>
          </w:tcPr>
          <w:p>
            <w:pPr>
              <w:spacing w:after="40" w:before="0" w:line="259" w:lineRule="auto"/>
            </w:pPr>
            <w:r>
              <w:rPr>
                <w:rFonts w:ascii="Calibri" w:hAnsi="Calibri"/>
                <w:b/>
                <w:i w:val="0"/>
                <w:color w:val="212121"/>
                <w:sz w:val="19"/>
              </w:rPr>
              <w:t>Palpable venous cord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firm, thrombosed vein may be felt as a tender cord.</w:t>
            </w:r>
          </w:p>
        </w:tc>
      </w:tr>
      <w:tr>
        <w:trPr>
          <w:cantSplit/>
        </w:trPr>
        <w:tc>
          <w:tcPr>
            <w:tcW w:type="dxa" w:w="3456"/>
            <w:vAlign w:val="top"/>
          </w:tcPr>
          <w:p>
            <w:pPr>
              <w:spacing w:after="40" w:before="0" w:line="259" w:lineRule="auto"/>
            </w:pPr>
            <w:r>
              <w:rPr>
                <w:rFonts w:ascii="Calibri" w:hAnsi="Calibri"/>
                <w:b/>
                <w:i w:val="0"/>
                <w:color w:val="212121"/>
                <w:sz w:val="19"/>
              </w:rPr>
              <w:t>Dilated superficial collateral veins (Pratt's sign)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Distended non-varicose surface veins from diverted flow.</w:t>
            </w:r>
          </w:p>
        </w:tc>
      </w:tr>
      <w:tr>
        <w:trPr>
          <w:cantSplit/>
        </w:trPr>
        <w:tc>
          <w:tcPr>
            <w:tcW w:type="dxa" w:w="3456"/>
            <w:vAlign w:val="top"/>
          </w:tcPr>
          <w:p>
            <w:pPr>
              <w:spacing w:after="40" w:before="0" w:line="259" w:lineRule="auto"/>
            </w:pPr>
            <w:r>
              <w:rPr>
                <w:rFonts w:ascii="Calibri" w:hAnsi="Calibri"/>
                <w:b/>
                <w:i w:val="0"/>
                <w:color w:val="212121"/>
                <w:sz w:val="19"/>
              </w:rPr>
              <w:t>Positive Homan's sign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Calf pain on passive dorsiflexion; nonspecific and not diagnostic.</w:t>
            </w:r>
          </w:p>
        </w:tc>
      </w:tr>
      <w:tr>
        <w:trPr>
          <w:cantSplit/>
        </w:trPr>
        <w:tc>
          <w:tcPr>
            <w:tcW w:type="dxa" w:w="3456"/>
            <w:vAlign w:val="top"/>
          </w:tcPr>
          <w:p>
            <w:pPr>
              <w:spacing w:after="40" w:before="0" w:line="259" w:lineRule="auto"/>
            </w:pPr>
            <w:r>
              <w:rPr>
                <w:rFonts w:ascii="Calibri" w:hAnsi="Calibri"/>
                <w:b/>
                <w:i w:val="0"/>
                <w:color w:val="212121"/>
                <w:sz w:val="19"/>
              </w:rPr>
              <w:t>Cyanotic discoloration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Bluish limb from severe venous congestion.</w:t>
            </w:r>
          </w:p>
        </w:tc>
      </w:tr>
      <w:tr>
        <w:trPr>
          <w:cantSplit/>
        </w:trPr>
        <w:tc>
          <w:tcPr>
            <w:tcW w:type="dxa" w:w="3456"/>
            <w:vAlign w:val="top"/>
          </w:tcPr>
          <w:p>
            <w:pPr>
              <w:spacing w:after="40" w:before="0" w:line="259" w:lineRule="auto"/>
            </w:pPr>
            <w:r>
              <w:rPr>
                <w:rFonts w:ascii="Calibri" w:hAnsi="Calibri"/>
                <w:b/>
                <w:i w:val="0"/>
                <w:color w:val="212121"/>
                <w:sz w:val="19"/>
              </w:rPr>
              <w:t>Tachypnoea / tachycardia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May indicate an associated pulmonary embolism.</w:t>
            </w:r>
          </w:p>
        </w:tc>
      </w:tr>
      <w:tr>
        <w:trPr>
          <w:cantSplit/>
        </w:trPr>
        <w:tc>
          <w:tcPr>
            <w:tcW w:type="dxa" w:w="3456"/>
            <w:vAlign w:val="top"/>
          </w:tcPr>
          <w:p>
            <w:pPr>
              <w:spacing w:after="40" w:before="0" w:line="259" w:lineRule="auto"/>
            </w:pPr>
            <w:r>
              <w:rPr>
                <w:rFonts w:ascii="Calibri" w:hAnsi="Calibri"/>
                <w:b/>
                <w:i w:val="0"/>
                <w:color w:val="212121"/>
                <w:sz w:val="19"/>
              </w:rPr>
              <w:t>Low-grade fever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Mild temperature elevation accompanying the thrombotic inflammation.</w:t>
            </w:r>
          </w:p>
        </w:tc>
      </w:tr>
      <w:tr>
        <w:trPr>
          <w:cantSplit/>
        </w:trPr>
        <w:tc>
          <w:tcPr>
            <w:tcW w:type="dxa" w:w="3456"/>
            <w:vAlign w:val="top"/>
          </w:tcPr>
          <w:p>
            <w:pPr>
              <w:spacing w:after="40" w:before="0" w:line="259" w:lineRule="auto"/>
            </w:pPr>
            <w:r>
              <w:rPr>
                <w:rFonts w:ascii="Calibri" w:hAnsi="Calibri"/>
                <w:b/>
                <w:i w:val="0"/>
                <w:color w:val="212121"/>
                <w:sz w:val="19"/>
              </w:rPr>
              <w:t>Phlegmasia cerulea dolens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Massive swelling, cyanosis and pain from complete iliofemoral occlusion — a surgical emergency.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embolism (potentially fatal)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Proximal clot propagation / thrombus extension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Phlegmasia cerulea dolens and venous gangrene (rare, limb-threatening)</w:t>
            </w:r>
          </w:p>
        </w:tc>
        <w:tc>
          <w:tcPr>
            <w:tcW w:type="dxa" w:w="2980"/>
            <w:vAlign w:val="top"/>
          </w:tcPr>
          <w:p>
            <w:pPr>
              <w:spacing w:after="40" w:before="0" w:line="259" w:lineRule="auto"/>
            </w:pPr>
            <w:r>
              <w:rPr>
                <w:rFonts w:ascii="Calibri" w:hAnsi="Calibri"/>
                <w:b w:val="0"/>
                <w:i w:val="0"/>
                <w:color w:val="212121"/>
                <w:sz w:val="19"/>
              </w:rPr>
              <w:t>Direct, acute consequences of the thrombus embolising or extending</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Post-thrombotic syndrome (chronic pain, swelling, skin changes)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venous thromboembolism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venous insufficiency and venous stasis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Bleeding from anticoagulation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Heparin-induced thrombocytopenia (HIT)</w:t>
            </w:r>
          </w:p>
        </w:tc>
        <w:tc>
          <w:tcPr>
            <w:tcW w:type="dxa" w:w="2980"/>
            <w:vAlign w:val="top"/>
          </w:tcPr>
          <w:p>
            <w:pPr>
              <w:spacing w:after="40" w:before="0" w:line="259" w:lineRule="auto"/>
            </w:pPr>
            <w:r>
              <w:rPr>
                <w:rFonts w:ascii="Calibri" w:hAnsi="Calibri"/>
                <w:b w:val="0"/>
                <w:i w:val="0"/>
                <w:color w:val="212121"/>
                <w:sz w:val="19"/>
              </w:rPr>
              <w:t>Longer-term sequelae of venous damage and of the treatment required</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thromboembolic pulmonary hypertension (CTEPH)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Disabling post-thrombotic limb with chronic ulceration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Limb loss / amputation (venous gangrene)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Right-heart failure from CTEPH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massive or recurrent embolism</w:t>
            </w:r>
          </w:p>
        </w:tc>
        <w:tc>
          <w:tcPr>
            <w:tcW w:type="dxa" w:w="2980"/>
            <w:vAlign w:val="top"/>
          </w:tcPr>
          <w:p>
            <w:pPr>
              <w:spacing w:after="40" w:before="0" w:line="259" w:lineRule="auto"/>
            </w:pPr>
            <w:r>
              <w:rPr>
                <w:rFonts w:ascii="Calibri" w:hAnsi="Calibri"/>
                <w:b w:val="0"/>
                <w:i w:val="0"/>
                <w:color w:val="212121"/>
                <w:sz w:val="19"/>
              </w:rPr>
              <w:t>Irreversible, disabling outcomes of longstanding or severe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Pulmonary embolism (PE)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DVT and PE form the venous thromboembolism continuum; an embolised proximal clot can be rapidly fatal, and about a quarter of PE patients present with sudden death.</w:t>
            </w:r>
          </w:p>
          <w:p>
            <w:pPr>
              <w:spacing w:after="40" w:before="0" w:line="259" w:lineRule="auto"/>
            </w:pPr>
            <w:r>
              <w:rPr>
                <w:rFonts w:ascii="Calibri" w:hAnsi="Calibri"/>
                <w:b/>
                <w:i w:val="0"/>
                <w:color w:val="212121"/>
                <w:sz w:val="19"/>
              </w:rPr>
              <w:t>~25%</w:t>
            </w:r>
          </w:p>
        </w:tc>
      </w:tr>
      <w:tr>
        <w:trPr>
          <w:cantSplit/>
        </w:trPr>
        <w:tc>
          <w:tcPr>
            <w:tcW w:type="dxa" w:w="2232"/>
            <w:vAlign w:val="top"/>
          </w:tcPr>
          <w:p>
            <w:pPr>
              <w:spacing w:after="40" w:before="0" w:line="259" w:lineRule="auto"/>
            </w:pPr>
            <w:r>
              <w:rPr>
                <w:rFonts w:ascii="Calibri" w:hAnsi="Calibri"/>
                <w:b/>
                <w:i w:val="0"/>
                <w:color w:val="212121"/>
                <w:sz w:val="19"/>
              </w:rPr>
              <w:t>Active cancer / malignancy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Cancer produces a pro-coagulant, inflammatory state; DVT may be the presenting sign of occult malignancy and alters anticoagulant choice (often LMWH/DOAC) and duration.</w:t>
            </w:r>
          </w:p>
          <w:p>
            <w:pPr>
              <w:spacing w:after="40" w:before="0" w:line="259" w:lineRule="auto"/>
            </w:pPr>
            <w:r>
              <w:rPr>
                <w:rFonts w:ascii="Calibri" w:hAnsi="Calibri"/>
                <w:b/>
                <w:i w:val="0"/>
                <w:color w:val="212121"/>
                <w:sz w:val="19"/>
              </w:rPr>
              <w:t>About 1 in 5 (of VTE)</w:t>
            </w:r>
          </w:p>
        </w:tc>
      </w:tr>
      <w:tr>
        <w:trPr>
          <w:cantSplit/>
        </w:trPr>
        <w:tc>
          <w:tcPr>
            <w:tcW w:type="dxa" w:w="2232"/>
            <w:vAlign w:val="top"/>
          </w:tcPr>
          <w:p>
            <w:pPr>
              <w:spacing w:after="40" w:before="0" w:line="259" w:lineRule="auto"/>
            </w:pPr>
            <w:r>
              <w:rPr>
                <w:rFonts w:ascii="Calibri" w:hAnsi="Calibri"/>
                <w:b/>
                <w:i w:val="0"/>
                <w:color w:val="212121"/>
                <w:sz w:val="19"/>
              </w:rPr>
              <w:t>Post-thrombotic syndrome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Chronic venous hypertension after DVT causes limb pain, swelling, skin change and ulceration; risk is higher after proximal and recurrent DVT.</w:t>
            </w:r>
          </w:p>
          <w:p>
            <w:pPr>
              <w:spacing w:after="40" w:before="0" w:line="259" w:lineRule="auto"/>
            </w:pPr>
            <w:r>
              <w:rPr>
                <w:rFonts w:ascii="Calibri" w:hAnsi="Calibri"/>
                <w:b/>
                <w:i w:val="0"/>
                <w:color w:val="212121"/>
                <w:sz w:val="19"/>
              </w:rPr>
              <w:t>Up to ~43% at 2 years</w:t>
            </w:r>
          </w:p>
        </w:tc>
      </w:tr>
      <w:tr>
        <w:trPr>
          <w:cantSplit/>
        </w:trPr>
        <w:tc>
          <w:tcPr>
            <w:tcW w:type="dxa" w:w="2232"/>
            <w:vAlign w:val="top"/>
          </w:tcPr>
          <w:p>
            <w:pPr>
              <w:spacing w:after="40" w:before="0" w:line="259" w:lineRule="auto"/>
            </w:pPr>
            <w:r>
              <w:rPr>
                <w:rFonts w:ascii="Calibri" w:hAnsi="Calibri"/>
                <w:b/>
                <w:i w:val="0"/>
                <w:color w:val="212121"/>
                <w:sz w:val="19"/>
              </w:rPr>
              <w:t>Pregnancy &amp; puerperium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Physiological hypercoagulability and venous stasis raise DVT risk, greatest postpartum; anticoagulant selection must avoid teratogenic agents (use LMWH).</w:t>
            </w:r>
          </w:p>
          <w:p>
            <w:pPr>
              <w:spacing w:after="40" w:before="0" w:line="259" w:lineRule="auto"/>
            </w:pPr>
            <w:r>
              <w:rPr>
                <w:rFonts w:ascii="Calibri" w:hAnsi="Calibri"/>
                <w:b/>
                <w:i w:val="0"/>
                <w:color w:val="212121"/>
                <w:sz w:val="19"/>
              </w:rPr>
              <w:t>~5× higher risk</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Central adiposity raises venous pressure and pro-coagulant, inflammatory activity, and coexists with immobility and metabolic disease in a bidirectional risk relationship.</w:t>
            </w:r>
          </w:p>
        </w:tc>
      </w:tr>
      <w:tr>
        <w:trPr>
          <w:cantSplit/>
        </w:trPr>
        <w:tc>
          <w:tcPr>
            <w:tcW w:type="dxa" w:w="2232"/>
            <w:vAlign w:val="top"/>
          </w:tcPr>
          <w:p>
            <w:pPr>
              <w:spacing w:after="40" w:before="0" w:line="259" w:lineRule="auto"/>
            </w:pPr>
            <w:r>
              <w:rPr>
                <w:rFonts w:ascii="Calibri" w:hAnsi="Calibri"/>
                <w:b/>
                <w:i w:val="0"/>
                <w:color w:val="212121"/>
                <w:sz w:val="19"/>
              </w:rPr>
              <w:t>Inherited thrombophilia (Factor V Leiden, protein C/S, antithrombin deficiency)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Genetic hypercoagulable states predispose to DVT, particularly with an added provoker; less common in Indians but relevant in young or recurrent unprovoked disease.</w:t>
            </w:r>
          </w:p>
        </w:tc>
      </w:tr>
      <w:tr>
        <w:trPr>
          <w:cantSplit/>
        </w:trPr>
        <w:tc>
          <w:tcPr>
            <w:tcW w:type="dxa" w:w="2232"/>
            <w:vAlign w:val="top"/>
          </w:tcPr>
          <w:p>
            <w:pPr>
              <w:spacing w:after="40" w:before="0" w:line="259" w:lineRule="auto"/>
            </w:pPr>
            <w:r>
              <w:rPr>
                <w:rFonts w:ascii="Calibri" w:hAnsi="Calibri"/>
                <w:b/>
                <w:i w:val="0"/>
                <w:color w:val="212121"/>
                <w:sz w:val="19"/>
              </w:rPr>
              <w:t>Antiphospholipid syndrome (APS)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acquired autoimmune hypercoagulable state that predisposes to recurrent venous (and arterial) thrombosis and typically requires indefinite warfarin rather than DOAC.</w:t>
            </w:r>
          </w:p>
        </w:tc>
      </w:tr>
      <w:tr>
        <w:trPr>
          <w:cantSplit/>
        </w:trPr>
        <w:tc>
          <w:tcPr>
            <w:tcW w:type="dxa" w:w="2232"/>
            <w:vAlign w:val="top"/>
          </w:tcPr>
          <w:p>
            <w:pPr>
              <w:spacing w:after="40" w:before="0" w:line="259" w:lineRule="auto"/>
            </w:pPr>
            <w:r>
              <w:rPr>
                <w:rFonts w:ascii="Calibri" w:hAnsi="Calibri"/>
                <w:b/>
                <w:i w:val="0"/>
                <w:color w:val="212121"/>
                <w:sz w:val="19"/>
              </w:rPr>
              <w:t>Congestive heart failure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Low output, venous congestion and immobility promote lower-limb stasis and clotting, and complicate anticoagulation and fluid management.</w:t>
            </w:r>
          </w:p>
        </w:tc>
      </w:tr>
      <w:tr>
        <w:trPr>
          <w:cantSplit/>
        </w:trPr>
        <w:tc>
          <w:tcPr>
            <w:tcW w:type="dxa" w:w="2232"/>
            <w:vAlign w:val="top"/>
          </w:tcPr>
          <w:p>
            <w:pPr>
              <w:spacing w:after="40" w:before="0" w:line="259" w:lineRule="auto"/>
            </w:pPr>
            <w:r>
              <w:rPr>
                <w:rFonts w:ascii="Calibri" w:hAnsi="Calibri"/>
                <w:b/>
                <w:i w:val="0"/>
                <w:color w:val="212121"/>
                <w:sz w:val="19"/>
              </w:rPr>
              <w:t>Chronic venous insufficiency / varicose veins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Pre-existing venous disease predisposes to DVT, and DVT in turn damages valves to cause or worsen chronic venous insufficiency — a bidirectional relationship.</w:t>
            </w:r>
          </w:p>
        </w:tc>
      </w:tr>
      <w:tr>
        <w:trPr>
          <w:cantSplit/>
        </w:trPr>
        <w:tc>
          <w:tcPr>
            <w:tcW w:type="dxa" w:w="2232"/>
            <w:vAlign w:val="top"/>
          </w:tcPr>
          <w:p>
            <w:pPr>
              <w:spacing w:after="40" w:before="0" w:line="259" w:lineRule="auto"/>
            </w:pPr>
            <w:r>
              <w:rPr>
                <w:rFonts w:ascii="Calibri" w:hAnsi="Calibri"/>
                <w:b/>
                <w:i w:val="0"/>
                <w:color w:val="212121"/>
                <w:sz w:val="19"/>
              </w:rPr>
              <w:t>COVID-19 and severe acute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Marked inflammation and endothelial activation drive a hypercoagulable state with high VTE rates, especially in hospitalised and ICU patients.</w:t>
            </w:r>
          </w:p>
        </w:tc>
      </w:tr>
      <w:tr>
        <w:trPr>
          <w:cantSplit/>
        </w:trPr>
        <w:tc>
          <w:tcPr>
            <w:tcW w:type="dxa" w:w="2232"/>
            <w:vAlign w:val="top"/>
          </w:tcPr>
          <w:p>
            <w:pPr>
              <w:spacing w:after="40" w:before="0" w:line="259" w:lineRule="auto"/>
            </w:pPr>
            <w:r>
              <w:rPr>
                <w:rFonts w:ascii="Calibri" w:hAnsi="Calibri"/>
                <w:b/>
                <w:i w:val="0"/>
                <w:color w:val="212121"/>
                <w:sz w:val="19"/>
              </w:rPr>
              <w:t>Heparin-induced thrombocytopenia (HIT)</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paradoxical pro-thrombotic drug reaction to heparin used to treat DVT; mandates stopping heparin and switching to a non-heparin anticoagulant.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DVT warning signs — one-sided leg swelling, calf pain, warmth or discoloration — and seek prompt medical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emergency signs of pulmonary embolism (sudden breathlessness, chest pain worse on breathing, coughing blood, fainting) and get immediate help.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admitted to hospital or planning surgery, ask about your VTE risk and whether you need blood-thinner or compression-stocking prophylaxis.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 journeys longer than 4 hours, move or walk every 1–2 hours, do calf exercises, stay hydrated and avoid crossing your legs.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prescribed anticoagulants exactly as directed, never stop abruptly, and learn bleeding precautions and drug/food interactions.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should discuss the clot risk of oestrogen-containing contraceptives or HRT, especially if they smoke or have had a previous clot.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hospitalised / post-operative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Long-haul travellers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&amp; postpartum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on hormonal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anticoagulation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Mobilise as early as possible after surgery, childbirth or acute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regular calf-pump exercises (ankle flexion and extension) when confined to a bed or seat.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at work or during travel every 30–60 minutes with a short walk.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physically active lifestyle (≥ 150 minutes/week) to support venous return and a healthy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graduated compression stockings during high-risk periods when advised.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Bedridden &amp; post-op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office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hospitalised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walking early after a confirmed DVT once anticoagulation is started — bed rest is not required and does not increase embolism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prescribed graduated compression stockings to reduce leg swelling and post-thrombotic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affected leg when resting to relieve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 activity gradually as pain and swelling settle, under medical guidance.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DVT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Post-thrombotic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proximal DVT</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with a balanced, high-fibre diet to lower obesity-related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 especially in hot climates, during travel and during illness — to avoid blood concentration.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high-salt and energy-dense foods that promote obesity.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taking warfarin, keep vitamin-K-rich foods (green leafy vegetables) consistent rather than fluctuating — do not binge on or suddenly avoid them.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Warfarin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 warfarin, keep dietary vitamin K steady and review any supplements or herbal products that alter INR.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fluids to support circulation unless restricted for heart or kidney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Coordinate diet with the anticoagulation clinic to keep INR within target range.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warfarin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DVT patients with comorbidities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unbroken immobility, including very long stretches of sleep in cramped travel seating.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 long journeys, alternate rest with periodic leg movement and 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conditions that disturb sleep and reduce mobility so overall activity levels stay healthy.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Long-haul travellers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Immobilised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promotes clotting and endothelial damage and magnifies risk when combined with oestrogen contraception.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combining smoking with oestrogen-containing contraception; discuss safer alternatives with your doctor.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such as counselling, nicotine replacement or pharmacotherapy.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on oestrogen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Post-DVT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alcohol in moderation and avoid binge drinking, which causes dehydration and inactivity.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hydration if drinking, particularly during long travel.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 anticoagulants, limit alcohol because excess can raise bleeding risk and destabilise INR.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who drink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anticoagulation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depression and severe mental illness that reduce mobility and increase immobility-related clot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that some antipsychotic medicines modestly raise VTE risk; review them with your doctor.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adherence to anticoagulation and lifestyle measures through counselling where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reduced 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on antipsychotics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Post-DVT patients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07708/" TargetMode="External"/><Relationship Id="rId10" Type="http://schemas.openxmlformats.org/officeDocument/2006/relationships/hyperlink" Target="https://www.cdc.gov/blood-clots/data-research/facts-stats/index.html" TargetMode="External"/><Relationship Id="rId11" Type="http://schemas.openxmlformats.org/officeDocument/2006/relationships/hyperlink" Target="https://www.cdc.gov/blood-clots/abou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