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Pneumonia</w:t>
      </w:r>
    </w:p>
    <w:p>
      <w:pPr>
        <w:spacing w:before="0" w:after="160"/>
      </w:pPr>
      <w:r>
        <w:rPr>
          <w:rFonts w:ascii="Calibri" w:hAnsi="Calibri"/>
          <w:b/>
          <w:i w:val="0"/>
          <w:color w:val="212121"/>
          <w:sz w:val="22"/>
        </w:rPr>
        <w:t xml:space="preserve">AKA </w:t>
      </w:r>
      <w:r>
        <w:rPr>
          <w:rFonts w:ascii="Calibri" w:hAnsi="Calibri"/>
          <w:b w:val="0"/>
          <w:i w:val="0"/>
          <w:color w:val="212121"/>
          <w:sz w:val="22"/>
        </w:rPr>
        <w:t>i.e., Community-acquired pneumonia (CAP), Chest infection, Lower respiratory tract infection, Lung infection, ‘Nimonia’/‘Phephdon ka sankraman’/‘Chaati ka infection’ (lay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Pneumonia is an acute infection of the lung parenchyma — the alveoli, terminal airways and interstitium — in which the air sacs fill with inflammatory exudate, pus and fluid, impairing gas exchange and producing cough, fever and breathlessness. It is caused most commonly by bacteria (above all Streptococcus pneumoniae), and also by viruses (influenza, respiratory syncytial virus, SARS-CoV-2) and fungi. Clinically it is classified by where it was acquired — community-acquired pneumonia (CAP) being by far the commonest — and is confirmed by new consolidation or infiltrate on chest imaging together with compatible clinical features. Severity ranges from mild illness managed at home to life-threatening disease with respiratory failure, sepsis and death.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Pneumonia is one of India's largest infectious-disease burdens across the whole life course. India carries roughly 23% of the global pneumonia burden and about 36% of the WHO South-East Asia regional childhood burden; nationally it remains a leading infectious killer of young children, with close to 1 lakh (100,000) under-five deaths every year — over one-fifth of all global childhood pneumonia deaths. Community-based surveys estimate an acute respiratory infection point-prevalence of roughly 2–3% in under-five children in the preceding two weeks. In adults, community-acquired pneumonia (CAP) is a frequent cause of hospitalisation, with reported in-hospital case-fatality of about 14–30% overall and up to ~47% in severe CAP, and a strong loading toward the elderly, smokers, and people with COPD, diabetes or other comorbidities.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Pneumonia is diagnosed clinically from an acute lower-respiratory illness and is CONFIRMED, where possible, by chest imaging showing new consolidation; further investigations establish severity and cause.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symptoms — fever, cough (often productive of purulent or ‘rusty’ sputum), breathlessness and pleuritic chest pain — with at least one focal chest sign (crackles/crepitations, bronchial breathing, or dullness to percussion) on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NEW infiltrate or area of consolidation on chest radiograph — the reference standard in adults; in resource-limited or paediatric settings WHO clinical criteria (age-specific fast breathing ± lower-chest indrawing) are used without routine X-ray;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assessment of oxygenation and vital signs — respiratory rate, pulse oximetry (SpO2) and, when severe, arterial blood gases — to detect hypoxaemia and respiratory failure;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laboratory markers — raised total leucocyte count/neutrophilia and elevated C-reactive protein or procalcitonin — that support bacterial infection and track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microbiological confirmation where indicated — sputum Gram stain and culture, blood cultures, pneumococcal and Legionella urinary antigen, and respiratory viral/atypical PCR — to identify the pathogen and guide targeted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formal severity scoring — CURB-65 (or CRB-65 where blood urea is unavailable) and the Pneumonia Severity Index (PSI) in adults, and WHO danger signs in children — to decide outpatient vs inpatient vs ICU care.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Pneumonia is classified by the setting in which it is acquired, by the causative organism and pattern, and by anatomical distribution — together these guide empirical treatment and prognosis:</w:t>
      </w:r>
    </w:p>
    <w:p>
      <w:pPr>
        <w:spacing w:before="0" w:after="80"/>
      </w:pPr>
      <w:r>
        <w:rPr>
          <w:rFonts w:ascii="Calibri" w:hAnsi="Calibri"/>
          <w:b w:val="0"/>
          <w:i w:val="0"/>
          <w:color w:val="212121"/>
          <w:sz w:val="21"/>
        </w:rPr>
        <w:t>(1) Community-acquired pneumonia (CAP) — acquired outside hospital and the commonest form; typically pneumococcal but also Klebsiella, Haemophilus, Staphylococcus, atypicals and respiratory viruses. In Indian adult CAP, Streptococcus pneumoniae (~33%) and a notably high share of Klebsiella pneumoniae (~23%) predominate among isolates.</w:t>
      </w:r>
    </w:p>
    <w:p>
      <w:pPr>
        <w:spacing w:before="0" w:after="80"/>
      </w:pPr>
      <w:r>
        <w:rPr>
          <w:rFonts w:ascii="Calibri" w:hAnsi="Calibri"/>
          <w:b w:val="0"/>
          <w:i w:val="0"/>
          <w:color w:val="212121"/>
          <w:sz w:val="21"/>
        </w:rPr>
        <w:t>(2) Hospital-acquired (nosocomial) pneumonia (HAP) and ventilator-associated pneumonia (VAP) — developing ≥48 h after admission or intubation, often caused by resistant gram-negative bacilli (Pseudomonas, Klebsiella, Acinetobacter) and MRSA, and carrying higher mortality.</w:t>
      </w:r>
    </w:p>
    <w:p>
      <w:pPr>
        <w:spacing w:before="0" w:after="80"/>
      </w:pPr>
      <w:r>
        <w:rPr>
          <w:rFonts w:ascii="Calibri" w:hAnsi="Calibri"/>
          <w:b w:val="0"/>
          <w:i w:val="0"/>
          <w:color w:val="212121"/>
          <w:sz w:val="21"/>
        </w:rPr>
        <w:t>(3) Aspiration pneumonia — from inhalation of oropharyngeal or gastric contents in people with impaired swallowing or consciousness (stroke, seizures, alcohol intoxication, dysphagia, tube feeding, poor dentition), frequently involving anaerobes and dependent lung zones.</w:t>
      </w:r>
    </w:p>
    <w:p>
      <w:pPr>
        <w:spacing w:before="0" w:after="80"/>
      </w:pPr>
      <w:r>
        <w:rPr>
          <w:rFonts w:ascii="Calibri" w:hAnsi="Calibri"/>
          <w:b w:val="0"/>
          <w:i w:val="0"/>
          <w:color w:val="212121"/>
          <w:sz w:val="21"/>
        </w:rPr>
        <w:t>(4) Pneumonia in the immunocompromised — including opportunistic organisms (Pneumocystis jirovecii, fungi, cytomegalovirus, non-tuberculous mycobacteria) in HIV, malignancy, transplant recipients or those on immunosuppressive therapy.</w:t>
      </w:r>
    </w:p>
    <w:p>
      <w:pPr>
        <w:spacing w:before="0" w:after="80"/>
      </w:pPr>
      <w:r>
        <w:rPr>
          <w:rFonts w:ascii="Calibri" w:hAnsi="Calibri"/>
          <w:b w:val="0"/>
          <w:i w:val="0"/>
          <w:color w:val="212121"/>
          <w:sz w:val="21"/>
        </w:rPr>
        <w:t>(5) By causative pattern and anatomy — ‘typical’ (lobar) pneumonia with dense lobar consolidation vs ‘atypical’ pneumonia (Mycoplasma, Chlamydophila, Legionella, viruses) with diffuse/interstitial patterns; and bronchopneumonia (patchy, multifocal) vs interstitial pneumonia. In children WHO further grades ‘pneumonia’ vs ‘severe pneumonia’ (danger signs) to direct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Bacterial pathogens: Streptococcus pneumoniae is the leading cause worldwide and in India; Klebsiella pneumoniae (unusually frequent in Indian CAP), Haemophilus influenzae, Staphylococcus aureus and gram-negative bacilli also contribute, especially in the elderly and those with comorbidity.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Viral infection: Influenza, respiratory syncytial virus (RSV — the commonest viral cause in children), SARS-CoV-2, parainfluenza and adenovirus cause primary viral pneumonia and predispose to secondary bacterial pneumonia.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Atypical and opportunistic organisms: Mycoplasma pneumoniae, Chlamydophila pneumoniae and Legionella cause atypical pneumonia; Pneumocystis jirovecii, fungi and mycobacteria affect the immunocompromised.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Aspiration: Impaired consciousness or swallowing (stroke, seizures, alcohol intoxication, dysphagia, nasogastric feeding, poor dentition) lets oropharyngeal and gastric contents and anaerobes reach the lungs.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Impaired host defence: Extremes of age, malnutrition, HIV, diabetes, chronic lung/heart/kidney/liver disease, asplenia and immunosuppressive therapy reduce immunity and mucociliary clearance.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lifestyle exposures: Tobacco and bidi smoke, household biomass/solid-fuel smoke, ambient air pollution (PM2.5), overcrowding and poor ventilation damage airway defences and raise incidence — major modifiable drivers in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Under-vaccination and poor infant feeding: Lack of pneumococcal, Hib, measles and influenza vaccination, and absence of exclusive breastfeeding in infancy, leave children and high-risk adults unprotected against vaccine-preventable pneumonias.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children under 5 years</w:t>
            </w:r>
          </w:p>
        </w:tc>
        <w:tc>
          <w:tcPr>
            <w:tcW w:type="dxa" w:w="4276"/>
            <w:vAlign w:val="top"/>
          </w:tcPr>
          <w:p>
            <w:pPr>
              <w:spacing w:after="60" w:line="259" w:lineRule="auto"/>
            </w:pPr>
            <w:r>
              <w:rPr>
                <w:rFonts w:ascii="Calibri" w:hAnsi="Calibri"/>
                <w:b w:val="0"/>
                <w:i w:val="0"/>
                <w:color w:val="212121"/>
                <w:sz w:val="19"/>
              </w:rPr>
              <w:t>Immature immunity, small airways, high exposure and frequent undernutrition make under-fives the group most affected by and most likely to die from pneumonia; it is a leading infectious cause of child death in India.</w:t>
            </w:r>
          </w:p>
          <w:p>
            <w:pPr>
              <w:spacing w:after="40" w:before="60" w:line="259" w:lineRule="auto"/>
            </w:pPr>
            <w:r>
              <w:rPr>
                <w:rFonts w:ascii="Calibri" w:hAnsi="Calibri"/>
                <w:b w:val="0"/>
                <w:i w:val="0"/>
                <w:color w:val="212121"/>
                <w:sz w:val="19"/>
              </w:rPr>
              <w:t>Close to 1 lakh (~100,000) Indian children under 5 die of pneumonia each year — over one-fifth of all global childhood pneumonia deaths; girls in some northern states have ~25% higher under-five pneumonia mortality than boys.</w:t>
            </w:r>
          </w:p>
          <w:p>
            <w:pPr>
              <w:spacing w:after="40" w:line="252" w:lineRule="auto"/>
            </w:pPr>
            <w:hyperlink r:id="rId9">
              <w:r>
                <w:rPr>
                  <w:rFonts w:ascii="Calibri" w:hAnsi="Calibri" w:cs="Calibri"/>
                  <w:sz w:val="18"/>
                  <w:color w:val="1155CC"/>
                  <w:u w:val="single"/>
                </w:rPr>
                <w:t xml:space="preserve">theweek.in — why pneumonia still kills thousands of Indian children</w:t>
              </w:r>
            </w:hyperlink>
          </w:p>
          <w:p>
            <w:pPr>
              <w:spacing w:before="60" w:after="40"/>
            </w:pPr>
            <w:r>
              <w:rPr>
                <w:rFonts w:ascii="Calibri" w:hAnsi="Calibri"/>
                <w:b w:val="0"/>
                <w:i w:val="0"/>
                <w:color w:val="5A5A5A"/>
                <w:sz w:val="18"/>
              </w:rPr>
              <w:t>#pneumonia  #underfive  #childmortality  #RSV  #malnutrition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Highest adult risk. Immunosenescence, weaker cough/swallow reflexes, multimorbidity and reduced respiratory reserve raise both incidence and mortality, and blunt the classical fever/cough presentation (elderly may present only with confusion or falls).</w:t>
            </w:r>
          </w:p>
          <w:p>
            <w:pPr>
              <w:spacing w:after="40" w:before="60" w:line="259" w:lineRule="auto"/>
            </w:pPr>
            <w:r>
              <w:rPr>
                <w:rFonts w:ascii="Calibri" w:hAnsi="Calibri"/>
                <w:b w:val="0"/>
                <w:i w:val="0"/>
                <w:color w:val="212121"/>
                <w:sz w:val="19"/>
              </w:rPr>
              <w:t>Advanced age (≥50 years) was present in ~55.8% (95% CI 48.4–62.8) of Indian CAP patients in a pooled meta-analysis; case-fatality rises steeply with age.</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#elderly  #immunosenescence  #atypicalpresentation  #aspiration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Adult CAP shows a male predominance in Indian series, driven largely by far higher rates of smoking, bidi use, alcohol intake and outdoor/occupational exposures among men.</w:t>
            </w:r>
          </w:p>
          <w:p>
            <w:pPr>
              <w:spacing w:after="40" w:before="60" w:line="259" w:lineRule="auto"/>
            </w:pPr>
            <w:r>
              <w:rPr>
                <w:rFonts w:ascii="Calibri" w:hAnsi="Calibri"/>
                <w:b w:val="0"/>
                <w:i w:val="0"/>
                <w:color w:val="212121"/>
                <w:sz w:val="19"/>
              </w:rPr>
              <w:t>Around half of Indian CAP patients have a smoking history (~51.7%), a strongly male-weighted exposure that increases pneumococcal pneumonia risk and death.</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#male  #smoking  #bidi  #alcohol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Poverty concentrates pneumonia risk — crowding, poor ventilation, indoor smoke, undernutrition, incomplete vaccination and delayed care-seeking cluster together to raise both incidence and death, particularly in children.</w:t>
            </w:r>
          </w:p>
          <w:p>
            <w:pPr>
              <w:spacing w:after="40" w:before="60" w:line="259" w:lineRule="auto"/>
            </w:pPr>
            <w:r>
              <w:rPr>
                <w:rFonts w:ascii="Calibri" w:hAnsi="Calibri"/>
                <w:b w:val="0"/>
                <w:i w:val="0"/>
                <w:color w:val="212121"/>
                <w:sz w:val="19"/>
              </w:rPr>
              <w:t>Combined household exposure to biomass fuel and lack of a separate kitchen raised the odds of acute respiratory infection in Indian under-fives by ~35% (adjusted OR 1.35, 95% CI 1.21–1.51).</w:t>
            </w:r>
          </w:p>
          <w:p>
            <w:pPr>
              <w:spacing w:after="40" w:line="252" w:lineRule="auto"/>
            </w:pPr>
            <w:hyperlink r:id="rId11">
              <w:r>
                <w:rPr>
                  <w:rFonts w:ascii="Calibri" w:hAnsi="Calibri" w:cs="Calibri"/>
                  <w:sz w:val="18"/>
                  <w:color w:val="1155CC"/>
                  <w:u w:val="single"/>
                </w:rPr>
                <w:t xml:space="preserve">journals.plos.org — indoor pollution &amp; ARI in Indian under-fives (NFHS)</w:t>
              </w:r>
            </w:hyperlink>
          </w:p>
          <w:p>
            <w:pPr>
              <w:spacing w:before="60" w:after="40"/>
            </w:pPr>
            <w:r>
              <w:rPr>
                <w:rFonts w:ascii="Calibri" w:hAnsi="Calibri"/>
                <w:b w:val="0"/>
                <w:i w:val="0"/>
                <w:color w:val="5A5A5A"/>
                <w:sz w:val="18"/>
              </w:rPr>
              <w:t>#poverty  #overcrowding  #healthinequity  #delayedcare  #solidfuel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High-burden northern &amp; central states (UP, Bihar, MP)</w:t>
            </w:r>
          </w:p>
        </w:tc>
        <w:tc>
          <w:tcPr>
            <w:tcW w:type="dxa" w:w="4276"/>
            <w:vAlign w:val="top"/>
          </w:tcPr>
          <w:p>
            <w:pPr>
              <w:spacing w:after="60" w:line="259" w:lineRule="auto"/>
            </w:pPr>
            <w:r>
              <w:rPr>
                <w:rFonts w:ascii="Calibri" w:hAnsi="Calibri"/>
                <w:b w:val="0"/>
                <w:i w:val="0"/>
                <w:color w:val="212121"/>
                <w:sz w:val="19"/>
              </w:rPr>
              <w:t>States with weaker health systems, higher child undernutrition and lower/uneven pneumococcal-vaccine coverage carry the highest pneumonia mortality; the lowest vaccination rates coincide with the highest death rates.</w:t>
            </w:r>
          </w:p>
          <w:p>
            <w:pPr>
              <w:spacing w:after="40" w:before="60" w:line="259" w:lineRule="auto"/>
            </w:pPr>
            <w:r>
              <w:rPr>
                <w:rFonts w:ascii="Calibri" w:hAnsi="Calibri"/>
                <w:b w:val="0"/>
                <w:i w:val="0"/>
                <w:color w:val="212121"/>
                <w:sz w:val="19"/>
              </w:rPr>
              <w:t>Pneumococcal-conjugate-vaccine coverage remains lowest in Bihar, Madhya Pradesh and Uttar Pradesh — the very states with the highest childhood pneumonia mortality.</w:t>
            </w:r>
          </w:p>
          <w:p>
            <w:pPr>
              <w:spacing w:after="40" w:line="252" w:lineRule="auto"/>
            </w:pPr>
            <w:hyperlink r:id="rId9">
              <w:r>
                <w:rPr>
                  <w:rFonts w:ascii="Calibri" w:hAnsi="Calibri" w:cs="Calibri"/>
                  <w:sz w:val="18"/>
                  <w:color w:val="1155CC"/>
                  <w:u w:val="single"/>
                </w:rPr>
                <w:t xml:space="preserve">theweek.in — why pneumonia still kills thousands of Indian children</w:t>
              </w:r>
            </w:hyperlink>
          </w:p>
          <w:p>
            <w:pPr>
              <w:spacing w:before="60" w:after="40"/>
            </w:pPr>
            <w:r>
              <w:rPr>
                <w:rFonts w:ascii="Calibri" w:hAnsi="Calibri"/>
                <w:b w:val="0"/>
                <w:i w:val="0"/>
                <w:color w:val="5A5A5A"/>
                <w:sz w:val="18"/>
              </w:rPr>
              <w:t>#UttarPradesh  #Bihar  #regionalburden  #PCVgap  #childhealth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pollution</w:t>
            </w:r>
          </w:p>
        </w:tc>
        <w:tc>
          <w:tcPr>
            <w:tcW w:type="dxa" w:w="2160"/>
            <w:vAlign w:val="top"/>
          </w:tcPr>
          <w:p>
            <w:pPr>
              <w:spacing w:after="40" w:before="0" w:line="259" w:lineRule="auto"/>
            </w:pPr>
            <w:r>
              <w:rPr>
                <w:rFonts w:ascii="Calibri" w:hAnsi="Calibri"/>
                <w:b w:val="0"/>
                <w:i w:val="0"/>
                <w:color w:val="212121"/>
                <w:sz w:val="19"/>
              </w:rPr>
              <w:t>Residents of highly polluted cities &amp; smoky rural kitchens</w:t>
            </w:r>
          </w:p>
        </w:tc>
        <w:tc>
          <w:tcPr>
            <w:tcW w:type="dxa" w:w="4276"/>
            <w:vAlign w:val="top"/>
          </w:tcPr>
          <w:p>
            <w:pPr>
              <w:spacing w:after="60" w:line="259" w:lineRule="auto"/>
            </w:pPr>
            <w:r>
              <w:rPr>
                <w:rFonts w:ascii="Calibri" w:hAnsi="Calibri"/>
                <w:b w:val="0"/>
                <w:i w:val="0"/>
                <w:color w:val="212121"/>
                <w:sz w:val="19"/>
              </w:rPr>
              <w:t>Chronic exposure to high ambient PM2.5 and to household biomass/solid-fuel smoke damages airway epithelium and mucociliary clearance, increasing susceptibility to and severity of pneumonia — including in non-smokers and rural women who cook on open fires.</w:t>
            </w:r>
          </w:p>
          <w:p>
            <w:pPr>
              <w:spacing w:after="40" w:before="60" w:line="259" w:lineRule="auto"/>
            </w:pPr>
            <w:r>
              <w:rPr>
                <w:rFonts w:ascii="Calibri" w:hAnsi="Calibri"/>
                <w:b w:val="0"/>
                <w:i w:val="0"/>
                <w:color w:val="212121"/>
                <w:sz w:val="19"/>
              </w:rPr>
              <w:t>In Indian under-fives, biomass-fuel cooking raised ARI odds (adjusted OR 1.10, 95% CI 1.01–1.20) and household smoking (adjusted OR 1.06, 95% CI 1.00–1.12); India has 14 of the world's 20 most polluted cities.</w:t>
            </w:r>
          </w:p>
          <w:p>
            <w:pPr>
              <w:spacing w:after="40" w:line="252" w:lineRule="auto"/>
            </w:pPr>
            <w:hyperlink r:id="rId11">
              <w:r>
                <w:rPr>
                  <w:rFonts w:ascii="Calibri" w:hAnsi="Calibri" w:cs="Calibri"/>
                  <w:sz w:val="18"/>
                  <w:color w:val="1155CC"/>
                  <w:u w:val="single"/>
                </w:rPr>
                <w:t xml:space="preserve">journals.plos.org — indoor pollution &amp; ARI in Indian under-fives (NFHS)</w:t>
              </w:r>
            </w:hyperlink>
          </w:p>
          <w:p>
            <w:pPr>
              <w:spacing w:before="60" w:after="40"/>
            </w:pPr>
            <w:r>
              <w:rPr>
                <w:rFonts w:ascii="Calibri" w:hAnsi="Calibri"/>
                <w:b w:val="0"/>
                <w:i w:val="0"/>
                <w:color w:val="5A5A5A"/>
                <w:sz w:val="18"/>
              </w:rPr>
              <w:t>#PM2point5  #airpollution  #biomass  #chulha  #householdsmoke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 hookah smokers</w:t>
            </w:r>
          </w:p>
        </w:tc>
        <w:tc>
          <w:tcPr>
            <w:tcW w:type="dxa" w:w="4276"/>
            <w:vAlign w:val="top"/>
          </w:tcPr>
          <w:p>
            <w:pPr>
              <w:spacing w:after="60" w:line="259" w:lineRule="auto"/>
            </w:pPr>
            <w:r>
              <w:rPr>
                <w:rFonts w:ascii="Calibri" w:hAnsi="Calibri"/>
                <w:b w:val="0"/>
                <w:i w:val="0"/>
                <w:color w:val="212121"/>
                <w:sz w:val="19"/>
              </w:rPr>
              <w:t>Tobacco smoke paralyses cilia, impairs alveolar macrophage function and damages the mucosal barrier, markedly increasing the risk of pneumococcal pneumonia and of dying from it; passive smoke is a major paediatric risk factor.</w:t>
            </w:r>
          </w:p>
          <w:p>
            <w:pPr>
              <w:spacing w:after="40" w:before="60" w:line="259" w:lineRule="auto"/>
            </w:pPr>
            <w:r>
              <w:rPr>
                <w:rFonts w:ascii="Calibri" w:hAnsi="Calibri"/>
                <w:b w:val="0"/>
                <w:i w:val="0"/>
                <w:color w:val="212121"/>
                <w:sz w:val="19"/>
              </w:rPr>
              <w:t>A smoking history was present in ~51.7% (95% CI 42.3–61.0) of Indian CAP patients; tobacco smoking independently increases the risk of death from pneumococcal pneumonia.</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#smoking  #bidi  #passivesmoke  #ciliarydamage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suppresses cough and swallow reflexes (raising aspiration risk), impairs neutrophil and macrophage function and worsens malnutrition, increasing both incidence and severity of pneumonia (including Klebsiella and anaerobic aspiration pneumonia).</w:t>
            </w:r>
          </w:p>
          <w:p>
            <w:pPr>
              <w:spacing w:after="40" w:before="60" w:line="259" w:lineRule="auto"/>
            </w:pPr>
            <w:r>
              <w:rPr>
                <w:rFonts w:ascii="Calibri" w:hAnsi="Calibri"/>
                <w:b w:val="0"/>
                <w:i w:val="0"/>
                <w:color w:val="212121"/>
                <w:sz w:val="19"/>
              </w:rPr>
              <w:t>Alcoholism was documented in ~17.9% (95% CI 10.7–25.0) of Indian CAP patients and is a recognised risk factor for severe CAP.</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#alcohol  #aspiration  #Klebsiella  #immunesuppression  #severeCAP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Bedridden, post-operative &amp; prolonged-immobility patients</w:t>
            </w:r>
          </w:p>
        </w:tc>
        <w:tc>
          <w:tcPr>
            <w:tcW w:type="dxa" w:w="4276"/>
            <w:vAlign w:val="top"/>
          </w:tcPr>
          <w:p>
            <w:pPr>
              <w:spacing w:after="60" w:line="259" w:lineRule="auto"/>
            </w:pPr>
            <w:r>
              <w:rPr>
                <w:rFonts w:ascii="Calibri" w:hAnsi="Calibri"/>
                <w:b w:val="0"/>
                <w:i w:val="0"/>
                <w:color w:val="212121"/>
                <w:sz w:val="19"/>
              </w:rPr>
              <w:t>Prolonged supine immobility promotes hypostatic (dependent) pooling of secretions, reduced lung expansion and micro-aspiration, predisposing to hospital-acquired and aspiration pneumonia; early mobilisation and chest physiotherapy reduce this risk.</w:t>
            </w:r>
          </w:p>
          <w:p>
            <w:pPr>
              <w:spacing w:after="40" w:before="60" w:line="259" w:lineRule="auto"/>
            </w:pPr>
            <w:r>
              <w:rPr>
                <w:rFonts w:ascii="Calibri" w:hAnsi="Calibri"/>
                <w:b w:val="0"/>
                <w:i w:val="0"/>
                <w:color w:val="212121"/>
                <w:sz w:val="19"/>
              </w:rPr>
              <w:t>Immobility, impaired consciousness and swallowing difficulty are established predisposing factors for aspiration and nosocomial pneumonia.</w:t>
            </w:r>
          </w:p>
          <w:p>
            <w:pPr>
              <w:spacing w:before="60" w:after="40"/>
            </w:pPr>
            <w:r>
              <w:rPr>
                <w:rFonts w:ascii="Calibri" w:hAnsi="Calibri"/>
                <w:b w:val="0"/>
                <w:i w:val="0"/>
                <w:color w:val="5A5A5A"/>
                <w:sz w:val="18"/>
              </w:rPr>
              <w:t>#immobility  #hypostaticpneumonia  #aspiration  #postoperative  #earlymobilisation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Stunted / wasted / underweight children</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mucosal immunity, antibody responses and respiratory-muscle strength — malnutrition is repeatedly identified as the single biggest driver of childhood pneumonia incidence and death in India.</w:t>
            </w:r>
          </w:p>
          <w:p>
            <w:pPr>
              <w:spacing w:after="40" w:before="60" w:line="259" w:lineRule="auto"/>
            </w:pPr>
            <w:r>
              <w:rPr>
                <w:rFonts w:ascii="Calibri" w:hAnsi="Calibri"/>
                <w:b w:val="0"/>
                <w:i w:val="0"/>
                <w:color w:val="212121"/>
                <w:sz w:val="19"/>
              </w:rPr>
              <w:t>More than one-third of Indian under-fives are stunted and ~19% are wasted (NFHS-5); undernutrition is described as the single biggest risk factor weakening children's immunity against pneumonia.</w:t>
            </w:r>
          </w:p>
          <w:p>
            <w:pPr>
              <w:spacing w:after="40" w:line="252" w:lineRule="auto"/>
            </w:pPr>
            <w:hyperlink r:id="rId9">
              <w:r>
                <w:rPr>
                  <w:rFonts w:ascii="Calibri" w:hAnsi="Calibri" w:cs="Calibri"/>
                  <w:sz w:val="18"/>
                  <w:color w:val="1155CC"/>
                  <w:u w:val="single"/>
                </w:rPr>
                <w:t xml:space="preserve">theweek.in — why pneumonia still kills thousands of Indian children</w:t>
              </w:r>
            </w:hyperlink>
          </w:p>
          <w:p>
            <w:pPr>
              <w:spacing w:before="60" w:after="40"/>
            </w:pPr>
            <w:r>
              <w:rPr>
                <w:rFonts w:ascii="Calibri" w:hAnsi="Calibri"/>
                <w:b w:val="0"/>
                <w:i w:val="0"/>
                <w:color w:val="5A5A5A"/>
                <w:sz w:val="18"/>
              </w:rPr>
              <w:t>#malnutrition  #stunting  #wasting  #PEM  #childimmunity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Poor infant feeding &amp; micronutrient deficiency</w:t>
            </w:r>
          </w:p>
        </w:tc>
        <w:tc>
          <w:tcPr>
            <w:tcW w:type="dxa" w:w="2160"/>
            <w:vAlign w:val="top"/>
          </w:tcPr>
          <w:p>
            <w:pPr>
              <w:spacing w:after="40" w:before="0" w:line="259" w:lineRule="auto"/>
            </w:pPr>
            <w:r>
              <w:rPr>
                <w:rFonts w:ascii="Calibri" w:hAnsi="Calibri"/>
                <w:b w:val="0"/>
                <w:i w:val="0"/>
                <w:color w:val="212121"/>
                <w:sz w:val="19"/>
              </w:rPr>
              <w:t>Non-breastfed infants; vitamin-A/D/zinc-deficient children</w:t>
            </w:r>
          </w:p>
        </w:tc>
        <w:tc>
          <w:tcPr>
            <w:tcW w:type="dxa" w:w="4276"/>
            <w:vAlign w:val="top"/>
          </w:tcPr>
          <w:p>
            <w:pPr>
              <w:spacing w:after="60" w:line="259" w:lineRule="auto"/>
            </w:pPr>
            <w:r>
              <w:rPr>
                <w:rFonts w:ascii="Calibri" w:hAnsi="Calibri"/>
                <w:b w:val="0"/>
                <w:i w:val="0"/>
                <w:color w:val="212121"/>
                <w:sz w:val="19"/>
              </w:rPr>
              <w:t>Absence of exclusive breastfeeding removes protective maternal antibodies, while deficiencies of vitamin A, vitamin D and zinc impair epithelial integrity and immune defence, raising both susceptibility to and severity of pneumonia.</w:t>
            </w:r>
          </w:p>
          <w:p>
            <w:pPr>
              <w:spacing w:after="40" w:before="60" w:line="259" w:lineRule="auto"/>
            </w:pPr>
            <w:r>
              <w:rPr>
                <w:rFonts w:ascii="Calibri" w:hAnsi="Calibri"/>
                <w:b w:val="0"/>
                <w:i w:val="0"/>
                <w:color w:val="212121"/>
                <w:sz w:val="19"/>
              </w:rPr>
              <w:t>WHO lists lack of exclusive breastfeeding and undernutrition among the principal modifiable risk factors for childhood pneumonia.</w:t>
            </w:r>
          </w:p>
          <w:p>
            <w:pPr>
              <w:spacing w:after="40" w:line="252" w:lineRule="auto"/>
            </w:pPr>
            <w:hyperlink r:id="rId12">
              <w:r>
                <w:rPr>
                  <w:rFonts w:ascii="Calibri" w:hAnsi="Calibri" w:cs="Calibri"/>
                  <w:sz w:val="18"/>
                  <w:color w:val="1155CC"/>
                  <w:u w:val="single"/>
                </w:rPr>
                <w:t xml:space="preserve">who.int — pneumonia fact sheet</w:t>
              </w:r>
            </w:hyperlink>
          </w:p>
          <w:p>
            <w:pPr>
              <w:spacing w:before="60" w:after="40"/>
            </w:pPr>
            <w:r>
              <w:rPr>
                <w:rFonts w:ascii="Calibri" w:hAnsi="Calibri"/>
                <w:b w:val="0"/>
                <w:i w:val="0"/>
                <w:color w:val="5A5A5A"/>
                <w:sz w:val="18"/>
              </w:rPr>
              <w:t>#breastfeeding  #vitaminD  #zinc  #vitaminA  #infantfeeding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Impaired immunity / inherited susceptibility</w:t>
            </w:r>
          </w:p>
        </w:tc>
        <w:tc>
          <w:tcPr>
            <w:tcW w:type="dxa" w:w="2160"/>
            <w:vAlign w:val="top"/>
          </w:tcPr>
          <w:p>
            <w:pPr>
              <w:spacing w:after="40" w:before="0" w:line="259" w:lineRule="auto"/>
            </w:pPr>
            <w:r>
              <w:rPr>
                <w:rFonts w:ascii="Calibri" w:hAnsi="Calibri"/>
                <w:b w:val="0"/>
                <w:i w:val="0"/>
                <w:color w:val="212121"/>
                <w:sz w:val="19"/>
              </w:rPr>
              <w:t>Primary immunodeficiency, asplenia, sickle cell disease</w:t>
            </w:r>
          </w:p>
        </w:tc>
        <w:tc>
          <w:tcPr>
            <w:tcW w:type="dxa" w:w="4276"/>
            <w:vAlign w:val="top"/>
          </w:tcPr>
          <w:p>
            <w:pPr>
              <w:spacing w:after="60" w:line="259" w:lineRule="auto"/>
            </w:pPr>
            <w:r>
              <w:rPr>
                <w:rFonts w:ascii="Calibri" w:hAnsi="Calibri"/>
                <w:b w:val="0"/>
                <w:i w:val="0"/>
                <w:color w:val="212121"/>
                <w:sz w:val="19"/>
              </w:rPr>
              <w:t>Inherited or functional defects of immunity — antibody deficiencies, complement defects, functional/anatomical asplenia and sickle cell disease — greatly increase risk of invasive pneumococcal and encapsulated-organism pneumonia, warranting extra vaccination and prophylaxis.</w:t>
            </w:r>
          </w:p>
          <w:p>
            <w:pPr>
              <w:spacing w:after="40" w:before="60" w:line="259" w:lineRule="auto"/>
            </w:pPr>
            <w:r>
              <w:rPr>
                <w:rFonts w:ascii="Calibri" w:hAnsi="Calibri"/>
                <w:b w:val="0"/>
                <w:i w:val="0"/>
                <w:color w:val="212121"/>
                <w:sz w:val="19"/>
              </w:rPr>
              <w:t>Functional or anatomical asplenia and sickle cell disease markedly raise the risk of invasive pneumococcal disease, making pneumococcal and Hib vaccination essential.</w:t>
            </w:r>
          </w:p>
          <w:p>
            <w:pPr>
              <w:spacing w:before="60" w:after="40"/>
            </w:pPr>
            <w:r>
              <w:rPr>
                <w:rFonts w:ascii="Calibri" w:hAnsi="Calibri"/>
                <w:b w:val="0"/>
                <w:i w:val="0"/>
                <w:color w:val="5A5A5A"/>
                <w:sz w:val="18"/>
              </w:rPr>
              <w:t>#immunodeficiency  #asplenia  #sicklecell  #encapsulatedorganisms  #invasivepneumococcal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COPD / chronic lung disease</w:t>
            </w:r>
          </w:p>
        </w:tc>
        <w:tc>
          <w:tcPr>
            <w:tcW w:type="dxa" w:w="2160"/>
            <w:vAlign w:val="top"/>
          </w:tcPr>
          <w:p>
            <w:pPr>
              <w:spacing w:after="40" w:before="0" w:line="259" w:lineRule="auto"/>
            </w:pPr>
            <w:r>
              <w:rPr>
                <w:rFonts w:ascii="Calibri" w:hAnsi="Calibri"/>
                <w:b w:val="0"/>
                <w:i w:val="0"/>
                <w:color w:val="212121"/>
                <w:sz w:val="19"/>
              </w:rPr>
              <w:t>Patients with COPD, bronchiectasis or post-TB lung disease</w:t>
            </w:r>
          </w:p>
        </w:tc>
        <w:tc>
          <w:tcPr>
            <w:tcW w:type="dxa" w:w="4276"/>
            <w:vAlign w:val="top"/>
          </w:tcPr>
          <w:p>
            <w:pPr>
              <w:spacing w:after="60" w:line="259" w:lineRule="auto"/>
            </w:pPr>
            <w:r>
              <w:rPr>
                <w:rFonts w:ascii="Calibri" w:hAnsi="Calibri"/>
                <w:b w:val="0"/>
                <w:i w:val="0"/>
                <w:color w:val="212121"/>
                <w:sz w:val="19"/>
              </w:rPr>
              <w:t>Structurally damaged, chronically inflamed airways with impaired clearance are a prime substrate for infection; pneumonia is both commoner and more severe in COPD and often presents as an infective exacerbation.</w:t>
            </w:r>
          </w:p>
          <w:p>
            <w:pPr>
              <w:spacing w:after="40" w:before="60" w:line="259" w:lineRule="auto"/>
            </w:pPr>
            <w:r>
              <w:rPr>
                <w:rFonts w:ascii="Calibri" w:hAnsi="Calibri"/>
                <w:b w:val="0"/>
                <w:i w:val="0"/>
                <w:color w:val="212121"/>
                <w:sz w:val="19"/>
              </w:rPr>
              <w:t>COPD was the single commonest comorbidity in Indian CAP patients at ~24.2% (95% CI 16.4–34.2).</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#COPD  #bronchiectasis  #postTB  #airwayclearance  #exacerbation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w:t>
            </w:r>
          </w:p>
        </w:tc>
        <w:tc>
          <w:tcPr>
            <w:tcW w:type="dxa" w:w="4276"/>
            <w:vAlign w:val="top"/>
          </w:tcPr>
          <w:p>
            <w:pPr>
              <w:spacing w:after="60" w:line="259" w:lineRule="auto"/>
            </w:pPr>
            <w:r>
              <w:rPr>
                <w:rFonts w:ascii="Calibri" w:hAnsi="Calibri"/>
                <w:b w:val="0"/>
                <w:i w:val="0"/>
                <w:color w:val="212121"/>
                <w:sz w:val="19"/>
              </w:rPr>
              <w:t>Hyperglycaemia impairs neutrophil chemotaxis and phagocytosis, glycates immune proteins and worsens microvascular perfusion, increasing susceptibility to pneumonia and to worse outcomes; pneumonia in turn destabilises glycaemic control.</w:t>
            </w:r>
          </w:p>
          <w:p>
            <w:pPr>
              <w:spacing w:after="40" w:before="60" w:line="259" w:lineRule="auto"/>
            </w:pPr>
            <w:r>
              <w:rPr>
                <w:rFonts w:ascii="Calibri" w:hAnsi="Calibri"/>
                <w:b w:val="0"/>
                <w:i w:val="0"/>
                <w:color w:val="212121"/>
                <w:sz w:val="19"/>
              </w:rPr>
              <w:t>Type 2 diabetes raises community-acquired pneumonia risk by ~64% (pooled RR 1.64, 95% CI 1.55–1.73); diabetes was present in ~16% of Indian CAP patients.</w:t>
            </w:r>
          </w:p>
          <w:p>
            <w:pPr>
              <w:spacing w:after="40" w:line="252" w:lineRule="auto"/>
            </w:pPr>
            <w:hyperlink r:id="rId13">
              <w:r>
                <w:rPr>
                  <w:rFonts w:ascii="Calibri" w:hAnsi="Calibri" w:cs="Calibri"/>
                  <w:sz w:val="18"/>
                  <w:color w:val="1155CC"/>
                  <w:u w:val="single"/>
                </w:rPr>
                <w:t xml:space="preserve">cmajopen.ca — type 2 diabetes and risk of CAP (meta-analysis)</w:t>
              </w:r>
            </w:hyperlink>
          </w:p>
          <w:p>
            <w:pPr>
              <w:spacing w:before="60" w:after="40"/>
            </w:pPr>
            <w:r>
              <w:rPr>
                <w:rFonts w:ascii="Calibri" w:hAnsi="Calibri"/>
                <w:b w:val="0"/>
                <w:i w:val="0"/>
                <w:color w:val="5A5A5A"/>
                <w:sz w:val="18"/>
              </w:rPr>
              <w:t>#diabetes  #hyperglycaemia  #immuneimpairment  #glycaemiccontrol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People living with HIV, transplant &amp; steroid-treated patients</w:t>
            </w:r>
          </w:p>
        </w:tc>
        <w:tc>
          <w:tcPr>
            <w:tcW w:type="dxa" w:w="4276"/>
            <w:vAlign w:val="top"/>
          </w:tcPr>
          <w:p>
            <w:pPr>
              <w:spacing w:after="60" w:line="259" w:lineRule="auto"/>
            </w:pPr>
            <w:r>
              <w:rPr>
                <w:rFonts w:ascii="Calibri" w:hAnsi="Calibri"/>
                <w:b w:val="0"/>
                <w:i w:val="0"/>
                <w:color w:val="212121"/>
                <w:sz w:val="19"/>
              </w:rPr>
              <w:t>Depressed cell-mediated and humoral immunity greatly increases risk of bacterial pneumonia and of opportunistic pathogens (Pneumocystis jirovecii, fungi, mycobacteria); pneumonia is frequently the presenting illness of undiagnosed HIV.</w:t>
            </w:r>
          </w:p>
          <w:p>
            <w:pPr>
              <w:spacing w:after="40" w:before="60" w:line="259" w:lineRule="auto"/>
            </w:pPr>
            <w:r>
              <w:rPr>
                <w:rFonts w:ascii="Calibri" w:hAnsi="Calibri"/>
                <w:b w:val="0"/>
                <w:i w:val="0"/>
                <w:color w:val="212121"/>
                <w:sz w:val="19"/>
              </w:rPr>
              <w:t>HIV was documented in ~6.0% (95% CI 2.3–15.1) of Indian CAP patients and shifts the likely pathogen spectrum toward opportunistic organisms.</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#HIV  #immunosuppression  #PCP  #opportunistic  #cellmediatedimmunity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tuberculosis</w:t>
            </w:r>
          </w:p>
        </w:tc>
        <w:tc>
          <w:tcPr>
            <w:tcW w:type="dxa" w:w="2160"/>
            <w:vAlign w:val="top"/>
          </w:tcPr>
          <w:p>
            <w:pPr>
              <w:spacing w:after="40" w:before="0" w:line="259" w:lineRule="auto"/>
            </w:pPr>
            <w:r>
              <w:rPr>
                <w:rFonts w:ascii="Calibri" w:hAnsi="Calibri"/>
                <w:b w:val="0"/>
                <w:i w:val="0"/>
                <w:color w:val="212121"/>
                <w:sz w:val="19"/>
              </w:rPr>
              <w:t>Patients with active or prior pulmonary TB</w:t>
            </w:r>
          </w:p>
        </w:tc>
        <w:tc>
          <w:tcPr>
            <w:tcW w:type="dxa" w:w="4276"/>
            <w:vAlign w:val="top"/>
          </w:tcPr>
          <w:p>
            <w:pPr>
              <w:spacing w:after="60" w:line="259" w:lineRule="auto"/>
            </w:pPr>
            <w:r>
              <w:rPr>
                <w:rFonts w:ascii="Calibri" w:hAnsi="Calibri"/>
                <w:b w:val="0"/>
                <w:i w:val="0"/>
                <w:color w:val="212121"/>
                <w:sz w:val="19"/>
              </w:rPr>
              <w:t>Active TB, and the fibrocavitary/bronchiectatic scarring left by healed TB, impair local defence and can coexist with, mimic or be complicated by bacterial pneumonia — a distinctly Indian diagnostic and management challenge.</w:t>
            </w:r>
          </w:p>
          <w:p>
            <w:pPr>
              <w:spacing w:after="40" w:before="60" w:line="259" w:lineRule="auto"/>
            </w:pPr>
            <w:r>
              <w:rPr>
                <w:rFonts w:ascii="Calibri" w:hAnsi="Calibri"/>
                <w:b w:val="0"/>
                <w:i w:val="0"/>
                <w:color w:val="212121"/>
                <w:sz w:val="19"/>
              </w:rPr>
              <w:t>Tuberculosis was present in ~9.4% of Indian CAP patients; India carries about a quarter of the world's TB burden, so TB must always be considered alongside pneumonia.</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#tuberculosis  #postTB  #coinfection  #differentialdiagnosis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&amp; renal disease</w:t>
            </w:r>
          </w:p>
        </w:tc>
        <w:tc>
          <w:tcPr>
            <w:tcW w:type="dxa" w:w="2160"/>
            <w:vAlign w:val="top"/>
          </w:tcPr>
          <w:p>
            <w:pPr>
              <w:spacing w:after="40" w:before="0" w:line="259" w:lineRule="auto"/>
            </w:pPr>
            <w:r>
              <w:rPr>
                <w:rFonts w:ascii="Calibri" w:hAnsi="Calibri"/>
                <w:b w:val="0"/>
                <w:i w:val="0"/>
                <w:color w:val="212121"/>
                <w:sz w:val="19"/>
              </w:rPr>
              <w:t>Patients with heart failure/IHD or chronic kidney disease</w:t>
            </w:r>
          </w:p>
        </w:tc>
        <w:tc>
          <w:tcPr>
            <w:tcW w:type="dxa" w:w="4276"/>
            <w:vAlign w:val="top"/>
          </w:tcPr>
          <w:p>
            <w:pPr>
              <w:spacing w:after="60" w:line="259" w:lineRule="auto"/>
            </w:pPr>
            <w:r>
              <w:rPr>
                <w:rFonts w:ascii="Calibri" w:hAnsi="Calibri"/>
                <w:b w:val="0"/>
                <w:i w:val="0"/>
                <w:color w:val="212121"/>
                <w:sz w:val="19"/>
              </w:rPr>
              <w:t>Chronic heart and kidney disease impair perfusion, fluid handling and immunity, raising pneumonia risk and severity; conversely pneumonia commonly precipitates acute cardiac events (MI, atrial fibrillation, heart failure) and acute kidney injury.</w:t>
            </w:r>
          </w:p>
          <w:p>
            <w:pPr>
              <w:spacing w:after="40" w:before="60" w:line="259" w:lineRule="auto"/>
            </w:pPr>
            <w:r>
              <w:rPr>
                <w:rFonts w:ascii="Calibri" w:hAnsi="Calibri"/>
                <w:b w:val="0"/>
                <w:i w:val="0"/>
                <w:color w:val="212121"/>
                <w:sz w:val="19"/>
              </w:rPr>
              <w:t>Heart disease (~7.9%) and chronic kidney disease (~3.7%) were frequent comorbidities in Indian CAP patients and both worsen prognosis.</w:t>
            </w:r>
          </w:p>
          <w:p>
            <w:pPr>
              <w:spacing w:after="40" w:line="252" w:lineRule="auto"/>
            </w:pPr>
            <w:hyperlink r:id="rId10">
              <w:r>
                <w:rPr>
                  <w:rFonts w:ascii="Calibri" w:hAnsi="Calibri" w:cs="Calibri"/>
                  <w:sz w:val="18"/>
                  <w:color w:val="1155CC"/>
                  <w:u w:val="single"/>
                </w:rPr>
                <w:t xml:space="preserve">journals.sagepub.com — comorbidities &amp; risk factors in Indian CAP (meta-analysis)</w:t>
              </w:r>
            </w:hyperlink>
          </w:p>
          <w:p>
            <w:pPr>
              <w:spacing w:before="60" w:after="40"/>
            </w:pPr>
            <w:r>
              <w:rPr>
                <w:rFonts w:ascii="Calibri" w:hAnsi="Calibri"/>
                <w:b w:val="0"/>
                <w:i w:val="0"/>
                <w:color w:val="5A5A5A"/>
                <w:sz w:val="18"/>
              </w:rPr>
              <w:t>#heartfailure  #IHD  #CKD  #cardiaccomplications  #AKI</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immobility and bed rest promote hypostatic pooling of secretions and micro-aspiration, raising hospital-acquired and aspiration pneumonia risk; early mobilisation, chest physiotherapy and good baseline fitness improve secretion clearance and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Undernutrition is repeatedly identified as the single biggest risk factor for childhood pneumonia in India, impairing mucosal and antibody immunity; adequate protein, breastfeeding and micronutrients (vitamin A, vitamin D, zinc)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and untreated obstructive sleep apnoea modestly impair immune function and (via aspiration/reflux) may increase respiratory-infection susceptibility, though direct pneumonia evidence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tobacco/bidi smoke paralyse cilia and impair alveolar macrophages, increasing the risk of pneumococcal pneumonia and of death from it; cessation and smoke-free homes are key preventive measures.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suppresses cough/swallow reflexes and neutrophil/macrophage function and worsens nutrition, raising the incidence and severity of pneumonia, including Klebsiella and anaerobic aspiration pneumonia.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dementia and reduced self-care are associated with poorer nutrition, vaccine uptake, medication adherence and aspiration risk, indirectly worsening pneumonia incidence and recovery, especially in the elderly.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airway secretions thin and aids expectoration and mucociliary clearance; dehydration during febrile illness thickens secretions, though evidence is largely physiological rather than from strong trials.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meaningful role in preventing pneumonia in adults; in neonatal intensive care caffeine treats apnoea of prematurity and may aid extubation, an unrelated context.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oral hygiene and — above all — vaccination (pneumococcal, Hib, measles, influenza, COVID-19) substantially reduce the respiratory infections that cause pneumonia and reduce aspiration pneumonia in dependent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Preceding viral upper-respiratory infection or influenza, cold season, high ambient/indoor air pollution, aspiration events and crowding directly precipitate pneumonia; avoiding and vaccinating against these triggers lowers incidence.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Body position modifies aspiration and ventilation — a semi-recumbent 30–45° position reduces ventilator-associated and aspiration pneumonia, while upright posture and postural drainage aid secretion clearance during recovery.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Respiratory rate (WHO fast-breathing threshold)</w:t>
            </w:r>
          </w:p>
        </w:tc>
        <w:tc>
          <w:tcPr>
            <w:tcW w:type="dxa" w:w="1655"/>
            <w:vAlign w:val="top"/>
          </w:tcPr>
          <w:p>
            <w:pPr>
              <w:spacing w:after="40" w:before="0" w:line="259" w:lineRule="auto"/>
            </w:pPr>
            <w:r>
              <w:rPr>
                <w:rFonts w:ascii="Calibri" w:hAnsi="Calibri"/>
                <w:b w:val="0"/>
                <w:i w:val="0"/>
                <w:color w:val="212121"/>
                <w:sz w:val="19"/>
              </w:rPr>
              <w:t>Children &amp; adults with suspected pneumonia</w:t>
            </w:r>
          </w:p>
        </w:tc>
        <w:tc>
          <w:tcPr>
            <w:tcW w:type="dxa" w:w="1512"/>
            <w:vAlign w:val="top"/>
          </w:tcPr>
          <w:p>
            <w:pPr>
              <w:spacing w:after="40" w:before="0" w:line="259" w:lineRule="auto"/>
            </w:pPr>
            <w:r>
              <w:rPr>
                <w:rFonts w:ascii="Calibri" w:hAnsi="Calibri"/>
                <w:b w:val="0"/>
                <w:i w:val="0"/>
                <w:color w:val="212121"/>
                <w:sz w:val="19"/>
              </w:rPr>
              <w:t>Age-normal (adults 12–20/min)</w:t>
            </w:r>
          </w:p>
        </w:tc>
        <w:tc>
          <w:tcPr>
            <w:tcW w:type="dxa" w:w="1512"/>
            <w:vAlign w:val="top"/>
          </w:tcPr>
          <w:p>
            <w:pPr>
              <w:spacing w:after="40" w:before="0" w:line="259" w:lineRule="auto"/>
            </w:pPr>
            <w:r>
              <w:rPr>
                <w:rFonts w:ascii="Calibri" w:hAnsi="Calibri"/>
                <w:b w:val="0"/>
                <w:i w:val="0"/>
                <w:color w:val="212121"/>
                <w:sz w:val="19"/>
              </w:rPr>
              <w:t>≥60/min (&lt;2 mo), ≥50/min (2–12 mo), ≥40/min (1–5 y); ≥30/min (adult, severe)</w:t>
            </w:r>
          </w:p>
        </w:tc>
        <w:tc>
          <w:tcPr>
            <w:tcW w:type="dxa" w:w="1468"/>
            <w:vAlign w:val="top"/>
          </w:tcPr>
          <w:p>
            <w:pPr>
              <w:spacing w:after="60" w:line="259" w:lineRule="auto"/>
            </w:pPr>
            <w:r>
              <w:rPr>
                <w:rFonts w:ascii="Calibri" w:hAnsi="Calibri"/>
                <w:b w:val="0"/>
                <w:i w:val="0"/>
                <w:color w:val="212121"/>
                <w:sz w:val="19"/>
              </w:rPr>
              <w:t>Fast breathing is the core WHO field criterion for childhood pneumonia</w:t>
            </w:r>
          </w:p>
          <w:p>
            <w:pPr>
              <w:spacing w:after="40" w:line="252" w:lineRule="auto"/>
            </w:pPr>
            <w:hyperlink r:id="rId12">
              <w:r>
                <w:rPr>
                  <w:rFonts w:ascii="Calibri" w:hAnsi="Calibri" w:cs="Calibri"/>
                  <w:sz w:val="18"/>
                  <w:color w:val="1155CC"/>
                  <w:u w:val="single"/>
                </w:rPr>
                <w:t xml:space="preserve">https://www.who.int/news-room/fact-sheets/detail/pneumonia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Oxygen saturation (SpO2, room air)</w:t>
            </w:r>
          </w:p>
        </w:tc>
        <w:tc>
          <w:tcPr>
            <w:tcW w:type="dxa" w:w="1655"/>
            <w:vAlign w:val="top"/>
          </w:tcPr>
          <w:p>
            <w:pPr>
              <w:spacing w:after="40" w:before="0" w:line="259" w:lineRule="auto"/>
            </w:pPr>
            <w:r>
              <w:rPr>
                <w:rFonts w:ascii="Calibri" w:hAnsi="Calibri"/>
                <w:b w:val="0"/>
                <w:i w:val="0"/>
                <w:color w:val="212121"/>
                <w:sz w:val="19"/>
              </w:rPr>
              <w:t>All pneumonia patients</w:t>
            </w:r>
          </w:p>
        </w:tc>
        <w:tc>
          <w:tcPr>
            <w:tcW w:type="dxa" w:w="1512"/>
            <w:vAlign w:val="top"/>
          </w:tcPr>
          <w:p>
            <w:pPr>
              <w:spacing w:after="40" w:before="0" w:line="259" w:lineRule="auto"/>
            </w:pPr>
            <w:r>
              <w:rPr>
                <w:rFonts w:ascii="Calibri" w:hAnsi="Calibri"/>
                <w:b w:val="0"/>
                <w:i w:val="0"/>
                <w:color w:val="212121"/>
                <w:sz w:val="19"/>
              </w:rPr>
              <w:t>≥ 94%</w:t>
            </w:r>
          </w:p>
        </w:tc>
        <w:tc>
          <w:tcPr>
            <w:tcW w:type="dxa" w:w="1512"/>
            <w:vAlign w:val="top"/>
          </w:tcPr>
          <w:p>
            <w:pPr>
              <w:spacing w:after="40" w:before="0" w:line="259" w:lineRule="auto"/>
            </w:pPr>
            <w:r>
              <w:rPr>
                <w:rFonts w:ascii="Calibri" w:hAnsi="Calibri"/>
                <w:b w:val="0"/>
                <w:i w:val="0"/>
                <w:color w:val="212121"/>
                <w:sz w:val="19"/>
              </w:rPr>
              <w:t>&lt; 90% (WHO hypoxaemia; admit/oxygen)</w:t>
            </w:r>
          </w:p>
        </w:tc>
        <w:tc>
          <w:tcPr>
            <w:tcW w:type="dxa" w:w="1468"/>
            <w:vAlign w:val="top"/>
          </w:tcPr>
          <w:p>
            <w:pPr>
              <w:spacing w:after="60" w:line="259" w:lineRule="auto"/>
            </w:pPr>
            <w:r>
              <w:rPr>
                <w:rFonts w:ascii="Calibri" w:hAnsi="Calibri"/>
                <w:b w:val="0"/>
                <w:i w:val="0"/>
                <w:color w:val="212121"/>
                <w:sz w:val="19"/>
              </w:rPr>
              <w:t>Hypoxaemia marks severe pneumonia and predicts mortality — a key triage measure</w:t>
            </w:r>
          </w:p>
          <w:p>
            <w:pPr>
              <w:spacing w:after="40" w:line="252" w:lineRule="auto"/>
            </w:pPr>
            <w:hyperlink r:id="rId12">
              <w:r>
                <w:rPr>
                  <w:rFonts w:ascii="Calibri" w:hAnsi="Calibri" w:cs="Calibri"/>
                  <w:sz w:val="18"/>
                  <w:color w:val="1155CC"/>
                  <w:u w:val="single"/>
                </w:rPr>
                <w:t xml:space="preserve">https://www.who.int/news-room/fact-sheets/detail/pneumonia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Temperature</w:t>
            </w:r>
          </w:p>
        </w:tc>
        <w:tc>
          <w:tcPr>
            <w:tcW w:type="dxa" w:w="1655"/>
            <w:vAlign w:val="top"/>
          </w:tcPr>
          <w:p>
            <w:pPr>
              <w:spacing w:after="40" w:before="0" w:line="259" w:lineRule="auto"/>
            </w:pPr>
            <w:r>
              <w:rPr>
                <w:rFonts w:ascii="Calibri" w:hAnsi="Calibri"/>
                <w:b w:val="0"/>
                <w:i w:val="0"/>
                <w:color w:val="212121"/>
                <w:sz w:val="19"/>
              </w:rPr>
              <w:t>All pneumonia patients</w:t>
            </w:r>
          </w:p>
        </w:tc>
        <w:tc>
          <w:tcPr>
            <w:tcW w:type="dxa" w:w="1512"/>
            <w:vAlign w:val="top"/>
          </w:tcPr>
          <w:p>
            <w:pPr>
              <w:spacing w:after="40" w:before="0" w:line="259" w:lineRule="auto"/>
            </w:pPr>
            <w:r>
              <w:rPr>
                <w:rFonts w:ascii="Calibri" w:hAnsi="Calibri"/>
                <w:b w:val="0"/>
                <w:i w:val="0"/>
                <w:color w:val="212121"/>
                <w:sz w:val="19"/>
              </w:rPr>
              <w:t>36.1–37.2 °C</w:t>
            </w:r>
          </w:p>
        </w:tc>
        <w:tc>
          <w:tcPr>
            <w:tcW w:type="dxa" w:w="1512"/>
            <w:vAlign w:val="top"/>
          </w:tcPr>
          <w:p>
            <w:pPr>
              <w:spacing w:after="40" w:before="0" w:line="259" w:lineRule="auto"/>
            </w:pPr>
            <w:r>
              <w:rPr>
                <w:rFonts w:ascii="Calibri" w:hAnsi="Calibri"/>
                <w:b w:val="0"/>
                <w:i w:val="0"/>
                <w:color w:val="212121"/>
                <w:sz w:val="19"/>
              </w:rPr>
              <w:t>≥ 38 °C (fever) or &lt; 36 °C (hypothermia in sepsis)</w:t>
            </w:r>
          </w:p>
        </w:tc>
        <w:tc>
          <w:tcPr>
            <w:tcW w:type="dxa" w:w="1468"/>
            <w:vAlign w:val="top"/>
          </w:tcPr>
          <w:p>
            <w:pPr>
              <w:spacing w:after="40" w:before="0" w:line="259" w:lineRule="auto"/>
            </w:pPr>
            <w:r>
              <w:rPr>
                <w:rFonts w:ascii="Calibri" w:hAnsi="Calibri"/>
                <w:b w:val="0"/>
                <w:i w:val="0"/>
                <w:color w:val="212121"/>
                <w:sz w:val="19"/>
              </w:rPr>
              <w:t>Elderly and severe cases may be afebrile or hypothermic — do not rely on fever alone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(adults)</w:t>
            </w:r>
          </w:p>
        </w:tc>
        <w:tc>
          <w:tcPr>
            <w:tcW w:type="dxa" w:w="1655"/>
            <w:vAlign w:val="top"/>
          </w:tcPr>
          <w:p>
            <w:pPr>
              <w:spacing w:after="40" w:before="0" w:line="259" w:lineRule="auto"/>
            </w:pPr>
            <w:r>
              <w:rPr>
                <w:rFonts w:ascii="Calibri" w:hAnsi="Calibri"/>
                <w:b w:val="0"/>
                <w:i w:val="0"/>
                <w:color w:val="212121"/>
                <w:sz w:val="19"/>
              </w:rPr>
              <w:t>Adults with/at risk of pneumonia</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 — worse outcomes</w:t>
            </w:r>
          </w:p>
        </w:tc>
        <w:tc>
          <w:tcPr>
            <w:tcW w:type="dxa" w:w="1468"/>
            <w:vAlign w:val="top"/>
          </w:tcPr>
          <w:p>
            <w:pPr>
              <w:spacing w:after="40" w:before="0" w:line="259" w:lineRule="auto"/>
            </w:pPr>
            <w:r>
              <w:rPr>
                <w:rFonts w:ascii="Calibri" w:hAnsi="Calibri"/>
                <w:b w:val="0"/>
                <w:i w:val="0"/>
                <w:color w:val="212121"/>
                <w:sz w:val="19"/>
              </w:rPr>
              <w:t>Low BMI/undernutrition impairs immunity and respiratory-muscle strength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Mid-upper-arm circumference (MUAC, 6–59 months)</w:t>
            </w:r>
          </w:p>
        </w:tc>
        <w:tc>
          <w:tcPr>
            <w:tcW w:type="dxa" w:w="1655"/>
            <w:vAlign w:val="top"/>
          </w:tcPr>
          <w:p>
            <w:pPr>
              <w:spacing w:after="40" w:before="0" w:line="259" w:lineRule="auto"/>
            </w:pPr>
            <w:r>
              <w:rPr>
                <w:rFonts w:ascii="Calibri" w:hAnsi="Calibri"/>
                <w:b w:val="0"/>
                <w:i w:val="0"/>
                <w:color w:val="212121"/>
                <w:sz w:val="19"/>
              </w:rPr>
              <w:t>Under-five children</w:t>
            </w:r>
          </w:p>
        </w:tc>
        <w:tc>
          <w:tcPr>
            <w:tcW w:type="dxa" w:w="1512"/>
            <w:vAlign w:val="top"/>
          </w:tcPr>
          <w:p>
            <w:pPr>
              <w:spacing w:after="40" w:before="0" w:line="259" w:lineRule="auto"/>
            </w:pPr>
            <w:r>
              <w:rPr>
                <w:rFonts w:ascii="Calibri" w:hAnsi="Calibri"/>
                <w:b w:val="0"/>
                <w:i w:val="0"/>
                <w:color w:val="212121"/>
                <w:sz w:val="19"/>
              </w:rPr>
              <w:t>≥ 13.5 cm</w:t>
            </w:r>
          </w:p>
        </w:tc>
        <w:tc>
          <w:tcPr>
            <w:tcW w:type="dxa" w:w="1512"/>
            <w:vAlign w:val="top"/>
          </w:tcPr>
          <w:p>
            <w:pPr>
              <w:spacing w:after="40" w:before="0" w:line="259" w:lineRule="auto"/>
            </w:pPr>
            <w:r>
              <w:rPr>
                <w:rFonts w:ascii="Calibri" w:hAnsi="Calibri"/>
                <w:b w:val="0"/>
                <w:i w:val="0"/>
                <w:color w:val="212121"/>
                <w:sz w:val="19"/>
              </w:rPr>
              <w:t>&lt; 11.5 cm (severe acute malnutrition)</w:t>
            </w:r>
          </w:p>
        </w:tc>
        <w:tc>
          <w:tcPr>
            <w:tcW w:type="dxa" w:w="1468"/>
            <w:vAlign w:val="top"/>
          </w:tcPr>
          <w:p>
            <w:pPr>
              <w:spacing w:after="60" w:line="259" w:lineRule="auto"/>
            </w:pPr>
            <w:r>
              <w:rPr>
                <w:rFonts w:ascii="Calibri" w:hAnsi="Calibri"/>
                <w:b w:val="0"/>
                <w:i w:val="0"/>
                <w:color w:val="212121"/>
                <w:sz w:val="19"/>
              </w:rPr>
              <w:t>Malnutrition is the single biggest risk factor for childhood pneumonia in India</w:t>
            </w:r>
          </w:p>
          <w:p>
            <w:pPr>
              <w:spacing w:after="40" w:line="252" w:lineRule="auto"/>
            </w:pPr>
            <w:hyperlink r:id="rId9">
              <w:r>
                <w:rPr>
                  <w:rFonts w:ascii="Calibri" w:hAnsi="Calibri" w:cs="Calibri"/>
                  <w:sz w:val="18"/>
                  <w:color w:val="1155CC"/>
                  <w:u w:val="single"/>
                </w:rPr>
                <w:t xml:space="preserve">https://www.theweek.in/news/health/2025/11/12/preventable-yet-deadly-why-pneumonia-still-kills-thousands-of-indian-children.html</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Immunisation status (PCV, Hib, measles, influenza)</w:t>
            </w:r>
          </w:p>
        </w:tc>
        <w:tc>
          <w:tcPr>
            <w:tcW w:type="dxa" w:w="1655"/>
            <w:vAlign w:val="top"/>
          </w:tcPr>
          <w:p>
            <w:pPr>
              <w:spacing w:after="40" w:before="0" w:line="259" w:lineRule="auto"/>
            </w:pPr>
            <w:r>
              <w:rPr>
                <w:rFonts w:ascii="Calibri" w:hAnsi="Calibri"/>
                <w:b w:val="0"/>
                <w:i w:val="0"/>
                <w:color w:val="212121"/>
                <w:sz w:val="19"/>
              </w:rPr>
              <w:t>Children, elderly, comorbid &amp; immunocompromised</w:t>
            </w:r>
          </w:p>
        </w:tc>
        <w:tc>
          <w:tcPr>
            <w:tcW w:type="dxa" w:w="1512"/>
            <w:vAlign w:val="top"/>
          </w:tcPr>
          <w:p>
            <w:pPr>
              <w:spacing w:after="40" w:before="0" w:line="259" w:lineRule="auto"/>
            </w:pPr>
            <w:r>
              <w:rPr>
                <w:rFonts w:ascii="Calibri" w:hAnsi="Calibri"/>
                <w:b w:val="0"/>
                <w:i w:val="0"/>
                <w:color w:val="212121"/>
                <w:sz w:val="19"/>
              </w:rPr>
              <w:t>Age-appropriate &amp; up to date</w:t>
            </w:r>
          </w:p>
        </w:tc>
        <w:tc>
          <w:tcPr>
            <w:tcW w:type="dxa" w:w="1512"/>
            <w:vAlign w:val="top"/>
          </w:tcPr>
          <w:p>
            <w:pPr>
              <w:spacing w:after="40" w:before="0" w:line="259" w:lineRule="auto"/>
            </w:pPr>
            <w:r>
              <w:rPr>
                <w:rFonts w:ascii="Calibri" w:hAnsi="Calibri"/>
                <w:b w:val="0"/>
                <w:i w:val="0"/>
                <w:color w:val="212121"/>
                <w:sz w:val="19"/>
              </w:rPr>
              <w:t>Unvaccinated / incomplete schedule</w:t>
            </w:r>
          </w:p>
        </w:tc>
        <w:tc>
          <w:tcPr>
            <w:tcW w:type="dxa" w:w="1468"/>
            <w:vAlign w:val="top"/>
          </w:tcPr>
          <w:p>
            <w:pPr>
              <w:spacing w:after="60" w:line="259" w:lineRule="auto"/>
            </w:pPr>
            <w:r>
              <w:rPr>
                <w:rFonts w:ascii="Calibri" w:hAnsi="Calibri"/>
                <w:b w:val="0"/>
                <w:i w:val="0"/>
                <w:color w:val="212121"/>
                <w:sz w:val="19"/>
              </w:rPr>
              <w:t>Vaccination is the most effective pneumonia-prevention measure</w:t>
            </w:r>
          </w:p>
          <w:p>
            <w:pPr>
              <w:spacing w:after="40" w:line="252" w:lineRule="auto"/>
            </w:pPr>
            <w:hyperlink r:id="rId12">
              <w:r>
                <w:rPr>
                  <w:rFonts w:ascii="Calibri" w:hAnsi="Calibri" w:cs="Calibri"/>
                  <w:sz w:val="18"/>
                  <w:color w:val="1155CC"/>
                  <w:u w:val="single"/>
                </w:rPr>
                <w:t xml:space="preserve">https://www.who.int/news-room/fact-sheets/detail/pneumonia</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exposure (cigarettes/bidis per day; pack-years)</w:t>
            </w:r>
          </w:p>
        </w:tc>
        <w:tc>
          <w:tcPr>
            <w:tcW w:type="dxa" w:w="1655"/>
            <w:vAlign w:val="top"/>
          </w:tcPr>
          <w:p>
            <w:pPr>
              <w:spacing w:after="40" w:before="0" w:line="259" w:lineRule="auto"/>
            </w:pPr>
            <w:r>
              <w:rPr>
                <w:rFonts w:ascii="Calibri" w:hAnsi="Calibri"/>
                <w:b w:val="0"/>
                <w:i w:val="0"/>
                <w:color w:val="212121"/>
                <w:sz w:val="19"/>
              </w:rPr>
              <w:t>Smokers, ex-smokers, exposed children</w:t>
            </w:r>
          </w:p>
        </w:tc>
        <w:tc>
          <w:tcPr>
            <w:tcW w:type="dxa" w:w="1512"/>
            <w:vAlign w:val="top"/>
          </w:tcPr>
          <w:p>
            <w:pPr>
              <w:spacing w:after="40" w:before="0" w:line="259" w:lineRule="auto"/>
            </w:pPr>
            <w:r>
              <w:rPr>
                <w:rFonts w:ascii="Calibri" w:hAnsi="Calibri"/>
                <w:b w:val="0"/>
                <w:i w:val="0"/>
                <w:color w:val="212121"/>
                <w:sz w:val="19"/>
              </w:rPr>
              <w:t>0 (never smoker / smoke-free home)</w:t>
            </w:r>
          </w:p>
        </w:tc>
        <w:tc>
          <w:tcPr>
            <w:tcW w:type="dxa" w:w="1512"/>
            <w:vAlign w:val="top"/>
          </w:tcPr>
          <w:p>
            <w:pPr>
              <w:spacing w:after="40" w:before="0" w:line="259" w:lineRule="auto"/>
            </w:pPr>
            <w:r>
              <w:rPr>
                <w:rFonts w:ascii="Calibri" w:hAnsi="Calibri"/>
                <w:b w:val="0"/>
                <w:i w:val="0"/>
                <w:color w:val="212121"/>
                <w:sz w:val="19"/>
              </w:rPr>
              <w:t>≥ 1/day or any household/passive smoke</w:t>
            </w:r>
          </w:p>
        </w:tc>
        <w:tc>
          <w:tcPr>
            <w:tcW w:type="dxa" w:w="1468"/>
            <w:vAlign w:val="top"/>
          </w:tcPr>
          <w:p>
            <w:pPr>
              <w:spacing w:after="40" w:before="0" w:line="259" w:lineRule="auto"/>
            </w:pPr>
            <w:r>
              <w:rPr>
                <w:rFonts w:ascii="Calibri" w:hAnsi="Calibri"/>
                <w:b w:val="0"/>
                <w:i w:val="0"/>
                <w:color w:val="212121"/>
                <w:sz w:val="19"/>
              </w:rPr>
              <w:t>Any smoke exposure raises pneumococcal pneumonia risk and death</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Adults with pneumonia</w:t>
            </w:r>
          </w:p>
        </w:tc>
        <w:tc>
          <w:tcPr>
            <w:tcW w:type="dxa" w:w="1512"/>
            <w:vAlign w:val="top"/>
          </w:tcPr>
          <w:p>
            <w:pPr>
              <w:spacing w:after="40" w:before="0" w:line="259" w:lineRule="auto"/>
            </w:pPr>
            <w:r>
              <w:rPr>
                <w:rFonts w:ascii="Calibri" w:hAnsi="Calibri"/>
                <w:b w:val="0"/>
                <w:i w:val="0"/>
                <w:color w:val="212121"/>
                <w:sz w:val="19"/>
              </w:rPr>
              <w:t>≤ 14 units/week or none</w:t>
            </w:r>
          </w:p>
        </w:tc>
        <w:tc>
          <w:tcPr>
            <w:tcW w:type="dxa" w:w="1512"/>
            <w:vAlign w:val="top"/>
          </w:tcPr>
          <w:p>
            <w:pPr>
              <w:spacing w:after="40" w:before="0" w:line="259" w:lineRule="auto"/>
            </w:pPr>
            <w:r>
              <w:rPr>
                <w:rFonts w:ascii="Calibri" w:hAnsi="Calibri"/>
                <w:b w:val="0"/>
                <w:i w:val="0"/>
                <w:color w:val="212121"/>
                <w:sz w:val="19"/>
              </w:rPr>
              <w:t>&gt; 14 units/week / binge drinking</w:t>
            </w:r>
          </w:p>
        </w:tc>
        <w:tc>
          <w:tcPr>
            <w:tcW w:type="dxa" w:w="1468"/>
            <w:vAlign w:val="top"/>
          </w:tcPr>
          <w:p>
            <w:pPr>
              <w:spacing w:after="40" w:before="0" w:line="259" w:lineRule="auto"/>
            </w:pPr>
            <w:r>
              <w:rPr>
                <w:rFonts w:ascii="Calibri" w:hAnsi="Calibri"/>
                <w:b w:val="0"/>
                <w:i w:val="0"/>
                <w:color w:val="212121"/>
                <w:sz w:val="19"/>
              </w:rPr>
              <w:t>Heavy use impairs immunity and swallow/cough reflexes and raises aspiration risk</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Mobility / duration of bed rest</w:t>
            </w:r>
          </w:p>
        </w:tc>
        <w:tc>
          <w:tcPr>
            <w:tcW w:type="dxa" w:w="1655"/>
            <w:vAlign w:val="top"/>
          </w:tcPr>
          <w:p>
            <w:pPr>
              <w:spacing w:after="40" w:before="0" w:line="259" w:lineRule="auto"/>
            </w:pPr>
            <w:r>
              <w:rPr>
                <w:rFonts w:ascii="Calibri" w:hAnsi="Calibri"/>
                <w:b w:val="0"/>
                <w:i w:val="0"/>
                <w:color w:val="212121"/>
                <w:sz w:val="19"/>
              </w:rPr>
              <w:t>Hospitalised, post-operative, elderly</w:t>
            </w:r>
          </w:p>
        </w:tc>
        <w:tc>
          <w:tcPr>
            <w:tcW w:type="dxa" w:w="1512"/>
            <w:vAlign w:val="top"/>
          </w:tcPr>
          <w:p>
            <w:pPr>
              <w:spacing w:after="40" w:before="0" w:line="259" w:lineRule="auto"/>
            </w:pPr>
            <w:r>
              <w:rPr>
                <w:rFonts w:ascii="Calibri" w:hAnsi="Calibri"/>
                <w:b w:val="0"/>
                <w:i w:val="0"/>
                <w:color w:val="212121"/>
                <w:sz w:val="19"/>
              </w:rPr>
              <w:t>Early mobilisation, minimal bed rest</w:t>
            </w:r>
          </w:p>
        </w:tc>
        <w:tc>
          <w:tcPr>
            <w:tcW w:type="dxa" w:w="1512"/>
            <w:vAlign w:val="top"/>
          </w:tcPr>
          <w:p>
            <w:pPr>
              <w:spacing w:after="40" w:before="0" w:line="259" w:lineRule="auto"/>
            </w:pPr>
            <w:r>
              <w:rPr>
                <w:rFonts w:ascii="Calibri" w:hAnsi="Calibri"/>
                <w:b w:val="0"/>
                <w:i w:val="0"/>
                <w:color w:val="212121"/>
                <w:sz w:val="19"/>
              </w:rPr>
              <w:t>Prolonged immobility / bedbound</w:t>
            </w:r>
          </w:p>
        </w:tc>
        <w:tc>
          <w:tcPr>
            <w:tcW w:type="dxa" w:w="1468"/>
            <w:vAlign w:val="top"/>
          </w:tcPr>
          <w:p>
            <w:pPr>
              <w:spacing w:after="40" w:before="0" w:line="259" w:lineRule="auto"/>
            </w:pPr>
            <w:r>
              <w:rPr>
                <w:rFonts w:ascii="Calibri" w:hAnsi="Calibri"/>
                <w:b w:val="0"/>
                <w:i w:val="0"/>
                <w:color w:val="212121"/>
                <w:sz w:val="19"/>
              </w:rPr>
              <w:t>Immobility promotes hypostatic and aspiration pneumonia</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Head-of-bed elevation</w:t>
            </w:r>
          </w:p>
        </w:tc>
        <w:tc>
          <w:tcPr>
            <w:tcW w:type="dxa" w:w="1655"/>
            <w:vAlign w:val="top"/>
          </w:tcPr>
          <w:p>
            <w:pPr>
              <w:spacing w:after="40" w:before="0" w:line="259" w:lineRule="auto"/>
            </w:pPr>
            <w:r>
              <w:rPr>
                <w:rFonts w:ascii="Calibri" w:hAnsi="Calibri"/>
                <w:b w:val="0"/>
                <w:i w:val="0"/>
                <w:color w:val="212121"/>
                <w:sz w:val="19"/>
              </w:rPr>
              <w:t>Tube-fed, ventilated or reduced-consciousness patients</w:t>
            </w:r>
          </w:p>
        </w:tc>
        <w:tc>
          <w:tcPr>
            <w:tcW w:type="dxa" w:w="1512"/>
            <w:vAlign w:val="top"/>
          </w:tcPr>
          <w:p>
            <w:pPr>
              <w:spacing w:after="40" w:before="0" w:line="259" w:lineRule="auto"/>
            </w:pPr>
            <w:r>
              <w:rPr>
                <w:rFonts w:ascii="Calibri" w:hAnsi="Calibri"/>
                <w:b w:val="0"/>
                <w:i w:val="0"/>
                <w:color w:val="212121"/>
                <w:sz w:val="19"/>
              </w:rPr>
              <w:t>30–45° semi-recumbent</w:t>
            </w:r>
          </w:p>
        </w:tc>
        <w:tc>
          <w:tcPr>
            <w:tcW w:type="dxa" w:w="1512"/>
            <w:vAlign w:val="top"/>
          </w:tcPr>
          <w:p>
            <w:pPr>
              <w:spacing w:after="40" w:before="0" w:line="259" w:lineRule="auto"/>
            </w:pPr>
            <w:r>
              <w:rPr>
                <w:rFonts w:ascii="Calibri" w:hAnsi="Calibri"/>
                <w:b w:val="0"/>
                <w:i w:val="0"/>
                <w:color w:val="212121"/>
                <w:sz w:val="19"/>
              </w:rPr>
              <w:t>Flat/supine feeding position</w:t>
            </w:r>
          </w:p>
        </w:tc>
        <w:tc>
          <w:tcPr>
            <w:tcW w:type="dxa" w:w="1468"/>
            <w:vAlign w:val="top"/>
          </w:tcPr>
          <w:p>
            <w:pPr>
              <w:spacing w:after="40" w:before="0" w:line="259" w:lineRule="auto"/>
            </w:pPr>
            <w:r>
              <w:rPr>
                <w:rFonts w:ascii="Calibri" w:hAnsi="Calibri"/>
                <w:b w:val="0"/>
                <w:i w:val="0"/>
                <w:color w:val="212121"/>
                <w:sz w:val="19"/>
              </w:rPr>
              <w:t>Semi-recumbent posture reduces aspiration and ventilator-associated pneumonia</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Blood urea (CURB-65 component)</w:t>
            </w:r>
          </w:p>
        </w:tc>
        <w:tc>
          <w:tcPr>
            <w:tcW w:type="dxa" w:w="1655"/>
            <w:vAlign w:val="top"/>
          </w:tcPr>
          <w:p>
            <w:pPr>
              <w:spacing w:after="40" w:before="0" w:line="259" w:lineRule="auto"/>
            </w:pPr>
            <w:r>
              <w:rPr>
                <w:rFonts w:ascii="Calibri" w:hAnsi="Calibri"/>
                <w:b w:val="0"/>
                <w:i w:val="0"/>
                <w:color w:val="212121"/>
                <w:sz w:val="19"/>
              </w:rPr>
              <w:t>Adults with CAP</w:t>
            </w:r>
          </w:p>
        </w:tc>
        <w:tc>
          <w:tcPr>
            <w:tcW w:type="dxa" w:w="1512"/>
            <w:vAlign w:val="top"/>
          </w:tcPr>
          <w:p>
            <w:pPr>
              <w:spacing w:after="40" w:before="0" w:line="259" w:lineRule="auto"/>
            </w:pPr>
            <w:r>
              <w:rPr>
                <w:rFonts w:ascii="Calibri" w:hAnsi="Calibri"/>
                <w:b w:val="0"/>
                <w:i w:val="0"/>
                <w:color w:val="212121"/>
                <w:sz w:val="19"/>
              </w:rPr>
              <w:t>&lt; 7 mmol/L (&lt; ~42 mg/dL urea)</w:t>
            </w:r>
          </w:p>
        </w:tc>
        <w:tc>
          <w:tcPr>
            <w:tcW w:type="dxa" w:w="1512"/>
            <w:vAlign w:val="top"/>
          </w:tcPr>
          <w:p>
            <w:pPr>
              <w:spacing w:after="40" w:before="0" w:line="259" w:lineRule="auto"/>
            </w:pPr>
            <w:r>
              <w:rPr>
                <w:rFonts w:ascii="Calibri" w:hAnsi="Calibri"/>
                <w:b w:val="0"/>
                <w:i w:val="0"/>
                <w:color w:val="212121"/>
                <w:sz w:val="19"/>
              </w:rPr>
              <w:t>&gt; 7 mmol/L (scores 1 point)</w:t>
            </w:r>
          </w:p>
        </w:tc>
        <w:tc>
          <w:tcPr>
            <w:tcW w:type="dxa" w:w="1468"/>
            <w:vAlign w:val="top"/>
          </w:tcPr>
          <w:p>
            <w:pPr>
              <w:spacing w:after="60" w:line="259" w:lineRule="auto"/>
            </w:pPr>
            <w:r>
              <w:rPr>
                <w:rFonts w:ascii="Calibri" w:hAnsi="Calibri"/>
                <w:b w:val="0"/>
                <w:i w:val="0"/>
                <w:color w:val="212121"/>
                <w:sz w:val="19"/>
              </w:rPr>
              <w:t>Part of CURB-65 severity score guiding admission and ICU decisions</w:t>
            </w:r>
          </w:p>
          <w:p>
            <w:pPr>
              <w:spacing w:after="40" w:line="252" w:lineRule="auto"/>
            </w:pPr>
            <w:hyperlink r:id="rId14">
              <w:r>
                <w:rPr>
                  <w:rFonts w:ascii="Calibri" w:hAnsi="Calibri" w:cs="Calibri"/>
                  <w:sz w:val="18"/>
                  <w:color w:val="1155CC"/>
                  <w:u w:val="single"/>
                </w:rPr>
                <w:t xml:space="preserve">https://ijmr.org.in/community-acquired-bacterial-pneumonia-in-adults-an-update/</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New consolidation / infiltrate</w:t>
            </w:r>
          </w:p>
        </w:tc>
        <w:tc>
          <w:tcPr>
            <w:tcW w:type="dxa" w:w="892"/>
            <w:vAlign w:val="top"/>
          </w:tcPr>
          <w:p>
            <w:pPr>
              <w:spacing w:after="40" w:before="0" w:line="259" w:lineRule="auto"/>
            </w:pPr>
            <w:r>
              <w:rPr>
                <w:rFonts w:ascii="Calibri" w:hAnsi="Calibri"/>
                <w:b w:val="0"/>
                <w:i w:val="0"/>
                <w:color w:val="212121"/>
                <w:sz w:val="16"/>
              </w:rPr>
              <w:t>Chest X-ray (PA ± lateral)</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Lobar/patchy consolidation, air bronchograms, effusion</w:t>
            </w:r>
          </w:p>
        </w:tc>
        <w:tc>
          <w:tcPr>
            <w:tcW w:type="dxa" w:w="1036"/>
            <w:vAlign w:val="top"/>
          </w:tcPr>
          <w:p>
            <w:pPr>
              <w:spacing w:after="40" w:before="0" w:line="259" w:lineRule="auto"/>
            </w:pPr>
            <w:r>
              <w:rPr>
                <w:rFonts w:ascii="Calibri" w:hAnsi="Calibri"/>
                <w:b w:val="0"/>
                <w:i w:val="0"/>
                <w:color w:val="212121"/>
                <w:sz w:val="16"/>
              </w:rPr>
              <w:t>Confirms pneumonia and defines extent; detects effusion, abscess, cavitation</w:t>
            </w:r>
          </w:p>
        </w:tc>
        <w:tc>
          <w:tcPr>
            <w:tcW w:type="dxa" w:w="1036"/>
            <w:vAlign w:val="top"/>
          </w:tcPr>
          <w:p>
            <w:pPr>
              <w:spacing w:after="40" w:before="0" w:line="259" w:lineRule="auto"/>
            </w:pPr>
            <w:r>
              <w:rPr>
                <w:rFonts w:ascii="Calibri" w:hAnsi="Calibri"/>
                <w:b w:val="0"/>
                <w:i w:val="0"/>
                <w:color w:val="212121"/>
                <w:sz w:val="16"/>
              </w:rPr>
              <w:t>Adults with suspected pneumonia, non-responders, severe cases</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Reference standard (adults)</w:t>
            </w:r>
          </w:p>
        </w:tc>
        <w:tc>
          <w:tcPr>
            <w:tcW w:type="dxa" w:w="720"/>
            <w:vAlign w:val="top"/>
          </w:tcPr>
          <w:p>
            <w:pPr>
              <w:spacing w:after="40" w:before="0" w:line="259" w:lineRule="auto"/>
            </w:pPr>
            <w:r>
              <w:rPr>
                <w:rFonts w:ascii="Calibri" w:hAnsi="Calibri"/>
                <w:b w:val="0"/>
                <w:i w:val="0"/>
                <w:color w:val="212121"/>
                <w:sz w:val="16"/>
              </w:rPr>
              <w:t>May lag clinically; in India also helps exclude/identify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Oxygen saturation (SpO2)</w:t>
            </w:r>
          </w:p>
        </w:tc>
        <w:tc>
          <w:tcPr>
            <w:tcW w:type="dxa" w:w="892"/>
            <w:vAlign w:val="top"/>
          </w:tcPr>
          <w:p>
            <w:pPr>
              <w:spacing w:after="40" w:before="0" w:line="259" w:lineRule="auto"/>
            </w:pPr>
            <w:r>
              <w:rPr>
                <w:rFonts w:ascii="Calibri" w:hAnsi="Calibri"/>
                <w:b w:val="0"/>
                <w:i w:val="0"/>
                <w:color w:val="212121"/>
                <w:sz w:val="16"/>
              </w:rPr>
              <w:t>Pulse oximetry</w:t>
            </w:r>
          </w:p>
        </w:tc>
        <w:tc>
          <w:tcPr>
            <w:tcW w:type="dxa" w:w="950"/>
            <w:vAlign w:val="top"/>
          </w:tcPr>
          <w:p>
            <w:pPr>
              <w:spacing w:after="40" w:before="0" w:line="259" w:lineRule="auto"/>
            </w:pPr>
            <w:r>
              <w:rPr>
                <w:rFonts w:ascii="Calibri" w:hAnsi="Calibri"/>
                <w:b w:val="0"/>
                <w:i w:val="0"/>
                <w:color w:val="212121"/>
                <w:sz w:val="16"/>
              </w:rPr>
              <w:t>≥ 94% room air</w:t>
            </w:r>
          </w:p>
        </w:tc>
        <w:tc>
          <w:tcPr>
            <w:tcW w:type="dxa" w:w="950"/>
            <w:vAlign w:val="top"/>
          </w:tcPr>
          <w:p>
            <w:pPr>
              <w:spacing w:after="40" w:before="0" w:line="259" w:lineRule="auto"/>
            </w:pPr>
            <w:r>
              <w:rPr>
                <w:rFonts w:ascii="Calibri" w:hAnsi="Calibri"/>
                <w:b w:val="0"/>
                <w:i w:val="0"/>
                <w:color w:val="212121"/>
                <w:sz w:val="16"/>
              </w:rPr>
              <w:t>&lt; 90% (hypoxaemia)</w:t>
            </w:r>
          </w:p>
        </w:tc>
        <w:tc>
          <w:tcPr>
            <w:tcW w:type="dxa" w:w="1036"/>
            <w:vAlign w:val="top"/>
          </w:tcPr>
          <w:p>
            <w:pPr>
              <w:spacing w:after="40" w:before="0" w:line="259" w:lineRule="auto"/>
            </w:pPr>
            <w:r>
              <w:rPr>
                <w:rFonts w:ascii="Calibri" w:hAnsi="Calibri"/>
                <w:b w:val="0"/>
                <w:i w:val="0"/>
                <w:color w:val="212121"/>
                <w:sz w:val="16"/>
              </w:rPr>
              <w:t>Detects hypoxaemia, a key marker of severe pneumonia needing oxygen/admission</w:t>
            </w:r>
          </w:p>
        </w:tc>
        <w:tc>
          <w:tcPr>
            <w:tcW w:type="dxa" w:w="1036"/>
            <w:vAlign w:val="top"/>
          </w:tcPr>
          <w:p>
            <w:pPr>
              <w:spacing w:after="40" w:before="0" w:line="259" w:lineRule="auto"/>
            </w:pPr>
            <w:r>
              <w:rPr>
                <w:rFonts w:ascii="Calibri" w:hAnsi="Calibri"/>
                <w:b w:val="0"/>
                <w:i w:val="0"/>
                <w:color w:val="212121"/>
                <w:sz w:val="16"/>
              </w:rPr>
              <w:t>All patients, especially children &amp;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triage</w:t>
            </w:r>
          </w:p>
        </w:tc>
        <w:tc>
          <w:tcPr>
            <w:tcW w:type="dxa" w:w="720"/>
            <w:vAlign w:val="top"/>
          </w:tcPr>
          <w:p>
            <w:pPr>
              <w:spacing w:after="40" w:before="0" w:line="259" w:lineRule="auto"/>
            </w:pPr>
            <w:r>
              <w:rPr>
                <w:rFonts w:ascii="Calibri" w:hAnsi="Calibri"/>
                <w:b w:val="0"/>
                <w:i w:val="0"/>
                <w:color w:val="212121"/>
                <w:sz w:val="16"/>
              </w:rPr>
              <w:t>Non-invasive; unreliable in poor perfusion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&amp; differential leucocyte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WBC 4–11 ×10⁹/L</w:t>
            </w:r>
          </w:p>
        </w:tc>
        <w:tc>
          <w:tcPr>
            <w:tcW w:type="dxa" w:w="950"/>
            <w:vAlign w:val="top"/>
          </w:tcPr>
          <w:p>
            <w:pPr>
              <w:spacing w:after="40" w:before="0" w:line="259" w:lineRule="auto"/>
            </w:pPr>
            <w:r>
              <w:rPr>
                <w:rFonts w:ascii="Calibri" w:hAnsi="Calibri"/>
                <w:b w:val="0"/>
                <w:i w:val="0"/>
                <w:color w:val="212121"/>
                <w:sz w:val="16"/>
              </w:rPr>
              <w:t>Neutrophilic leucocytosis; leucopenia in severe sepsis</w:t>
            </w:r>
          </w:p>
        </w:tc>
        <w:tc>
          <w:tcPr>
            <w:tcW w:type="dxa" w:w="1036"/>
            <w:vAlign w:val="top"/>
          </w:tcPr>
          <w:p>
            <w:pPr>
              <w:spacing w:after="40" w:before="0" w:line="259" w:lineRule="auto"/>
            </w:pPr>
            <w:r>
              <w:rPr>
                <w:rFonts w:ascii="Calibri" w:hAnsi="Calibri"/>
                <w:b w:val="0"/>
                <w:i w:val="0"/>
                <w:color w:val="212121"/>
                <w:sz w:val="16"/>
              </w:rPr>
              <w:t>Supports bacterial infection; leucopenia and marked leucocytosis both signal severity</w:t>
            </w:r>
          </w:p>
        </w:tc>
        <w:tc>
          <w:tcPr>
            <w:tcW w:type="dxa" w:w="1036"/>
            <w:vAlign w:val="top"/>
          </w:tcPr>
          <w:p>
            <w:pPr>
              <w:spacing w:after="40" w:before="0" w:line="259" w:lineRule="auto"/>
            </w:pPr>
            <w:r>
              <w:rPr>
                <w:rFonts w:ascii="Calibri" w:hAnsi="Calibri"/>
                <w:b w:val="0"/>
                <w:i w:val="0"/>
                <w:color w:val="212121"/>
                <w:sz w:val="16"/>
              </w:rPr>
              <w:t>All hospitalised pneumonia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detects anaemia that worsens hypoxia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 Procalcitonin</w:t>
            </w:r>
          </w:p>
        </w:tc>
        <w:tc>
          <w:tcPr>
            <w:tcW w:type="dxa" w:w="892"/>
            <w:vAlign w:val="top"/>
          </w:tcPr>
          <w:p>
            <w:pPr>
              <w:spacing w:after="40" w:before="0" w:line="259" w:lineRule="auto"/>
            </w:pPr>
            <w:r>
              <w:rPr>
                <w:rFonts w:ascii="Calibri" w:hAnsi="Calibri"/>
                <w:b w:val="0"/>
                <w:i w:val="0"/>
                <w:color w:val="212121"/>
                <w:sz w:val="16"/>
              </w:rPr>
              <w:t>Inflammatory biomarkers</w:t>
            </w:r>
          </w:p>
        </w:tc>
        <w:tc>
          <w:tcPr>
            <w:tcW w:type="dxa" w:w="950"/>
            <w:vAlign w:val="top"/>
          </w:tcPr>
          <w:p>
            <w:pPr>
              <w:spacing w:after="40" w:before="0" w:line="259" w:lineRule="auto"/>
            </w:pPr>
            <w:r>
              <w:rPr>
                <w:rFonts w:ascii="Calibri" w:hAnsi="Calibri"/>
                <w:b w:val="0"/>
                <w:i w:val="0"/>
                <w:color w:val="212121"/>
                <w:sz w:val="16"/>
              </w:rPr>
              <w:t>CRP &lt; 10 mg/L; PCT &lt; 0.25 µg/L</w:t>
            </w:r>
          </w:p>
        </w:tc>
        <w:tc>
          <w:tcPr>
            <w:tcW w:type="dxa" w:w="950"/>
            <w:vAlign w:val="top"/>
          </w:tcPr>
          <w:p>
            <w:pPr>
              <w:spacing w:after="40" w:before="0" w:line="259" w:lineRule="auto"/>
            </w:pPr>
            <w:r>
              <w:rPr>
                <w:rFonts w:ascii="Calibri" w:hAnsi="Calibri"/>
                <w:b w:val="0"/>
                <w:i w:val="0"/>
                <w:color w:val="212121"/>
                <w:sz w:val="16"/>
              </w:rPr>
              <w:t>CRP markedly raised; PCT ≥ 0.25–0.5 µg/L</w:t>
            </w:r>
          </w:p>
        </w:tc>
        <w:tc>
          <w:tcPr>
            <w:tcW w:type="dxa" w:w="1036"/>
            <w:vAlign w:val="top"/>
          </w:tcPr>
          <w:p>
            <w:pPr>
              <w:spacing w:after="40" w:before="0" w:line="259" w:lineRule="auto"/>
            </w:pPr>
            <w:r>
              <w:rPr>
                <w:rFonts w:ascii="Calibri" w:hAnsi="Calibri"/>
                <w:b w:val="0"/>
                <w:i w:val="0"/>
                <w:color w:val="212121"/>
                <w:sz w:val="16"/>
              </w:rPr>
              <w:t>Support bacterial aetiology, severity and antibiotic decisions/duration</w:t>
            </w:r>
          </w:p>
        </w:tc>
        <w:tc>
          <w:tcPr>
            <w:tcW w:type="dxa" w:w="1036"/>
            <w:vAlign w:val="top"/>
          </w:tcPr>
          <w:p>
            <w:pPr>
              <w:spacing w:after="40" w:before="0" w:line="259" w:lineRule="auto"/>
            </w:pPr>
            <w:r>
              <w:rPr>
                <w:rFonts w:ascii="Calibri" w:hAnsi="Calibri"/>
                <w:b w:val="0"/>
                <w:i w:val="0"/>
                <w:color w:val="212121"/>
                <w:sz w:val="16"/>
              </w:rPr>
              <w:t>Adults with CAP,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stewardship</w:t>
            </w:r>
          </w:p>
        </w:tc>
        <w:tc>
          <w:tcPr>
            <w:tcW w:type="dxa" w:w="720"/>
            <w:vAlign w:val="top"/>
          </w:tcPr>
          <w:p>
            <w:pPr>
              <w:spacing w:after="40" w:before="0" w:line="259" w:lineRule="auto"/>
            </w:pPr>
            <w:r>
              <w:rPr>
                <w:rFonts w:ascii="Calibri" w:hAnsi="Calibri"/>
                <w:b w:val="0"/>
                <w:i w:val="0"/>
                <w:color w:val="212121"/>
                <w:sz w:val="16"/>
              </w:rPr>
              <w:t>Serial fall indicates treatment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Gram stain &amp; culture</w:t>
            </w:r>
          </w:p>
        </w:tc>
        <w:tc>
          <w:tcPr>
            <w:tcW w:type="dxa" w:w="892"/>
            <w:vAlign w:val="top"/>
          </w:tcPr>
          <w:p>
            <w:pPr>
              <w:spacing w:after="40" w:before="0" w:line="259" w:lineRule="auto"/>
            </w:pPr>
            <w:r>
              <w:rPr>
                <w:rFonts w:ascii="Calibri" w:hAnsi="Calibri"/>
                <w:b w:val="0"/>
                <w:i w:val="0"/>
                <w:color w:val="212121"/>
                <w:sz w:val="16"/>
              </w:rPr>
              <w:t>Sputum examination</w:t>
            </w:r>
          </w:p>
        </w:tc>
        <w:tc>
          <w:tcPr>
            <w:tcW w:type="dxa" w:w="950"/>
            <w:vAlign w:val="top"/>
          </w:tcPr>
          <w:p>
            <w:pPr>
              <w:spacing w:after="40" w:before="0" w:line="259" w:lineRule="auto"/>
            </w:pPr>
            <w:r>
              <w:rPr>
                <w:rFonts w:ascii="Calibri" w:hAnsi="Calibri"/>
                <w:b w:val="0"/>
                <w:i w:val="0"/>
                <w:color w:val="212121"/>
                <w:sz w:val="16"/>
              </w:rPr>
              <w:t>Commensal flora</w:t>
            </w:r>
          </w:p>
        </w:tc>
        <w:tc>
          <w:tcPr>
            <w:tcW w:type="dxa" w:w="950"/>
            <w:vAlign w:val="top"/>
          </w:tcPr>
          <w:p>
            <w:pPr>
              <w:spacing w:after="40" w:before="0" w:line="259" w:lineRule="auto"/>
            </w:pPr>
            <w:r>
              <w:rPr>
                <w:rFonts w:ascii="Calibri" w:hAnsi="Calibri"/>
                <w:b w:val="0"/>
                <w:i w:val="0"/>
                <w:color w:val="212121"/>
                <w:sz w:val="16"/>
              </w:rPr>
              <w:t>Predominant pathogen with pus cells (e.g., pneumococci, Klebsiella)</w:t>
            </w:r>
          </w:p>
        </w:tc>
        <w:tc>
          <w:tcPr>
            <w:tcW w:type="dxa" w:w="1036"/>
            <w:vAlign w:val="top"/>
          </w:tcPr>
          <w:p>
            <w:pPr>
              <w:spacing w:after="40" w:before="0" w:line="259" w:lineRule="auto"/>
            </w:pPr>
            <w:r>
              <w:rPr>
                <w:rFonts w:ascii="Calibri" w:hAnsi="Calibri"/>
                <w:b w:val="0"/>
                <w:i w:val="0"/>
                <w:color w:val="212121"/>
                <w:sz w:val="16"/>
              </w:rPr>
              <w:t>Identifies pathogen and susceptibility to allow targeted, narrow-spectrum therapy</w:t>
            </w:r>
          </w:p>
        </w:tc>
        <w:tc>
          <w:tcPr>
            <w:tcW w:type="dxa" w:w="1036"/>
            <w:vAlign w:val="top"/>
          </w:tcPr>
          <w:p>
            <w:pPr>
              <w:spacing w:after="40" w:before="0" w:line="259" w:lineRule="auto"/>
            </w:pPr>
            <w:r>
              <w:rPr>
                <w:rFonts w:ascii="Calibri" w:hAnsi="Calibri"/>
                <w:b w:val="0"/>
                <w:i w:val="0"/>
                <w:color w:val="212121"/>
                <w:sz w:val="16"/>
              </w:rPr>
              <w:t>Hospitalised CAP, non-responders, suspected resistant organisms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Directs therapy</w:t>
            </w:r>
          </w:p>
        </w:tc>
        <w:tc>
          <w:tcPr>
            <w:tcW w:type="dxa" w:w="720"/>
            <w:vAlign w:val="top"/>
          </w:tcPr>
          <w:p>
            <w:pPr>
              <w:spacing w:after="40" w:before="0" w:line="259" w:lineRule="auto"/>
            </w:pPr>
            <w:r>
              <w:rPr>
                <w:rFonts w:ascii="Calibri" w:hAnsi="Calibri"/>
                <w:b w:val="0"/>
                <w:i w:val="0"/>
                <w:color w:val="212121"/>
                <w:sz w:val="16"/>
              </w:rPr>
              <w:t>Yield depends on sample quality; obtain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cultures ± urinary antigen</w:t>
            </w:r>
          </w:p>
        </w:tc>
        <w:tc>
          <w:tcPr>
            <w:tcW w:type="dxa" w:w="892"/>
            <w:vAlign w:val="top"/>
          </w:tcPr>
          <w:p>
            <w:pPr>
              <w:spacing w:after="40" w:before="0" w:line="259" w:lineRule="auto"/>
            </w:pPr>
            <w:r>
              <w:rPr>
                <w:rFonts w:ascii="Calibri" w:hAnsi="Calibri"/>
                <w:b w:val="0"/>
                <w:i w:val="0"/>
                <w:color w:val="212121"/>
                <w:sz w:val="16"/>
              </w:rPr>
              <w:t>Blood culture; pneumococcal/Legionella antigen</w:t>
            </w:r>
          </w:p>
        </w:tc>
        <w:tc>
          <w:tcPr>
            <w:tcW w:type="dxa" w:w="950"/>
            <w:vAlign w:val="top"/>
          </w:tcPr>
          <w:p>
            <w:pPr>
              <w:spacing w:after="40" w:before="0" w:line="259" w:lineRule="auto"/>
            </w:pPr>
            <w:r>
              <w:rPr>
                <w:rFonts w:ascii="Calibri" w:hAnsi="Calibri"/>
                <w:b w:val="0"/>
                <w:i w:val="0"/>
                <w:color w:val="212121"/>
                <w:sz w:val="16"/>
              </w:rPr>
              <w:t>No growth; antigen negative</w:t>
            </w:r>
          </w:p>
        </w:tc>
        <w:tc>
          <w:tcPr>
            <w:tcW w:type="dxa" w:w="950"/>
            <w:vAlign w:val="top"/>
          </w:tcPr>
          <w:p>
            <w:pPr>
              <w:spacing w:after="40" w:before="0" w:line="259" w:lineRule="auto"/>
            </w:pPr>
            <w:r>
              <w:rPr>
                <w:rFonts w:ascii="Calibri" w:hAnsi="Calibri"/>
                <w:b w:val="0"/>
                <w:i w:val="0"/>
                <w:color w:val="212121"/>
                <w:sz w:val="16"/>
              </w:rPr>
              <w:t>Bacteraemia; positive pneumococcal/Legionella antigen</w:t>
            </w:r>
          </w:p>
        </w:tc>
        <w:tc>
          <w:tcPr>
            <w:tcW w:type="dxa" w:w="1036"/>
            <w:vAlign w:val="top"/>
          </w:tcPr>
          <w:p>
            <w:pPr>
              <w:spacing w:after="40" w:before="0" w:line="259" w:lineRule="auto"/>
            </w:pPr>
            <w:r>
              <w:rPr>
                <w:rFonts w:ascii="Calibri" w:hAnsi="Calibri"/>
                <w:b w:val="0"/>
                <w:i w:val="0"/>
                <w:color w:val="212121"/>
                <w:sz w:val="16"/>
              </w:rPr>
              <w:t>Detects bacteraemia (higher mortality) and specific pathogens rapidly</w:t>
            </w:r>
          </w:p>
        </w:tc>
        <w:tc>
          <w:tcPr>
            <w:tcW w:type="dxa" w:w="1036"/>
            <w:vAlign w:val="top"/>
          </w:tcPr>
          <w:p>
            <w:pPr>
              <w:spacing w:after="40" w:before="0" w:line="259" w:lineRule="auto"/>
            </w:pPr>
            <w:r>
              <w:rPr>
                <w:rFonts w:ascii="Calibri" w:hAnsi="Calibri"/>
                <w:b w:val="0"/>
                <w:i w:val="0"/>
                <w:color w:val="212121"/>
                <w:sz w:val="16"/>
              </w:rPr>
              <w:t>Severe CAP, sepsis, ICU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targeted</w:t>
            </w:r>
          </w:p>
        </w:tc>
        <w:tc>
          <w:tcPr>
            <w:tcW w:type="dxa" w:w="720"/>
            <w:vAlign w:val="top"/>
          </w:tcPr>
          <w:p>
            <w:pPr>
              <w:spacing w:after="40" w:before="0" w:line="259" w:lineRule="auto"/>
            </w:pPr>
            <w:r>
              <w:rPr>
                <w:rFonts w:ascii="Calibri" w:hAnsi="Calibri"/>
                <w:b w:val="0"/>
                <w:i w:val="0"/>
                <w:color w:val="212121"/>
                <w:sz w:val="16"/>
              </w:rPr>
              <w:t>Blood-culture yield low (~6–9%) but higher in severe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 serology</w:t>
            </w:r>
          </w:p>
        </w:tc>
        <w:tc>
          <w:tcPr>
            <w:tcW w:type="dxa" w:w="1036"/>
            <w:vAlign w:val="top"/>
          </w:tcPr>
          <w:p>
            <w:pPr>
              <w:spacing w:after="40" w:before="0" w:line="259" w:lineRule="auto"/>
            </w:pPr>
            <w:r>
              <w:rPr>
                <w:rFonts w:ascii="Calibri" w:hAnsi="Calibri"/>
                <w:b w:val="0"/>
                <w:i w:val="0"/>
                <w:color w:val="212121"/>
                <w:sz w:val="16"/>
              </w:rPr>
              <w:t>Respiratory viral &amp; atypical PCR</w:t>
            </w:r>
          </w:p>
        </w:tc>
        <w:tc>
          <w:tcPr>
            <w:tcW w:type="dxa" w:w="892"/>
            <w:vAlign w:val="top"/>
          </w:tcPr>
          <w:p>
            <w:pPr>
              <w:spacing w:after="40" w:before="0" w:line="259" w:lineRule="auto"/>
            </w:pPr>
            <w:r>
              <w:rPr>
                <w:rFonts w:ascii="Calibri" w:hAnsi="Calibri"/>
                <w:b w:val="0"/>
                <w:i w:val="0"/>
                <w:color w:val="212121"/>
                <w:sz w:val="16"/>
              </w:rPr>
              <w:t>Multiplex PCR (influenza, RSV, SARS-CoV-2, atypicals)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Viral or atypical pathogen detected</w:t>
            </w:r>
          </w:p>
        </w:tc>
        <w:tc>
          <w:tcPr>
            <w:tcW w:type="dxa" w:w="1036"/>
            <w:vAlign w:val="top"/>
          </w:tcPr>
          <w:p>
            <w:pPr>
              <w:spacing w:after="40" w:before="0" w:line="259" w:lineRule="auto"/>
            </w:pPr>
            <w:r>
              <w:rPr>
                <w:rFonts w:ascii="Calibri" w:hAnsi="Calibri"/>
                <w:b w:val="0"/>
                <w:i w:val="0"/>
                <w:color w:val="212121"/>
                <w:sz w:val="16"/>
              </w:rPr>
              <w:t>Identifies viral and atypical causes, guiding antiviral use and antibiotic de-escalation/isolation</w:t>
            </w:r>
          </w:p>
        </w:tc>
        <w:tc>
          <w:tcPr>
            <w:tcW w:type="dxa" w:w="1036"/>
            <w:vAlign w:val="top"/>
          </w:tcPr>
          <w:p>
            <w:pPr>
              <w:spacing w:after="40" w:before="0" w:line="259" w:lineRule="auto"/>
            </w:pPr>
            <w:r>
              <w:rPr>
                <w:rFonts w:ascii="Calibri" w:hAnsi="Calibri"/>
                <w:b w:val="0"/>
                <w:i w:val="0"/>
                <w:color w:val="212121"/>
                <w:sz w:val="16"/>
              </w:rPr>
              <w:t>Outbreaks, severe/atypical cases, immunocompromised</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Especially useful in influenza season and pandemics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 renal function &amp; ABG</w:t>
            </w:r>
          </w:p>
        </w:tc>
        <w:tc>
          <w:tcPr>
            <w:tcW w:type="dxa" w:w="892"/>
            <w:vAlign w:val="top"/>
          </w:tcPr>
          <w:p>
            <w:pPr>
              <w:spacing w:after="40" w:before="0" w:line="259" w:lineRule="auto"/>
            </w:pPr>
            <w:r>
              <w:rPr>
                <w:rFonts w:ascii="Calibri" w:hAnsi="Calibri"/>
                <w:b w:val="0"/>
                <w:i w:val="0"/>
                <w:color w:val="212121"/>
                <w:sz w:val="16"/>
              </w:rPr>
              <w:t>Urea, electrolytes, arterial blood gas</w:t>
            </w:r>
          </w:p>
        </w:tc>
        <w:tc>
          <w:tcPr>
            <w:tcW w:type="dxa" w:w="950"/>
            <w:vAlign w:val="top"/>
          </w:tcPr>
          <w:p>
            <w:pPr>
              <w:spacing w:after="40" w:before="0" w:line="259" w:lineRule="auto"/>
            </w:pPr>
            <w:r>
              <w:rPr>
                <w:rFonts w:ascii="Calibri" w:hAnsi="Calibri"/>
                <w:b w:val="0"/>
                <w:i w:val="0"/>
                <w:color w:val="212121"/>
                <w:sz w:val="16"/>
              </w:rPr>
              <w:t>Urea &lt; 7 mmol/L; PaO2 80–100 mmHg</w:t>
            </w:r>
          </w:p>
        </w:tc>
        <w:tc>
          <w:tcPr>
            <w:tcW w:type="dxa" w:w="950"/>
            <w:vAlign w:val="top"/>
          </w:tcPr>
          <w:p>
            <w:pPr>
              <w:spacing w:after="40" w:before="0" w:line="259" w:lineRule="auto"/>
            </w:pPr>
            <w:r>
              <w:rPr>
                <w:rFonts w:ascii="Calibri" w:hAnsi="Calibri"/>
                <w:b w:val="0"/>
                <w:i w:val="0"/>
                <w:color w:val="212121"/>
                <w:sz w:val="16"/>
              </w:rPr>
              <w:t>Urea &gt; 7 mmol/L; PaO2 &lt; 60 mmHg / acidosis</w:t>
            </w:r>
          </w:p>
        </w:tc>
        <w:tc>
          <w:tcPr>
            <w:tcW w:type="dxa" w:w="1036"/>
            <w:vAlign w:val="top"/>
          </w:tcPr>
          <w:p>
            <w:pPr>
              <w:spacing w:after="40" w:before="0" w:line="259" w:lineRule="auto"/>
            </w:pPr>
            <w:r>
              <w:rPr>
                <w:rFonts w:ascii="Calibri" w:hAnsi="Calibri"/>
                <w:b w:val="0"/>
                <w:i w:val="0"/>
                <w:color w:val="212121"/>
                <w:sz w:val="16"/>
              </w:rPr>
              <w:t>Feeds CURB-65 severity scoring and detects respiratory failure and AKI</w:t>
            </w:r>
          </w:p>
        </w:tc>
        <w:tc>
          <w:tcPr>
            <w:tcW w:type="dxa" w:w="1036"/>
            <w:vAlign w:val="top"/>
          </w:tcPr>
          <w:p>
            <w:pPr>
              <w:spacing w:after="40" w:before="0" w:line="259" w:lineRule="auto"/>
            </w:pPr>
            <w:r>
              <w:rPr>
                <w:rFonts w:ascii="Calibri" w:hAnsi="Calibri"/>
                <w:b w:val="0"/>
                <w:i w:val="0"/>
                <w:color w:val="212121"/>
                <w:sz w:val="16"/>
              </w:rPr>
              <w:t>Adults with CAP, severe/elderly patients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Severity scoring</w:t>
            </w:r>
          </w:p>
        </w:tc>
        <w:tc>
          <w:tcPr>
            <w:tcW w:type="dxa" w:w="720"/>
            <w:vAlign w:val="top"/>
          </w:tcPr>
          <w:p>
            <w:pPr>
              <w:spacing w:after="40" w:before="0" w:line="259" w:lineRule="auto"/>
            </w:pPr>
            <w:r>
              <w:rPr>
                <w:rFonts w:ascii="Calibri" w:hAnsi="Calibri"/>
                <w:b w:val="0"/>
                <w:i w:val="0"/>
                <w:color w:val="212121"/>
                <w:sz w:val="16"/>
              </w:rPr>
              <w:t>Raised urea and hypoxaemia both mark severe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Fever, cough with sputum, breathlessness, pleuritic chest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onset of any combination of these</w:t>
            </w:r>
          </w:p>
        </w:tc>
        <w:tc>
          <w:tcPr>
            <w:tcW w:type="dxa" w:w="1036"/>
            <w:vAlign w:val="top"/>
          </w:tcPr>
          <w:p>
            <w:pPr>
              <w:spacing w:after="40" w:before="0" w:line="259" w:lineRule="auto"/>
            </w:pPr>
            <w:r>
              <w:rPr>
                <w:rFonts w:ascii="Calibri" w:hAnsi="Calibri"/>
                <w:b w:val="0"/>
                <w:i w:val="0"/>
                <w:color w:val="212121"/>
                <w:sz w:val="16"/>
              </w:rPr>
              <w:t>Characteristic symptom cluster of an acute lower-respiratory infection</w:t>
            </w:r>
          </w:p>
        </w:tc>
        <w:tc>
          <w:tcPr>
            <w:tcW w:type="dxa" w:w="1036"/>
            <w:vAlign w:val="top"/>
          </w:tcPr>
          <w:p>
            <w:pPr>
              <w:spacing w:after="40" w:before="0" w:line="259" w:lineRule="auto"/>
            </w:pPr>
            <w:r>
              <w:rPr>
                <w:rFonts w:ascii="Calibri" w:hAnsi="Calibri"/>
                <w:b w:val="0"/>
                <w:i w:val="0"/>
                <w:color w:val="212121"/>
                <w:sz w:val="16"/>
              </w:rPr>
              <w:t>Adults &amp; children with acute febrile respiratory illness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Elderly may present only with confusion, falls or decompensated comorbidity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&amp; exposure history</w:t>
            </w:r>
          </w:p>
        </w:tc>
        <w:tc>
          <w:tcPr>
            <w:tcW w:type="dxa" w:w="979"/>
            <w:vAlign w:val="top"/>
          </w:tcPr>
          <w:p>
            <w:pPr>
              <w:spacing w:after="40" w:before="0" w:line="259" w:lineRule="auto"/>
            </w:pPr>
            <w:r>
              <w:rPr>
                <w:rFonts w:ascii="Calibri" w:hAnsi="Calibri"/>
                <w:b w:val="0"/>
                <w:i w:val="0"/>
                <w:color w:val="212121"/>
                <w:sz w:val="16"/>
              </w:rPr>
              <w:t>Smoking, alcohol, comorbidity, aspiration risk, sick contacts, vaccination</w:t>
            </w:r>
          </w:p>
        </w:tc>
        <w:tc>
          <w:tcPr>
            <w:tcW w:type="dxa" w:w="950"/>
            <w:vAlign w:val="top"/>
          </w:tcPr>
          <w:p>
            <w:pPr>
              <w:spacing w:after="40" w:before="0" w:line="259" w:lineRule="auto"/>
            </w:pPr>
            <w:r>
              <w:rPr>
                <w:rFonts w:ascii="Calibri" w:hAnsi="Calibri"/>
                <w:b w:val="0"/>
                <w:i w:val="0"/>
                <w:color w:val="212121"/>
                <w:sz w:val="16"/>
              </w:rPr>
              <w:t>No significant risk</w:t>
            </w:r>
          </w:p>
        </w:tc>
        <w:tc>
          <w:tcPr>
            <w:tcW w:type="dxa" w:w="950"/>
            <w:vAlign w:val="top"/>
          </w:tcPr>
          <w:p>
            <w:pPr>
              <w:spacing w:after="40" w:before="0" w:line="259" w:lineRule="auto"/>
            </w:pPr>
            <w:r>
              <w:rPr>
                <w:rFonts w:ascii="Calibri" w:hAnsi="Calibri"/>
                <w:b w:val="0"/>
                <w:i w:val="0"/>
                <w:color w:val="212121"/>
                <w:sz w:val="16"/>
              </w:rPr>
              <w:t>Smoking/bidi, COPD/diabetes/HIV, dysphagia, unvaccinated, recent influenza</w:t>
            </w:r>
          </w:p>
        </w:tc>
        <w:tc>
          <w:tcPr>
            <w:tcW w:type="dxa" w:w="1036"/>
            <w:vAlign w:val="top"/>
          </w:tcPr>
          <w:p>
            <w:pPr>
              <w:spacing w:after="40" w:before="0" w:line="259" w:lineRule="auto"/>
            </w:pPr>
            <w:r>
              <w:rPr>
                <w:rFonts w:ascii="Calibri" w:hAnsi="Calibri"/>
                <w:b w:val="0"/>
                <w:i w:val="0"/>
                <w:color w:val="212121"/>
                <w:sz w:val="16"/>
              </w:rPr>
              <w:t>Establishes pre-test probability, likely pathogens and severity risk</w:t>
            </w:r>
          </w:p>
        </w:tc>
        <w:tc>
          <w:tcPr>
            <w:tcW w:type="dxa" w:w="1036"/>
            <w:vAlign w:val="top"/>
          </w:tcPr>
          <w:p>
            <w:pPr>
              <w:spacing w:after="40" w:before="0" w:line="259" w:lineRule="auto"/>
            </w:pPr>
            <w:r>
              <w:rPr>
                <w:rFonts w:ascii="Calibri" w:hAnsi="Calibri"/>
                <w:b w:val="0"/>
                <w:i w:val="0"/>
                <w:color w:val="212121"/>
                <w:sz w:val="16"/>
              </w:rPr>
              <w:t>Smokers, alcoholics, comorbid, immunocompromised, bedbound</w:t>
            </w:r>
          </w:p>
        </w:tc>
        <w:tc>
          <w:tcPr>
            <w:tcW w:type="dxa" w:w="720"/>
            <w:vAlign w:val="top"/>
          </w:tcPr>
          <w:p>
            <w:pPr>
              <w:spacing w:after="40" w:before="0" w:line="259" w:lineRule="auto"/>
            </w:pPr>
            <w:r>
              <w:rPr>
                <w:rFonts w:ascii="Calibri" w:hAnsi="Calibri"/>
                <w:b w:val="0"/>
                <w:i w:val="0"/>
                <w:color w:val="212121"/>
                <w:sz w:val="16"/>
              </w:rPr>
              <w:t>Smoking; Alcohol; Hygiene</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Guides empirical antibiotic and admission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 signs &amp; danger signs</w:t>
            </w:r>
          </w:p>
        </w:tc>
        <w:tc>
          <w:tcPr>
            <w:tcW w:type="dxa" w:w="979"/>
            <w:vAlign w:val="top"/>
          </w:tcPr>
          <w:p>
            <w:pPr>
              <w:spacing w:after="40" w:before="0" w:line="259" w:lineRule="auto"/>
            </w:pPr>
            <w:r>
              <w:rPr>
                <w:rFonts w:ascii="Calibri" w:hAnsi="Calibri"/>
                <w:b w:val="0"/>
                <w:i w:val="0"/>
                <w:color w:val="212121"/>
                <w:sz w:val="16"/>
              </w:rPr>
              <w:t>Respiratory rate, SpO2, HR, BP, temperature, consciousness</w:t>
            </w:r>
          </w:p>
        </w:tc>
        <w:tc>
          <w:tcPr>
            <w:tcW w:type="dxa" w:w="950"/>
            <w:vAlign w:val="top"/>
          </w:tcPr>
          <w:p>
            <w:pPr>
              <w:spacing w:after="40" w:before="0" w:line="259" w:lineRule="auto"/>
            </w:pPr>
            <w:r>
              <w:rPr>
                <w:rFonts w:ascii="Calibri" w:hAnsi="Calibri"/>
                <w:b w:val="0"/>
                <w:i w:val="0"/>
                <w:color w:val="212121"/>
                <w:sz w:val="16"/>
              </w:rPr>
              <w:t>All within normal limits</w:t>
            </w:r>
          </w:p>
        </w:tc>
        <w:tc>
          <w:tcPr>
            <w:tcW w:type="dxa" w:w="950"/>
            <w:vAlign w:val="top"/>
          </w:tcPr>
          <w:p>
            <w:pPr>
              <w:spacing w:after="40" w:before="0" w:line="259" w:lineRule="auto"/>
            </w:pPr>
            <w:r>
              <w:rPr>
                <w:rFonts w:ascii="Calibri" w:hAnsi="Calibri"/>
                <w:b w:val="0"/>
                <w:i w:val="0"/>
                <w:color w:val="212121"/>
                <w:sz w:val="16"/>
              </w:rPr>
              <w:t>Tachypnoea, hypoxaemia, hypotension, tachycardia, confusion, chest indrawing (children)</w:t>
            </w:r>
          </w:p>
        </w:tc>
        <w:tc>
          <w:tcPr>
            <w:tcW w:type="dxa" w:w="1036"/>
            <w:vAlign w:val="top"/>
          </w:tcPr>
          <w:p>
            <w:pPr>
              <w:spacing w:after="40" w:before="0" w:line="259" w:lineRule="auto"/>
            </w:pPr>
            <w:r>
              <w:rPr>
                <w:rFonts w:ascii="Calibri" w:hAnsi="Calibri"/>
                <w:b w:val="0"/>
                <w:i w:val="0"/>
                <w:color w:val="212121"/>
                <w:sz w:val="16"/>
              </w:rPr>
              <w:t>Quantifies severity (CURB-65 / WHO danger signs) and need for admission or ICU</w:t>
            </w:r>
          </w:p>
        </w:tc>
        <w:tc>
          <w:tcPr>
            <w:tcW w:type="dxa" w:w="1036"/>
            <w:vAlign w:val="top"/>
          </w:tcPr>
          <w:p>
            <w:pPr>
              <w:spacing w:after="40" w:before="0" w:line="259" w:lineRule="auto"/>
            </w:pPr>
            <w:r>
              <w:rPr>
                <w:rFonts w:ascii="Calibri" w:hAnsi="Calibri"/>
                <w:b w:val="0"/>
                <w:i w:val="0"/>
                <w:color w:val="212121"/>
                <w:sz w:val="16"/>
              </w:rPr>
              <w:t>All pneumonia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Chest indrawing, grunting, cyanosis or inability to feed = severe pneumonia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Chest auscultation &amp; percussion</w:t>
            </w:r>
          </w:p>
        </w:tc>
        <w:tc>
          <w:tcPr>
            <w:tcW w:type="dxa" w:w="979"/>
            <w:vAlign w:val="top"/>
          </w:tcPr>
          <w:p>
            <w:pPr>
              <w:spacing w:after="40" w:before="0" w:line="259" w:lineRule="auto"/>
            </w:pPr>
            <w:r>
              <w:rPr>
                <w:rFonts w:ascii="Calibri" w:hAnsi="Calibri"/>
                <w:b w:val="0"/>
                <w:i w:val="0"/>
                <w:color w:val="212121"/>
                <w:sz w:val="16"/>
              </w:rPr>
              <w:t>Crackles, bronchial breathing, dullness, reduced air entry</w:t>
            </w:r>
          </w:p>
        </w:tc>
        <w:tc>
          <w:tcPr>
            <w:tcW w:type="dxa" w:w="950"/>
            <w:vAlign w:val="top"/>
          </w:tcPr>
          <w:p>
            <w:pPr>
              <w:spacing w:after="40" w:before="0" w:line="259" w:lineRule="auto"/>
            </w:pPr>
            <w:r>
              <w:rPr>
                <w:rFonts w:ascii="Calibri" w:hAnsi="Calibri"/>
                <w:b w:val="0"/>
                <w:i w:val="0"/>
                <w:color w:val="212121"/>
                <w:sz w:val="16"/>
              </w:rPr>
              <w:t>Vesicular breath sounds, resonant percussion</w:t>
            </w:r>
          </w:p>
        </w:tc>
        <w:tc>
          <w:tcPr>
            <w:tcW w:type="dxa" w:w="950"/>
            <w:vAlign w:val="top"/>
          </w:tcPr>
          <w:p>
            <w:pPr>
              <w:spacing w:after="40" w:before="0" w:line="259" w:lineRule="auto"/>
            </w:pPr>
            <w:r>
              <w:rPr>
                <w:rFonts w:ascii="Calibri" w:hAnsi="Calibri"/>
                <w:b w:val="0"/>
                <w:i w:val="0"/>
                <w:color w:val="212121"/>
                <w:sz w:val="16"/>
              </w:rPr>
              <w:t>Localised crepitations, bronchial breath sounds, dull percussion, increased vocal resonance</w:t>
            </w:r>
          </w:p>
        </w:tc>
        <w:tc>
          <w:tcPr>
            <w:tcW w:type="dxa" w:w="1036"/>
            <w:vAlign w:val="top"/>
          </w:tcPr>
          <w:p>
            <w:pPr>
              <w:spacing w:after="40" w:before="0" w:line="259" w:lineRule="auto"/>
            </w:pPr>
            <w:r>
              <w:rPr>
                <w:rFonts w:ascii="Calibri" w:hAnsi="Calibri"/>
                <w:b w:val="0"/>
                <w:i w:val="0"/>
                <w:color w:val="212121"/>
                <w:sz w:val="16"/>
              </w:rPr>
              <w:t>Signs of consolidation confirming focal lung involvement</w:t>
            </w:r>
          </w:p>
        </w:tc>
        <w:tc>
          <w:tcPr>
            <w:tcW w:type="dxa" w:w="1036"/>
            <w:vAlign w:val="top"/>
          </w:tcPr>
          <w:p>
            <w:pPr>
              <w:spacing w:after="40" w:before="0" w:line="259" w:lineRule="auto"/>
            </w:pPr>
            <w:r>
              <w:rPr>
                <w:rFonts w:ascii="Calibri" w:hAnsi="Calibri"/>
                <w:b w:val="0"/>
                <w:i w:val="0"/>
                <w:color w:val="212121"/>
                <w:sz w:val="16"/>
              </w:rPr>
              <w:t>Adults &amp; children with suspected pneumonia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Stony dullness with absent breath sounds suggests parapneumonic effusion/empyema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hypoxia &amp; sepsis</w:t>
            </w:r>
          </w:p>
        </w:tc>
        <w:tc>
          <w:tcPr>
            <w:tcW w:type="dxa" w:w="979"/>
            <w:vAlign w:val="top"/>
          </w:tcPr>
          <w:p>
            <w:pPr>
              <w:spacing w:after="40" w:before="0" w:line="259" w:lineRule="auto"/>
            </w:pPr>
            <w:r>
              <w:rPr>
                <w:rFonts w:ascii="Calibri" w:hAnsi="Calibri"/>
                <w:b w:val="0"/>
                <w:i w:val="0"/>
                <w:color w:val="212121"/>
                <w:sz w:val="16"/>
              </w:rPr>
              <w:t>Central cyanosis, accessory-muscle use, mottling, poor perfusion</w:t>
            </w:r>
          </w:p>
        </w:tc>
        <w:tc>
          <w:tcPr>
            <w:tcW w:type="dxa" w:w="950"/>
            <w:vAlign w:val="top"/>
          </w:tcPr>
          <w:p>
            <w:pPr>
              <w:spacing w:after="40" w:before="0" w:line="259" w:lineRule="auto"/>
            </w:pPr>
            <w:r>
              <w:rPr>
                <w:rFonts w:ascii="Calibri" w:hAnsi="Calibri"/>
                <w:b w:val="0"/>
                <w:i w:val="0"/>
                <w:color w:val="212121"/>
                <w:sz w:val="16"/>
              </w:rPr>
              <w:t>Comfortable, well perfused</w:t>
            </w:r>
          </w:p>
        </w:tc>
        <w:tc>
          <w:tcPr>
            <w:tcW w:type="dxa" w:w="950"/>
            <w:vAlign w:val="top"/>
          </w:tcPr>
          <w:p>
            <w:pPr>
              <w:spacing w:after="40" w:before="0" w:line="259" w:lineRule="auto"/>
            </w:pPr>
            <w:r>
              <w:rPr>
                <w:rFonts w:ascii="Calibri" w:hAnsi="Calibri"/>
                <w:b w:val="0"/>
                <w:i w:val="0"/>
                <w:color w:val="212121"/>
                <w:sz w:val="16"/>
              </w:rPr>
              <w:t>Cyanosis, nasal flaring/grunting, cool peripheries, prolonged capillary refill</w:t>
            </w:r>
          </w:p>
        </w:tc>
        <w:tc>
          <w:tcPr>
            <w:tcW w:type="dxa" w:w="1036"/>
            <w:vAlign w:val="top"/>
          </w:tcPr>
          <w:p>
            <w:pPr>
              <w:spacing w:after="40" w:before="0" w:line="259" w:lineRule="auto"/>
            </w:pPr>
            <w:r>
              <w:rPr>
                <w:rFonts w:ascii="Calibri" w:hAnsi="Calibri"/>
                <w:b w:val="0"/>
                <w:i w:val="0"/>
                <w:color w:val="212121"/>
                <w:sz w:val="16"/>
              </w:rPr>
              <w:t>Marks respiratory failure and septic shock requiring urgent escalation</w:t>
            </w:r>
          </w:p>
        </w:tc>
        <w:tc>
          <w:tcPr>
            <w:tcW w:type="dxa" w:w="1036"/>
            <w:vAlign w:val="top"/>
          </w:tcPr>
          <w:p>
            <w:pPr>
              <w:spacing w:after="40" w:before="0" w:line="259" w:lineRule="auto"/>
            </w:pPr>
            <w:r>
              <w:rPr>
                <w:rFonts w:ascii="Calibri" w:hAnsi="Calibri"/>
                <w:b w:val="0"/>
                <w:i w:val="0"/>
                <w:color w:val="212121"/>
                <w:sz w:val="16"/>
              </w:rPr>
              <w:t>Severe pneumonia, sepsis, ICU candidates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Prompts oxygen, fluids, early antibiotics and senior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Swallowing &amp; aspiration assessment</w:t>
            </w:r>
          </w:p>
        </w:tc>
        <w:tc>
          <w:tcPr>
            <w:tcW w:type="dxa" w:w="979"/>
            <w:vAlign w:val="top"/>
          </w:tcPr>
          <w:p>
            <w:pPr>
              <w:spacing w:after="40" w:before="0" w:line="259" w:lineRule="auto"/>
            </w:pPr>
            <w:r>
              <w:rPr>
                <w:rFonts w:ascii="Calibri" w:hAnsi="Calibri"/>
                <w:b w:val="0"/>
                <w:i w:val="0"/>
                <w:color w:val="212121"/>
                <w:sz w:val="16"/>
              </w:rPr>
              <w:t>Dysphagia, reduced consciousness, poor dentition, tube feeding</w:t>
            </w:r>
          </w:p>
        </w:tc>
        <w:tc>
          <w:tcPr>
            <w:tcW w:type="dxa" w:w="950"/>
            <w:vAlign w:val="top"/>
          </w:tcPr>
          <w:p>
            <w:pPr>
              <w:spacing w:after="40" w:before="0" w:line="259" w:lineRule="auto"/>
            </w:pPr>
            <w:r>
              <w:rPr>
                <w:rFonts w:ascii="Calibri" w:hAnsi="Calibri"/>
                <w:b w:val="0"/>
                <w:i w:val="0"/>
                <w:color w:val="212121"/>
                <w:sz w:val="16"/>
              </w:rPr>
              <w:t>Safe swallow, alert</w:t>
            </w:r>
          </w:p>
        </w:tc>
        <w:tc>
          <w:tcPr>
            <w:tcW w:type="dxa" w:w="950"/>
            <w:vAlign w:val="top"/>
          </w:tcPr>
          <w:p>
            <w:pPr>
              <w:spacing w:after="40" w:before="0" w:line="259" w:lineRule="auto"/>
            </w:pPr>
            <w:r>
              <w:rPr>
                <w:rFonts w:ascii="Calibri" w:hAnsi="Calibri"/>
                <w:b w:val="0"/>
                <w:i w:val="0"/>
                <w:color w:val="212121"/>
                <w:sz w:val="16"/>
              </w:rPr>
              <w:t>Choking on feeds, wet voice, obtunded, recent aspiration event</w:t>
            </w:r>
          </w:p>
        </w:tc>
        <w:tc>
          <w:tcPr>
            <w:tcW w:type="dxa" w:w="1036"/>
            <w:vAlign w:val="top"/>
          </w:tcPr>
          <w:p>
            <w:pPr>
              <w:spacing w:after="40" w:before="0" w:line="259" w:lineRule="auto"/>
            </w:pPr>
            <w:r>
              <w:rPr>
                <w:rFonts w:ascii="Calibri" w:hAnsi="Calibri"/>
                <w:b w:val="0"/>
                <w:i w:val="0"/>
                <w:color w:val="212121"/>
                <w:sz w:val="16"/>
              </w:rPr>
              <w:t>Identifies aspiration pneumonia risk and need for swallow assessment/positioning</w:t>
            </w:r>
          </w:p>
        </w:tc>
        <w:tc>
          <w:tcPr>
            <w:tcW w:type="dxa" w:w="1036"/>
            <w:vAlign w:val="top"/>
          </w:tcPr>
          <w:p>
            <w:pPr>
              <w:spacing w:after="40" w:before="0" w:line="259" w:lineRule="auto"/>
            </w:pPr>
            <w:r>
              <w:rPr>
                <w:rFonts w:ascii="Calibri" w:hAnsi="Calibri"/>
                <w:b w:val="0"/>
                <w:i w:val="0"/>
                <w:color w:val="212121"/>
                <w:sz w:val="16"/>
              </w:rPr>
              <w:t>Stroke, elderly, alcohol, neurological &amp; tube-fed patients</w:t>
            </w:r>
          </w:p>
        </w:tc>
        <w:tc>
          <w:tcPr>
            <w:tcW w:type="dxa" w:w="720"/>
            <w:vAlign w:val="top"/>
          </w:tcPr>
          <w:p>
            <w:pPr>
              <w:spacing w:after="40" w:before="0" w:line="259" w:lineRule="auto"/>
            </w:pPr>
            <w:r>
              <w:rPr>
                <w:rFonts w:ascii="Calibri" w:hAnsi="Calibri"/>
                <w:b w:val="0"/>
                <w:i w:val="0"/>
                <w:color w:val="212121"/>
                <w:sz w:val="16"/>
              </w:rPr>
              <w:t>Posture; Alcohol</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Directs bedside swallow screen, upright feeding and oral care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 with 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fever, often with shaking chills, reflecting the acute infective/inflammatory response; may be blunted or absent in the elderly.</w:t>
            </w:r>
          </w:p>
        </w:tc>
      </w:tr>
      <w:tr>
        <w:trPr>
          <w:cantSplit/>
        </w:trPr>
        <w:tc>
          <w:tcPr>
            <w:tcW w:type="dxa" w:w="2304"/>
            <w:vAlign w:val="top"/>
          </w:tcPr>
          <w:p>
            <w:pPr>
              <w:spacing w:after="40" w:before="0" w:line="259" w:lineRule="auto"/>
            </w:pPr>
            <w:r>
              <w:rPr>
                <w:rFonts w:ascii="Calibri" w:hAnsi="Calibri"/>
                <w:b/>
                <w:i w:val="0"/>
                <w:color w:val="212121"/>
                <w:sz w:val="19"/>
              </w:rPr>
              <w:t>Cough (productive)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Cough producing purulent, yellow-green or classically ‘rusty’ sputum; may be dry early or with atypical/viral pneumonia.</w:t>
            </w:r>
          </w:p>
        </w:tc>
      </w:tr>
      <w:tr>
        <w:trPr>
          <w:cantSplit/>
        </w:trPr>
        <w:tc>
          <w:tcPr>
            <w:tcW w:type="dxa" w:w="2304"/>
            <w:vAlign w:val="top"/>
          </w:tcPr>
          <w:p>
            <w:pPr>
              <w:spacing w:after="40" w:before="0" w:line="259" w:lineRule="auto"/>
            </w:pPr>
            <w:r>
              <w:rPr>
                <w:rFonts w:ascii="Calibri" w:hAnsi="Calibri"/>
                <w:b/>
                <w:i w:val="0"/>
                <w:color w:val="212121"/>
                <w:sz w:val="19"/>
              </w:rPr>
              <w:t>Breathlessness / rapid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Dyspnoea and tachypnoea from impaired gas exchange over consolidated lung; fast breathing is the key field sign in children.</w:t>
            </w:r>
          </w:p>
        </w:tc>
      </w:tr>
      <w:tr>
        <w:trPr>
          <w:cantSplit/>
        </w:trPr>
        <w:tc>
          <w:tcPr>
            <w:tcW w:type="dxa" w:w="2304"/>
            <w:vAlign w:val="top"/>
          </w:tcPr>
          <w:p>
            <w:pPr>
              <w:spacing w:after="40" w:before="0" w:line="259" w:lineRule="auto"/>
            </w:pPr>
            <w:r>
              <w:rPr>
                <w:rFonts w:ascii="Calibri" w:hAnsi="Calibri"/>
                <w:b/>
                <w:i w:val="0"/>
                <w:color w:val="212121"/>
                <w:sz w:val="19"/>
              </w:rPr>
              <w:t>Pleuritic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localised pain worse on deep breathing or coughing, from inflammation of the adjacent pleura.</w:t>
            </w:r>
          </w:p>
        </w:tc>
      </w:tr>
      <w:tr>
        <w:trPr>
          <w:cantSplit/>
        </w:trPr>
        <w:tc>
          <w:tcPr>
            <w:tcW w:type="dxa" w:w="2304"/>
            <w:vAlign w:val="top"/>
          </w:tcPr>
          <w:p>
            <w:pPr>
              <w:spacing w:after="40" w:before="0" w:line="259" w:lineRule="auto"/>
            </w:pPr>
            <w:r>
              <w:rPr>
                <w:rFonts w:ascii="Calibri" w:hAnsi="Calibri"/>
                <w:b/>
                <w:i w:val="0"/>
                <w:color w:val="212121"/>
                <w:sz w:val="19"/>
              </w:rPr>
              <w:t>Fatigue, malaise &amp; reduced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effects of infection; poor feeding is an important danger sign in young children.</w:t>
            </w:r>
          </w:p>
        </w:tc>
      </w:tr>
      <w:tr>
        <w:trPr>
          <w:cantSplit/>
        </w:trPr>
        <w:tc>
          <w:tcPr>
            <w:tcW w:type="dxa" w:w="2304"/>
            <w:vAlign w:val="top"/>
          </w:tcPr>
          <w:p>
            <w:pPr>
              <w:spacing w:after="40" w:before="0" w:line="259" w:lineRule="auto"/>
            </w:pPr>
            <w:r>
              <w:rPr>
                <w:rFonts w:ascii="Calibri" w:hAnsi="Calibri"/>
                <w:b/>
                <w:i w:val="0"/>
                <w:color w:val="212121"/>
                <w:sz w:val="19"/>
              </w:rPr>
              <w:t>Sweating and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Drenching sweats, headache and body aches accompany the febrile systemic response.</w:t>
            </w:r>
          </w:p>
        </w:tc>
      </w:tr>
      <w:tr>
        <w:trPr>
          <w:cantSplit/>
        </w:trPr>
        <w:tc>
          <w:tcPr>
            <w:tcW w:type="dxa" w:w="2304"/>
            <w:vAlign w:val="top"/>
          </w:tcPr>
          <w:p>
            <w:pPr>
              <w:spacing w:after="40" w:before="0" w:line="259" w:lineRule="auto"/>
            </w:pPr>
            <w:r>
              <w:rPr>
                <w:rFonts w:ascii="Calibri" w:hAnsi="Calibri"/>
                <w:b/>
                <w:i w:val="0"/>
                <w:color w:val="212121"/>
                <w:sz w:val="19"/>
              </w:rPr>
              <w:t>Chest indrawing / grunting (children)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Lower-chest wall indrawing, nasal flaring and grunting indicate severe pneumonia in infants and young children.</w:t>
            </w:r>
          </w:p>
        </w:tc>
      </w:tr>
      <w:tr>
        <w:trPr>
          <w:cantSplit/>
        </w:trPr>
        <w:tc>
          <w:tcPr>
            <w:tcW w:type="dxa" w:w="2304"/>
            <w:vAlign w:val="top"/>
          </w:tcPr>
          <w:p>
            <w:pPr>
              <w:spacing w:after="40" w:before="0" w:line="259" w:lineRule="auto"/>
            </w:pPr>
            <w:r>
              <w:rPr>
                <w:rFonts w:ascii="Calibri" w:hAnsi="Calibri"/>
                <w:b/>
                <w:i w:val="0"/>
                <w:color w:val="212121"/>
                <w:sz w:val="19"/>
              </w:rPr>
              <w:t>Confusion / delirium (elderly)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New confusion may be the ONLY presenting feature in older adults and is part of the CURB-65 severity score.</w:t>
            </w:r>
          </w:p>
        </w:tc>
      </w:tr>
      <w:tr>
        <w:trPr>
          <w:cantSplit/>
        </w:trPr>
        <w:tc>
          <w:tcPr>
            <w:tcW w:type="dxa" w:w="2304"/>
            <w:vAlign w:val="top"/>
          </w:tcPr>
          <w:p>
            <w:pPr>
              <w:spacing w:after="40" w:before="0" w:line="259" w:lineRule="auto"/>
            </w:pPr>
            <w:r>
              <w:rPr>
                <w:rFonts w:ascii="Calibri" w:hAnsi="Calibri"/>
                <w:b/>
                <w:i w:val="0"/>
                <w:color w:val="212121"/>
                <w:sz w:val="19"/>
              </w:rPr>
              <w:t>Nausea, vomiting or 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Gastrointestinal symptoms are common in children and with atypical (e.g., Legionella) or lower-lobe pneumonia.</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with pneumococcal or Klebsiella (‘currant-jelly’ sputum) pneumonia; always exclude TB and malignancy in India.</w:t>
            </w:r>
          </w:p>
        </w:tc>
      </w:tr>
      <w:tr>
        <w:trPr>
          <w:cantSplit/>
        </w:trPr>
        <w:tc>
          <w:tcPr>
            <w:tcW w:type="dxa" w:w="2304"/>
            <w:vAlign w:val="top"/>
          </w:tcPr>
          <w:p>
            <w:pPr>
              <w:spacing w:after="40" w:before="0" w:line="259" w:lineRule="auto"/>
            </w:pPr>
            <w:r>
              <w:rPr>
                <w:rFonts w:ascii="Calibri" w:hAnsi="Calibri"/>
                <w:b/>
                <w:i w:val="0"/>
                <w:color w:val="212121"/>
                <w:sz w:val="19"/>
              </w:rPr>
              <w:t>Cyanosis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Bluish lips/tongue indicates significant hypoxaemia and severe pneumonia — a medical emergency.</w:t>
            </w:r>
          </w:p>
        </w:tc>
      </w:tr>
      <w:tr>
        <w:trPr>
          <w:cantSplit/>
        </w:trPr>
        <w:tc>
          <w:tcPr>
            <w:tcW w:type="dxa" w:w="2304"/>
            <w:vAlign w:val="top"/>
          </w:tcPr>
          <w:p>
            <w:pPr>
              <w:spacing w:after="40" w:before="0" w:line="259" w:lineRule="auto"/>
            </w:pPr>
            <w:r>
              <w:rPr>
                <w:rFonts w:ascii="Calibri" w:hAnsi="Calibri"/>
                <w:b/>
                <w:i w:val="0"/>
                <w:color w:val="212121"/>
                <w:sz w:val="19"/>
              </w:rPr>
              <w:t>Signs of septic shock (collapse, low urine output)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Hypotension, drowsiness and reduced urine output signal severe sepsis/septic shock requiring resuscitation.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Tachypnoea (raised respiratory rate)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Age-specific fast breathing is the most sensitive sign of pneumonia, especially in children.</w:t>
            </w:r>
          </w:p>
        </w:tc>
      </w:tr>
      <w:tr>
        <w:trPr>
          <w:cantSplit/>
        </w:trPr>
        <w:tc>
          <w:tcPr>
            <w:tcW w:type="dxa" w:w="3456"/>
            <w:vAlign w:val="top"/>
          </w:tcPr>
          <w:p>
            <w:pPr>
              <w:spacing w:after="40" w:before="0" w:line="259" w:lineRule="auto"/>
            </w:pPr>
            <w:r>
              <w:rPr>
                <w:rFonts w:ascii="Calibri" w:hAnsi="Calibri"/>
                <w:b/>
                <w:i w:val="0"/>
                <w:color w:val="212121"/>
                <w:sz w:val="19"/>
              </w:rPr>
              <w:t>Fever (or hypothermia in severe sepsis)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Pyrexia is usual; hypothermia in severe cases and the frail elderly is an adverse sign.</w:t>
            </w:r>
          </w:p>
        </w:tc>
      </w:tr>
      <w:tr>
        <w:trPr>
          <w:cantSplit/>
        </w:trPr>
        <w:tc>
          <w:tcPr>
            <w:tcW w:type="dxa" w:w="3456"/>
            <w:vAlign w:val="top"/>
          </w:tcPr>
          <w:p>
            <w:pPr>
              <w:spacing w:after="40" w:before="0" w:line="259" w:lineRule="auto"/>
            </w:pPr>
            <w:r>
              <w:rPr>
                <w:rFonts w:ascii="Calibri" w:hAnsi="Calibri"/>
                <w:b/>
                <w:i w:val="0"/>
                <w:color w:val="212121"/>
                <w:sz w:val="19"/>
              </w:rPr>
              <w:t>Crackles /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inspiratory crackles over the affected lobe on auscultation — a hallmark of consolidation.</w:t>
            </w:r>
          </w:p>
        </w:tc>
      </w:tr>
      <w:tr>
        <w:trPr>
          <w:cantSplit/>
        </w:trPr>
        <w:tc>
          <w:tcPr>
            <w:tcW w:type="dxa" w:w="3456"/>
            <w:vAlign w:val="top"/>
          </w:tcPr>
          <w:p>
            <w:pPr>
              <w:spacing w:after="40" w:before="0" w:line="259" w:lineRule="auto"/>
            </w:pPr>
            <w:r>
              <w:rPr>
                <w:rFonts w:ascii="Calibri" w:hAnsi="Calibri"/>
                <w:b/>
                <w:i w:val="0"/>
                <w:color w:val="212121"/>
                <w:sz w:val="19"/>
              </w:rPr>
              <w:t>Bronchial breath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Harsh, tubular breath sounds transmitted through consolidated (airless) lung.</w:t>
            </w:r>
          </w:p>
        </w:tc>
      </w:tr>
      <w:tr>
        <w:trPr>
          <w:cantSplit/>
        </w:trPr>
        <w:tc>
          <w:tcPr>
            <w:tcW w:type="dxa" w:w="3456"/>
            <w:vAlign w:val="top"/>
          </w:tcPr>
          <w:p>
            <w:pPr>
              <w:spacing w:after="40" w:before="0" w:line="259" w:lineRule="auto"/>
            </w:pPr>
            <w:r>
              <w:rPr>
                <w:rFonts w:ascii="Calibri" w:hAnsi="Calibri"/>
                <w:b/>
                <w:i w:val="0"/>
                <w:color w:val="212121"/>
                <w:sz w:val="19"/>
              </w:rPr>
              <w:t>Dullness to percussion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resonance over consolidated lung; stony dullness suggests a parapneumonic effusion.</w:t>
            </w:r>
          </w:p>
        </w:tc>
      </w:tr>
      <w:tr>
        <w:trPr>
          <w:cantSplit/>
        </w:trPr>
        <w:tc>
          <w:tcPr>
            <w:tcW w:type="dxa" w:w="3456"/>
            <w:vAlign w:val="top"/>
          </w:tcPr>
          <w:p>
            <w:pPr>
              <w:spacing w:after="40" w:before="0" w:line="259" w:lineRule="auto"/>
            </w:pPr>
            <w:r>
              <w:rPr>
                <w:rFonts w:ascii="Calibri" w:hAnsi="Calibri"/>
                <w:b/>
                <w:i w:val="0"/>
                <w:color w:val="212121"/>
                <w:sz w:val="19"/>
              </w:rPr>
              <w:t>Increased vocal/tactile fremitus, bronchophony &amp; whispering pectoriloquy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Enhanced sound transmission through solid lung confirms consolidation.</w:t>
            </w:r>
          </w:p>
        </w:tc>
      </w:tr>
      <w:tr>
        <w:trPr>
          <w:cantSplit/>
        </w:trPr>
        <w:tc>
          <w:tcPr>
            <w:tcW w:type="dxa" w:w="3456"/>
            <w:vAlign w:val="top"/>
          </w:tcPr>
          <w:p>
            <w:pPr>
              <w:spacing w:after="40" w:before="0" w:line="259" w:lineRule="auto"/>
            </w:pPr>
            <w:r>
              <w:rPr>
                <w:rFonts w:ascii="Calibri" w:hAnsi="Calibri"/>
                <w:b/>
                <w:i w:val="0"/>
                <w:color w:val="212121"/>
                <w:sz w:val="19"/>
              </w:rPr>
              <w:t>Tachycardia &amp; reduced SpO2</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tachycardia and low oxygen saturation reflect systemic infection and impaired gas exchange.</w:t>
            </w:r>
          </w:p>
        </w:tc>
      </w:tr>
      <w:tr>
        <w:trPr>
          <w:cantSplit/>
        </w:trPr>
        <w:tc>
          <w:tcPr>
            <w:tcW w:type="dxa" w:w="3456"/>
            <w:vAlign w:val="top"/>
          </w:tcPr>
          <w:p>
            <w:pPr>
              <w:spacing w:after="40" w:before="0" w:line="259" w:lineRule="auto"/>
            </w:pPr>
            <w:r>
              <w:rPr>
                <w:rFonts w:ascii="Calibri" w:hAnsi="Calibri"/>
                <w:b/>
                <w:i w:val="0"/>
                <w:color w:val="212121"/>
                <w:sz w:val="19"/>
              </w:rPr>
              <w:t>Lower-chest wall indrawing / grunting (children)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WHO danger sign defining severe pneumonia in infants and young children.</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tongue/lips from significant hypoxaemia in severe pneumonia.</w:t>
            </w:r>
          </w:p>
        </w:tc>
      </w:tr>
      <w:tr>
        <w:trPr>
          <w:cantSplit/>
        </w:trPr>
        <w:tc>
          <w:tcPr>
            <w:tcW w:type="dxa" w:w="3456"/>
            <w:vAlign w:val="top"/>
          </w:tcPr>
          <w:p>
            <w:pPr>
              <w:spacing w:after="40" w:before="0" w:line="259" w:lineRule="auto"/>
            </w:pPr>
            <w:r>
              <w:rPr>
                <w:rFonts w:ascii="Calibri" w:hAnsi="Calibri"/>
                <w:b/>
                <w:i w:val="0"/>
                <w:color w:val="212121"/>
                <w:sz w:val="19"/>
              </w:rPr>
              <w:t>Pleural friction rub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leathery rub heard when inflamed pleural surfaces move against each other.</w:t>
            </w:r>
          </w:p>
        </w:tc>
      </w:tr>
      <w:tr>
        <w:trPr>
          <w:cantSplit/>
        </w:trPr>
        <w:tc>
          <w:tcPr>
            <w:tcW w:type="dxa" w:w="3456"/>
            <w:vAlign w:val="top"/>
          </w:tcPr>
          <w:p>
            <w:pPr>
              <w:spacing w:after="40" w:before="0" w:line="259" w:lineRule="auto"/>
            </w:pPr>
            <w:r>
              <w:rPr>
                <w:rFonts w:ascii="Calibri" w:hAnsi="Calibri"/>
                <w:b/>
                <w:i w:val="0"/>
                <w:color w:val="212121"/>
                <w:sz w:val="19"/>
              </w:rPr>
              <w:t>Hypotension &amp; poor perfusion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Cool peripheries, prolonged capillary refill and low blood pressure indicate severe sepsis/septic shock.</w:t>
            </w:r>
          </w:p>
        </w:tc>
      </w:tr>
      <w:tr>
        <w:trPr>
          <w:cantSplit/>
        </w:trPr>
        <w:tc>
          <w:tcPr>
            <w:tcW w:type="dxa" w:w="3456"/>
            <w:vAlign w:val="top"/>
          </w:tcPr>
          <w:p>
            <w:pPr>
              <w:spacing w:after="40" w:before="0" w:line="259" w:lineRule="auto"/>
            </w:pPr>
            <w:r>
              <w:rPr>
                <w:rFonts w:ascii="Calibri" w:hAnsi="Calibri"/>
                <w:b/>
                <w:i w:val="0"/>
                <w:color w:val="212121"/>
                <w:sz w:val="19"/>
              </w:rPr>
              <w:t>Reduced/absent breath sounds with stony dullness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a large parapneumonic effusion or empyema requiring drainage.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Parapneumonic pleural effusion and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Lung abscess and necrotising pneumonia (e.g., Klebsiella, S. aureus)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hypoxaemic respiratory failure and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and septic shock</w:t>
            </w:r>
          </w:p>
        </w:tc>
        <w:tc>
          <w:tcPr>
            <w:tcW w:type="dxa" w:w="2980"/>
            <w:vAlign w:val="top"/>
          </w:tcPr>
          <w:p>
            <w:pPr>
              <w:spacing w:after="40" w:before="0" w:line="259" w:lineRule="auto"/>
            </w:pPr>
            <w:r>
              <w:rPr>
                <w:rFonts w:ascii="Calibri" w:hAnsi="Calibri"/>
                <w:b w:val="0"/>
                <w:i w:val="0"/>
                <w:color w:val="212121"/>
                <w:sz w:val="19"/>
              </w:rPr>
              <w:t>Direct local and systemic consequences of overwhelming pulmonary infection and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with metastatic infection (meningitis, endocarditis, septic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cardiac events — myocardial infarction, atrial fibrillation, decompensated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and electrolyte disturbance (including SIADH/hyponatraemia)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in severe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following influenza or other viral infection</w:t>
            </w:r>
          </w:p>
        </w:tc>
        <w:tc>
          <w:tcPr>
            <w:tcW w:type="dxa" w:w="2980"/>
            <w:vAlign w:val="top"/>
          </w:tcPr>
          <w:p>
            <w:pPr>
              <w:spacing w:after="40" w:before="0" w:line="259" w:lineRule="auto"/>
            </w:pPr>
            <w:r>
              <w:rPr>
                <w:rFonts w:ascii="Calibri" w:hAnsi="Calibri"/>
                <w:b w:val="0"/>
                <w:i w:val="0"/>
                <w:color w:val="212121"/>
                <w:sz w:val="19"/>
              </w:rPr>
              <w:t>Systemic and cardiovascular consequences of bacteraemia, hypoxaemia and the septic inflammatory response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Post-pneumonic pulmonary fibrosis / scarring and secondary bronchiectasis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pneumonia and chronic respiratory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functional decline, deconditioning and loss of independence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empyema/fibrothorax with restrictive lung defect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pneumonia remains a leading cause of infectious mortality in India across all ages</w:t>
            </w:r>
          </w:p>
        </w:tc>
        <w:tc>
          <w:tcPr>
            <w:tcW w:type="dxa" w:w="2980"/>
            <w:vAlign w:val="top"/>
          </w:tcPr>
          <w:p>
            <w:pPr>
              <w:spacing w:after="40" w:before="0" w:line="259" w:lineRule="auto"/>
            </w:pPr>
            <w:r>
              <w:rPr>
                <w:rFonts w:ascii="Calibri" w:hAnsi="Calibri"/>
                <w:b w:val="0"/>
                <w:i w:val="0"/>
                <w:color w:val="212121"/>
                <w:sz w:val="19"/>
              </w:rPr>
              <w:t>Irreversible structural, functional and fatal outcomes of severe or poorly treated pneumonia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(COPD)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Damaged, chronically inflamed airways with impaired clearance predispose to pneumonia and to more severe, exacerbation-type disease; the two frequently overlap.</w:t>
            </w:r>
          </w:p>
          <w:p>
            <w:pPr>
              <w:spacing w:after="40" w:before="0" w:line="259" w:lineRule="auto"/>
            </w:pPr>
            <w:r>
              <w:rPr>
                <w:rFonts w:ascii="Calibri" w:hAnsi="Calibri"/>
                <w:b/>
                <w:i w:val="0"/>
                <w:color w:val="212121"/>
                <w:sz w:val="19"/>
              </w:rPr>
              <w:t>~24%</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very common background comorbidity in older CAP patients that reflects cardiovascular multimorbidity and influences fluid management and prognosis.</w:t>
            </w:r>
          </w:p>
          <w:p>
            <w:pPr>
              <w:spacing w:after="40" w:before="0" w:line="259" w:lineRule="auto"/>
            </w:pPr>
            <w:r>
              <w:rPr>
                <w:rFonts w:ascii="Calibri" w:hAnsi="Calibri"/>
                <w:b/>
                <w:i w:val="0"/>
                <w:color w:val="212121"/>
                <w:sz w:val="19"/>
              </w:rPr>
              <w:t>~24%</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neutrophil and macrophage function, raising pneumonia risk (~64% higher) and severity; pneumonia in turn destabilises glycaemic control and steroids worsen hyperglycaemia.</w:t>
            </w:r>
          </w:p>
          <w:p>
            <w:pPr>
              <w:spacing w:after="40" w:before="0" w:line="259" w:lineRule="auto"/>
            </w:pPr>
            <w:r>
              <w:rPr>
                <w:rFonts w:ascii="Calibri" w:hAnsi="Calibri"/>
                <w:b/>
                <w:i w:val="0"/>
                <w:color w:val="212121"/>
                <w:sz w:val="19"/>
              </w:rPr>
              <w:t>~16%</w:t>
            </w:r>
          </w:p>
        </w:tc>
      </w:tr>
      <w:tr>
        <w:trPr>
          <w:cantSplit/>
        </w:trPr>
        <w:tc>
          <w:tcPr>
            <w:tcW w:type="dxa" w:w="2232"/>
            <w:vAlign w:val="top"/>
          </w:tcPr>
          <w:p>
            <w:pPr>
              <w:spacing w:after="40" w:before="0" w:line="259" w:lineRule="auto"/>
            </w:pPr>
            <w:r>
              <w:rPr>
                <w:rFonts w:ascii="Calibri" w:hAnsi="Calibri"/>
                <w:b/>
                <w:i w:val="0"/>
                <w:color w:val="212121"/>
                <w:sz w:val="19"/>
              </w:rPr>
              <w:t>Pulmonary tuberculosis (active or prior)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TB scarring impairs local defence and TB can coexist with, mimic or be complicated by bacterial pneumonia — a key Indian differential given the huge TB burden.</w:t>
            </w:r>
          </w:p>
          <w:p>
            <w:pPr>
              <w:spacing w:after="40" w:before="0" w:line="259" w:lineRule="auto"/>
            </w:pPr>
            <w:r>
              <w:rPr>
                <w:rFonts w:ascii="Calibri" w:hAnsi="Calibri"/>
                <w:b/>
                <w:i w:val="0"/>
                <w:color w:val="212121"/>
                <w:sz w:val="19"/>
              </w:rPr>
              <w:t>~9%</w:t>
            </w:r>
          </w:p>
        </w:tc>
      </w:tr>
      <w:tr>
        <w:trPr>
          <w:cantSplit/>
        </w:trPr>
        <w:tc>
          <w:tcPr>
            <w:tcW w:type="dxa" w:w="2232"/>
            <w:vAlign w:val="top"/>
          </w:tcPr>
          <w:p>
            <w:pPr>
              <w:spacing w:after="40" w:before="0" w:line="259" w:lineRule="auto"/>
            </w:pPr>
            <w:r>
              <w:rPr>
                <w:rFonts w:ascii="Calibri" w:hAnsi="Calibri"/>
                <w:b/>
                <w:i w:val="0"/>
                <w:color w:val="212121"/>
                <w:sz w:val="19"/>
              </w:rPr>
              <w:t>Ischaemic heart disease / heart failure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Cardiac disease raises pneumonia risk and severity, while pneumonia commonly precipitates acute MI, atrial fibrillation and decompensated heart failure.</w:t>
            </w:r>
          </w:p>
          <w:p>
            <w:pPr>
              <w:spacing w:after="40" w:before="0" w:line="259" w:lineRule="auto"/>
            </w:pPr>
            <w:r>
              <w:rPr>
                <w:rFonts w:ascii="Calibri" w:hAnsi="Calibri"/>
                <w:b/>
                <w:i w:val="0"/>
                <w:color w:val="212121"/>
                <w:sz w:val="19"/>
              </w:rPr>
              <w:t>~8%</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airway inflammation and inhaled-steroid use modestly increase pneumonia susceptibility, and infection is a common trigger of asthma exacerbations.</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Depressed immunity greatly increases bacterial and opportunistic pneumonia (e.g., Pneumocystis); pneumonia is often the presenting illness of undiagnosed HIV.</w:t>
            </w:r>
          </w:p>
          <w:p>
            <w:pPr>
              <w:spacing w:after="40" w:before="0" w:line="259" w:lineRule="auto"/>
            </w:pPr>
            <w:r>
              <w:rPr>
                <w:rFonts w:ascii="Calibri" w:hAnsi="Calibri"/>
                <w:b/>
                <w:i w:val="0"/>
                <w:color w:val="212121"/>
                <w:sz w:val="19"/>
              </w:rPr>
              <w:t>~6%</w:t>
            </w:r>
          </w:p>
        </w:tc>
      </w:tr>
      <w:tr>
        <w:trPr>
          <w:cantSplit/>
        </w:trPr>
        <w:tc>
          <w:tcPr>
            <w:tcW w:type="dxa" w:w="2232"/>
            <w:vAlign w:val="top"/>
          </w:tcPr>
          <w:p>
            <w:pPr>
              <w:spacing w:after="40" w:before="0" w:line="259" w:lineRule="auto"/>
            </w:pPr>
            <w:r>
              <w:rPr>
                <w:rFonts w:ascii="Calibri" w:hAnsi="Calibri"/>
                <w:b/>
                <w:i w:val="0"/>
                <w:color w:val="212121"/>
                <w:sz w:val="19"/>
              </w:rPr>
              <w:t>Bronchiectasis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Structurally dilated, poorly draining airways predispose to recurrent pneumonia, and severe/necrotising pneumonia can itself cause bronchiectasis.</w:t>
            </w:r>
          </w:p>
          <w:p>
            <w:pPr>
              <w:spacing w:after="40" w:before="0" w:line="259" w:lineRule="auto"/>
            </w:pPr>
            <w:r>
              <w:rPr>
                <w:rFonts w:ascii="Calibri" w:hAnsi="Calibri"/>
                <w:b/>
                <w:i w:val="0"/>
                <w:color w:val="212121"/>
                <w:sz w:val="19"/>
              </w:rPr>
              <w:t>~6%</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Uraemia-related immune dysfunction raises pneumonia risk and severity, and pneumonia frequently precipitates acute kidney injury on chronic disease.</w:t>
            </w:r>
          </w:p>
          <w:p>
            <w:pPr>
              <w:spacing w:after="40" w:before="0" w:line="259" w:lineRule="auto"/>
            </w:pPr>
            <w:r>
              <w:rPr>
                <w:rFonts w:ascii="Calibri" w:hAnsi="Calibri"/>
                <w:b/>
                <w:i w:val="0"/>
                <w:color w:val="212121"/>
                <w:sz w:val="19"/>
              </w:rPr>
              <w:t>~4%</w:t>
            </w:r>
          </w:p>
        </w:tc>
      </w:tr>
      <w:tr>
        <w:trPr>
          <w:cantSplit/>
        </w:trPr>
        <w:tc>
          <w:tcPr>
            <w:tcW w:type="dxa" w:w="2232"/>
            <w:vAlign w:val="top"/>
          </w:tcPr>
          <w:p>
            <w:pPr>
              <w:spacing w:after="40" w:before="0" w:line="259" w:lineRule="auto"/>
            </w:pPr>
            <w:r>
              <w:rPr>
                <w:rFonts w:ascii="Calibri" w:hAnsi="Calibri"/>
                <w:b/>
                <w:i w:val="0"/>
                <w:color w:val="212121"/>
                <w:sz w:val="19"/>
              </w:rPr>
              <w:t>Cerebrovascular disease / stroke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Dysphagia and impaired consciousness after stroke cause aspiration, making pneumonia a leading post-stroke complication that worsens outcome.</w:t>
            </w:r>
          </w:p>
          <w:p>
            <w:pPr>
              <w:spacing w:after="40" w:before="0" w:line="259" w:lineRule="auto"/>
            </w:pPr>
            <w:r>
              <w:rPr>
                <w:rFonts w:ascii="Calibri" w:hAnsi="Calibri"/>
                <w:b/>
                <w:i w:val="0"/>
                <w:color w:val="212121"/>
                <w:sz w:val="19"/>
              </w:rPr>
              <w:t>~3%</w:t>
            </w:r>
          </w:p>
        </w:tc>
      </w:tr>
      <w:tr>
        <w:trPr>
          <w:cantSplit/>
        </w:trPr>
        <w:tc>
          <w:tcPr>
            <w:tcW w:type="dxa" w:w="2232"/>
            <w:vAlign w:val="top"/>
          </w:tcPr>
          <w:p>
            <w:pPr>
              <w:spacing w:after="40" w:before="0" w:line="259" w:lineRule="auto"/>
            </w:pPr>
            <w:r>
              <w:rPr>
                <w:rFonts w:ascii="Calibri" w:hAnsi="Calibri"/>
                <w:b/>
                <w:i w:val="0"/>
                <w:color w:val="212121"/>
                <w:sz w:val="19"/>
              </w:rPr>
              <w:t>Chronic liver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Cirrhosis-related immune dysfunction and, with alcohol, aspiration risk increase pneumonia incidence and mortality and complicate drug handling.</w:t>
            </w:r>
          </w:p>
          <w:p>
            <w:pPr>
              <w:spacing w:after="40" w:before="0" w:line="259" w:lineRule="auto"/>
            </w:pPr>
            <w:r>
              <w:rPr>
                <w:rFonts w:ascii="Calibri" w:hAnsi="Calibri"/>
                <w:b/>
                <w:i w:val="0"/>
                <w:color w:val="212121"/>
                <w:sz w:val="19"/>
              </w:rPr>
              <w:t>~3%</w:t>
            </w:r>
          </w:p>
        </w:tc>
      </w:tr>
      <w:tr>
        <w:trPr>
          <w:cantSplit/>
        </w:trPr>
        <w:tc>
          <w:tcPr>
            <w:tcW w:type="dxa" w:w="2232"/>
            <w:vAlign w:val="top"/>
          </w:tcPr>
          <w:p>
            <w:pPr>
              <w:spacing w:after="40" w:before="0" w:line="259" w:lineRule="auto"/>
            </w:pPr>
            <w:r>
              <w:rPr>
                <w:rFonts w:ascii="Calibri" w:hAnsi="Calibri"/>
                <w:b/>
                <w:i w:val="0"/>
                <w:color w:val="212121"/>
                <w:sz w:val="19"/>
              </w:rPr>
              <w:t>Undernutrition / protein-energy malnutrition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mucosal and antibody immunity make malnutrition the single biggest driver of childhood pneumonia; pneumonia in turn worsens nutritional status.</w:t>
            </w:r>
          </w:p>
          <w:p>
            <w:pPr>
              <w:spacing w:after="40" w:before="0" w:line="259" w:lineRule="auto"/>
            </w:pPr>
            <w:r>
              <w:rPr>
                <w:rFonts w:ascii="Calibri" w:hAnsi="Calibri"/>
                <w:b/>
                <w:i w:val="0"/>
                <w:color w:val="212121"/>
                <w:sz w:val="19"/>
              </w:rPr>
              <w:t>~19% wasted (under-5)</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up to date — pneumococcal conjugate vaccine (PCV) and Hib in children, plus measles, and annual influenza and pneumococcal vaccine for the elderly, diabetics, COPD, HIV and other high-risk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hand and respiratory hygiene (hand-washing, covering coughs) and reduce crowding to cut spread of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infants for the first six months to provide protective immunity against childhood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treat childhood undernutrition — the single biggest risk factor — with adequate protein, energy and micronutrients (vitamin A, vitamin D, zinc).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biomass/solid cooking fuels to LPG/clean fuels with good kitchen ventilation, and keep homes smoke-free to reduce indoor air pollution.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danger signs — fast/difficult breathing, chest indrawing, inability to feed, drowsiness, bluish lips — and seek care urgently rather than delaying.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under-fives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&amp; comorbid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biomass-using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Unvaccinated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antibiotics even after feeling better, to prevent relapse and antimicrobial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severity-based plan — outpatient care for mild pneumonia, but admission for high CURB-65/danger signs, low SpO2 or inability to eat/drink.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promptly if breathing worsens, fever persists beyond 48–72 h of antibiotics, or new confusion/chest pain develops (possible non-response, effusion or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where indicated (age &gt;50, smoker, non-resolving), have a repeat chest X-ray at 6–8 weeks to confirm clearance and exclude an underlying lesion or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rest, adequate hydration and nutrition during recovery, and pace the return to normal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outpatient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CAP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slow resolution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hospitalised and post-operative patients early to reduce hypostatic and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chest physiotherapy, deep-breathing exercises and incentive spirometry to aid secretion clearance and lung re-expansion.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upright posture and, for tube-fed or reduced-consciousness patients, keep the head of the bed at 30–45° to reduce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fitness gradually after severe pneumonia, especially in the elderly, to reverse deconditioning and restore independence.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recovering from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Tube-fed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energy intake to maintain immunity and respiratory-muscle strength, correcting undernutrition in children and frail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micronutrient-rich diets (vitamin A, vitamin D, zinc, iron) and consider supplementation in deficient children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to 6 months and continued breastfeeding with appropriate complementary feeding thereafter.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during febrile illness to keep secretions thin and aid expectoration.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those at aspiration risk, modify food/fluid texture and feed upright and slowly on specialist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Under-five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Malnourished/underweight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Dysphagic/aspiration-risk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hookah) — cessation lowers the risk of pneumonia and of dying from pneumococcal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advice, behavioural counselling and pharmacotherapy (nicotine replacement, bupropion or varenicline) and refer to tobacco-cessation clinics/quit-lines.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at home, especially around infants, young children and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other inhaled exposures — biomass smoke and high-pollution air — alongside quitting tobacco.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with/at risk of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 who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(≤14 units/week) or avoid it, as heavy use impairs immunity and raises pneumonia risk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intoxication that suppresses cough/swallow reflexes and predisposes to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commonly coexists with smoking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sedatives, which further depress airway protection.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alcoholic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who also drink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good-quality sleep (7–9 h for adults)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nocturnal reflux, which may increase aspiration and respiratory-infection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illness, rest and sleep in a semi-upright position if breathless, and use prescribed oxygen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sedatives before sleep in those with aspiration or respiratory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recovering from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OSA/reflux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&amp; comorbid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manage delirium in hospitalised elderly patients with pneumonia — it is common, distressing and predicts worse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cognitive impairment that undermine nutrition, vaccine uptake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breathing/relaxation techniques to ease the anxiety of breathlessness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and involve family to maintain nutrition, medication adherence and follow-up, especially for the frail elderly.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Elderly/hospitalised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dependent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week.in/news/health/2025/11/12/preventable-yet-deadly-why-pneumonia-still-kills-thousands-of-indian-children.html" TargetMode="External"/><Relationship Id="rId10" Type="http://schemas.openxmlformats.org/officeDocument/2006/relationships/hyperlink" Target="https://journals.sagepub.com/doi/10.1177/20503121221095485" TargetMode="External"/><Relationship Id="rId11" Type="http://schemas.openxmlformats.org/officeDocument/2006/relationships/hyperlink" Target="https://journals.plos.org/plosone/article?id=10.1371%2Fjournal.pone.0237611" TargetMode="External"/><Relationship Id="rId12" Type="http://schemas.openxmlformats.org/officeDocument/2006/relationships/hyperlink" Target="https://www.who.int/news-room/fact-sheets/detail/pneumonia" TargetMode="External"/><Relationship Id="rId13" Type="http://schemas.openxmlformats.org/officeDocument/2006/relationships/hyperlink" Target="https://www.cmajopen.ca/content/9/1/E62" TargetMode="External"/><Relationship Id="rId14" Type="http://schemas.openxmlformats.org/officeDocument/2006/relationships/hyperlink" Target="https://ijmr.org.in/community-acquired-bacterial-pneumonia-in-adults-an-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