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Pulmonary Tuberculosis</w:t>
      </w:r>
    </w:p>
    <w:p>
      <w:pPr>
        <w:spacing w:before="0" w:after="160"/>
      </w:pPr>
      <w:r>
        <w:rPr>
          <w:rFonts w:ascii="Calibri" w:hAnsi="Calibri"/>
          <w:b/>
          <w:i w:val="0"/>
          <w:color w:val="212121"/>
          <w:sz w:val="22"/>
        </w:rPr>
        <w:t xml:space="preserve">AKA </w:t>
      </w:r>
      <w:r>
        <w:rPr>
          <w:rFonts w:ascii="Calibri" w:hAnsi="Calibri"/>
          <w:b w:val="0"/>
          <w:i w:val="0"/>
          <w:color w:val="212121"/>
          <w:sz w:val="22"/>
        </w:rPr>
        <w:t>i.e., PTB, Pulmonary TB, Koch's disease, Phthisis, “Consumption”; caused by Mycobacterium tuberculosis (the tubercle bacillus / AFB)</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Pulmonary tuberculosis (PTB) is a chronic, communicable bacterial infection of the lung parenchyma caused by the Mycobacterium tuberculosis complex, an acid-fast bacillus spread person-to-person through inhalation of infectious airborne droplet nuclei from a person with active disease. It is the most common and the transmissible form of tuberculosis, characterised pathologically by granulomatous inflammation with caseating necrosis and cavitation of lung tissue. Infection may persist as latent TB (asymptomatic, non-infectious) or progress to active disease presenting with a persistent cough, evening-rise fever, night sweats and weight loss. Untreated smear-positive PTB is highly infectious and can be fatal, yet it is curable with a standardised multi-drug antitubercular regimen.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the world's largest tuberculosis burden, accounting for about 26% of all global TB cases. India's first National TB Prevalence Survey (2019–2021) estimated an all-forms TB prevalence of roughly 312 per 100,000 adults, with wide state variation (from ~137 per 100,000 in Gujarat to ~747 per 100,000 in Delhi). For every notified case there were about 2.84 prevalent cases in the community, and nearly 64% of people with prevalent TB had not sought care. WHO estimated an incidence of ~195 per 100,000 in 2023 (down from 237 in 2015), amounting to about 27.8 lakh incident cases and ~3.2 lakh TB deaths in India that year.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Under India's National TB Elimination Programme (NTEP), the diagnosis of pulmonary TB rests on microbiological confirmation supported by clinical and radiological findings; a rapid molecular test is used upfront wherever available: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Presumptive PTB is any person with cough ≥ 2 weeks, fever, unexplained weight loss, night sweats, or haemoptysis (lower threshold in people living with HIV, contacts and high-risk groups);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upfront Nucleic Acid Amplification Test (NAAT) — CBNAAT/GeneXpert MTB/RIF or Truenat — on sputum simultaneously confirms M. tuberculosis and detects rifampicin resistance;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sputum smear microscopy (Ziehl–Neelsen or fluorescent auramine) demonstrates acid-fast bacilli and is graded (scanty to 3+) to reflect bacillary load and to monitor treatment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(typically upper-lobe infiltrates, cavitation, fibrosis or miliary mottling) is a sensitive screening tool but is not specific and requires microbiological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mycobacterial culture on solid (Lowenstein–Jensen) or liquid (MGIT) media remains the reference standard and enables phenotypic drug-susceptibility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universal drug-susceptibility testing (at least for rifampicin, with Line Probe Assay/liquid culture for isoniazid and second-line drugs) is offered to all notified patients;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cases are recorded as “microbiologically confirmed” (positive AFB smear, culture or molecular test) or “clinically diagnosed” (a clinician's decision to treat when confirmation is not possible, kept to a minimum).</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Tuberculosis is classified along several axes that together define the case definition, regimen and prognosis under NTEP and WHO frameworks:</w:t>
      </w:r>
    </w:p>
    <w:p>
      <w:pPr>
        <w:spacing w:before="0" w:after="80"/>
      </w:pPr>
      <w:r>
        <w:rPr>
          <w:rFonts w:ascii="Calibri" w:hAnsi="Calibri"/>
          <w:b w:val="0"/>
          <w:i w:val="0"/>
          <w:color w:val="212121"/>
          <w:sz w:val="21"/>
        </w:rPr>
        <w:t>(1) Anatomical site — pulmonary TB (involving lung parenchyma or the tracheobronchial tree, the infectious form) versus extrapulmonary TB (lymph node, pleura, bone/spine, abdomen, meninges, genitourinary tract); a patient with both is classified as pulmonary for infection-control purposes;</w:t>
      </w:r>
    </w:p>
    <w:p>
      <w:pPr>
        <w:spacing w:before="0" w:after="80"/>
      </w:pPr>
      <w:r>
        <w:rPr>
          <w:rFonts w:ascii="Calibri" w:hAnsi="Calibri"/>
          <w:b w:val="0"/>
          <w:i w:val="0"/>
          <w:color w:val="212121"/>
          <w:sz w:val="21"/>
        </w:rPr>
        <w:t>(2) Bacteriological status — microbiologically confirmed TB (positive smear, culture or NAAT) versus clinically diagnosed TB (treated on clinical/radiological grounds without confirmation);</w:t>
      </w:r>
    </w:p>
    <w:p>
      <w:pPr>
        <w:spacing w:before="0" w:after="80"/>
      </w:pPr>
      <w:r>
        <w:rPr>
          <w:rFonts w:ascii="Calibri" w:hAnsi="Calibri"/>
          <w:b w:val="0"/>
          <w:i w:val="0"/>
          <w:color w:val="212121"/>
          <w:sz w:val="21"/>
        </w:rPr>
        <w:t>(3) Drug-resistance profile — drug-sensitive TB; isoniazid-resistant TB; rifampicin-resistant (RR-TB); multidrug-resistant TB (MDR-TB, resistant to at least isoniazid and rifampicin); pre-extensively (pre-XDR) and extensively drug-resistant TB (XDR-TB);</w:t>
      </w:r>
    </w:p>
    <w:p>
      <w:pPr>
        <w:spacing w:before="0" w:after="80"/>
      </w:pPr>
      <w:r>
        <w:rPr>
          <w:rFonts w:ascii="Calibri" w:hAnsi="Calibri"/>
          <w:b w:val="0"/>
          <w:i w:val="0"/>
          <w:color w:val="212121"/>
          <w:sz w:val="21"/>
        </w:rPr>
        <w:t>(4) History of previous treatment — new case versus previously treated (relapse, treatment after failure, or treatment after loss to follow-up), which guides regimen selection and DST needs;</w:t>
      </w:r>
    </w:p>
    <w:p>
      <w:pPr>
        <w:spacing w:before="0" w:after="80"/>
      </w:pPr>
      <w:r>
        <w:rPr>
          <w:rFonts w:ascii="Calibri" w:hAnsi="Calibri"/>
          <w:b w:val="0"/>
          <w:i w:val="0"/>
          <w:color w:val="212121"/>
          <w:sz w:val="21"/>
        </w:rPr>
        <w:t>(5) Disease state — latent TB infection (LTBI: immune evidence of infection without active disease or infectiousness) versus active TB disease; and by HIV status, since HIV co-infection dramatically alters presentation, progression and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Mycobacterium tuberculosis complex, a slow-growing, aerobic, acid-fast bacillus with a lipid-rich cell wall that resists phagocytic killing and enables intracellular persistence.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Airborne transmission: inhalation of droplet nuclei expelled when a person with smear-positive pulmonary TB coughs, sneezes or speaks; overcrowding, poor ventilation and prolonged close contact raise the infectious dose.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Undernutrition: the single largest population-level driver of TB in India — low body-mass impairs cell-mediated immunity and granuloma integrity, accounting for roughly half of incident cases.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Immune compromise: HIV infection, diabetes mellitus, chronic kidney disease, silicosis, malignancy, corticosteroid and anti-TNF therapy weaken containment and provoke reactivation of latent infection.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Tobacco and biomass smoke: cigarette/bidi smoking and indoor solid-fuel smoke damage mucociliary clearance and alveolar macrophage function, increasing both infection and progression to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Harmful alcohol use: heavy drinking impairs immunity, worsens nutrition and increases exposure, roughly trebling the risk of active TB.</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Social determinants: poverty, migration, incarceration, silica-generating occupations and delayed care-seeking concentrate transmission among the socioeconomically disadvantaged.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(15–45 years)</w:t>
            </w:r>
          </w:p>
        </w:tc>
        <w:tc>
          <w:tcPr>
            <w:tcW w:type="dxa" w:w="4276"/>
            <w:vAlign w:val="top"/>
          </w:tcPr>
          <w:p>
            <w:pPr>
              <w:spacing w:after="60" w:line="259" w:lineRule="auto"/>
            </w:pPr>
            <w:r>
              <w:rPr>
                <w:rFonts w:ascii="Calibri" w:hAnsi="Calibri"/>
                <w:b w:val="0"/>
                <w:i w:val="0"/>
                <w:color w:val="212121"/>
                <w:sz w:val="19"/>
              </w:rPr>
              <w:t>TB disproportionately strikes the economically productive age group, reflecting cumulative exposure, occupational crowding, migration and lifestyle risks. Active disease in this group amplifies household transmission and causes major economic loss.</w:t>
            </w:r>
          </w:p>
          <w:p>
            <w:pPr>
              <w:spacing w:after="40" w:before="60" w:line="259" w:lineRule="auto"/>
            </w:pPr>
            <w:r>
              <w:rPr>
                <w:rFonts w:ascii="Calibri" w:hAnsi="Calibri"/>
                <w:b w:val="0"/>
                <w:i w:val="0"/>
                <w:color w:val="212121"/>
                <w:sz w:val="19"/>
              </w:rPr>
              <w:t>WHO estimated India's TB incidence at ~195 per 100,000 in 2023 (~27.8 lakh cases), with the burden concentrated in adults of working age.</w:t>
            </w:r>
          </w:p>
          <w:p>
            <w:pPr>
              <w:spacing w:after="40" w:line="252" w:lineRule="auto"/>
            </w:pPr>
            <w:hyperlink r:id="rId9">
              <w:r>
                <w:rPr>
                  <w:rFonts w:ascii="Calibri" w:hAnsi="Calibri" w:cs="Calibri"/>
                  <w:sz w:val="18"/>
                  <w:color w:val="1155CC"/>
                  <w:u w:val="single"/>
                </w:rPr>
                <w:t xml:space="preserve">drishtiias.com — WHO Global TB Report 2024</w:t>
              </w:r>
            </w:hyperlink>
          </w:p>
          <w:p>
            <w:pPr>
              <w:spacing w:before="60" w:after="40"/>
            </w:pPr>
            <w:r>
              <w:rPr>
                <w:rFonts w:ascii="Calibri" w:hAnsi="Calibri"/>
                <w:b w:val="0"/>
                <w:i w:val="0"/>
                <w:color w:val="5A5A5A"/>
                <w:sz w:val="18"/>
              </w:rPr>
              <w:t>#tuberculosis  #workingage  #productivityloss  #transmission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Immunosenescence, waning cell-mediated immunity and accumulating comorbidities (diabetes, COPD, malnutrition) favour reactivation of long-standing latent infection; presentation is often atypical and diagnosis delayed.</w:t>
            </w:r>
          </w:p>
          <w:p>
            <w:pPr>
              <w:spacing w:after="40" w:before="60" w:line="259" w:lineRule="auto"/>
            </w:pPr>
            <w:r>
              <w:rPr>
                <w:rFonts w:ascii="Calibri" w:hAnsi="Calibri"/>
                <w:b w:val="0"/>
                <w:i w:val="0"/>
                <w:color w:val="212121"/>
                <w:sz w:val="19"/>
              </w:rPr>
              <w:t>In a systematic review of Indian risk groups, TB-infection prevalence among household contacts aged over 45 years reached 65% (95% CI 51–77%).</w:t>
            </w:r>
          </w:p>
          <w:p>
            <w:pPr>
              <w:spacing w:after="40" w:line="252" w:lineRule="auto"/>
            </w:pPr>
            <w:hyperlink r:id="rId10">
              <w:r>
                <w:rPr>
                  <w:rFonts w:ascii="Calibri" w:hAnsi="Calibri" w:cs="Calibri"/>
                  <w:sz w:val="18"/>
                  <w:color w:val="1155CC"/>
                  <w:u w:val="single"/>
                </w:rPr>
                <w:t xml:space="preserve">pmc.ncbi.nlm.nih.gov — TB infection risk groups in India</w:t>
              </w:r>
            </w:hyperlink>
          </w:p>
          <w:p>
            <w:pPr>
              <w:spacing w:before="60" w:after="40"/>
            </w:pPr>
            <w:r>
              <w:rPr>
                <w:rFonts w:ascii="Calibri" w:hAnsi="Calibri"/>
                <w:b w:val="0"/>
                <w:i w:val="0"/>
                <w:color w:val="5A5A5A"/>
                <w:sz w:val="18"/>
              </w:rPr>
              <w:t>#elderly  #reactivation  #immunosenescence  #latentTB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Men bear a substantially higher TB burden, driven by greater smoking, alcohol use, occupational silica exposure and social mixing; women additionally face under-diagnosis from access and stigma barriers.</w:t>
            </w:r>
          </w:p>
          <w:p>
            <w:pPr>
              <w:spacing w:after="40" w:before="60" w:line="259" w:lineRule="auto"/>
            </w:pPr>
            <w:r>
              <w:rPr>
                <w:rFonts w:ascii="Calibri" w:hAnsi="Calibri"/>
                <w:b w:val="0"/>
                <w:i w:val="0"/>
                <w:color w:val="212121"/>
                <w:sz w:val="19"/>
              </w:rPr>
              <w:t>India's National TB Prevalence Survey found markedly higher prevalence in men, and the male-to-female ratio of bacteriologically confirmed TB is roughly 2–3:1.</w:t>
            </w:r>
          </w:p>
          <w:p>
            <w:pPr>
              <w:spacing w:after="40" w:line="252" w:lineRule="auto"/>
            </w:pPr>
            <w:hyperlink r:id="rId11">
              <w:r>
                <w:rPr>
                  <w:rFonts w:ascii="Calibri" w:hAnsi="Calibri" w:cs="Calibri"/>
                  <w:sz w:val="18"/>
                  <w:color w:val="1155CC"/>
                  <w:u w:val="single"/>
                </w:rPr>
                <w:t xml:space="preserve">tbcindia.mohfw.gov.in — National TB Prevalence Survey 2019–21</w:t>
              </w:r>
            </w:hyperlink>
          </w:p>
          <w:p>
            <w:pPr>
              <w:spacing w:before="60" w:after="40"/>
            </w:pPr>
            <w:r>
              <w:rPr>
                <w:rFonts w:ascii="Calibri" w:hAnsi="Calibri"/>
                <w:b w:val="0"/>
                <w:i w:val="0"/>
                <w:color w:val="5A5A5A"/>
                <w:sz w:val="18"/>
              </w:rPr>
              <w:t>#male  #smoking  #alcohol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poor, migrants and lowest wealth quintile</w:t>
            </w:r>
          </w:p>
        </w:tc>
        <w:tc>
          <w:tcPr>
            <w:tcW w:type="dxa" w:w="4276"/>
            <w:vAlign w:val="top"/>
          </w:tcPr>
          <w:p>
            <w:pPr>
              <w:spacing w:after="60" w:line="259" w:lineRule="auto"/>
            </w:pPr>
            <w:r>
              <w:rPr>
                <w:rFonts w:ascii="Calibri" w:hAnsi="Calibri"/>
                <w:b w:val="0"/>
                <w:i w:val="0"/>
                <w:color w:val="212121"/>
                <w:sz w:val="19"/>
              </w:rPr>
              <w:t>Poverty clusters the key drivers of TB — undernutrition, overcrowded and poorly ventilated housing, indoor air pollution, out-of-pocket costs and delayed care — sustaining transmission and poor outcomes.</w:t>
            </w:r>
          </w:p>
          <w:p>
            <w:pPr>
              <w:spacing w:after="40" w:before="60" w:line="259" w:lineRule="auto"/>
            </w:pPr>
            <w:r>
              <w:rPr>
                <w:rFonts w:ascii="Calibri" w:hAnsi="Calibri"/>
                <w:b w:val="0"/>
                <w:i w:val="0"/>
                <w:color w:val="212121"/>
                <w:sz w:val="19"/>
              </w:rPr>
              <w:t>Nearly 64% of people with prevalent TB in India's survey had not sought care, reflecting concentrated disadvantage and access barriers.</w:t>
            </w:r>
          </w:p>
          <w:p>
            <w:pPr>
              <w:spacing w:after="40" w:line="252" w:lineRule="auto"/>
            </w:pPr>
            <w:hyperlink r:id="rId12">
              <w:r>
                <w:rPr>
                  <w:rFonts w:ascii="Calibri" w:hAnsi="Calibri" w:cs="Calibri"/>
                  <w:sz w:val="18"/>
                  <w:color w:val="1155CC"/>
                  <w:u w:val="single"/>
                </w:rPr>
                <w:t xml:space="preserve">science.thewire.in — India National TB Prevalence Survey findings</w:t>
              </w:r>
            </w:hyperlink>
          </w:p>
          <w:p>
            <w:pPr>
              <w:spacing w:before="60" w:after="40"/>
            </w:pPr>
            <w:r>
              <w:rPr>
                <w:rFonts w:ascii="Calibri" w:hAnsi="Calibri"/>
                <w:b w:val="0"/>
                <w:i w:val="0"/>
                <w:color w:val="5A5A5A"/>
                <w:sz w:val="18"/>
              </w:rPr>
              <w:t>#poverty  #slum  #catastrophiccosts  #delayedcare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Residents of high-burden states &amp; dense metros (Delhi, UP, MP, Maharashtra)</w:t>
            </w:r>
          </w:p>
        </w:tc>
        <w:tc>
          <w:tcPr>
            <w:tcW w:type="dxa" w:w="4276"/>
            <w:vAlign w:val="top"/>
          </w:tcPr>
          <w:p>
            <w:pPr>
              <w:spacing w:after="60" w:line="259" w:lineRule="auto"/>
            </w:pPr>
            <w:r>
              <w:rPr>
                <w:rFonts w:ascii="Calibri" w:hAnsi="Calibri"/>
                <w:b w:val="0"/>
                <w:i w:val="0"/>
                <w:color w:val="212121"/>
                <w:sz w:val="19"/>
              </w:rPr>
              <w:t>Population density, crowded workplaces, air pollution and migration create pockets of intense transmission; northern and central metros report the highest prevalence.</w:t>
            </w:r>
          </w:p>
          <w:p>
            <w:pPr>
              <w:spacing w:after="40" w:before="60" w:line="259" w:lineRule="auto"/>
            </w:pPr>
            <w:r>
              <w:rPr>
                <w:rFonts w:ascii="Calibri" w:hAnsi="Calibri"/>
                <w:b w:val="0"/>
                <w:i w:val="0"/>
                <w:color w:val="212121"/>
                <w:sz w:val="19"/>
              </w:rPr>
              <w:t>State prevalence ranged from ~137 per 100,000 in Gujarat to ~747 per 100,000 in Delhi in the National TB Prevalence Survey.</w:t>
            </w:r>
          </w:p>
          <w:p>
            <w:pPr>
              <w:spacing w:after="40" w:line="252" w:lineRule="auto"/>
            </w:pPr>
            <w:hyperlink r:id="rId12">
              <w:r>
                <w:rPr>
                  <w:rFonts w:ascii="Calibri" w:hAnsi="Calibri" w:cs="Calibri"/>
                  <w:sz w:val="18"/>
                  <w:color w:val="1155CC"/>
                  <w:u w:val="single"/>
                </w:rPr>
                <w:t xml:space="preserve">science.thewire.in — state prevalence variation</w:t>
              </w:r>
            </w:hyperlink>
          </w:p>
          <w:p>
            <w:pPr>
              <w:spacing w:before="60" w:after="40"/>
            </w:pPr>
            <w:r>
              <w:rPr>
                <w:rFonts w:ascii="Calibri" w:hAnsi="Calibri"/>
                <w:b w:val="0"/>
                <w:i w:val="0"/>
                <w:color w:val="5A5A5A"/>
                <w:sz w:val="18"/>
              </w:rPr>
              <w:t>#highburdenstates  #density  #Delhi  #transmission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Ambient air quality</w:t>
            </w:r>
          </w:p>
        </w:tc>
        <w:tc>
          <w:tcPr>
            <w:tcW w:type="dxa" w:w="2160"/>
            <w:vAlign w:val="top"/>
          </w:tcPr>
          <w:p>
            <w:pPr>
              <w:spacing w:after="40" w:before="0" w:line="259" w:lineRule="auto"/>
            </w:pPr>
            <w:r>
              <w:rPr>
                <w:rFonts w:ascii="Calibri" w:hAnsi="Calibri"/>
                <w:b w:val="0"/>
                <w:i w:val="0"/>
                <w:color w:val="212121"/>
                <w:sz w:val="19"/>
              </w:rPr>
              <w:t>Populations in high air-pollution districts</w:t>
            </w:r>
          </w:p>
        </w:tc>
        <w:tc>
          <w:tcPr>
            <w:tcW w:type="dxa" w:w="4276"/>
            <w:vAlign w:val="top"/>
          </w:tcPr>
          <w:p>
            <w:pPr>
              <w:spacing w:after="60" w:line="259" w:lineRule="auto"/>
            </w:pPr>
            <w:r>
              <w:rPr>
                <w:rFonts w:ascii="Calibri" w:hAnsi="Calibri"/>
                <w:b w:val="0"/>
                <w:i w:val="0"/>
                <w:color w:val="212121"/>
                <w:sz w:val="19"/>
              </w:rPr>
              <w:t>Chronic exposure to ambient particulate matter (PM2.5/PM10) impairs pulmonary immune defences and mucociliary clearance, and ecological analyses link poor air quality to higher TB rates in India.</w:t>
            </w:r>
          </w:p>
          <w:p>
            <w:pPr>
              <w:spacing w:after="40" w:before="60" w:line="259" w:lineRule="auto"/>
            </w:pPr>
            <w:r>
              <w:rPr>
                <w:rFonts w:ascii="Calibri" w:hAnsi="Calibri"/>
                <w:b w:val="0"/>
                <w:i w:val="0"/>
                <w:color w:val="212121"/>
                <w:sz w:val="19"/>
              </w:rPr>
              <w:t>An India-wide geospatial analysis found TB incidence was positively associated with air pollution (coefficient 1.98, p &lt; 0.002) and inversely with vegetation cover.</w:t>
            </w:r>
          </w:p>
          <w:p>
            <w:pPr>
              <w:spacing w:after="40" w:line="252" w:lineRule="auto"/>
            </w:pPr>
            <w:hyperlink r:id="rId13">
              <w:r>
                <w:rPr>
                  <w:rFonts w:ascii="Calibri" w:hAnsi="Calibri" w:cs="Calibri"/>
                  <w:sz w:val="18"/>
                  <w:color w:val="1155CC"/>
                  <w:u w:val="single"/>
                </w:rPr>
                <w:t xml:space="preserve">link.springer.com — airborne pollutants and TB rates in India</w:t>
              </w:r>
            </w:hyperlink>
          </w:p>
          <w:p>
            <w:pPr>
              <w:spacing w:before="60" w:after="40"/>
            </w:pPr>
            <w:r>
              <w:rPr>
                <w:rFonts w:ascii="Calibri" w:hAnsi="Calibri"/>
                <w:b w:val="0"/>
                <w:i w:val="0"/>
                <w:color w:val="5A5A5A"/>
                <w:sz w:val="18"/>
              </w:rPr>
              <w:t>#airpollution  #PM25  #environment  #lunghealth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&amp; bidi smokers</w:t>
            </w:r>
          </w:p>
        </w:tc>
        <w:tc>
          <w:tcPr>
            <w:tcW w:type="dxa" w:w="4276"/>
            <w:vAlign w:val="top"/>
          </w:tcPr>
          <w:p>
            <w:pPr>
              <w:spacing w:after="60" w:line="259" w:lineRule="auto"/>
            </w:pPr>
            <w:r>
              <w:rPr>
                <w:rFonts w:ascii="Calibri" w:hAnsi="Calibri"/>
                <w:b w:val="0"/>
                <w:i w:val="0"/>
                <w:color w:val="212121"/>
                <w:sz w:val="19"/>
              </w:rPr>
              <w:t>Tobacco smoke paralyses mucociliary clearance and impairs alveolar macrophage killing, increasing both acquisition of infection and progression to active, more severe and cavitary disease.</w:t>
            </w:r>
          </w:p>
          <w:p>
            <w:pPr>
              <w:spacing w:after="40" w:before="60" w:line="259" w:lineRule="auto"/>
            </w:pPr>
            <w:r>
              <w:rPr>
                <w:rFonts w:ascii="Calibri" w:hAnsi="Calibri"/>
                <w:b w:val="0"/>
                <w:i w:val="0"/>
                <w:color w:val="212121"/>
                <w:sz w:val="19"/>
              </w:rPr>
              <w:t>Meta-analysis estimates the relative risk of active TB disease in smokers at about 2.3–2.7, and of TB infection at ~1.7; ~11% of screened TB patients in India were tobacco users.</w:t>
            </w:r>
          </w:p>
          <w:p>
            <w:pPr>
              <w:spacing w:after="40" w:line="252" w:lineRule="auto"/>
            </w:pPr>
            <w:hyperlink r:id="rId14">
              <w:r>
                <w:rPr>
                  <w:rFonts w:ascii="Calibri" w:hAnsi="Calibri" w:cs="Calibri"/>
                  <w:sz w:val="18"/>
                  <w:color w:val="1155CC"/>
                  <w:u w:val="single"/>
                </w:rPr>
                <w:t xml:space="preserve">pubmed.ncbi.nlm.nih.gov — Bates et al., tobacco smoke &amp; TB</w:t>
              </w:r>
            </w:hyperlink>
          </w:p>
          <w:p>
            <w:pPr>
              <w:spacing w:before="60" w:after="40"/>
            </w:pPr>
            <w:r>
              <w:rPr>
                <w:rFonts w:ascii="Calibri" w:hAnsi="Calibri"/>
                <w:b w:val="0"/>
                <w:i w:val="0"/>
                <w:color w:val="5A5A5A"/>
                <w:sz w:val="18"/>
              </w:rPr>
              <w:t>#smoking  #bidi  #tobacco  #cavitary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harmful alcohol users</w:t>
            </w:r>
          </w:p>
        </w:tc>
        <w:tc>
          <w:tcPr>
            <w:tcW w:type="dxa" w:w="4276"/>
            <w:vAlign w:val="top"/>
          </w:tcPr>
          <w:p>
            <w:pPr>
              <w:spacing w:after="60" w:line="259" w:lineRule="auto"/>
            </w:pPr>
            <w:r>
              <w:rPr>
                <w:rFonts w:ascii="Calibri" w:hAnsi="Calibri"/>
                <w:b w:val="0"/>
                <w:i w:val="0"/>
                <w:color w:val="212121"/>
                <w:sz w:val="19"/>
              </w:rPr>
              <w:t>Harmful drinking (&gt;40 g/day or an alcohol-use disorder) impairs immune function, worsens nutrition, increases high-risk social exposure and undermines treatment adherence and liver tolerance of antitubercular drugs.</w:t>
            </w:r>
          </w:p>
          <w:p>
            <w:pPr>
              <w:spacing w:after="40" w:before="60" w:line="259" w:lineRule="auto"/>
            </w:pPr>
            <w:r>
              <w:rPr>
                <w:rFonts w:ascii="Calibri" w:hAnsi="Calibri"/>
                <w:b w:val="0"/>
                <w:i w:val="0"/>
                <w:color w:val="212121"/>
                <w:sz w:val="19"/>
              </w:rPr>
              <w:t>Systematic review pooled the relative risk of active TB with heavy alcohol use at 3.50 (95% CI 2.01–5.93).</w:t>
            </w:r>
          </w:p>
          <w:p>
            <w:pPr>
              <w:spacing w:after="40" w:line="252" w:lineRule="auto"/>
            </w:pPr>
            <w:hyperlink r:id="rId15">
              <w:r>
                <w:rPr>
                  <w:rFonts w:ascii="Calibri" w:hAnsi="Calibri" w:cs="Calibri"/>
                  <w:sz w:val="18"/>
                  <w:color w:val="1155CC"/>
                  <w:u w:val="single"/>
                </w:rPr>
                <w:t xml:space="preserve">bmcpublichealth.biomedcentral.com — alcohol as a TB risk factor</w:t>
              </w:r>
            </w:hyperlink>
          </w:p>
          <w:p>
            <w:pPr>
              <w:spacing w:before="60" w:after="40"/>
            </w:pPr>
            <w:r>
              <w:rPr>
                <w:rFonts w:ascii="Calibri" w:hAnsi="Calibri"/>
                <w:b w:val="0"/>
                <w:i w:val="0"/>
                <w:color w:val="5A5A5A"/>
                <w:sz w:val="18"/>
              </w:rPr>
              <w:t>#alcohol  #AUD  #hepatotoxicity  #adherence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dust exposure</w:t>
            </w:r>
          </w:p>
        </w:tc>
        <w:tc>
          <w:tcPr>
            <w:tcW w:type="dxa" w:w="2160"/>
            <w:vAlign w:val="top"/>
          </w:tcPr>
          <w:p>
            <w:pPr>
              <w:spacing w:after="40" w:before="0" w:line="259" w:lineRule="auto"/>
            </w:pPr>
            <w:r>
              <w:rPr>
                <w:rFonts w:ascii="Calibri" w:hAnsi="Calibri"/>
                <w:b w:val="0"/>
                <w:i w:val="0"/>
                <w:color w:val="212121"/>
                <w:sz w:val="19"/>
              </w:rPr>
              <w:t>Miners, stone/quarry, sandblasting &amp; construction workers</w:t>
            </w:r>
          </w:p>
        </w:tc>
        <w:tc>
          <w:tcPr>
            <w:tcW w:type="dxa" w:w="4276"/>
            <w:vAlign w:val="top"/>
          </w:tcPr>
          <w:p>
            <w:pPr>
              <w:spacing w:after="60" w:line="259" w:lineRule="auto"/>
            </w:pPr>
            <w:r>
              <w:rPr>
                <w:rFonts w:ascii="Calibri" w:hAnsi="Calibri"/>
                <w:b w:val="0"/>
                <w:i w:val="0"/>
                <w:color w:val="212121"/>
                <w:sz w:val="19"/>
              </w:rPr>
              <w:t>Chronic inhalation of crystalline silica and mineral dust scars the lung and cripples alveolar macrophage function, strongly predisposing to pulmonary TB (silico-tuberculosis).</w:t>
            </w:r>
          </w:p>
          <w:p>
            <w:pPr>
              <w:spacing w:after="40" w:before="60" w:line="259" w:lineRule="auto"/>
            </w:pPr>
            <w:r>
              <w:rPr>
                <w:rFonts w:ascii="Calibri" w:hAnsi="Calibri"/>
                <w:b w:val="0"/>
                <w:i w:val="0"/>
                <w:color w:val="212121"/>
                <w:sz w:val="19"/>
              </w:rPr>
              <w:t>Among Rajasthan sandstone mine workers, pulmonary TB prevalence was 10.0% and silico-tuberculosis 7.4% — far above the general population.</w:t>
            </w:r>
          </w:p>
          <w:p>
            <w:pPr>
              <w:spacing w:after="40" w:line="252" w:lineRule="auto"/>
            </w:pPr>
            <w:hyperlink r:id="rId16">
              <w:r>
                <w:rPr>
                  <w:rFonts w:ascii="Calibri" w:hAnsi="Calibri" w:cs="Calibri"/>
                  <w:sz w:val="18"/>
                  <w:color w:val="1155CC"/>
                  <w:u w:val="single"/>
                </w:rPr>
                <w:t xml:space="preserve">journals.plos.org — silico-TB among sandstone miners, Rajasthan</w:t>
              </w:r>
            </w:hyperlink>
          </w:p>
          <w:p>
            <w:pPr>
              <w:spacing w:before="60" w:after="40"/>
            </w:pPr>
            <w:r>
              <w:rPr>
                <w:rFonts w:ascii="Calibri" w:hAnsi="Calibri"/>
                <w:b w:val="0"/>
                <w:i w:val="0"/>
                <w:color w:val="5A5A5A"/>
                <w:sz w:val="18"/>
              </w:rPr>
              <w:t>#silica  #mining  #occupational  #silicotuberculosis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Indoor air pollution</w:t>
            </w:r>
          </w:p>
        </w:tc>
        <w:tc>
          <w:tcPr>
            <w:tcW w:type="dxa" w:w="2160"/>
            <w:vAlign w:val="top"/>
          </w:tcPr>
          <w:p>
            <w:pPr>
              <w:spacing w:after="40" w:before="0" w:line="259" w:lineRule="auto"/>
            </w:pPr>
            <w:r>
              <w:rPr>
                <w:rFonts w:ascii="Calibri" w:hAnsi="Calibri"/>
                <w:b w:val="0"/>
                <w:i w:val="0"/>
                <w:color w:val="212121"/>
                <w:sz w:val="19"/>
              </w:rPr>
              <w:t>Women &amp; children exposed to biomass/solid cooking-fuel smoke</w:t>
            </w:r>
          </w:p>
        </w:tc>
        <w:tc>
          <w:tcPr>
            <w:tcW w:type="dxa" w:w="4276"/>
            <w:vAlign w:val="top"/>
          </w:tcPr>
          <w:p>
            <w:pPr>
              <w:spacing w:after="60" w:line="259" w:lineRule="auto"/>
            </w:pPr>
            <w:r>
              <w:rPr>
                <w:rFonts w:ascii="Calibri" w:hAnsi="Calibri"/>
                <w:b w:val="0"/>
                <w:i w:val="0"/>
                <w:color w:val="212121"/>
                <w:sz w:val="19"/>
              </w:rPr>
              <w:t>Prolonged exposure to smoke from wood, dung and crop-residue cooking fuels in poorly ventilated homes damages airway defences, contributing to the TB risk borne disproportionately by women who cook.</w:t>
            </w:r>
          </w:p>
          <w:p>
            <w:pPr>
              <w:spacing w:after="40" w:before="60" w:line="259" w:lineRule="auto"/>
            </w:pPr>
            <w:r>
              <w:rPr>
                <w:rFonts w:ascii="Calibri" w:hAnsi="Calibri"/>
                <w:b w:val="0"/>
                <w:i w:val="0"/>
                <w:color w:val="212121"/>
                <w:sz w:val="19"/>
              </w:rPr>
              <w:t>Meta-analysis of smoke exposure found a raised odds of latent TB infection (pooled OR ~1.8–2.1), with indoor air pollution showing consistent positive associations.</w:t>
            </w:r>
          </w:p>
          <w:p>
            <w:pPr>
              <w:spacing w:after="40" w:line="252" w:lineRule="auto"/>
            </w:pPr>
            <w:hyperlink r:id="rId17">
              <w:r>
                <w:rPr>
                  <w:rFonts w:ascii="Calibri" w:hAnsi="Calibri" w:cs="Calibri"/>
                  <w:sz w:val="18"/>
                  <w:color w:val="1155CC"/>
                  <w:u w:val="single"/>
                </w:rPr>
                <w:t xml:space="preserve">pmc.ncbi.nlm.nih.gov — tobacco smoke, indoor air pollution &amp; TB</w:t>
              </w:r>
            </w:hyperlink>
          </w:p>
          <w:p>
            <w:pPr>
              <w:spacing w:before="60" w:after="40"/>
            </w:pPr>
            <w:r>
              <w:rPr>
                <w:rFonts w:ascii="Calibri" w:hAnsi="Calibri"/>
                <w:b w:val="0"/>
                <w:i w:val="0"/>
                <w:color w:val="5A5A5A"/>
                <w:sz w:val="18"/>
              </w:rPr>
              <w:t>#biomass  #indoorairpollution  #chulha  #womenshealth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Overcrowding / congregate settings</w:t>
            </w:r>
          </w:p>
        </w:tc>
        <w:tc>
          <w:tcPr>
            <w:tcW w:type="dxa" w:w="2160"/>
            <w:vAlign w:val="top"/>
          </w:tcPr>
          <w:p>
            <w:pPr>
              <w:spacing w:after="40" w:before="0" w:line="259" w:lineRule="auto"/>
            </w:pPr>
            <w:r>
              <w:rPr>
                <w:rFonts w:ascii="Calibri" w:hAnsi="Calibri"/>
                <w:b w:val="0"/>
                <w:i w:val="0"/>
                <w:color w:val="212121"/>
                <w:sz w:val="19"/>
              </w:rPr>
              <w:t>Slum dwellers, prisoners and residents of congregate housing</w:t>
            </w:r>
          </w:p>
        </w:tc>
        <w:tc>
          <w:tcPr>
            <w:tcW w:type="dxa" w:w="4276"/>
            <w:vAlign w:val="top"/>
          </w:tcPr>
          <w:p>
            <w:pPr>
              <w:spacing w:after="60" w:line="259" w:lineRule="auto"/>
            </w:pPr>
            <w:r>
              <w:rPr>
                <w:rFonts w:ascii="Calibri" w:hAnsi="Calibri"/>
                <w:b w:val="0"/>
                <w:i w:val="0"/>
                <w:color w:val="212121"/>
                <w:sz w:val="19"/>
              </w:rPr>
              <w:t>High occupant density and poor ventilation raise the inhaled infectious dose and the duration of exposure to undiagnosed infectious cases, accelerating transmission.</w:t>
            </w:r>
          </w:p>
          <w:p>
            <w:pPr>
              <w:spacing w:after="40" w:before="60" w:line="259" w:lineRule="auto"/>
            </w:pPr>
            <w:r>
              <w:rPr>
                <w:rFonts w:ascii="Calibri" w:hAnsi="Calibri"/>
                <w:b w:val="0"/>
                <w:i w:val="0"/>
                <w:color w:val="212121"/>
                <w:sz w:val="19"/>
              </w:rPr>
              <w:t>Pooled TB-infection prevalence among household contacts of TB patients in India was 47% (95% CI 39–55%).</w:t>
            </w:r>
          </w:p>
          <w:p>
            <w:pPr>
              <w:spacing w:after="40" w:line="252" w:lineRule="auto"/>
            </w:pPr>
            <w:hyperlink r:id="rId10">
              <w:r>
                <w:rPr>
                  <w:rFonts w:ascii="Calibri" w:hAnsi="Calibri" w:cs="Calibri"/>
                  <w:sz w:val="18"/>
                  <w:color w:val="1155CC"/>
                  <w:u w:val="single"/>
                </w:rPr>
                <w:t xml:space="preserve">pmc.ncbi.nlm.nih.gov — TB infection among contacts</w:t>
              </w:r>
            </w:hyperlink>
          </w:p>
          <w:p>
            <w:pPr>
              <w:spacing w:before="60" w:after="40"/>
            </w:pPr>
            <w:r>
              <w:rPr>
                <w:rFonts w:ascii="Calibri" w:hAnsi="Calibri"/>
                <w:b w:val="0"/>
                <w:i w:val="0"/>
                <w:color w:val="5A5A5A"/>
                <w:sz w:val="18"/>
              </w:rPr>
              <w:t>#overcrowding  #ventilation  #prisons  #contacts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(low BMI)</w:t>
            </w:r>
          </w:p>
        </w:tc>
        <w:tc>
          <w:tcPr>
            <w:tcW w:type="dxa" w:w="2160"/>
            <w:vAlign w:val="top"/>
          </w:tcPr>
          <w:p>
            <w:pPr>
              <w:spacing w:after="40" w:before="0" w:line="259" w:lineRule="auto"/>
            </w:pPr>
            <w:r>
              <w:rPr>
                <w:rFonts w:ascii="Calibri" w:hAnsi="Calibri"/>
                <w:b w:val="0"/>
                <w:i w:val="0"/>
                <w:color w:val="212121"/>
                <w:sz w:val="19"/>
              </w:rPr>
              <w:t>Underweight adults (BMI &lt; 18.5 kg/m²)</w:t>
            </w:r>
          </w:p>
        </w:tc>
        <w:tc>
          <w:tcPr>
            <w:tcW w:type="dxa" w:w="4276"/>
            <w:vAlign w:val="top"/>
          </w:tcPr>
          <w:p>
            <w:pPr>
              <w:spacing w:after="60" w:line="259" w:lineRule="auto"/>
            </w:pPr>
            <w:r>
              <w:rPr>
                <w:rFonts w:ascii="Calibri" w:hAnsi="Calibri"/>
                <w:b w:val="0"/>
                <w:i w:val="0"/>
                <w:color w:val="212121"/>
                <w:sz w:val="19"/>
              </w:rPr>
              <w:t>Protein-energy undernutrition weakens cell-mediated immunity and granuloma containment, making it both a leading cause and a consequence of TB; it is the dominant population driver in India.</w:t>
            </w:r>
          </w:p>
          <w:p>
            <w:pPr>
              <w:spacing w:after="40" w:before="60" w:line="259" w:lineRule="auto"/>
            </w:pPr>
            <w:r>
              <w:rPr>
                <w:rFonts w:ascii="Calibri" w:hAnsi="Calibri"/>
                <w:b w:val="0"/>
                <w:i w:val="0"/>
                <w:color w:val="212121"/>
                <w:sz w:val="19"/>
              </w:rPr>
              <w:t>About half of incident TB in India is attributable to undernutrition, and TB risk rises ~14% for each unit fall in BMI; ~90% of adult pulmonary TB patients in one state were undernourished at diagnosis.</w:t>
            </w:r>
          </w:p>
          <w:p>
            <w:pPr>
              <w:spacing w:after="40" w:line="252" w:lineRule="auto"/>
            </w:pPr>
            <w:hyperlink r:id="rId18">
              <w:r>
                <w:rPr>
                  <w:rFonts w:ascii="Calibri" w:hAnsi="Calibri" w:cs="Calibri"/>
                  <w:sz w:val="18"/>
                  <w:color w:val="1155CC"/>
                  <w:u w:val="single"/>
                </w:rPr>
                <w:t xml:space="preserve">ijmr.org.in — undernutrition &amp; TB in India: situation analysis</w:t>
              </w:r>
            </w:hyperlink>
          </w:p>
          <w:p>
            <w:pPr>
              <w:spacing w:before="60" w:after="40"/>
            </w:pPr>
            <w:r>
              <w:rPr>
                <w:rFonts w:ascii="Calibri" w:hAnsi="Calibri"/>
                <w:b w:val="0"/>
                <w:i w:val="0"/>
                <w:color w:val="5A5A5A"/>
                <w:sz w:val="18"/>
              </w:rPr>
              <w:t>#undernutrition  #lowBMI  #wasting  #cellmediatedimmunity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Vitamin-D and protein-deficient individuals</w:t>
            </w:r>
          </w:p>
        </w:tc>
        <w:tc>
          <w:tcPr>
            <w:tcW w:type="dxa" w:w="4276"/>
            <w:vAlign w:val="top"/>
          </w:tcPr>
          <w:p>
            <w:pPr>
              <w:spacing w:after="60" w:line="259" w:lineRule="auto"/>
            </w:pPr>
            <w:r>
              <w:rPr>
                <w:rFonts w:ascii="Calibri" w:hAnsi="Calibri"/>
                <w:b w:val="0"/>
                <w:i w:val="0"/>
                <w:color w:val="212121"/>
                <w:sz w:val="19"/>
              </w:rPr>
              <w:t>Vitamin D is required for macrophage cathelicidin-mediated killing of M. tuberculosis, and widespread deficiency plus low dietary protein in India is associated with greater susceptibility and poorer recovery.</w:t>
            </w:r>
          </w:p>
          <w:p>
            <w:pPr>
              <w:spacing w:after="40" w:before="60" w:line="259" w:lineRule="auto"/>
            </w:pPr>
            <w:r>
              <w:rPr>
                <w:rFonts w:ascii="Calibri" w:hAnsi="Calibri"/>
                <w:b w:val="0"/>
                <w:i w:val="0"/>
                <w:color w:val="212121"/>
                <w:sz w:val="19"/>
              </w:rPr>
              <w:t>Newly diagnosed TB patients consistently show lower serum 25-hydroxy-vitamin-D levels than healthy controls in Indian and international studies.</w:t>
            </w:r>
          </w:p>
          <w:p>
            <w:pPr>
              <w:spacing w:before="60" w:after="40"/>
            </w:pPr>
            <w:r>
              <w:rPr>
                <w:rFonts w:ascii="Calibri" w:hAnsi="Calibri"/>
                <w:b w:val="0"/>
                <w:i w:val="0"/>
                <w:color w:val="5A5A5A"/>
                <w:sz w:val="18"/>
              </w:rPr>
              <w:t>#vitaminD  #micronutrients  #cathelicidin  #immunity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household history</w:t>
            </w:r>
          </w:p>
        </w:tc>
        <w:tc>
          <w:tcPr>
            <w:tcW w:type="dxa" w:w="2160"/>
            <w:vAlign w:val="top"/>
          </w:tcPr>
          <w:p>
            <w:pPr>
              <w:spacing w:after="40" w:before="0" w:line="259" w:lineRule="auto"/>
            </w:pPr>
            <w:r>
              <w:rPr>
                <w:rFonts w:ascii="Calibri" w:hAnsi="Calibri"/>
                <w:b w:val="0"/>
                <w:i w:val="0"/>
                <w:color w:val="212121"/>
                <w:sz w:val="19"/>
              </w:rPr>
              <w:t>Household contacts of a person with pulmonary TB</w:t>
            </w:r>
          </w:p>
        </w:tc>
        <w:tc>
          <w:tcPr>
            <w:tcW w:type="dxa" w:w="4276"/>
            <w:vAlign w:val="top"/>
          </w:tcPr>
          <w:p>
            <w:pPr>
              <w:spacing w:after="60" w:line="259" w:lineRule="auto"/>
            </w:pPr>
            <w:r>
              <w:rPr>
                <w:rFonts w:ascii="Calibri" w:hAnsi="Calibri"/>
                <w:b w:val="0"/>
                <w:i w:val="0"/>
                <w:color w:val="212121"/>
                <w:sz w:val="19"/>
              </w:rPr>
              <w:t>Shared indoor air with an infectious index case, combined with shared genetic susceptibility and nutritional environment, makes household contacts a priority high-risk group for screening and preventive therapy.</w:t>
            </w:r>
          </w:p>
          <w:p>
            <w:pPr>
              <w:spacing w:after="40" w:before="60" w:line="259" w:lineRule="auto"/>
            </w:pPr>
            <w:r>
              <w:rPr>
                <w:rFonts w:ascii="Calibri" w:hAnsi="Calibri"/>
                <w:b w:val="0"/>
                <w:i w:val="0"/>
                <w:color w:val="212121"/>
                <w:sz w:val="19"/>
              </w:rPr>
              <w:t>TB-infection prevalence among Indian household contacts was 47% overall and up to 65% in contacts aged over 45 years.</w:t>
            </w:r>
          </w:p>
          <w:p>
            <w:pPr>
              <w:spacing w:after="40" w:line="252" w:lineRule="auto"/>
            </w:pPr>
            <w:hyperlink r:id="rId10">
              <w:r>
                <w:rPr>
                  <w:rFonts w:ascii="Calibri" w:hAnsi="Calibri" w:cs="Calibri"/>
                  <w:sz w:val="18"/>
                  <w:color w:val="1155CC"/>
                  <w:u w:val="single"/>
                </w:rPr>
                <w:t xml:space="preserve">pmc.ncbi.nlm.nih.gov — household contacts risk</w:t>
              </w:r>
            </w:hyperlink>
          </w:p>
          <w:p>
            <w:pPr>
              <w:spacing w:before="60" w:after="40"/>
            </w:pPr>
            <w:r>
              <w:rPr>
                <w:rFonts w:ascii="Calibri" w:hAnsi="Calibri"/>
                <w:b w:val="0"/>
                <w:i w:val="0"/>
                <w:color w:val="5A5A5A"/>
                <w:sz w:val="18"/>
              </w:rPr>
              <w:t>#householdcontacts  #TPT  #screening  #indexcase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genetic susceptibility</w:t>
            </w:r>
          </w:p>
        </w:tc>
        <w:tc>
          <w:tcPr>
            <w:tcW w:type="dxa" w:w="2160"/>
            <w:vAlign w:val="top"/>
          </w:tcPr>
          <w:p>
            <w:pPr>
              <w:spacing w:after="40" w:before="0" w:line="259" w:lineRule="auto"/>
            </w:pPr>
            <w:r>
              <w:rPr>
                <w:rFonts w:ascii="Calibri" w:hAnsi="Calibri"/>
                <w:b w:val="0"/>
                <w:i w:val="0"/>
                <w:color w:val="212121"/>
                <w:sz w:val="19"/>
              </w:rPr>
              <w:t>Carriers of susceptibility polymorphisms (HLA-DR2, SLC11A1/NRAMP1, VDR)</w:t>
            </w:r>
          </w:p>
        </w:tc>
        <w:tc>
          <w:tcPr>
            <w:tcW w:type="dxa" w:w="4276"/>
            <w:vAlign w:val="top"/>
          </w:tcPr>
          <w:p>
            <w:pPr>
              <w:spacing w:after="60" w:line="259" w:lineRule="auto"/>
            </w:pPr>
            <w:r>
              <w:rPr>
                <w:rFonts w:ascii="Calibri" w:hAnsi="Calibri"/>
                <w:b w:val="0"/>
                <w:i w:val="0"/>
                <w:color w:val="212121"/>
                <w:sz w:val="19"/>
              </w:rPr>
              <w:t>Variation in genes governing macrophage function, iron handling and vitamin-D signalling modulates the likelihood that infection progresses to active disease, explaining familial clustering beyond shared exposure.</w:t>
            </w:r>
          </w:p>
          <w:p>
            <w:pPr>
              <w:spacing w:after="40" w:before="60" w:line="259" w:lineRule="auto"/>
            </w:pPr>
            <w:r>
              <w:rPr>
                <w:rFonts w:ascii="Calibri" w:hAnsi="Calibri"/>
                <w:b w:val="0"/>
                <w:i w:val="0"/>
                <w:color w:val="212121"/>
                <w:sz w:val="19"/>
              </w:rPr>
              <w:t>Host genetic factors are established modifiers of TB susceptibility, though they act together with the dominant environmental and nutritional drivers.</w:t>
            </w:r>
          </w:p>
          <w:p>
            <w:pPr>
              <w:spacing w:before="60" w:after="40"/>
            </w:pPr>
            <w:r>
              <w:rPr>
                <w:rFonts w:ascii="Calibri" w:hAnsi="Calibri"/>
                <w:b w:val="0"/>
                <w:i w:val="0"/>
                <w:color w:val="5A5A5A"/>
                <w:sz w:val="18"/>
              </w:rPr>
              <w:t>#genetics  #NRAMP1  #HLA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People with type 2 diabetes</w:t>
            </w:r>
          </w:p>
        </w:tc>
        <w:tc>
          <w:tcPr>
            <w:tcW w:type="dxa" w:w="4276"/>
            <w:vAlign w:val="top"/>
          </w:tcPr>
          <w:p>
            <w:pPr>
              <w:spacing w:after="60" w:line="259" w:lineRule="auto"/>
            </w:pPr>
            <w:r>
              <w:rPr>
                <w:rFonts w:ascii="Calibri" w:hAnsi="Calibri"/>
                <w:b w:val="0"/>
                <w:i w:val="0"/>
                <w:color w:val="212121"/>
                <w:sz w:val="19"/>
              </w:rPr>
              <w:t>Chronic hyperglycaemia impairs neutrophil and macrophage function and cytokine responses, roughly trebling the risk of active TB; the two form a growing syndemic in India, with diabetes worsening TB severity, delaying culture conversion and increasing relapse.</w:t>
            </w:r>
          </w:p>
          <w:p>
            <w:pPr>
              <w:spacing w:after="40" w:before="60" w:line="259" w:lineRule="auto"/>
            </w:pPr>
            <w:r>
              <w:rPr>
                <w:rFonts w:ascii="Calibri" w:hAnsi="Calibri"/>
                <w:b w:val="0"/>
                <w:i w:val="0"/>
                <w:color w:val="212121"/>
                <w:sz w:val="19"/>
              </w:rPr>
              <w:t>Diabetes raises TB risk about 3-fold (RR 3.11, 95% CI 2.27–4.26); in an Indian tertiary centre 25.3% of TB inpatients had diabetes, rising to 35% among pulmonary TB.</w:t>
            </w:r>
          </w:p>
          <w:p>
            <w:pPr>
              <w:spacing w:after="40" w:line="252" w:lineRule="auto"/>
            </w:pPr>
            <w:hyperlink r:id="rId19">
              <w:r>
                <w:rPr>
                  <w:rFonts w:ascii="Calibri" w:hAnsi="Calibri" w:cs="Calibri"/>
                  <w:sz w:val="18"/>
                  <w:color w:val="1155CC"/>
                  <w:u w:val="single"/>
                </w:rPr>
                <w:t xml:space="preserve">link.springer.com — TB–diabetes syndemic review</w:t>
              </w:r>
            </w:hyperlink>
          </w:p>
          <w:p>
            <w:pPr>
              <w:spacing w:before="60" w:after="40"/>
            </w:pPr>
            <w:r>
              <w:rPr>
                <w:rFonts w:ascii="Calibri" w:hAnsi="Calibri"/>
                <w:b w:val="0"/>
                <w:i w:val="0"/>
                <w:color w:val="5A5A5A"/>
                <w:sz w:val="18"/>
              </w:rPr>
              <w:t>#diabetes  #syndemic  #hyperglycaemia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People living with HIV (PLHIV)</w:t>
            </w:r>
          </w:p>
        </w:tc>
        <w:tc>
          <w:tcPr>
            <w:tcW w:type="dxa" w:w="4276"/>
            <w:vAlign w:val="top"/>
          </w:tcPr>
          <w:p>
            <w:pPr>
              <w:spacing w:after="60" w:line="259" w:lineRule="auto"/>
            </w:pPr>
            <w:r>
              <w:rPr>
                <w:rFonts w:ascii="Calibri" w:hAnsi="Calibri"/>
                <w:b w:val="0"/>
                <w:i w:val="0"/>
                <w:color w:val="212121"/>
                <w:sz w:val="19"/>
              </w:rPr>
              <w:t>HIV depletes CD4 T-cells that are essential for containing M. tuberculosis, dramatically accelerating progression from infection to active, often disseminated, disease; TB is a leading cause of death in PLHIV.</w:t>
            </w:r>
          </w:p>
          <w:p>
            <w:pPr>
              <w:spacing w:after="40" w:before="60" w:line="259" w:lineRule="auto"/>
            </w:pPr>
            <w:r>
              <w:rPr>
                <w:rFonts w:ascii="Calibri" w:hAnsi="Calibri"/>
                <w:b w:val="0"/>
                <w:i w:val="0"/>
                <w:color w:val="212121"/>
                <w:sz w:val="19"/>
              </w:rPr>
              <w:t>Pooled TB-infection prevalence among PLHIV in India was 44%; India recorded roughly 94,000 TB–HIV co-infected patients in a single year.</w:t>
            </w:r>
          </w:p>
          <w:p>
            <w:pPr>
              <w:spacing w:after="40" w:line="252" w:lineRule="auto"/>
            </w:pPr>
            <w:hyperlink r:id="rId10">
              <w:r>
                <w:rPr>
                  <w:rFonts w:ascii="Calibri" w:hAnsi="Calibri" w:cs="Calibri"/>
                  <w:sz w:val="18"/>
                  <w:color w:val="1155CC"/>
                  <w:u w:val="single"/>
                </w:rPr>
                <w:t xml:space="preserve">pmc.ncbi.nlm.nih.gov — TB infection among PLHIV</w:t>
              </w:r>
            </w:hyperlink>
          </w:p>
          <w:p>
            <w:pPr>
              <w:spacing w:before="60" w:after="40"/>
            </w:pPr>
            <w:r>
              <w:rPr>
                <w:rFonts w:ascii="Calibri" w:hAnsi="Calibri"/>
                <w:b w:val="0"/>
                <w:i w:val="0"/>
                <w:color w:val="5A5A5A"/>
                <w:sz w:val="18"/>
              </w:rPr>
              <w:t>#HIV  #coinfection  #CD4  #disseminatedTB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Silicosis</w:t>
            </w:r>
          </w:p>
        </w:tc>
        <w:tc>
          <w:tcPr>
            <w:tcW w:type="dxa" w:w="2160"/>
            <w:vAlign w:val="top"/>
          </w:tcPr>
          <w:p>
            <w:pPr>
              <w:spacing w:after="40" w:before="0" w:line="259" w:lineRule="auto"/>
            </w:pPr>
            <w:r>
              <w:rPr>
                <w:rFonts w:ascii="Calibri" w:hAnsi="Calibri"/>
                <w:b w:val="0"/>
                <w:i w:val="0"/>
                <w:color w:val="212121"/>
                <w:sz w:val="19"/>
              </w:rPr>
              <w:t>Workers with established silicosis</w:t>
            </w:r>
          </w:p>
        </w:tc>
        <w:tc>
          <w:tcPr>
            <w:tcW w:type="dxa" w:w="4276"/>
            <w:vAlign w:val="top"/>
          </w:tcPr>
          <w:p>
            <w:pPr>
              <w:spacing w:after="60" w:line="259" w:lineRule="auto"/>
            </w:pPr>
            <w:r>
              <w:rPr>
                <w:rFonts w:ascii="Calibri" w:hAnsi="Calibri"/>
                <w:b w:val="0"/>
                <w:i w:val="0"/>
                <w:color w:val="212121"/>
                <w:sz w:val="19"/>
              </w:rPr>
              <w:t>Silica-laden fibrotic lungs with impaired alveolar macrophages provide a permissive environment for mycobacterial growth, so silicotics carry a greatly elevated risk of pulmonary TB and worse outcomes.</w:t>
            </w:r>
          </w:p>
          <w:p>
            <w:pPr>
              <w:spacing w:after="40" w:before="60" w:line="259" w:lineRule="auto"/>
            </w:pPr>
            <w:r>
              <w:rPr>
                <w:rFonts w:ascii="Calibri" w:hAnsi="Calibri"/>
                <w:b w:val="0"/>
                <w:i w:val="0"/>
                <w:color w:val="212121"/>
                <w:sz w:val="19"/>
              </w:rPr>
              <w:t>Silicosis prevalence reached 37.3% among Rajasthan sandstone workers, among whom pulmonary TB and silico-TB were markedly common.</w:t>
            </w:r>
          </w:p>
          <w:p>
            <w:pPr>
              <w:spacing w:after="40" w:line="252" w:lineRule="auto"/>
            </w:pPr>
            <w:hyperlink r:id="rId16">
              <w:r>
                <w:rPr>
                  <w:rFonts w:ascii="Calibri" w:hAnsi="Calibri" w:cs="Calibri"/>
                  <w:sz w:val="18"/>
                  <w:color w:val="1155CC"/>
                  <w:u w:val="single"/>
                </w:rPr>
                <w:t xml:space="preserve">journals.plos.org — silicosis &amp; TB in mine workers</w:t>
              </w:r>
            </w:hyperlink>
          </w:p>
          <w:p>
            <w:pPr>
              <w:spacing w:before="60" w:after="40"/>
            </w:pPr>
            <w:r>
              <w:rPr>
                <w:rFonts w:ascii="Calibri" w:hAnsi="Calibri"/>
                <w:b w:val="0"/>
                <w:i w:val="0"/>
                <w:color w:val="5A5A5A"/>
                <w:sz w:val="18"/>
              </w:rPr>
              <w:t>#silicosis  #fibrosis  #occupationallung  #silicotuberculosis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Body composition matters more than exercise per se: low body mass and muscle wasting markedly increase TB risk and mortality, while graded activity aids recovery and prevents deconditioning during and after treatment.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Undernutrition is the dominant driver of TB in India, attributable for roughly half of incident cases; TB risk rises ~14% per unit fall in BMI, and nutritional support reduced TB incidence by 39–48% among household contacts in the RATIONS trial.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linking sleep to TB is limited, but poor and short sleep impairs immune function and often coexists with the poverty, overcrowding and comorbidity that drive TB.</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smoke exposure damage mucociliary clearance and macrophage killing, raising active-TB risk ~2.3–2.7-fold and worsening cavitation, transmission and treatment outcomes.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alcohol use (&gt;40 g/day or an alcohol-use disorder) roughly trebles active-TB risk (RR ~3.5) and compounds hepatotoxicity and non-adherence during antitubercular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stigma and alcohol/substance use are common in TB and are bidirectionally linked to poor adherence, loss to follow-up and worse outcomes; catastrophic costs worsen psychological distress.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TB is airborne rather than waterborne, so hydration has no direct preventive role, though adequate fluids support recovery and drug tolerance.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Respiratory hygiene, cough etiquette, adequate cross-ventilation, natural light and early isolation of infectious cases substantially reduce droplet-nuclei transmission in homes and healthcare settings.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Immunosuppression (HIV, diabetes, corticosteroids, anti-TNF agents, malignancy), silica exposure and overcrowding provoke progression from latent infection to active pulmonary TB.</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 &lt; 16 (severe)</w:t>
            </w:r>
          </w:p>
        </w:tc>
        <w:tc>
          <w:tcPr>
            <w:tcW w:type="dxa" w:w="1468"/>
            <w:vAlign w:val="top"/>
          </w:tcPr>
          <w:p>
            <w:pPr>
              <w:spacing w:after="60" w:line="259" w:lineRule="auto"/>
            </w:pPr>
            <w:r>
              <w:rPr>
                <w:rFonts w:ascii="Calibri" w:hAnsi="Calibri"/>
                <w:b w:val="0"/>
                <w:i w:val="0"/>
                <w:color w:val="212121"/>
                <w:sz w:val="19"/>
              </w:rPr>
              <w:t>Low BMI strongly predicts TB and death; each unit fall raises risk ~14%</w:t>
            </w:r>
          </w:p>
          <w:p>
            <w:pPr>
              <w:spacing w:after="40" w:line="252" w:lineRule="auto"/>
            </w:pPr>
            <w:hyperlink r:id="rId18">
              <w:r>
                <w:rPr>
                  <w:rFonts w:ascii="Calibri" w:hAnsi="Calibri" w:cs="Calibri"/>
                  <w:sz w:val="18"/>
                  <w:color w:val="1155CC"/>
                  <w:u w:val="single"/>
                </w:rPr>
                <w:t xml:space="preserve">https://ijmr.org.in/undernutrition-tuberculosis-in-india-situation-analysis-the-way-forward/</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Mid-Upper Arm Circumference (MUAC)</w:t>
            </w:r>
          </w:p>
        </w:tc>
        <w:tc>
          <w:tcPr>
            <w:tcW w:type="dxa" w:w="1655"/>
            <w:vAlign w:val="top"/>
          </w:tcPr>
          <w:p>
            <w:pPr>
              <w:spacing w:after="40" w:before="0" w:line="259" w:lineRule="auto"/>
            </w:pPr>
            <w:r>
              <w:rPr>
                <w:rFonts w:ascii="Calibri" w:hAnsi="Calibri"/>
                <w:b w:val="0"/>
                <w:i w:val="0"/>
                <w:color w:val="212121"/>
                <w:sz w:val="19"/>
              </w:rPr>
              <w:t>Adults with/at risk of TB</w:t>
            </w:r>
          </w:p>
        </w:tc>
        <w:tc>
          <w:tcPr>
            <w:tcW w:type="dxa" w:w="1512"/>
            <w:vAlign w:val="top"/>
          </w:tcPr>
          <w:p>
            <w:pPr>
              <w:spacing w:after="40" w:before="0" w:line="259" w:lineRule="auto"/>
            </w:pPr>
            <w:r>
              <w:rPr>
                <w:rFonts w:ascii="Calibri" w:hAnsi="Calibri"/>
                <w:b w:val="0"/>
                <w:i w:val="0"/>
                <w:color w:val="212121"/>
                <w:sz w:val="19"/>
              </w:rPr>
              <w:t>&gt; 23 cm</w:t>
            </w:r>
          </w:p>
        </w:tc>
        <w:tc>
          <w:tcPr>
            <w:tcW w:type="dxa" w:w="1512"/>
            <w:vAlign w:val="top"/>
          </w:tcPr>
          <w:p>
            <w:pPr>
              <w:spacing w:after="40" w:before="0" w:line="259" w:lineRule="auto"/>
            </w:pPr>
            <w:r>
              <w:rPr>
                <w:rFonts w:ascii="Calibri" w:hAnsi="Calibri"/>
                <w:b w:val="0"/>
                <w:i w:val="0"/>
                <w:color w:val="212121"/>
                <w:sz w:val="19"/>
              </w:rPr>
              <w:t>&lt; 19 cm (severe undernutrition)</w:t>
            </w:r>
          </w:p>
        </w:tc>
        <w:tc>
          <w:tcPr>
            <w:tcW w:type="dxa" w:w="1468"/>
            <w:vAlign w:val="top"/>
          </w:tcPr>
          <w:p>
            <w:pPr>
              <w:spacing w:after="40" w:before="0" w:line="259" w:lineRule="auto"/>
            </w:pPr>
            <w:r>
              <w:rPr>
                <w:rFonts w:ascii="Calibri" w:hAnsi="Calibri"/>
                <w:b w:val="0"/>
                <w:i w:val="0"/>
                <w:color w:val="212121"/>
                <w:sz w:val="19"/>
              </w:rPr>
              <w:t>Simple field marker of acute undernutrition and treatment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TB patients</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w:t>
            </w:r>
          </w:p>
        </w:tc>
        <w:tc>
          <w:tcPr>
            <w:tcW w:type="dxa" w:w="1468"/>
            <w:vAlign w:val="top"/>
          </w:tcPr>
          <w:p>
            <w:pPr>
              <w:spacing w:after="40" w:before="0" w:line="259" w:lineRule="auto"/>
            </w:pPr>
            <w:r>
              <w:rPr>
                <w:rFonts w:ascii="Calibri" w:hAnsi="Calibri"/>
                <w:b w:val="0"/>
                <w:i w:val="0"/>
                <w:color w:val="212121"/>
                <w:sz w:val="19"/>
              </w:rPr>
              <w:t>Hypoalbuminaemia reflects protein-energy undernutrition and worse prognosis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Vitamin D supports macrophage killing of M. tuberculosis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Any tobacco use raises TB risk and worsens cavitation and outcomes</w:t>
            </w:r>
          </w:p>
          <w:p>
            <w:pPr>
              <w:spacing w:after="40" w:line="252" w:lineRule="auto"/>
            </w:pPr>
            <w:hyperlink r:id="rId14">
              <w:r>
                <w:rPr>
                  <w:rFonts w:ascii="Calibri" w:hAnsi="Calibri" w:cs="Calibri"/>
                  <w:sz w:val="18"/>
                  <w:color w:val="1155CC"/>
                  <w:u w:val="single"/>
                </w:rPr>
                <w:t xml:space="preserve">https://pubmed.ncbi.nlm.nih.gov/17325294/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g/day</w:t>
            </w:r>
          </w:p>
        </w:tc>
        <w:tc>
          <w:tcPr>
            <w:tcW w:type="dxa" w:w="1512"/>
            <w:vAlign w:val="top"/>
          </w:tcPr>
          <w:p>
            <w:pPr>
              <w:spacing w:after="40" w:before="0" w:line="259" w:lineRule="auto"/>
            </w:pPr>
            <w:r>
              <w:rPr>
                <w:rFonts w:ascii="Calibri" w:hAnsi="Calibri"/>
                <w:b w:val="0"/>
                <w:i w:val="0"/>
                <w:color w:val="212121"/>
                <w:sz w:val="19"/>
              </w:rPr>
              <w:t>≥ 40 g/day or an alcohol-use disorder</w:t>
            </w:r>
          </w:p>
        </w:tc>
        <w:tc>
          <w:tcPr>
            <w:tcW w:type="dxa" w:w="1468"/>
            <w:vAlign w:val="top"/>
          </w:tcPr>
          <w:p>
            <w:pPr>
              <w:spacing w:after="60" w:line="259" w:lineRule="auto"/>
            </w:pPr>
            <w:r>
              <w:rPr>
                <w:rFonts w:ascii="Calibri" w:hAnsi="Calibri"/>
                <w:b w:val="0"/>
                <w:i w:val="0"/>
                <w:color w:val="212121"/>
                <w:sz w:val="19"/>
              </w:rPr>
              <w:t>Heavy use trebles TB risk and adds ATT hepatotoxicity</w:t>
            </w:r>
          </w:p>
          <w:p>
            <w:pPr>
              <w:spacing w:after="40" w:line="252" w:lineRule="auto"/>
            </w:pPr>
            <w:hyperlink r:id="rId15">
              <w:r>
                <w:rPr>
                  <w:rFonts w:ascii="Calibri" w:hAnsi="Calibri" w:cs="Calibri"/>
                  <w:sz w:val="18"/>
                  <w:color w:val="1155CC"/>
                  <w:u w:val="single"/>
                </w:rPr>
                <w:t xml:space="preserve">https://bmcpublichealth.biomedcentral.com/articles/10.1186/1471-2458-8-289</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crowding (persons per room)</w:t>
            </w:r>
          </w:p>
        </w:tc>
        <w:tc>
          <w:tcPr>
            <w:tcW w:type="dxa" w:w="1655"/>
            <w:vAlign w:val="top"/>
          </w:tcPr>
          <w:p>
            <w:pPr>
              <w:spacing w:after="40" w:before="0" w:line="259" w:lineRule="auto"/>
            </w:pPr>
            <w:r>
              <w:rPr>
                <w:rFonts w:ascii="Calibri" w:hAnsi="Calibri"/>
                <w:b w:val="0"/>
                <w:i w:val="0"/>
                <w:color w:val="212121"/>
                <w:sz w:val="19"/>
              </w:rPr>
              <w:t>Household members</w:t>
            </w:r>
          </w:p>
        </w:tc>
        <w:tc>
          <w:tcPr>
            <w:tcW w:type="dxa" w:w="1512"/>
            <w:vAlign w:val="top"/>
          </w:tcPr>
          <w:p>
            <w:pPr>
              <w:spacing w:after="40" w:before="0" w:line="259" w:lineRule="auto"/>
            </w:pPr>
            <w:r>
              <w:rPr>
                <w:rFonts w:ascii="Calibri" w:hAnsi="Calibri"/>
                <w:b w:val="0"/>
                <w:i w:val="0"/>
                <w:color w:val="212121"/>
                <w:sz w:val="19"/>
              </w:rPr>
              <w:t>&lt; 2 persons/room</w:t>
            </w:r>
          </w:p>
        </w:tc>
        <w:tc>
          <w:tcPr>
            <w:tcW w:type="dxa" w:w="1512"/>
            <w:vAlign w:val="top"/>
          </w:tcPr>
          <w:p>
            <w:pPr>
              <w:spacing w:after="40" w:before="0" w:line="259" w:lineRule="auto"/>
            </w:pPr>
            <w:r>
              <w:rPr>
                <w:rFonts w:ascii="Calibri" w:hAnsi="Calibri"/>
                <w:b w:val="0"/>
                <w:i w:val="0"/>
                <w:color w:val="212121"/>
                <w:sz w:val="19"/>
              </w:rPr>
              <w:t>≥ 3 persons/room</w:t>
            </w:r>
          </w:p>
        </w:tc>
        <w:tc>
          <w:tcPr>
            <w:tcW w:type="dxa" w:w="1468"/>
            <w:vAlign w:val="top"/>
          </w:tcPr>
          <w:p>
            <w:pPr>
              <w:spacing w:after="40" w:before="0" w:line="259" w:lineRule="auto"/>
            </w:pPr>
            <w:r>
              <w:rPr>
                <w:rFonts w:ascii="Calibri" w:hAnsi="Calibri"/>
                <w:b w:val="0"/>
                <w:i w:val="0"/>
                <w:color w:val="212121"/>
                <w:sz w:val="19"/>
              </w:rPr>
              <w:t>Crowding and poor ventilation raise the inhaled infectious dose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Glycaemic status (HbA1c)</w:t>
            </w:r>
          </w:p>
        </w:tc>
        <w:tc>
          <w:tcPr>
            <w:tcW w:type="dxa" w:w="1655"/>
            <w:vAlign w:val="top"/>
          </w:tcPr>
          <w:p>
            <w:pPr>
              <w:spacing w:after="40" w:before="0" w:line="259" w:lineRule="auto"/>
            </w:pPr>
            <w:r>
              <w:rPr>
                <w:rFonts w:ascii="Calibri" w:hAnsi="Calibri"/>
                <w:b w:val="0"/>
                <w:i w:val="0"/>
                <w:color w:val="212121"/>
                <w:sz w:val="19"/>
              </w:rPr>
              <w:t>Adults with TB or at risk</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60" w:line="259" w:lineRule="auto"/>
            </w:pPr>
            <w:r>
              <w:rPr>
                <w:rFonts w:ascii="Calibri" w:hAnsi="Calibri"/>
                <w:b w:val="0"/>
                <w:i w:val="0"/>
                <w:color w:val="212121"/>
                <w:sz w:val="19"/>
              </w:rPr>
              <w:t>Bidirectional TB–diabetes screening is recommended for all TB patients</w:t>
            </w:r>
          </w:p>
          <w:p>
            <w:pPr>
              <w:spacing w:after="40" w:line="252" w:lineRule="auto"/>
            </w:pPr>
            <w:hyperlink r:id="rId19">
              <w:r>
                <w:rPr>
                  <w:rFonts w:ascii="Calibri" w:hAnsi="Calibri" w:cs="Calibri"/>
                  <w:sz w:val="18"/>
                  <w:color w:val="1155CC"/>
                  <w:u w:val="single"/>
                </w:rPr>
                <w:t xml:space="preserve">https://link.springer.com/article/10.1186/s12982-025-00785-2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HIV status</w:t>
            </w:r>
          </w:p>
        </w:tc>
        <w:tc>
          <w:tcPr>
            <w:tcW w:type="dxa" w:w="1655"/>
            <w:vAlign w:val="top"/>
          </w:tcPr>
          <w:p>
            <w:pPr>
              <w:spacing w:after="40" w:before="0" w:line="259" w:lineRule="auto"/>
            </w:pPr>
            <w:r>
              <w:rPr>
                <w:rFonts w:ascii="Calibri" w:hAnsi="Calibri"/>
                <w:b w:val="0"/>
                <w:i w:val="0"/>
                <w:color w:val="212121"/>
                <w:sz w:val="19"/>
              </w:rPr>
              <w:t>All notified TB patients</w:t>
            </w:r>
          </w:p>
        </w:tc>
        <w:tc>
          <w:tcPr>
            <w:tcW w:type="dxa" w:w="1512"/>
            <w:vAlign w:val="top"/>
          </w:tcPr>
          <w:p>
            <w:pPr>
              <w:spacing w:after="40" w:before="0" w:line="259" w:lineRule="auto"/>
            </w:pPr>
            <w:r>
              <w:rPr>
                <w:rFonts w:ascii="Calibri" w:hAnsi="Calibri"/>
                <w:b w:val="0"/>
                <w:i w:val="0"/>
                <w:color w:val="212121"/>
                <w:sz w:val="19"/>
              </w:rPr>
              <w:t>Non-reactive</w:t>
            </w:r>
          </w:p>
        </w:tc>
        <w:tc>
          <w:tcPr>
            <w:tcW w:type="dxa" w:w="1512"/>
            <w:vAlign w:val="top"/>
          </w:tcPr>
          <w:p>
            <w:pPr>
              <w:spacing w:after="40" w:before="0" w:line="259" w:lineRule="auto"/>
            </w:pPr>
            <w:r>
              <w:rPr>
                <w:rFonts w:ascii="Calibri" w:hAnsi="Calibri"/>
                <w:b w:val="0"/>
                <w:i w:val="0"/>
                <w:color w:val="212121"/>
                <w:sz w:val="19"/>
              </w:rPr>
              <w:t>Reactive</w:t>
            </w:r>
          </w:p>
        </w:tc>
        <w:tc>
          <w:tcPr>
            <w:tcW w:type="dxa" w:w="1468"/>
            <w:vAlign w:val="top"/>
          </w:tcPr>
          <w:p>
            <w:pPr>
              <w:spacing w:after="40" w:before="0" w:line="259" w:lineRule="auto"/>
            </w:pPr>
            <w:r>
              <w:rPr>
                <w:rFonts w:ascii="Calibri" w:hAnsi="Calibri"/>
                <w:b w:val="0"/>
                <w:i w:val="0"/>
                <w:color w:val="212121"/>
                <w:sz w:val="19"/>
              </w:rPr>
              <w:t>Provider-initiated HIV testing is mandatory; co-infection alters regimen and prognosis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Unintentional weight change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Stable weight</w:t>
            </w:r>
          </w:p>
        </w:tc>
        <w:tc>
          <w:tcPr>
            <w:tcW w:type="dxa" w:w="1512"/>
            <w:vAlign w:val="top"/>
          </w:tcPr>
          <w:p>
            <w:pPr>
              <w:spacing w:after="40" w:before="0" w:line="259" w:lineRule="auto"/>
            </w:pPr>
            <w:r>
              <w:rPr>
                <w:rFonts w:ascii="Calibri" w:hAnsi="Calibri"/>
                <w:b w:val="0"/>
                <w:i w:val="0"/>
                <w:color w:val="212121"/>
                <w:sz w:val="19"/>
              </w:rPr>
              <w:t>Loss &gt; 5% in weeks–months</w:t>
            </w:r>
          </w:p>
        </w:tc>
        <w:tc>
          <w:tcPr>
            <w:tcW w:type="dxa" w:w="1468"/>
            <w:vAlign w:val="top"/>
          </w:tcPr>
          <w:p>
            <w:pPr>
              <w:spacing w:after="40" w:before="0" w:line="259" w:lineRule="auto"/>
            </w:pPr>
            <w:r>
              <w:rPr>
                <w:rFonts w:ascii="Calibri" w:hAnsi="Calibri"/>
                <w:b w:val="0"/>
                <w:i w:val="0"/>
                <w:color w:val="212121"/>
                <w:sz w:val="19"/>
              </w:rPr>
              <w:t>Progressive weight loss is a cardinal TB warning sign and early weight gain predicts survival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 tuberculosis DNA &amp; rifampicin resistance</w:t>
            </w:r>
          </w:p>
        </w:tc>
        <w:tc>
          <w:tcPr>
            <w:tcW w:type="dxa" w:w="892"/>
            <w:vAlign w:val="top"/>
          </w:tcPr>
          <w:p>
            <w:pPr>
              <w:spacing w:after="40" w:before="0" w:line="259" w:lineRule="auto"/>
            </w:pPr>
            <w:r>
              <w:rPr>
                <w:rFonts w:ascii="Calibri" w:hAnsi="Calibri"/>
                <w:b w:val="0"/>
                <w:i w:val="0"/>
                <w:color w:val="212121"/>
                <w:sz w:val="16"/>
              </w:rPr>
              <w:t>NAAT — CBNAAT/GeneXpert MTB/RIF or Truenat (sputum)</w:t>
            </w:r>
          </w:p>
        </w:tc>
        <w:tc>
          <w:tcPr>
            <w:tcW w:type="dxa" w:w="950"/>
            <w:vAlign w:val="top"/>
          </w:tcPr>
          <w:p>
            <w:pPr>
              <w:spacing w:after="40" w:before="0" w:line="259" w:lineRule="auto"/>
            </w:pPr>
            <w:r>
              <w:rPr>
                <w:rFonts w:ascii="Calibri" w:hAnsi="Calibri"/>
                <w:b w:val="0"/>
                <w:i w:val="0"/>
                <w:color w:val="212121"/>
                <w:sz w:val="16"/>
              </w:rPr>
              <w:t>MTB not detected</w:t>
            </w:r>
          </w:p>
        </w:tc>
        <w:tc>
          <w:tcPr>
            <w:tcW w:type="dxa" w:w="950"/>
            <w:vAlign w:val="top"/>
          </w:tcPr>
          <w:p>
            <w:pPr>
              <w:spacing w:after="40" w:before="0" w:line="259" w:lineRule="auto"/>
            </w:pPr>
            <w:r>
              <w:rPr>
                <w:rFonts w:ascii="Calibri" w:hAnsi="Calibri"/>
                <w:b w:val="0"/>
                <w:i w:val="0"/>
                <w:color w:val="212121"/>
                <w:sz w:val="16"/>
              </w:rPr>
              <w:t>MTB detected ± rifampicin resistance</w:t>
            </w:r>
          </w:p>
        </w:tc>
        <w:tc>
          <w:tcPr>
            <w:tcW w:type="dxa" w:w="1036"/>
            <w:vAlign w:val="top"/>
          </w:tcPr>
          <w:p>
            <w:pPr>
              <w:spacing w:after="40" w:before="0" w:line="259" w:lineRule="auto"/>
            </w:pPr>
            <w:r>
              <w:rPr>
                <w:rFonts w:ascii="Calibri" w:hAnsi="Calibri"/>
                <w:b w:val="0"/>
                <w:i w:val="0"/>
                <w:color w:val="212121"/>
                <w:sz w:val="16"/>
              </w:rPr>
              <w:t>Confirms PTB and flags drug resistance in ~2 hours; recommended upfront test</w:t>
            </w:r>
          </w:p>
        </w:tc>
        <w:tc>
          <w:tcPr>
            <w:tcW w:type="dxa" w:w="1036"/>
            <w:vAlign w:val="top"/>
          </w:tcPr>
          <w:p>
            <w:pPr>
              <w:spacing w:after="40" w:before="0" w:line="259" w:lineRule="auto"/>
            </w:pPr>
            <w:r>
              <w:rPr>
                <w:rFonts w:ascii="Calibri" w:hAnsi="Calibri"/>
                <w:b w:val="0"/>
                <w:i w:val="0"/>
                <w:color w:val="212121"/>
                <w:sz w:val="16"/>
              </w:rPr>
              <w:t>Presumptive PTB, contacts, PLHIV, diabetics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 (rapid)</w:t>
            </w:r>
          </w:p>
        </w:tc>
        <w:tc>
          <w:tcPr>
            <w:tcW w:type="dxa" w:w="720"/>
            <w:vAlign w:val="top"/>
          </w:tcPr>
          <w:p>
            <w:pPr>
              <w:spacing w:after="40" w:before="0" w:line="259" w:lineRule="auto"/>
            </w:pPr>
            <w:r>
              <w:rPr>
                <w:rFonts w:ascii="Calibri" w:hAnsi="Calibri"/>
                <w:b w:val="0"/>
                <w:i w:val="0"/>
                <w:color w:val="212121"/>
                <w:sz w:val="16"/>
              </w:rPr>
              <w:t>Detects TB even in smear-negative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Acid-fast bacilli (bacillary load)</w:t>
            </w:r>
          </w:p>
        </w:tc>
        <w:tc>
          <w:tcPr>
            <w:tcW w:type="dxa" w:w="892"/>
            <w:vAlign w:val="top"/>
          </w:tcPr>
          <w:p>
            <w:pPr>
              <w:spacing w:after="40" w:before="0" w:line="259" w:lineRule="auto"/>
            </w:pPr>
            <w:r>
              <w:rPr>
                <w:rFonts w:ascii="Calibri" w:hAnsi="Calibri"/>
                <w:b w:val="0"/>
                <w:i w:val="0"/>
                <w:color w:val="212121"/>
                <w:sz w:val="16"/>
              </w:rPr>
              <w:t>Sputum smear microscopy (ZN / fluorescent)</w:t>
            </w:r>
          </w:p>
        </w:tc>
        <w:tc>
          <w:tcPr>
            <w:tcW w:type="dxa" w:w="950"/>
            <w:vAlign w:val="top"/>
          </w:tcPr>
          <w:p>
            <w:pPr>
              <w:spacing w:after="40" w:before="0" w:line="259" w:lineRule="auto"/>
            </w:pPr>
            <w:r>
              <w:rPr>
                <w:rFonts w:ascii="Calibri" w:hAnsi="Calibri"/>
                <w:b w:val="0"/>
                <w:i w:val="0"/>
                <w:color w:val="212121"/>
                <w:sz w:val="16"/>
              </w:rPr>
              <w:t>No AFB seen</w:t>
            </w:r>
          </w:p>
        </w:tc>
        <w:tc>
          <w:tcPr>
            <w:tcW w:type="dxa" w:w="950"/>
            <w:vAlign w:val="top"/>
          </w:tcPr>
          <w:p>
            <w:pPr>
              <w:spacing w:after="40" w:before="0" w:line="259" w:lineRule="auto"/>
            </w:pPr>
            <w:r>
              <w:rPr>
                <w:rFonts w:ascii="Calibri" w:hAnsi="Calibri"/>
                <w:b w:val="0"/>
                <w:i w:val="0"/>
                <w:color w:val="212121"/>
                <w:sz w:val="16"/>
              </w:rPr>
              <w:t>Scanty to 3+ AFB</w:t>
            </w:r>
          </w:p>
        </w:tc>
        <w:tc>
          <w:tcPr>
            <w:tcW w:type="dxa" w:w="1036"/>
            <w:vAlign w:val="top"/>
          </w:tcPr>
          <w:p>
            <w:pPr>
              <w:spacing w:after="40" w:before="0" w:line="259" w:lineRule="auto"/>
            </w:pPr>
            <w:r>
              <w:rPr>
                <w:rFonts w:ascii="Calibri" w:hAnsi="Calibri"/>
                <w:b w:val="0"/>
                <w:i w:val="0"/>
                <w:color w:val="212121"/>
                <w:sz w:val="16"/>
              </w:rPr>
              <w:t>Grades infectiousness and monitors treatment response</w:t>
            </w:r>
          </w:p>
        </w:tc>
        <w:tc>
          <w:tcPr>
            <w:tcW w:type="dxa" w:w="1036"/>
            <w:vAlign w:val="top"/>
          </w:tcPr>
          <w:p>
            <w:pPr>
              <w:spacing w:after="40" w:before="0" w:line="259" w:lineRule="auto"/>
            </w:pPr>
            <w:r>
              <w:rPr>
                <w:rFonts w:ascii="Calibri" w:hAnsi="Calibri"/>
                <w:b w:val="0"/>
                <w:i w:val="0"/>
                <w:color w:val="212121"/>
                <w:sz w:val="16"/>
              </w:rPr>
              <w:t>Presumptive &amp; on-treatment PTB</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Two samples; low sensitivity in paucibacillary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Mycobacterial growth</w:t>
            </w:r>
          </w:p>
        </w:tc>
        <w:tc>
          <w:tcPr>
            <w:tcW w:type="dxa" w:w="892"/>
            <w:vAlign w:val="top"/>
          </w:tcPr>
          <w:p>
            <w:pPr>
              <w:spacing w:after="40" w:before="0" w:line="259" w:lineRule="auto"/>
            </w:pPr>
            <w:r>
              <w:rPr>
                <w:rFonts w:ascii="Calibri" w:hAnsi="Calibri"/>
                <w:b w:val="0"/>
                <w:i w:val="0"/>
                <w:color w:val="212121"/>
                <w:sz w:val="16"/>
              </w:rPr>
              <w:t>Culture — solid (LJ) / liquid (MGIT)</w:t>
            </w:r>
          </w:p>
        </w:tc>
        <w:tc>
          <w:tcPr>
            <w:tcW w:type="dxa" w:w="950"/>
            <w:vAlign w:val="top"/>
          </w:tcPr>
          <w:p>
            <w:pPr>
              <w:spacing w:after="40" w:before="0" w:line="259" w:lineRule="auto"/>
            </w:pPr>
            <w:r>
              <w:rPr>
                <w:rFonts w:ascii="Calibri" w:hAnsi="Calibri"/>
                <w:b w:val="0"/>
                <w:i w:val="0"/>
                <w:color w:val="212121"/>
                <w:sz w:val="16"/>
              </w:rPr>
              <w:t>No growth at 6–8 weeks</w:t>
            </w:r>
          </w:p>
        </w:tc>
        <w:tc>
          <w:tcPr>
            <w:tcW w:type="dxa" w:w="950"/>
            <w:vAlign w:val="top"/>
          </w:tcPr>
          <w:p>
            <w:pPr>
              <w:spacing w:after="40" w:before="0" w:line="259" w:lineRule="auto"/>
            </w:pPr>
            <w:r>
              <w:rPr>
                <w:rFonts w:ascii="Calibri" w:hAnsi="Calibri"/>
                <w:b w:val="0"/>
                <w:i w:val="0"/>
                <w:color w:val="212121"/>
                <w:sz w:val="16"/>
              </w:rPr>
              <w:t>M. tuberculosis isolated</w:t>
            </w:r>
          </w:p>
        </w:tc>
        <w:tc>
          <w:tcPr>
            <w:tcW w:type="dxa" w:w="1036"/>
            <w:vAlign w:val="top"/>
          </w:tcPr>
          <w:p>
            <w:pPr>
              <w:spacing w:after="40" w:before="0" w:line="259" w:lineRule="auto"/>
            </w:pPr>
            <w:r>
              <w:rPr>
                <w:rFonts w:ascii="Calibri" w:hAnsi="Calibri"/>
                <w:b w:val="0"/>
                <w:i w:val="0"/>
                <w:color w:val="212121"/>
                <w:sz w:val="16"/>
              </w:rPr>
              <w:t>Reference standard; enables phenotypic DST</w:t>
            </w:r>
          </w:p>
        </w:tc>
        <w:tc>
          <w:tcPr>
            <w:tcW w:type="dxa" w:w="1036"/>
            <w:vAlign w:val="top"/>
          </w:tcPr>
          <w:p>
            <w:pPr>
              <w:spacing w:after="40" w:before="0" w:line="259" w:lineRule="auto"/>
            </w:pPr>
            <w:r>
              <w:rPr>
                <w:rFonts w:ascii="Calibri" w:hAnsi="Calibri"/>
                <w:b w:val="0"/>
                <w:i w:val="0"/>
                <w:color w:val="212121"/>
                <w:sz w:val="16"/>
              </w:rPr>
              <w:t>Confirmed/complex PTB, treatment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Slow (weeks); needs biosafety facilities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DST</w:t>
            </w:r>
          </w:p>
        </w:tc>
        <w:tc>
          <w:tcPr>
            <w:tcW w:type="dxa" w:w="1036"/>
            <w:vAlign w:val="top"/>
          </w:tcPr>
          <w:p>
            <w:pPr>
              <w:spacing w:after="40" w:before="0" w:line="259" w:lineRule="auto"/>
            </w:pPr>
            <w:r>
              <w:rPr>
                <w:rFonts w:ascii="Calibri" w:hAnsi="Calibri"/>
                <w:b w:val="0"/>
                <w:i w:val="0"/>
                <w:color w:val="212121"/>
                <w:sz w:val="16"/>
              </w:rPr>
              <w:t>Resistance to first/second-line drugs</w:t>
            </w:r>
          </w:p>
        </w:tc>
        <w:tc>
          <w:tcPr>
            <w:tcW w:type="dxa" w:w="892"/>
            <w:vAlign w:val="top"/>
          </w:tcPr>
          <w:p>
            <w:pPr>
              <w:spacing w:after="40" w:before="0" w:line="259" w:lineRule="auto"/>
            </w:pPr>
            <w:r>
              <w:rPr>
                <w:rFonts w:ascii="Calibri" w:hAnsi="Calibri"/>
                <w:b w:val="0"/>
                <w:i w:val="0"/>
                <w:color w:val="212121"/>
                <w:sz w:val="16"/>
              </w:rPr>
              <w:t>Line Probe Assay (FL-LPA / SL-LPA)</w:t>
            </w:r>
          </w:p>
        </w:tc>
        <w:tc>
          <w:tcPr>
            <w:tcW w:type="dxa" w:w="950"/>
            <w:vAlign w:val="top"/>
          </w:tcPr>
          <w:p>
            <w:pPr>
              <w:spacing w:after="40" w:before="0" w:line="259" w:lineRule="auto"/>
            </w:pPr>
            <w:r>
              <w:rPr>
                <w:rFonts w:ascii="Calibri" w:hAnsi="Calibri"/>
                <w:b w:val="0"/>
                <w:i w:val="0"/>
                <w:color w:val="212121"/>
                <w:sz w:val="16"/>
              </w:rPr>
              <w:t>No resistance mutations</w:t>
            </w:r>
          </w:p>
        </w:tc>
        <w:tc>
          <w:tcPr>
            <w:tcW w:type="dxa" w:w="950"/>
            <w:vAlign w:val="top"/>
          </w:tcPr>
          <w:p>
            <w:pPr>
              <w:spacing w:after="40" w:before="0" w:line="259" w:lineRule="auto"/>
            </w:pPr>
            <w:r>
              <w:rPr>
                <w:rFonts w:ascii="Calibri" w:hAnsi="Calibri"/>
                <w:b w:val="0"/>
                <w:i w:val="0"/>
                <w:color w:val="212121"/>
                <w:sz w:val="16"/>
              </w:rPr>
              <w:t>Resistance to INH / RIF / fluoroquinolones detected</w:t>
            </w:r>
          </w:p>
        </w:tc>
        <w:tc>
          <w:tcPr>
            <w:tcW w:type="dxa" w:w="1036"/>
            <w:vAlign w:val="top"/>
          </w:tcPr>
          <w:p>
            <w:pPr>
              <w:spacing w:after="40" w:before="0" w:line="259" w:lineRule="auto"/>
            </w:pPr>
            <w:r>
              <w:rPr>
                <w:rFonts w:ascii="Calibri" w:hAnsi="Calibri"/>
                <w:b w:val="0"/>
                <w:i w:val="0"/>
                <w:color w:val="212121"/>
                <w:sz w:val="16"/>
              </w:rPr>
              <w:t>Defines MDR/pre-XDR/XDR-TB to tailor the regimen</w:t>
            </w:r>
          </w:p>
        </w:tc>
        <w:tc>
          <w:tcPr>
            <w:tcW w:type="dxa" w:w="1036"/>
            <w:vAlign w:val="top"/>
          </w:tcPr>
          <w:p>
            <w:pPr>
              <w:spacing w:after="40" w:before="0" w:line="259" w:lineRule="auto"/>
            </w:pPr>
            <w:r>
              <w:rPr>
                <w:rFonts w:ascii="Calibri" w:hAnsi="Calibri"/>
                <w:b w:val="0"/>
                <w:i w:val="0"/>
                <w:color w:val="212121"/>
                <w:sz w:val="16"/>
              </w:rPr>
              <w:t>RR-TB, previously treated, contacts of DR-TB</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(resistance)</w:t>
            </w:r>
          </w:p>
        </w:tc>
        <w:tc>
          <w:tcPr>
            <w:tcW w:type="dxa" w:w="720"/>
            <w:vAlign w:val="top"/>
          </w:tcPr>
          <w:p>
            <w:pPr>
              <w:spacing w:after="40" w:before="0" w:line="259" w:lineRule="auto"/>
            </w:pPr>
            <w:r>
              <w:rPr>
                <w:rFonts w:ascii="Calibri" w:hAnsi="Calibri"/>
                <w:b w:val="0"/>
                <w:i w:val="0"/>
                <w:color w:val="212121"/>
                <w:sz w:val="16"/>
              </w:rPr>
              <w:t>Universal DST for rifampicin for all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Parenchymal &amp; cavitary lesions</w:t>
            </w:r>
          </w:p>
        </w:tc>
        <w:tc>
          <w:tcPr>
            <w:tcW w:type="dxa" w:w="892"/>
            <w:vAlign w:val="top"/>
          </w:tcPr>
          <w:p>
            <w:pPr>
              <w:spacing w:after="40" w:before="0" w:line="259" w:lineRule="auto"/>
            </w:pPr>
            <w:r>
              <w:rPr>
                <w:rFonts w:ascii="Calibri" w:hAnsi="Calibri"/>
                <w:b w:val="0"/>
                <w:i w:val="0"/>
                <w:color w:val="212121"/>
                <w:sz w:val="16"/>
              </w:rPr>
              <w:t>Chest X-ray (PA view)</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Upper-lobe infiltrate, cavitation, fibrosis or miliary mottling</w:t>
            </w:r>
          </w:p>
        </w:tc>
        <w:tc>
          <w:tcPr>
            <w:tcW w:type="dxa" w:w="1036"/>
            <w:vAlign w:val="top"/>
          </w:tcPr>
          <w:p>
            <w:pPr>
              <w:spacing w:after="40" w:before="0" w:line="259" w:lineRule="auto"/>
            </w:pPr>
            <w:r>
              <w:rPr>
                <w:rFonts w:ascii="Calibri" w:hAnsi="Calibri"/>
                <w:b w:val="0"/>
                <w:i w:val="0"/>
                <w:color w:val="212121"/>
                <w:sz w:val="16"/>
              </w:rPr>
              <w:t>Sensitive screen; extent and cavitation guide severity</w:t>
            </w:r>
          </w:p>
        </w:tc>
        <w:tc>
          <w:tcPr>
            <w:tcW w:type="dxa" w:w="1036"/>
            <w:vAlign w:val="top"/>
          </w:tcPr>
          <w:p>
            <w:pPr>
              <w:spacing w:after="40" w:before="0" w:line="259" w:lineRule="auto"/>
            </w:pPr>
            <w:r>
              <w:rPr>
                <w:rFonts w:ascii="Calibri" w:hAnsi="Calibri"/>
                <w:b w:val="0"/>
                <w:i w:val="0"/>
                <w:color w:val="212121"/>
                <w:sz w:val="16"/>
              </w:rPr>
              <w:t>Presumptive PTB, screening camps, contacts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 specific; always confirm microbiologically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status</w:t>
            </w:r>
          </w:p>
        </w:tc>
        <w:tc>
          <w:tcPr>
            <w:tcW w:type="dxa" w:w="892"/>
            <w:vAlign w:val="top"/>
          </w:tcPr>
          <w:p>
            <w:pPr>
              <w:spacing w:after="40" w:before="0" w:line="259" w:lineRule="auto"/>
            </w:pPr>
            <w:r>
              <w:rPr>
                <w:rFonts w:ascii="Calibri" w:hAnsi="Calibri"/>
                <w:b w:val="0"/>
                <w:i w:val="0"/>
                <w:color w:val="212121"/>
                <w:sz w:val="16"/>
              </w:rPr>
              <w:t>HIV rapid antibody test</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Detects co-infection that alters progression, regimen and prognosis</w:t>
            </w:r>
          </w:p>
        </w:tc>
        <w:tc>
          <w:tcPr>
            <w:tcW w:type="dxa" w:w="1036"/>
            <w:vAlign w:val="top"/>
          </w:tcPr>
          <w:p>
            <w:pPr>
              <w:spacing w:after="40" w:before="0" w:line="259" w:lineRule="auto"/>
            </w:pPr>
            <w:r>
              <w:rPr>
                <w:rFonts w:ascii="Calibri" w:hAnsi="Calibri"/>
                <w:b w:val="0"/>
                <w:i w:val="0"/>
                <w:color w:val="212121"/>
                <w:sz w:val="16"/>
              </w:rPr>
              <w:t>All notified TB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Mandatory</w:t>
            </w:r>
          </w:p>
        </w:tc>
        <w:tc>
          <w:tcPr>
            <w:tcW w:type="dxa" w:w="720"/>
            <w:vAlign w:val="top"/>
          </w:tcPr>
          <w:p>
            <w:pPr>
              <w:spacing w:after="40" w:before="0" w:line="259" w:lineRule="auto"/>
            </w:pPr>
            <w:r>
              <w:rPr>
                <w:rFonts w:ascii="Calibri" w:hAnsi="Calibri"/>
                <w:b w:val="0"/>
                <w:i w:val="0"/>
                <w:color w:val="212121"/>
                <w:sz w:val="16"/>
              </w:rPr>
              <w:t>Provider-initiated testing and counselling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Glycaemic status</w:t>
            </w:r>
          </w:p>
        </w:tc>
        <w:tc>
          <w:tcPr>
            <w:tcW w:type="dxa" w:w="892"/>
            <w:vAlign w:val="top"/>
          </w:tcPr>
          <w:p>
            <w:pPr>
              <w:spacing w:after="40" w:before="0" w:line="259" w:lineRule="auto"/>
            </w:pPr>
            <w:r>
              <w:rPr>
                <w:rFonts w:ascii="Calibri" w:hAnsi="Calibri"/>
                <w:b w:val="0"/>
                <w:i w:val="0"/>
                <w:color w:val="212121"/>
                <w:sz w:val="16"/>
              </w:rPr>
              <w:t>Fasting blood glucose / HbA1c</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 (diabetes)</w:t>
            </w:r>
          </w:p>
        </w:tc>
        <w:tc>
          <w:tcPr>
            <w:tcW w:type="dxa" w:w="1036"/>
            <w:vAlign w:val="top"/>
          </w:tcPr>
          <w:p>
            <w:pPr>
              <w:spacing w:after="40" w:before="0" w:line="259" w:lineRule="auto"/>
            </w:pPr>
            <w:r>
              <w:rPr>
                <w:rFonts w:ascii="Calibri" w:hAnsi="Calibri"/>
                <w:b w:val="0"/>
                <w:i w:val="0"/>
                <w:color w:val="212121"/>
                <w:sz w:val="16"/>
              </w:rPr>
              <w:t>Bidirectional screening; diabetes worsens TB outcomes</w:t>
            </w:r>
          </w:p>
        </w:tc>
        <w:tc>
          <w:tcPr>
            <w:tcW w:type="dxa" w:w="1036"/>
            <w:vAlign w:val="top"/>
          </w:tcPr>
          <w:p>
            <w:pPr>
              <w:spacing w:after="40" w:before="0" w:line="259" w:lineRule="auto"/>
            </w:pPr>
            <w:r>
              <w:rPr>
                <w:rFonts w:ascii="Calibri" w:hAnsi="Calibri"/>
                <w:b w:val="0"/>
                <w:i w:val="0"/>
                <w:color w:val="212121"/>
                <w:sz w:val="16"/>
              </w:rPr>
              <w:t>All TB patients, especially adults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Stress hyperglycaemia may need re-testing after stabilisation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Anaemia &amp; inflammation</w:t>
            </w:r>
          </w:p>
        </w:tc>
        <w:tc>
          <w:tcPr>
            <w:tcW w:type="dxa" w:w="892"/>
            <w:vAlign w:val="top"/>
          </w:tcPr>
          <w:p>
            <w:pPr>
              <w:spacing w:after="40" w:before="0" w:line="259" w:lineRule="auto"/>
            </w:pPr>
            <w:r>
              <w:rPr>
                <w:rFonts w:ascii="Calibri" w:hAnsi="Calibri"/>
                <w:b w:val="0"/>
                <w:i w:val="0"/>
                <w:color w:val="212121"/>
                <w:sz w:val="16"/>
              </w:rPr>
              <w:t>Complete blood count + ESR</w:t>
            </w:r>
          </w:p>
        </w:tc>
        <w:tc>
          <w:tcPr>
            <w:tcW w:type="dxa" w:w="950"/>
            <w:vAlign w:val="top"/>
          </w:tcPr>
          <w:p>
            <w:pPr>
              <w:spacing w:after="40" w:before="0" w:line="259" w:lineRule="auto"/>
            </w:pPr>
            <w:r>
              <w:rPr>
                <w:rFonts w:ascii="Calibri" w:hAnsi="Calibri"/>
                <w:b w:val="0"/>
                <w:i w:val="0"/>
                <w:color w:val="212121"/>
                <w:sz w:val="16"/>
              </w:rPr>
              <w:t>Normal Hb, ESR</w:t>
            </w:r>
          </w:p>
        </w:tc>
        <w:tc>
          <w:tcPr>
            <w:tcW w:type="dxa" w:w="950"/>
            <w:vAlign w:val="top"/>
          </w:tcPr>
          <w:p>
            <w:pPr>
              <w:spacing w:after="40" w:before="0" w:line="259" w:lineRule="auto"/>
            </w:pPr>
            <w:r>
              <w:rPr>
                <w:rFonts w:ascii="Calibri" w:hAnsi="Calibri"/>
                <w:b w:val="0"/>
                <w:i w:val="0"/>
                <w:color w:val="212121"/>
                <w:sz w:val="16"/>
              </w:rPr>
              <w:t>Anaemia of chronic disease, raised ESR</w:t>
            </w:r>
          </w:p>
        </w:tc>
        <w:tc>
          <w:tcPr>
            <w:tcW w:type="dxa" w:w="1036"/>
            <w:vAlign w:val="top"/>
          </w:tcPr>
          <w:p>
            <w:pPr>
              <w:spacing w:after="40" w:before="0" w:line="259" w:lineRule="auto"/>
            </w:pPr>
            <w:r>
              <w:rPr>
                <w:rFonts w:ascii="Calibri" w:hAnsi="Calibri"/>
                <w:b w:val="0"/>
                <w:i w:val="0"/>
                <w:color w:val="212121"/>
                <w:sz w:val="16"/>
              </w:rPr>
              <w:t>Supportive, non-specific markers of chronic infection and undernutrition</w:t>
            </w:r>
          </w:p>
        </w:tc>
        <w:tc>
          <w:tcPr>
            <w:tcW w:type="dxa" w:w="1036"/>
            <w:vAlign w:val="top"/>
          </w:tcPr>
          <w:p>
            <w:pPr>
              <w:spacing w:after="40" w:before="0" w:line="259" w:lineRule="auto"/>
            </w:pPr>
            <w:r>
              <w:rPr>
                <w:rFonts w:ascii="Calibri" w:hAnsi="Calibri"/>
                <w:b w:val="0"/>
                <w:i w:val="0"/>
                <w:color w:val="212121"/>
                <w:sz w:val="16"/>
              </w:rPr>
              <w:t>TB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baseline before hepatotoxic/myelosuppressive drugs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Cough ≥ 2 weeks, evening fever, night sweats, weight loss, haemoptysis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Classic constitutional and respiratory symptoms of active PTB</w:t>
            </w:r>
          </w:p>
        </w:tc>
        <w:tc>
          <w:tcPr>
            <w:tcW w:type="dxa" w:w="1036"/>
            <w:vAlign w:val="top"/>
          </w:tcPr>
          <w:p>
            <w:pPr>
              <w:spacing w:after="40" w:before="0" w:line="259" w:lineRule="auto"/>
            </w:pPr>
            <w:r>
              <w:rPr>
                <w:rFonts w:ascii="Calibri" w:hAnsi="Calibri"/>
                <w:b w:val="0"/>
                <w:i w:val="0"/>
                <w:color w:val="212121"/>
                <w:sz w:val="16"/>
              </w:rPr>
              <w:t>Presumptive PTB in all settings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Lower symptom threshold in PLHIV, diabetics and contacts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&amp; exposure history</w:t>
            </w:r>
          </w:p>
        </w:tc>
        <w:tc>
          <w:tcPr>
            <w:tcW w:type="dxa" w:w="979"/>
            <w:vAlign w:val="top"/>
          </w:tcPr>
          <w:p>
            <w:pPr>
              <w:spacing w:after="40" w:before="0" w:line="259" w:lineRule="auto"/>
            </w:pPr>
            <w:r>
              <w:rPr>
                <w:rFonts w:ascii="Calibri" w:hAnsi="Calibri"/>
                <w:b w:val="0"/>
                <w:i w:val="0"/>
                <w:color w:val="212121"/>
                <w:sz w:val="16"/>
              </w:rPr>
              <w:t>Known contact with an infectious TB case / congregate exposure</w:t>
            </w:r>
          </w:p>
        </w:tc>
        <w:tc>
          <w:tcPr>
            <w:tcW w:type="dxa" w:w="950"/>
            <w:vAlign w:val="top"/>
          </w:tcPr>
          <w:p>
            <w:pPr>
              <w:spacing w:after="40" w:before="0" w:line="259" w:lineRule="auto"/>
            </w:pPr>
            <w:r>
              <w:rPr>
                <w:rFonts w:ascii="Calibri" w:hAnsi="Calibri"/>
                <w:b w:val="0"/>
                <w:i w:val="0"/>
                <w:color w:val="212121"/>
                <w:sz w:val="16"/>
              </w:rPr>
              <w:t>No known contact</w:t>
            </w:r>
          </w:p>
        </w:tc>
        <w:tc>
          <w:tcPr>
            <w:tcW w:type="dxa" w:w="950"/>
            <w:vAlign w:val="top"/>
          </w:tcPr>
          <w:p>
            <w:pPr>
              <w:spacing w:after="40" w:before="0" w:line="259" w:lineRule="auto"/>
            </w:pPr>
            <w:r>
              <w:rPr>
                <w:rFonts w:ascii="Calibri" w:hAnsi="Calibri"/>
                <w:b w:val="0"/>
                <w:i w:val="0"/>
                <w:color w:val="212121"/>
                <w:sz w:val="16"/>
              </w:rPr>
              <w:t>Documented household or workplace TB contact</w:t>
            </w:r>
          </w:p>
        </w:tc>
        <w:tc>
          <w:tcPr>
            <w:tcW w:type="dxa" w:w="1036"/>
            <w:vAlign w:val="top"/>
          </w:tcPr>
          <w:p>
            <w:pPr>
              <w:spacing w:after="40" w:before="0" w:line="259" w:lineRule="auto"/>
            </w:pPr>
            <w:r>
              <w:rPr>
                <w:rFonts w:ascii="Calibri" w:hAnsi="Calibri"/>
                <w:b w:val="0"/>
                <w:i w:val="0"/>
                <w:color w:val="212121"/>
                <w:sz w:val="16"/>
              </w:rPr>
              <w:t>Identifies transmission source and contacts needing evaluation and preventive therapy</w:t>
            </w:r>
          </w:p>
        </w:tc>
        <w:tc>
          <w:tcPr>
            <w:tcW w:type="dxa" w:w="1036"/>
            <w:vAlign w:val="top"/>
          </w:tcPr>
          <w:p>
            <w:pPr>
              <w:spacing w:after="40" w:before="0" w:line="259" w:lineRule="auto"/>
            </w:pPr>
            <w:r>
              <w:rPr>
                <w:rFonts w:ascii="Calibri" w:hAnsi="Calibri"/>
                <w:b w:val="0"/>
                <w:i w:val="0"/>
                <w:color w:val="212121"/>
                <w:sz w:val="16"/>
              </w:rPr>
              <w:t>Household &amp; workplace contacts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Prognostic / public-health</w:t>
            </w:r>
          </w:p>
        </w:tc>
        <w:tc>
          <w:tcPr>
            <w:tcW w:type="dxa" w:w="720"/>
            <w:vAlign w:val="top"/>
          </w:tcPr>
          <w:p>
            <w:pPr>
              <w:spacing w:after="40" w:before="0" w:line="259" w:lineRule="auto"/>
            </w:pPr>
            <w:r>
              <w:rPr>
                <w:rFonts w:ascii="Calibri" w:hAnsi="Calibri"/>
                <w:b w:val="0"/>
                <w:i w:val="0"/>
                <w:color w:val="212121"/>
                <w:sz w:val="16"/>
              </w:rPr>
              <w:t>Trigger for contact tracing and TPT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comorbidity history</w:t>
            </w:r>
          </w:p>
        </w:tc>
        <w:tc>
          <w:tcPr>
            <w:tcW w:type="dxa" w:w="979"/>
            <w:vAlign w:val="top"/>
          </w:tcPr>
          <w:p>
            <w:pPr>
              <w:spacing w:after="40" w:before="0" w:line="259" w:lineRule="auto"/>
            </w:pPr>
            <w:r>
              <w:rPr>
                <w:rFonts w:ascii="Calibri" w:hAnsi="Calibri"/>
                <w:b w:val="0"/>
                <w:i w:val="0"/>
                <w:color w:val="212121"/>
                <w:sz w:val="16"/>
              </w:rPr>
              <w:t>Smoking, alcohol, diabetes, HIV, silica exposure, prior TB</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Stratifies risk and guides comorbidity management</w:t>
            </w:r>
          </w:p>
        </w:tc>
        <w:tc>
          <w:tcPr>
            <w:tcW w:type="dxa" w:w="1036"/>
            <w:vAlign w:val="top"/>
          </w:tcPr>
          <w:p>
            <w:pPr>
              <w:spacing w:after="40" w:before="0" w:line="259" w:lineRule="auto"/>
            </w:pPr>
            <w:r>
              <w:rPr>
                <w:rFonts w:ascii="Calibri" w:hAnsi="Calibri"/>
                <w:b w:val="0"/>
                <w:i w:val="0"/>
                <w:color w:val="212121"/>
                <w:sz w:val="16"/>
              </w:rPr>
              <w:t>Adults, occupational cohorts, PLHIV</w:t>
            </w:r>
          </w:p>
        </w:tc>
        <w:tc>
          <w:tcPr>
            <w:tcW w:type="dxa" w:w="720"/>
            <w:vAlign w:val="top"/>
          </w:tcPr>
          <w:p>
            <w:pPr>
              <w:spacing w:after="40" w:before="0" w:line="259" w:lineRule="auto"/>
            </w:pPr>
            <w:r>
              <w:rPr>
                <w:rFonts w:ascii="Calibri" w:hAnsi="Calibri"/>
                <w:b w:val="0"/>
                <w:i w:val="0"/>
                <w:color w:val="212121"/>
                <w:sz w:val="16"/>
              </w:rPr>
              <w:t>Smoking; Alcohol;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Prior ATT distinguishes new vs previously treated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Nutritional &amp; general status</w:t>
            </w:r>
          </w:p>
        </w:tc>
        <w:tc>
          <w:tcPr>
            <w:tcW w:type="dxa" w:w="979"/>
            <w:vAlign w:val="top"/>
          </w:tcPr>
          <w:p>
            <w:pPr>
              <w:spacing w:after="40" w:before="0" w:line="259" w:lineRule="auto"/>
            </w:pPr>
            <w:r>
              <w:rPr>
                <w:rFonts w:ascii="Calibri" w:hAnsi="Calibri"/>
                <w:b w:val="0"/>
                <w:i w:val="0"/>
                <w:color w:val="212121"/>
                <w:sz w:val="16"/>
              </w:rPr>
              <w:t>Cachexia, low BMI/MUAC, pallor, temperature, lymphadenopathy</w:t>
            </w:r>
          </w:p>
        </w:tc>
        <w:tc>
          <w:tcPr>
            <w:tcW w:type="dxa" w:w="950"/>
            <w:vAlign w:val="top"/>
          </w:tcPr>
          <w:p>
            <w:pPr>
              <w:spacing w:after="40" w:before="0" w:line="259" w:lineRule="auto"/>
            </w:pPr>
            <w:r>
              <w:rPr>
                <w:rFonts w:ascii="Calibri" w:hAnsi="Calibri"/>
                <w:b w:val="0"/>
                <w:i w:val="0"/>
                <w:color w:val="212121"/>
                <w:sz w:val="16"/>
              </w:rPr>
              <w:t>Well-nourished, afebrile</w:t>
            </w:r>
          </w:p>
        </w:tc>
        <w:tc>
          <w:tcPr>
            <w:tcW w:type="dxa" w:w="950"/>
            <w:vAlign w:val="top"/>
          </w:tcPr>
          <w:p>
            <w:pPr>
              <w:spacing w:after="40" w:before="0" w:line="259" w:lineRule="auto"/>
            </w:pPr>
            <w:r>
              <w:rPr>
                <w:rFonts w:ascii="Calibri" w:hAnsi="Calibri"/>
                <w:b w:val="0"/>
                <w:i w:val="0"/>
                <w:color w:val="212121"/>
                <w:sz w:val="16"/>
              </w:rPr>
              <w:t>Wasting, anaemia, low-grade fever, nodes</w:t>
            </w:r>
          </w:p>
        </w:tc>
        <w:tc>
          <w:tcPr>
            <w:tcW w:type="dxa" w:w="1036"/>
            <w:vAlign w:val="top"/>
          </w:tcPr>
          <w:p>
            <w:pPr>
              <w:spacing w:after="40" w:before="0" w:line="259" w:lineRule="auto"/>
            </w:pPr>
            <w:r>
              <w:rPr>
                <w:rFonts w:ascii="Calibri" w:hAnsi="Calibri"/>
                <w:b w:val="0"/>
                <w:i w:val="0"/>
                <w:color w:val="212121"/>
                <w:sz w:val="16"/>
              </w:rPr>
              <w:t>Reflects chronicity, undernutrition and disease burden</w:t>
            </w:r>
          </w:p>
        </w:tc>
        <w:tc>
          <w:tcPr>
            <w:tcW w:type="dxa" w:w="1036"/>
            <w:vAlign w:val="top"/>
          </w:tcPr>
          <w:p>
            <w:pPr>
              <w:spacing w:after="40" w:before="0" w:line="259" w:lineRule="auto"/>
            </w:pPr>
            <w:r>
              <w:rPr>
                <w:rFonts w:ascii="Calibri" w:hAnsi="Calibri"/>
                <w:b w:val="0"/>
                <w:i w:val="0"/>
                <w:color w:val="212121"/>
                <w:sz w:val="16"/>
              </w:rPr>
              <w:t>TB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Baseline / prognostic</w:t>
            </w:r>
          </w:p>
        </w:tc>
        <w:tc>
          <w:tcPr>
            <w:tcW w:type="dxa" w:w="720"/>
            <w:vAlign w:val="top"/>
          </w:tcPr>
          <w:p>
            <w:pPr>
              <w:spacing w:after="40" w:before="0" w:line="259" w:lineRule="auto"/>
            </w:pPr>
            <w:r>
              <w:rPr>
                <w:rFonts w:ascii="Calibri" w:hAnsi="Calibri"/>
                <w:b w:val="0"/>
                <w:i w:val="0"/>
                <w:color w:val="212121"/>
                <w:sz w:val="16"/>
              </w:rPr>
              <w:t>Record baseline weight to track recovery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Respiratory examination</w:t>
            </w:r>
          </w:p>
        </w:tc>
        <w:tc>
          <w:tcPr>
            <w:tcW w:type="dxa" w:w="950"/>
            <w:vAlign w:val="top"/>
          </w:tcPr>
          <w:p>
            <w:pPr>
              <w:spacing w:after="40" w:before="0" w:line="259" w:lineRule="auto"/>
            </w:pPr>
            <w:r>
              <w:rPr>
                <w:rFonts w:ascii="Calibri" w:hAnsi="Calibri"/>
                <w:b w:val="0"/>
                <w:i w:val="0"/>
                <w:color w:val="212121"/>
                <w:sz w:val="16"/>
              </w:rPr>
              <w:t>Chest auscultation &amp; percussion</w:t>
            </w:r>
          </w:p>
        </w:tc>
        <w:tc>
          <w:tcPr>
            <w:tcW w:type="dxa" w:w="979"/>
            <w:vAlign w:val="top"/>
          </w:tcPr>
          <w:p>
            <w:pPr>
              <w:spacing w:after="40" w:before="0" w:line="259" w:lineRule="auto"/>
            </w:pPr>
            <w:r>
              <w:rPr>
                <w:rFonts w:ascii="Calibri" w:hAnsi="Calibri"/>
                <w:b w:val="0"/>
                <w:i w:val="0"/>
                <w:color w:val="212121"/>
                <w:sz w:val="16"/>
              </w:rPr>
              <w:t>Crepitations, bronchial breath sounds, amphoric breathing, effusion signs</w:t>
            </w:r>
          </w:p>
        </w:tc>
        <w:tc>
          <w:tcPr>
            <w:tcW w:type="dxa" w:w="950"/>
            <w:vAlign w:val="top"/>
          </w:tcPr>
          <w:p>
            <w:pPr>
              <w:spacing w:after="40" w:before="0" w:line="259" w:lineRule="auto"/>
            </w:pPr>
            <w:r>
              <w:rPr>
                <w:rFonts w:ascii="Calibri" w:hAnsi="Calibri"/>
                <w:b w:val="0"/>
                <w:i w:val="0"/>
                <w:color w:val="212121"/>
                <w:sz w:val="16"/>
              </w:rPr>
              <w:t>Vesicular breath sounds, resonant</w:t>
            </w:r>
          </w:p>
        </w:tc>
        <w:tc>
          <w:tcPr>
            <w:tcW w:type="dxa" w:w="950"/>
            <w:vAlign w:val="top"/>
          </w:tcPr>
          <w:p>
            <w:pPr>
              <w:spacing w:after="40" w:before="0" w:line="259" w:lineRule="auto"/>
            </w:pPr>
            <w:r>
              <w:rPr>
                <w:rFonts w:ascii="Calibri" w:hAnsi="Calibri"/>
                <w:b w:val="0"/>
                <w:i w:val="0"/>
                <w:color w:val="212121"/>
                <w:sz w:val="16"/>
              </w:rPr>
              <w:t>Upper-zone crackles, consolidation or cavity signs, stony-dull effusion</w:t>
            </w:r>
          </w:p>
        </w:tc>
        <w:tc>
          <w:tcPr>
            <w:tcW w:type="dxa" w:w="1036"/>
            <w:vAlign w:val="top"/>
          </w:tcPr>
          <w:p>
            <w:pPr>
              <w:spacing w:after="40" w:before="0" w:line="259" w:lineRule="auto"/>
            </w:pPr>
            <w:r>
              <w:rPr>
                <w:rFonts w:ascii="Calibri" w:hAnsi="Calibri"/>
                <w:b w:val="0"/>
                <w:i w:val="0"/>
                <w:color w:val="212121"/>
                <w:sz w:val="16"/>
              </w:rPr>
              <w:t>Localises parenchymal disease, cavitation or pleural involvement</w:t>
            </w:r>
          </w:p>
        </w:tc>
        <w:tc>
          <w:tcPr>
            <w:tcW w:type="dxa" w:w="1036"/>
            <w:vAlign w:val="top"/>
          </w:tcPr>
          <w:p>
            <w:pPr>
              <w:spacing w:after="40" w:before="0" w:line="259" w:lineRule="auto"/>
            </w:pPr>
            <w:r>
              <w:rPr>
                <w:rFonts w:ascii="Calibri" w:hAnsi="Calibri"/>
                <w:b w:val="0"/>
                <w:i w:val="0"/>
                <w:color w:val="212121"/>
                <w:sz w:val="16"/>
              </w:rPr>
              <w:t>PTB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support</w:t>
            </w:r>
          </w:p>
        </w:tc>
        <w:tc>
          <w:tcPr>
            <w:tcW w:type="dxa" w:w="720"/>
            <w:vAlign w:val="top"/>
          </w:tcPr>
          <w:p>
            <w:pPr>
              <w:spacing w:after="40" w:before="0" w:line="259" w:lineRule="auto"/>
            </w:pPr>
            <w:r>
              <w:rPr>
                <w:rFonts w:ascii="Calibri" w:hAnsi="Calibri"/>
                <w:b w:val="0"/>
                <w:i w:val="0"/>
                <w:color w:val="212121"/>
                <w:sz w:val="16"/>
              </w:rPr>
              <w:t>Signs may be sparse relative to radiographic extent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cough ≥ 2 weeks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Initially dry, later productive; the cardinal screening symptom and a key mode of transmission.</w:t>
            </w:r>
          </w:p>
        </w:tc>
      </w:tr>
      <w:tr>
        <w:trPr>
          <w:cantSplit/>
        </w:trPr>
        <w:tc>
          <w:tcPr>
            <w:tcW w:type="dxa" w:w="2304"/>
            <w:vAlign w:val="top"/>
          </w:tcPr>
          <w:p>
            <w:pPr>
              <w:spacing w:after="40" w:before="0" w:line="259" w:lineRule="auto"/>
            </w:pPr>
            <w:r>
              <w:rPr>
                <w:rFonts w:ascii="Calibri" w:hAnsi="Calibri"/>
                <w:b/>
                <w:i w:val="0"/>
                <w:color w:val="212121"/>
                <w:sz w:val="19"/>
              </w:rPr>
              <w:t>Low-grade fever with evening rise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intermittent pyrexia, often with a characteristic evening/afternoon peak.</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Drenching sweats disturbing sleep, reflecting systemic inflammatory activity.</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wasting from anorexia and the catabolic effect of chronic infection (“consumption”).</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Cytokine-mediated appetite suppression compounding undernutrition.</w:t>
            </w:r>
          </w:p>
        </w:tc>
      </w:tr>
      <w:tr>
        <w:trPr>
          <w:cantSplit/>
        </w:trPr>
        <w:tc>
          <w:tcPr>
            <w:tcW w:type="dxa" w:w="2304"/>
            <w:vAlign w:val="top"/>
          </w:tcPr>
          <w:p>
            <w:pPr>
              <w:spacing w:after="40" w:before="0" w:line="259" w:lineRule="auto"/>
            </w:pPr>
            <w:r>
              <w:rPr>
                <w:rFonts w:ascii="Calibri" w:hAnsi="Calibri"/>
                <w:b/>
                <w:i w:val="0"/>
                <w:color w:val="212121"/>
                <w:sz w:val="19"/>
              </w:rPr>
              <w:t>Fatigue &amp;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Pervasive tiredness and reduced capacity from chronic infection and anaemia.</w:t>
            </w:r>
          </w:p>
        </w:tc>
      </w:tr>
      <w:tr>
        <w:trPr>
          <w:cantSplit/>
        </w:trPr>
        <w:tc>
          <w:tcPr>
            <w:tcW w:type="dxa" w:w="2304"/>
            <w:vAlign w:val="top"/>
          </w:tcPr>
          <w:p>
            <w:pPr>
              <w:spacing w:after="40" w:before="0" w:line="259" w:lineRule="auto"/>
            </w:pPr>
            <w:r>
              <w:rPr>
                <w:rFonts w:ascii="Calibri" w:hAnsi="Calibri"/>
                <w:b/>
                <w:i w:val="0"/>
                <w:color w:val="212121"/>
                <w:sz w:val="19"/>
              </w:rPr>
              <w:t>Productive / mucopurulent sputum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parenchymal necrosis; sputum carries acid-fast bacilli in infectious cases.</w:t>
            </w:r>
          </w:p>
        </w:tc>
      </w:tr>
      <w:tr>
        <w:trPr>
          <w:cantSplit/>
        </w:trPr>
        <w:tc>
          <w:tcPr>
            <w:tcW w:type="dxa" w:w="2304"/>
            <w:vAlign w:val="top"/>
          </w:tcPr>
          <w:p>
            <w:pPr>
              <w:spacing w:after="40" w:before="0" w:line="259" w:lineRule="auto"/>
            </w:pPr>
            <w:r>
              <w:rPr>
                <w:rFonts w:ascii="Calibri" w:hAnsi="Calibri"/>
                <w:b/>
                <w:i w:val="0"/>
                <w:color w:val="212121"/>
                <w:sz w:val="19"/>
              </w:rPr>
              <w:t>Haemoptysis (blood in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eroded bronchial vessels or a cavity; ranges from streaking to massive bleeding.</w:t>
            </w:r>
          </w:p>
        </w:tc>
      </w:tr>
      <w:tr>
        <w:trPr>
          <w:cantSplit/>
        </w:trPr>
        <w:tc>
          <w:tcPr>
            <w:tcW w:type="dxa" w:w="2304"/>
            <w:vAlign w:val="top"/>
          </w:tcPr>
          <w:p>
            <w:pPr>
              <w:spacing w:after="40" w:before="0" w:line="259" w:lineRule="auto"/>
            </w:pPr>
            <w:r>
              <w:rPr>
                <w:rFonts w:ascii="Calibri" w:hAnsi="Calibri"/>
                <w:b/>
                <w:i w:val="0"/>
                <w:color w:val="212121"/>
                <w:sz w:val="19"/>
              </w:rPr>
              <w:t>Pleuritic 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Sharp, breathing-related pain when pleura is involved (tuberculous pleurisy).</w:t>
            </w:r>
          </w:p>
        </w:tc>
      </w:tr>
      <w:tr>
        <w:trPr>
          <w:cantSplit/>
        </w:trPr>
        <w:tc>
          <w:tcPr>
            <w:tcW w:type="dxa" w:w="2304"/>
            <w:vAlign w:val="top"/>
          </w:tcPr>
          <w:p>
            <w:pPr>
              <w:spacing w:after="40" w:before="0" w:line="259" w:lineRule="auto"/>
            </w:pPr>
            <w:r>
              <w:rPr>
                <w:rFonts w:ascii="Calibri" w:hAnsi="Calibri"/>
                <w:b/>
                <w:i w:val="0"/>
                <w:color w:val="212121"/>
                <w:sz w:val="19"/>
              </w:rPr>
              <w:t>Breathlessness / dyspnoea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With extensive parenchymal disease, large effusion or advanced destruction.</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laryngeal TB — a highly infectious complication.</w:t>
            </w:r>
          </w:p>
        </w:tc>
      </w:tr>
      <w:tr>
        <w:trPr>
          <w:cantSplit/>
        </w:trPr>
        <w:tc>
          <w:tcPr>
            <w:tcW w:type="dxa" w:w="2304"/>
            <w:vAlign w:val="top"/>
          </w:tcPr>
          <w:p>
            <w:pPr>
              <w:spacing w:after="40" w:before="0" w:line="259" w:lineRule="auto"/>
            </w:pPr>
            <w:r>
              <w:rPr>
                <w:rFonts w:ascii="Calibri" w:hAnsi="Calibri"/>
                <w:b/>
                <w:i w:val="0"/>
                <w:color w:val="212121"/>
                <w:sz w:val="19"/>
              </w:rPr>
              <w:t>Massive haemoptysis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Life-threatening bleed, classically from a Rasmussen aneurysm within a cavity.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Cachexia / low BMI /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undernutrition, a hallmark of chronic active TB and a predictor of poor outcome.</w:t>
            </w:r>
          </w:p>
        </w:tc>
      </w:tr>
      <w:tr>
        <w:trPr>
          <w:cantSplit/>
        </w:trPr>
        <w:tc>
          <w:tcPr>
            <w:tcW w:type="dxa" w:w="3456"/>
            <w:vAlign w:val="top"/>
          </w:tcPr>
          <w:p>
            <w:pPr>
              <w:spacing w:after="40" w:before="0" w:line="259" w:lineRule="auto"/>
            </w:pPr>
            <w:r>
              <w:rPr>
                <w:rFonts w:ascii="Calibri" w:hAnsi="Calibri"/>
                <w:b/>
                <w:i w:val="0"/>
                <w:color w:val="212121"/>
                <w:sz w:val="19"/>
              </w:rPr>
              <w:t>Documented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Low-grade pyrexia recorded on examination, often evening-predominant.</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Anaemia of chronic disease from sustained inflammation and undernutrition.</w:t>
            </w:r>
          </w:p>
        </w:tc>
      </w:tr>
      <w:tr>
        <w:trPr>
          <w:cantSplit/>
        </w:trPr>
        <w:tc>
          <w:tcPr>
            <w:tcW w:type="dxa" w:w="3456"/>
            <w:vAlign w:val="top"/>
          </w:tcPr>
          <w:p>
            <w:pPr>
              <w:spacing w:after="40" w:before="0" w:line="259" w:lineRule="auto"/>
            </w:pPr>
            <w:r>
              <w:rPr>
                <w:rFonts w:ascii="Calibri" w:hAnsi="Calibri"/>
                <w:b/>
                <w:i w:val="0"/>
                <w:color w:val="212121"/>
                <w:sz w:val="19"/>
              </w:rPr>
              <w:t>Crepitations / crackles over upper zones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Post-tussive crackles, classically apical or upper-lobe, on auscultation.</w:t>
            </w:r>
          </w:p>
        </w:tc>
      </w:tr>
      <w:tr>
        <w:trPr>
          <w:cantSplit/>
        </w:trPr>
        <w:tc>
          <w:tcPr>
            <w:tcW w:type="dxa" w:w="3456"/>
            <w:vAlign w:val="top"/>
          </w:tcPr>
          <w:p>
            <w:pPr>
              <w:spacing w:after="40" w:before="0" w:line="259" w:lineRule="auto"/>
            </w:pPr>
            <w:r>
              <w:rPr>
                <w:rFonts w:ascii="Calibri" w:hAnsi="Calibri"/>
                <w:b/>
                <w:i w:val="0"/>
                <w:color w:val="212121"/>
                <w:sz w:val="19"/>
              </w:rPr>
              <w:t>Bronchial breath sounds / consolidation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vocal resonance and bronchial breathing over consolidated lung.</w:t>
            </w:r>
          </w:p>
        </w:tc>
      </w:tr>
      <w:tr>
        <w:trPr>
          <w:cantSplit/>
        </w:trPr>
        <w:tc>
          <w:tcPr>
            <w:tcW w:type="dxa" w:w="3456"/>
            <w:vAlign w:val="top"/>
          </w:tcPr>
          <w:p>
            <w:pPr>
              <w:spacing w:after="40" w:before="0" w:line="259" w:lineRule="auto"/>
            </w:pPr>
            <w:r>
              <w:rPr>
                <w:rFonts w:ascii="Calibri" w:hAnsi="Calibri"/>
                <w:b/>
                <w:i w:val="0"/>
                <w:color w:val="212121"/>
                <w:sz w:val="19"/>
              </w:rPr>
              <w:t>Amphoric / cavernous breath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Hollow, blowing sounds over a large superficial cavity.</w:t>
            </w:r>
          </w:p>
        </w:tc>
      </w:tr>
      <w:tr>
        <w:trPr>
          <w:cantSplit/>
        </w:trPr>
        <w:tc>
          <w:tcPr>
            <w:tcW w:type="dxa" w:w="3456"/>
            <w:vAlign w:val="top"/>
          </w:tcPr>
          <w:p>
            <w:pPr>
              <w:spacing w:after="40" w:before="0" w:line="259" w:lineRule="auto"/>
            </w:pPr>
            <w:r>
              <w:rPr>
                <w:rFonts w:ascii="Calibri" w:hAnsi="Calibri"/>
                <w:b/>
                <w:i w:val="0"/>
                <w:color w:val="212121"/>
                <w:sz w:val="19"/>
              </w:rPr>
              <w:t>Signs of pleural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Stony-dull percussion note with reduced breath sounds in tuberculous pleurisy.</w:t>
            </w:r>
          </w:p>
        </w:tc>
      </w:tr>
      <w:tr>
        <w:trPr>
          <w:cantSplit/>
        </w:trPr>
        <w:tc>
          <w:tcPr>
            <w:tcW w:type="dxa" w:w="3456"/>
            <w:vAlign w:val="top"/>
          </w:tcPr>
          <w:p>
            <w:pPr>
              <w:spacing w:after="40" w:before="0" w:line="259" w:lineRule="auto"/>
            </w:pPr>
            <w:r>
              <w:rPr>
                <w:rFonts w:ascii="Calibri" w:hAnsi="Calibri"/>
                <w:b/>
                <w:i w:val="0"/>
                <w:color w:val="212121"/>
                <w:sz w:val="19"/>
              </w:rPr>
              <w:t>Cervical / mediastinal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sometimes matted nodes reflecting associated nodal TB.</w:t>
            </w:r>
          </w:p>
        </w:tc>
      </w:tr>
      <w:tr>
        <w:trPr>
          <w:cantSplit/>
        </w:trPr>
        <w:tc>
          <w:tcPr>
            <w:tcW w:type="dxa" w:w="3456"/>
            <w:vAlign w:val="top"/>
          </w:tcPr>
          <w:p>
            <w:pPr>
              <w:spacing w:after="40" w:before="0" w:line="259" w:lineRule="auto"/>
            </w:pPr>
            <w:r>
              <w:rPr>
                <w:rFonts w:ascii="Calibri" w:hAnsi="Calibri"/>
                <w:b/>
                <w:i w:val="0"/>
                <w:color w:val="212121"/>
                <w:sz w:val="19"/>
              </w:rPr>
              <w:t>Finger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Develops in chronic, extensive or long-standing cavitary disease and bronchiectasis.</w:t>
            </w:r>
          </w:p>
        </w:tc>
      </w:tr>
      <w:tr>
        <w:trPr>
          <w:cantSplit/>
        </w:trPr>
        <w:tc>
          <w:tcPr>
            <w:tcW w:type="dxa" w:w="3456"/>
            <w:vAlign w:val="top"/>
          </w:tcPr>
          <w:p>
            <w:pPr>
              <w:spacing w:after="40" w:before="0" w:line="259" w:lineRule="auto"/>
            </w:pPr>
            <w:r>
              <w:rPr>
                <w:rFonts w:ascii="Calibri" w:hAnsi="Calibri"/>
                <w:b/>
                <w:i w:val="0"/>
                <w:color w:val="212121"/>
                <w:sz w:val="19"/>
              </w:rPr>
              <w:t>Signs of cor pulmonale / respiratory failure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Raised JVP, oedema and cyanosis in advanced destroyed-lung TB with pulmonary hypertension.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Haemoptysis (from cavity vessels or a Rasmussen aneurysm)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Tuberculous pleural effusion /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Spontaneous pneumothorax from a ruptured subpleural focus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cavitation with progressive parenchymal destruction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in widespread disease</w:t>
            </w:r>
          </w:p>
        </w:tc>
        <w:tc>
          <w:tcPr>
            <w:tcW w:type="dxa" w:w="2980"/>
            <w:vAlign w:val="top"/>
          </w:tcPr>
          <w:p>
            <w:pPr>
              <w:spacing w:after="40" w:before="0" w:line="259" w:lineRule="auto"/>
            </w:pPr>
            <w:r>
              <w:rPr>
                <w:rFonts w:ascii="Calibri" w:hAnsi="Calibri"/>
                <w:b w:val="0"/>
                <w:i w:val="0"/>
                <w:color w:val="212121"/>
                <w:sz w:val="19"/>
              </w:rPr>
              <w:t>Direct consequences of active parenchymal and pleural infection and tissue necrosis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Miliary / disseminated TB with haematogenous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Tuberculous 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Extrapulmonary spread (lymph node, spine/bone, genitourinary, abdominal)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Emergence of drug-resistant TB (MDR/XDR) with poor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or fungal infection of damaged lung</w:t>
            </w:r>
          </w:p>
        </w:tc>
        <w:tc>
          <w:tcPr>
            <w:tcW w:type="dxa" w:w="2980"/>
            <w:vAlign w:val="top"/>
          </w:tcPr>
          <w:p>
            <w:pPr>
              <w:spacing w:after="40" w:before="0" w:line="259" w:lineRule="auto"/>
            </w:pPr>
            <w:r>
              <w:rPr>
                <w:rFonts w:ascii="Calibri" w:hAnsi="Calibri"/>
                <w:b w:val="0"/>
                <w:i w:val="0"/>
                <w:color w:val="212121"/>
                <w:sz w:val="19"/>
              </w:rPr>
              <w:t>Result from dissemination, host immune compromise and inadequate or interrupted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 lung disease — fibrosis, bronchiectasis and chronic airflow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pulmonary aspergillosis / aspergilloma in residual cavities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Destroyed lung with chronic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and 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catastrophic costs and death</w:t>
            </w:r>
          </w:p>
        </w:tc>
        <w:tc>
          <w:tcPr>
            <w:tcW w:type="dxa" w:w="2980"/>
            <w:vAlign w:val="top"/>
          </w:tcPr>
          <w:p>
            <w:pPr>
              <w:spacing w:after="40" w:before="0" w:line="259" w:lineRule="auto"/>
            </w:pPr>
            <w:r>
              <w:rPr>
                <w:rFonts w:ascii="Calibri" w:hAnsi="Calibri"/>
                <w:b w:val="0"/>
                <w:i w:val="0"/>
                <w:color w:val="212121"/>
                <w:sz w:val="19"/>
              </w:rPr>
              <w:t>Irreversible structural and functional sequelae of longstanding or repeatedly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innate and cell-mediated immunity, trebling active-TB risk and worsening severity, culture-conversion time and relapse; TB may in turn unmask or worsen glycaemic control. Bidirectional screening is standard.</w:t>
            </w:r>
          </w:p>
          <w:p>
            <w:pPr>
              <w:spacing w:after="40" w:before="0" w:line="259" w:lineRule="auto"/>
            </w:pPr>
            <w:r>
              <w:rPr>
                <w:rFonts w:ascii="Calibri" w:hAnsi="Calibri"/>
                <w:b/>
                <w:i w:val="0"/>
                <w:color w:val="212121"/>
                <w:sz w:val="19"/>
              </w:rPr>
              <w:t>~25% (up to 35% in pulmonary TB)</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CD4 depletion accelerates progression from latent to active, often disseminated, TB; rifampicin–antiretroviral drug interactions and immune reconstitution complicate co-treatment.</w:t>
            </w:r>
          </w:p>
          <w:p>
            <w:pPr>
              <w:spacing w:after="40" w:before="0" w:line="259" w:lineRule="auto"/>
            </w:pPr>
            <w:r>
              <w:rPr>
                <w:rFonts w:ascii="Calibri" w:hAnsi="Calibri"/>
                <w:b/>
                <w:i w:val="0"/>
                <w:color w:val="212121"/>
                <w:sz w:val="19"/>
              </w:rPr>
              <w:t>~3–4% of notified TB in India</w:t>
            </w:r>
          </w:p>
        </w:tc>
      </w:tr>
      <w:tr>
        <w:trPr>
          <w:cantSplit/>
        </w:trPr>
        <w:tc>
          <w:tcPr>
            <w:tcW w:type="dxa" w:w="2232"/>
            <w:vAlign w:val="top"/>
          </w:tcPr>
          <w:p>
            <w:pPr>
              <w:spacing w:after="40" w:before="0" w:line="259" w:lineRule="auto"/>
            </w:pPr>
            <w:r>
              <w:rPr>
                <w:rFonts w:ascii="Calibri" w:hAnsi="Calibri"/>
                <w:b/>
                <w:i w:val="0"/>
                <w:color w:val="212121"/>
                <w:sz w:val="19"/>
              </w:rPr>
              <w:t>Undernutrition / protein-energy malnutrition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leading cause and a consequence of TB — low body mass predisposes to disease, while TB drives wasting; nutritional support improves survival and reduces incidence in contacts.</w:t>
            </w:r>
          </w:p>
          <w:p>
            <w:pPr>
              <w:spacing w:after="40" w:before="0" w:line="259" w:lineRule="auto"/>
            </w:pPr>
            <w:r>
              <w:rPr>
                <w:rFonts w:ascii="Calibri" w:hAnsi="Calibri"/>
                <w:b/>
                <w:i w:val="0"/>
                <w:color w:val="212121"/>
                <w:sz w:val="19"/>
              </w:rPr>
              <w:t>Up to 90% of adult pulmonary TB patients</w:t>
            </w:r>
          </w:p>
        </w:tc>
      </w:tr>
      <w:tr>
        <w:trPr>
          <w:cantSplit/>
        </w:trPr>
        <w:tc>
          <w:tcPr>
            <w:tcW w:type="dxa" w:w="2232"/>
            <w:vAlign w:val="top"/>
          </w:tcPr>
          <w:p>
            <w:pPr>
              <w:spacing w:after="40" w:before="0" w:line="259" w:lineRule="auto"/>
            </w:pPr>
            <w:r>
              <w:rPr>
                <w:rFonts w:ascii="Calibri" w:hAnsi="Calibri"/>
                <w:b/>
                <w:i w:val="0"/>
                <w:color w:val="212121"/>
                <w:sz w:val="19"/>
              </w:rPr>
              <w:t>Silicosis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Silica-scarred lungs with dysfunctional alveolar macrophages markedly raise TB risk and blunt treatment response in exposed workers.</w:t>
            </w:r>
          </w:p>
        </w:tc>
      </w:tr>
      <w:tr>
        <w:trPr>
          <w:cantSplit/>
        </w:trPr>
        <w:tc>
          <w:tcPr>
            <w:tcW w:type="dxa" w:w="2232"/>
            <w:vAlign w:val="top"/>
          </w:tcPr>
          <w:p>
            <w:pPr>
              <w:spacing w:after="40" w:before="0" w:line="259" w:lineRule="auto"/>
            </w:pPr>
            <w:r>
              <w:rPr>
                <w:rFonts w:ascii="Calibri" w:hAnsi="Calibri"/>
                <w:b/>
                <w:i w:val="0"/>
                <w:color w:val="212121"/>
                <w:sz w:val="19"/>
              </w:rPr>
              <w:t>COPD / chronic airflow obstruction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Post-TB airway damage and shared smoking/biomass exposure link the two; chronic obstruction is a major long-term sequela of pulmonary TB.</w:t>
            </w:r>
          </w:p>
        </w:tc>
      </w:tr>
      <w:tr>
        <w:trPr>
          <w:cantSplit/>
        </w:trPr>
        <w:tc>
          <w:tcPr>
            <w:tcW w:type="dxa" w:w="2232"/>
            <w:vAlign w:val="top"/>
          </w:tcPr>
          <w:p>
            <w:pPr>
              <w:spacing w:after="40" w:before="0" w:line="259" w:lineRule="auto"/>
            </w:pPr>
            <w:r>
              <w:rPr>
                <w:rFonts w:ascii="Calibri" w:hAnsi="Calibri"/>
                <w:b/>
                <w:i w:val="0"/>
                <w:color w:val="212121"/>
                <w:sz w:val="19"/>
              </w:rPr>
              <w:t>Anaemia of chronic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Sustained inflammation and undernutrition commonly cause anaemia in TB, contributing to fatigue and poorer outcomes.</w:t>
            </w:r>
          </w:p>
        </w:tc>
      </w:tr>
      <w:tr>
        <w:trPr>
          <w:cantSplit/>
        </w:trPr>
        <w:tc>
          <w:tcPr>
            <w:tcW w:type="dxa" w:w="2232"/>
            <w:vAlign w:val="top"/>
          </w:tcPr>
          <w:p>
            <w:pPr>
              <w:spacing w:after="40" w:before="0" w:line="259" w:lineRule="auto"/>
            </w:pPr>
            <w:r>
              <w:rPr>
                <w:rFonts w:ascii="Calibri" w:hAnsi="Calibri"/>
                <w:b/>
                <w:i w:val="0"/>
                <w:color w:val="212121"/>
                <w:sz w:val="19"/>
              </w:rPr>
              <w:t>Alcohol-use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Heavy drinking predisposes to TB, undermines adherence and adds to antitubercular-drug hepatotoxicity, requiring closer liver monitoring.</w:t>
            </w:r>
          </w:p>
          <w:p>
            <w:pPr>
              <w:spacing w:after="40" w:before="0" w:line="259" w:lineRule="auto"/>
            </w:pPr>
            <w:r>
              <w:rPr>
                <w:rFonts w:ascii="Calibri" w:hAnsi="Calibri"/>
                <w:b/>
                <w:i w:val="0"/>
                <w:color w:val="212121"/>
                <w:sz w:val="19"/>
              </w:rPr>
              <w:t>~7% of screened TB patients</w:t>
            </w:r>
          </w:p>
        </w:tc>
      </w:tr>
      <w:tr>
        <w:trPr>
          <w:cantSplit/>
        </w:trPr>
        <w:tc>
          <w:tcPr>
            <w:tcW w:type="dxa" w:w="2232"/>
            <w:vAlign w:val="top"/>
          </w:tcPr>
          <w:p>
            <w:pPr>
              <w:spacing w:after="40" w:before="0" w:line="259" w:lineRule="auto"/>
            </w:pPr>
            <w:r>
              <w:rPr>
                <w:rFonts w:ascii="Calibri" w:hAnsi="Calibri"/>
                <w:b/>
                <w:i w:val="0"/>
                <w:color w:val="212121"/>
                <w:sz w:val="19"/>
              </w:rPr>
              <w:t>Depression &amp; psychological distress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Stigma, catastrophic costs and long treatment drive depression, which bidirectionally worsens adherence and loss to follow-up.</w:t>
            </w:r>
          </w:p>
        </w:tc>
      </w:tr>
      <w:tr>
        <w:trPr>
          <w:cantSplit/>
        </w:trPr>
        <w:tc>
          <w:tcPr>
            <w:tcW w:type="dxa" w:w="2232"/>
            <w:vAlign w:val="top"/>
          </w:tcPr>
          <w:p>
            <w:pPr>
              <w:spacing w:after="40" w:before="0" w:line="259" w:lineRule="auto"/>
            </w:pPr>
            <w:r>
              <w:rPr>
                <w:rFonts w:ascii="Calibri" w:hAnsi="Calibri"/>
                <w:b/>
                <w:i w:val="0"/>
                <w:color w:val="212121"/>
                <w:sz w:val="19"/>
              </w:rPr>
              <w:t>Post-TB bronchiectasis / chronic pulmonary aspergillosis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Structural lung damage and residual cavities predispose to recurrent infection, haemoptysis and fungal colonisation after cure.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signs — cough lasting 2 weeks or more, evening fever, night sweats, weight loss or blood in sputum — and seek free testing promptly at a health facility.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cough hygiene and respiratory etiquette (cover mouth, use a mask, dispose of sputum safely) to prevent household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homes and workplaces well ventilated and sunlit; open windows and cross-ventilation cut the airborne infectious dose.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household and workplace contacts, especially children, PLHIV and the elderly, are screened and offered TB preventive therapy where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antitubercular course without interruption to achieve cure and prevent drug resistance; use adherence support such as digital reminders.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infants receive BCG vaccination, which protects against severe childhood TB.</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&amp; workplace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living with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Slum and congregate-setting residents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high-calorie, high-protein diet to reverse undernutrition, which drives roughly half of India's TB and predicts poor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early weight gain during the first two months of treatment, which is associated with lower TB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nutritional support (e.g., Ni-kshay Poshan Yojana food baskets/benefits) for patients and, where possible, 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Supplement micronutrients — including vitamin D, iron for anaemia, and B-complex (with pyridoxine alongside isoniazid) — as clinically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BMI and mid-upper-arm circumference at each visit and escalate nutritional care if weight fails to recover.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TB patients (BMI &lt; 18.5)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 with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diabetes–TB</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household food insecurity and undernutrition, the dominant modifiable driver of TB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balanced meals with adequate pulses, milk, eggs, whole grains, vegetables and locally available protein to maintain a healthy body 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nutritional screening and support in high-burden, low-income communities and for contacts of 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and micronutrient deficiencies that impair anti-mycobacterial immunity.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High-burden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graded, gentle activity during recovery to prevent deconditioning while respecting fatigue and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pulmonary rehabilitation and breathing exercises for patients left with post-TB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strength and muscle mass alongside nutritional recovery as treatment progresses.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exertion during the acute, febrile or haemoptysis phase.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PTB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Deconditioned/elderly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(cigarettes, bidis, hookah) — smoking roughly doubles active-TB risk and worsens cavitation and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brief cessation advice and referral to tobacco-cessation services at every TB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second-hand smoke, particularly for children and other household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indoor biomass-smoke exposure by using improved cook-stoves, cleaner fuels (LPG) and better kitchen ventilation.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or at risk of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using biomass fuel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Second-hand-smoke-exposed contacts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abstinence during treatment — heavy alcohol use trebles TB risk and compounds antitubercular-drug liver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alcohol-use disorder and link patients to de-addiction and counselling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liver function more closely in patients with harmful alcohol use on hepatotoxic ATT.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adherence support, as alcohol use is a leading cause of treatment interruption and relapse.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harmful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Previously treated / relapse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hepatotoxic regimens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adequate, regular sleep to support immune recovery during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night sweats and cough that disrupt sleep with appropriate symptomatic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sleeping-area ventilation and reduce overcrowding to lower transmission risk within the home.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Congregate-setting residents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anxiety and stigma, which are common in TB and undermine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peer support and, where needed, treatment for depression and substance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catastrophic costs and social support through available welfare and Ni-kshay benefit schemes.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patient-centred, stigma-free counselling to sustain adherence across the full treatment course.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 or drug-resistant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stigma or financial hardship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co-existing depression or substance use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rishtiias.com/daily-updates/daily-news-analysis/global-tuberculosis-report-2024" TargetMode="External"/><Relationship Id="rId10" Type="http://schemas.openxmlformats.org/officeDocument/2006/relationships/hyperlink" Target="https://pmc.ncbi.nlm.nih.gov/articles/PMC11482387/" TargetMode="External"/><Relationship Id="rId11" Type="http://schemas.openxmlformats.org/officeDocument/2006/relationships/hyperlink" Target="https://tbcindia.mohfw.gov.in/wp-content/uploads/2023/05/25032022161020NATBPSReport.pdf" TargetMode="External"/><Relationship Id="rId12" Type="http://schemas.openxmlformats.org/officeDocument/2006/relationships/hyperlink" Target="https://science.thewire.in/health/india-tb-prevalence-national-survey-findings/" TargetMode="External"/><Relationship Id="rId13" Type="http://schemas.openxmlformats.org/officeDocument/2006/relationships/hyperlink" Target="https://link.springer.com/article/10.1186/s12982-025-01049-9" TargetMode="External"/><Relationship Id="rId14" Type="http://schemas.openxmlformats.org/officeDocument/2006/relationships/hyperlink" Target="https://pubmed.ncbi.nlm.nih.gov/17325294/" TargetMode="External"/><Relationship Id="rId15" Type="http://schemas.openxmlformats.org/officeDocument/2006/relationships/hyperlink" Target="https://bmcpublichealth.biomedcentral.com/articles/10.1186/1471-2458-8-289" TargetMode="External"/><Relationship Id="rId16" Type="http://schemas.openxmlformats.org/officeDocument/2006/relationships/hyperlink" Target="https://journals.plos.org/plosone/article?id=10.1371%2Fjournal.pone.0230574" TargetMode="External"/><Relationship Id="rId17" Type="http://schemas.openxmlformats.org/officeDocument/2006/relationships/hyperlink" Target="https://pmc.ncbi.nlm.nih.gov/articles/PMC1769410/" TargetMode="External"/><Relationship Id="rId18" Type="http://schemas.openxmlformats.org/officeDocument/2006/relationships/hyperlink" Target="https://ijmr.org.in/undernutrition-tuberculosis-in-india-situation-analysis-the-way-forward/" TargetMode="External"/><Relationship Id="rId19" Type="http://schemas.openxmlformats.org/officeDocument/2006/relationships/hyperlink" Target="https://link.springer.com/article/10.1186/s12982-025-0078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