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Extrapulmonary Tuberculosis (EPTB)</w:t>
      </w:r>
    </w:p>
    <w:p>
      <w:pPr>
        <w:spacing w:before="0" w:after="160"/>
      </w:pPr>
      <w:r>
        <w:rPr>
          <w:rFonts w:ascii="Calibri" w:hAnsi="Calibri"/>
          <w:b/>
          <w:i w:val="0"/>
          <w:color w:val="212121"/>
          <w:sz w:val="22"/>
        </w:rPr>
        <w:t xml:space="preserve">AKA </w:t>
      </w:r>
      <w:r>
        <w:rPr>
          <w:rFonts w:ascii="Calibri" w:hAnsi="Calibri"/>
          <w:b w:val="0"/>
          <w:i w:val="0"/>
          <w:color w:val="212121"/>
          <w:sz w:val="22"/>
        </w:rPr>
        <w:t>i.e., EPTB, TB outside the lungs; includes tuberculous lymphadenitis (“scrofula”), tuberculous pleurisy/effusion, abdominal (intestinal &amp; peritoneal) TB, skeletal TB / spinal TB (Pott’s disease / Pott’s spine), tuberculous meningitis (CNS TB), and genitourinary/genital TB; caused by Mycobacterium tuberculosis (the tubercle bacillus / AFB).</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Extrapulmonary tuberculosis (EPTB) is tuberculosis affecting organs and tissues other than the lung parenchyma — most commonly the lymph nodes, pleura, abdomen (bowel and peritoneum), bones and joints (especially the spine, “Pott’s disease”), the central nervous system (tuberculous meningitis) and the genitourinary tract. It is caused by the same acid-fast bacillus as pulmonary TB, Mycobacterium tuberculosis, which reaches these sites by lymphatic and haematogenous spread from a primary (often subclinical) lung focus or by reactivation of dormant bacilli when host immunity wanes. Unlike pulmonary TB, most extrapulmonary forms are not aerosol-infectious (an exception being laryngeal or open discharging disease), but lesions are typically paucibacillary, so diagnosis relies on tissue/fluid sampling, histopathology, molecular tests and site-directed imaging rather than sputum. Presentation is protean and site-specific, and diagnostic delay is common.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Extrapulmonary TB accounts for roughly one in six to one in four notified TB cases in India — about 16–24% — and the share has been rising, from around 16–18% of notifications in 2017–18 to nearly 24% by 2022, ranging from under 10% in some districts to over 30% at tertiary referral centres. In Indian series the commonest forms are tuberculous lymphadenitis (about 33–39% of EPTB, cervical nodes most often) and tuberculous pleural effusion (about 30–32%), followed by abdominal/peritoneal (~8%), meningeal/CNS (~6–9%), skeletal/spinal and genitourinary disease. EPTB affects women and children proportionately more than pulmonary TB and is strongly over-represented among people living with HIV; with prompt anti-tubercular treatment, notified EPTB in South India achieved a treatment success rate of about 91%.</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Because extrapulmonary lesions are paucibacillary, diagnosis under India’s National TB Elimination Programme (NTEP) combines microbiology, molecular testing, cytology/histopathology, biochemistry and site-directed imaging, sampling the affected site wherever possible: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upfront Nucleic Acid Amplification Test (NAAT) — CBNAAT/GeneXpert MTB/RIF, Xpert MTB/RIF Ultra or Truenat — on the extrapulmonary specimen (lymph-node aspirate/biopsy, pleural, ascitic, pericardial or synovial fluid, CSF, pus or tissue) simultaneously confirms M. tuberculosis and detects rifampicin resistance; yield is high on lymph-node aspirate (~85–90% sensitivity) but lower on paucibacillary fluids (CSF ~70%, pleural fluid ~50%);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fine-needle aspiration cytology (FNAC) or excision biopsy of an accessible node showing epithelioid-cell granulomas with caseation, with or without acid-fast bacilli;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histopathology of biopsy tissue demonstrating caseating (necrotising) granulomas with Langhans giant cells — the confirmatory histological hallmark of TB;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adenosine deaminase (ADA) in serous fluids, raised in tuberculous pleural (typically &gt; 40 IU/L), peritoneal, pericardial and cerebrospinal fluid (&gt; 10 U/L in TBM), with good sensitivity and specificity as a supportive marker;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fluid analysis showing a lymphocyte-predominant exudate with low glucose; in tuberculous meningitis the CSF classically shows lymphocytic pleocytosis (100–500 cells, &gt;80% lymphocytes), high protein (100–500 mg/dL) and low glucose (&lt; half the blood level);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mycobacterial culture on liquid (MGIT) or solid (LJ) media of the specimen — the reference standard — which also enables phenotypic drug-susceptibility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site-directed imaging: contrast CT abdomen (ileocaecal, peritoneal or nodal disease), MRI spine (vertebral destruction, disc involvement, paravertebral/psoas cold abscess in Pott’s disease), contrast CT/MRI brain (basal meningeal enhancement, tuberculomas, hydrocephalus, infarcts) and ultrasound/CT of lymph nodes;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provider-initiated HIV testing and blood glucose/HbA1c in every patient, since HIV and diabetes strongly influence extrapulmonary and disseminated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EPTB is classified chiefly by the anatomical site involved, each with a distinct presentation, work-up and duration of anti-tubercular therapy:</w:t>
      </w:r>
    </w:p>
    <w:p>
      <w:pPr>
        <w:spacing w:before="0" w:after="80"/>
      </w:pPr>
      <w:r>
        <w:rPr>
          <w:rFonts w:ascii="Calibri" w:hAnsi="Calibri"/>
          <w:b w:val="0"/>
          <w:i w:val="0"/>
          <w:color w:val="212121"/>
          <w:sz w:val="21"/>
        </w:rPr>
        <w:t>(1) Lymph-node TB (tuberculous lymphadenitis) — the commonest form; cervical nodes (“scrofula”) predominate, presenting as firm, matted, sometimes matted or discharging nodes with a chronic sinus;</w:t>
      </w:r>
    </w:p>
    <w:p>
      <w:pPr>
        <w:spacing w:before="0" w:after="80"/>
      </w:pPr>
      <w:r>
        <w:rPr>
          <w:rFonts w:ascii="Calibri" w:hAnsi="Calibri"/>
          <w:b w:val="0"/>
          <w:i w:val="0"/>
          <w:color w:val="212121"/>
          <w:sz w:val="21"/>
        </w:rPr>
        <w:t>(2) Pleural TB (tuberculous pleurisy / effusion) — the second commonest form; a usually unilateral, exudative, lymphocyte-predominant effusion causing chest pain, cough and breathlessness;</w:t>
      </w:r>
    </w:p>
    <w:p>
      <w:pPr>
        <w:spacing w:before="0" w:after="80"/>
      </w:pPr>
      <w:r>
        <w:rPr>
          <w:rFonts w:ascii="Calibri" w:hAnsi="Calibri"/>
          <w:b w:val="0"/>
          <w:i w:val="0"/>
          <w:color w:val="212121"/>
          <w:sz w:val="21"/>
        </w:rPr>
        <w:t>(3) Abdominal TB (gastrointestinal, peritoneal and mesenteric-nodal) — the ileocaecal region and peritoneum are most often involved, presenting with chronic abdominal pain, ascites, subacute intestinal obstruction, a doughy abdomen or a mass;</w:t>
      </w:r>
    </w:p>
    <w:p>
      <w:pPr>
        <w:spacing w:before="0" w:after="80"/>
      </w:pPr>
      <w:r>
        <w:rPr>
          <w:rFonts w:ascii="Calibri" w:hAnsi="Calibri"/>
          <w:b w:val="0"/>
          <w:i w:val="0"/>
          <w:color w:val="212121"/>
          <w:sz w:val="21"/>
        </w:rPr>
        <w:t>(4) Skeletal TB, including spinal TB (Pott’s disease) — the spine is the commonest skeletal site (thoraco-lumbar junction), causing back pain, angular kyphosis (gibbus), cold (paravertebral/psoas) abscess and, when advanced, Pott’s paraplegia;</w:t>
      </w:r>
    </w:p>
    <w:p>
      <w:pPr>
        <w:spacing w:before="0" w:after="80"/>
      </w:pPr>
      <w:r>
        <w:rPr>
          <w:rFonts w:ascii="Calibri" w:hAnsi="Calibri"/>
          <w:b w:val="0"/>
          <w:i w:val="0"/>
          <w:color w:val="212121"/>
          <w:sz w:val="21"/>
        </w:rPr>
        <w:t>(5) Central-nervous-system TB — tuberculous meningitis (the most lethal form) and intracranial tuberculoma, graded at presentation by the British Medical Research Council (MRC) stages I–III;</w:t>
      </w:r>
    </w:p>
    <w:p>
      <w:pPr>
        <w:spacing w:before="0" w:after="80"/>
      </w:pPr>
      <w:r>
        <w:rPr>
          <w:rFonts w:ascii="Calibri" w:hAnsi="Calibri"/>
          <w:b w:val="0"/>
          <w:i w:val="0"/>
          <w:color w:val="212121"/>
          <w:sz w:val="21"/>
        </w:rPr>
        <w:t>(6) Genitourinary TB — renal, ureteric and bladder disease, and female genital TB, which is an important cause of tubal-factor infertility in India;</w:t>
      </w:r>
    </w:p>
    <w:p>
      <w:pPr>
        <w:spacing w:before="0" w:after="80"/>
      </w:pPr>
      <w:r>
        <w:rPr>
          <w:rFonts w:ascii="Calibri" w:hAnsi="Calibri"/>
          <w:b w:val="0"/>
          <w:i w:val="0"/>
          <w:color w:val="212121"/>
          <w:sz w:val="21"/>
        </w:rPr>
        <w:t>(7) Other and disseminated forms — miliary TB, pericardial, cutaneous, ocular, adrenal and laryngeal TB; a patient with concurrent lung involvement is classified as pulmonary for infection-control purposes.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Mycobacterium tuberculosis complex — the same slow-growing, acid-fast bacillus as pulmonary TB (occasionally M. bovis from unpasteurised milk) — which disseminates to extrapulmonary sites via lymphatics and the bloodstream from a primary lung focus.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Reactivation of latent foci: dormant bacilli seeded at extrapulmonary sites during primary infection can reactivate years later when cell-mediated immunity declines.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Immune compromise: HIV (especially CD4 &lt; 200/µL), diabetes mellitus, chronic kidney disease, malignancy, and corticosteroid, anti-TNF or transplant immunosuppression tilt disease toward extrapulmonary and disseminated forms.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Undernutrition: low body-mass and micronutrient deficiency weaken granuloma containment and are the dominant population-level driver of TB in India.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 and sex: young adults and children are prone to lymph-node, abdominal, genital and meningeal disease, and women bear a disproportionate share of extrapulmonary (especially nodal and genital) TB.</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Primary (childhood) infection: in young children, recently acquired infection progresses readily to lymph-node, meningeal and miliary disease before containment is established.</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Social determinants: poverty, overcrowding, unpasteurised dairy consumption and delayed care-seeking concentrate TB and its extrapulmonary forms among the socioeconomically disadvantaged.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(15–45 years)</w:t>
            </w:r>
          </w:p>
        </w:tc>
        <w:tc>
          <w:tcPr>
            <w:tcW w:type="dxa" w:w="4276"/>
            <w:vAlign w:val="top"/>
          </w:tcPr>
          <w:p>
            <w:pPr>
              <w:spacing w:after="60" w:line="259" w:lineRule="auto"/>
            </w:pPr>
            <w:r>
              <w:rPr>
                <w:rFonts w:ascii="Calibri" w:hAnsi="Calibri"/>
                <w:b w:val="0"/>
                <w:i w:val="0"/>
                <w:color w:val="212121"/>
                <w:sz w:val="19"/>
              </w:rPr>
              <w:t>Extrapulmonary TB clusters in the economically productive years, when lymph-node, pleural, abdominal and genital forms are commonest; recently reactivated or progressive infection at these sites causes major morbidity and diagnostic delay.</w:t>
            </w:r>
          </w:p>
          <w:p>
            <w:pPr>
              <w:spacing w:after="40" w:before="60" w:line="259" w:lineRule="auto"/>
            </w:pPr>
            <w:r>
              <w:rPr>
                <w:rFonts w:ascii="Calibri" w:hAnsi="Calibri"/>
                <w:b w:val="0"/>
                <w:i w:val="0"/>
                <w:color w:val="212121"/>
                <w:sz w:val="19"/>
              </w:rPr>
              <w:t>EPTB now makes up nearly 24% of notified TB in India (up from ~16–18% in 2017–18), with most patients in young adulthood.</w:t>
            </w:r>
          </w:p>
          <w:p>
            <w:pPr>
              <w:spacing w:after="40" w:line="252" w:lineRule="auto"/>
            </w:pPr>
            <w:hyperlink r:id="rId9">
              <w:r>
                <w:rPr>
                  <w:rFonts w:ascii="Calibri" w:hAnsi="Calibri" w:cs="Calibri"/>
                  <w:sz w:val="18"/>
                  <w:color w:val="1155CC"/>
                  <w:u w:val="single"/>
                </w:rPr>
                <w:t xml:space="preserve">ijmpr.in — trends &amp; distribution of EPTB (5-year study)</w:t>
              </w:r>
            </w:hyperlink>
          </w:p>
          <w:p>
            <w:pPr>
              <w:spacing w:before="60" w:after="40"/>
            </w:pPr>
            <w:r>
              <w:rPr>
                <w:rFonts w:ascii="Calibri" w:hAnsi="Calibri"/>
                <w:b w:val="0"/>
                <w:i w:val="0"/>
                <w:color w:val="5A5A5A"/>
                <w:sz w:val="18"/>
              </w:rPr>
              <w:t>#EPTB  #youngadults  #lymphnodeTB  #productiveyears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Immature, recently primed immunity lets freshly acquired infection progress to lymph-node, meningeal and miliary disease; paediatric tuberculous meningitis is frequently diagnosed late and at an advanced stage.</w:t>
            </w:r>
          </w:p>
          <w:p>
            <w:pPr>
              <w:spacing w:after="40" w:before="60" w:line="259" w:lineRule="auto"/>
            </w:pPr>
            <w:r>
              <w:rPr>
                <w:rFonts w:ascii="Calibri" w:hAnsi="Calibri"/>
                <w:b w:val="0"/>
                <w:i w:val="0"/>
                <w:color w:val="212121"/>
                <w:sz w:val="19"/>
              </w:rPr>
              <w:t>Children with tuberculous meningitis present far later than adults — about 73% are in advanced MRC stage III at diagnosis versus ~41% of adults.</w:t>
            </w:r>
          </w:p>
          <w:p>
            <w:pPr>
              <w:spacing w:after="40" w:line="252" w:lineRule="auto"/>
            </w:pPr>
            <w:hyperlink r:id="rId10">
              <w:r>
                <w:rPr>
                  <w:rFonts w:ascii="Calibri" w:hAnsi="Calibri" w:cs="Calibri"/>
                  <w:sz w:val="18"/>
                  <w:color w:val="1155CC"/>
                  <w:u w:val="single"/>
                </w:rPr>
                <w:t xml:space="preserve">intechopen.com — diagnosis &amp; treatment of tuberculous meningitis</w:t>
              </w:r>
            </w:hyperlink>
          </w:p>
          <w:p>
            <w:pPr>
              <w:spacing w:before="60" w:after="40"/>
            </w:pPr>
            <w:r>
              <w:rPr>
                <w:rFonts w:ascii="Calibri" w:hAnsi="Calibri"/>
                <w:b w:val="0"/>
                <w:i w:val="0"/>
                <w:color w:val="5A5A5A"/>
                <w:sz w:val="18"/>
              </w:rPr>
              <w:t>#paediatricTB  #TBmeningitis  #miliaryTB  #primaryTB</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Immunosenescence, waning cell-mediated immunity and accumulating comorbidities (diabetes, chronic kidney disease, malignancy) favour reactivation at extrapulmonary sites; presentation is often atypical, and diagnosis is delayed.</w:t>
            </w:r>
          </w:p>
          <w:p>
            <w:pPr>
              <w:spacing w:after="40" w:before="60" w:line="259" w:lineRule="auto"/>
            </w:pPr>
            <w:r>
              <w:rPr>
                <w:rFonts w:ascii="Calibri" w:hAnsi="Calibri"/>
                <w:b w:val="0"/>
                <w:i w:val="0"/>
                <w:color w:val="212121"/>
                <w:sz w:val="19"/>
              </w:rPr>
              <w:t>Reactivation TB, including extrapulmonary and disseminated forms, rises with age as immunity wanes and comorbidities accumulate.</w:t>
            </w:r>
          </w:p>
          <w:p>
            <w:pPr>
              <w:spacing w:before="60" w:after="40"/>
            </w:pPr>
            <w:r>
              <w:rPr>
                <w:rFonts w:ascii="Calibri" w:hAnsi="Calibri"/>
                <w:b w:val="0"/>
                <w:i w:val="0"/>
                <w:color w:val="5A5A5A"/>
                <w:sz w:val="18"/>
              </w:rPr>
              <w:t>#elderly  #reactivation  #immunosenescence  #atypicalpresentation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(relatively higher share than in pulmonary TB)</w:t>
            </w:r>
          </w:p>
        </w:tc>
        <w:tc>
          <w:tcPr>
            <w:tcW w:type="dxa" w:w="4276"/>
            <w:vAlign w:val="top"/>
          </w:tcPr>
          <w:p>
            <w:pPr>
              <w:spacing w:after="60" w:line="259" w:lineRule="auto"/>
            </w:pPr>
            <w:r>
              <w:rPr>
                <w:rFonts w:ascii="Calibri" w:hAnsi="Calibri"/>
                <w:b w:val="0"/>
                <w:i w:val="0"/>
                <w:color w:val="212121"/>
                <w:sz w:val="19"/>
              </w:rPr>
              <w:t>Extrapulmonary TB carries a higher proportion of women than pulmonary TB; female genital TB in particular is a major, often silent, cause of tubal-factor infertility in India.</w:t>
            </w:r>
          </w:p>
          <w:p>
            <w:pPr>
              <w:spacing w:after="40" w:before="60" w:line="259" w:lineRule="auto"/>
            </w:pPr>
            <w:r>
              <w:rPr>
                <w:rFonts w:ascii="Calibri" w:hAnsi="Calibri"/>
                <w:b w:val="0"/>
                <w:i w:val="0"/>
                <w:color w:val="212121"/>
                <w:sz w:val="19"/>
              </w:rPr>
              <w:t>Genital TB is reported in 3–16% of Indian women investigated for infertility, with the fallopian tubes involved in 95–100% of cases.</w:t>
            </w:r>
          </w:p>
          <w:p>
            <w:pPr>
              <w:spacing w:after="40" w:line="252" w:lineRule="auto"/>
            </w:pPr>
            <w:hyperlink r:id="rId11">
              <w:r>
                <w:rPr>
                  <w:rFonts w:ascii="Calibri" w:hAnsi="Calibri" w:cs="Calibri"/>
                  <w:sz w:val="18"/>
                  <w:color w:val="1155CC"/>
                  <w:u w:val="single"/>
                </w:rPr>
                <w:t xml:space="preserve">ijmr.org.in — genital tuberculosis in females</w:t>
              </w:r>
            </w:hyperlink>
          </w:p>
          <w:p>
            <w:pPr>
              <w:spacing w:before="60" w:after="40"/>
            </w:pPr>
            <w:r>
              <w:rPr>
                <w:rFonts w:ascii="Calibri" w:hAnsi="Calibri"/>
                <w:b w:val="0"/>
                <w:i w:val="0"/>
                <w:color w:val="5A5A5A"/>
                <w:sz w:val="18"/>
              </w:rPr>
              <w:t>#womenshealth  #genitalTB  #infertility  #tubalfactor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poor, migrants and undernourished populations</w:t>
            </w:r>
          </w:p>
        </w:tc>
        <w:tc>
          <w:tcPr>
            <w:tcW w:type="dxa" w:w="4276"/>
            <w:vAlign w:val="top"/>
          </w:tcPr>
          <w:p>
            <w:pPr>
              <w:spacing w:after="60" w:line="259" w:lineRule="auto"/>
            </w:pPr>
            <w:r>
              <w:rPr>
                <w:rFonts w:ascii="Calibri" w:hAnsi="Calibri"/>
                <w:b w:val="0"/>
                <w:i w:val="0"/>
                <w:color w:val="212121"/>
                <w:sz w:val="19"/>
              </w:rPr>
              <w:t>Poverty clusters the key drivers of TB — undernutrition, overcrowded and poorly ventilated housing, delayed care and out-of-pocket costs — sustaining transmission of the source pulmonary case and progression to extrapulmonary disease.</w:t>
            </w:r>
          </w:p>
          <w:p>
            <w:pPr>
              <w:spacing w:after="40" w:before="60" w:line="259" w:lineRule="auto"/>
            </w:pPr>
            <w:r>
              <w:rPr>
                <w:rFonts w:ascii="Calibri" w:hAnsi="Calibri"/>
                <w:b w:val="0"/>
                <w:i w:val="0"/>
                <w:color w:val="212121"/>
                <w:sz w:val="19"/>
              </w:rPr>
              <w:t>In South India, notified EPTB was 16.5% of all TB cases, concentrated in resource-limited catchments referred to chest-disease hospitals.</w:t>
            </w:r>
          </w:p>
          <w:p>
            <w:pPr>
              <w:spacing w:after="40" w:line="252" w:lineRule="auto"/>
            </w:pPr>
            <w:hyperlink r:id="rId12">
              <w:r>
                <w:rPr>
                  <w:rFonts w:ascii="Calibri" w:hAnsi="Calibri" w:cs="Calibri"/>
                  <w:sz w:val="18"/>
                  <w:color w:val="1155CC"/>
                  <w:u w:val="single"/>
                </w:rPr>
                <w:t xml:space="preserve">nature.com (Sci Rep) — EPTB prevalence &amp; outcomes, South India</w:t>
              </w:r>
            </w:hyperlink>
          </w:p>
          <w:p>
            <w:pPr>
              <w:spacing w:before="60" w:after="40"/>
            </w:pPr>
            <w:r>
              <w:rPr>
                <w:rFonts w:ascii="Calibri" w:hAnsi="Calibri"/>
                <w:b w:val="0"/>
                <w:i w:val="0"/>
                <w:color w:val="5A5A5A"/>
                <w:sz w:val="18"/>
              </w:rPr>
              <w:t>#poverty  #undernutrition  #migrants  #delayedcare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Residents of high-burden states &amp; tertiary-referral catchments</w:t>
            </w:r>
          </w:p>
        </w:tc>
        <w:tc>
          <w:tcPr>
            <w:tcW w:type="dxa" w:w="4276"/>
            <w:vAlign w:val="top"/>
          </w:tcPr>
          <w:p>
            <w:pPr>
              <w:spacing w:after="60" w:line="259" w:lineRule="auto"/>
            </w:pPr>
            <w:r>
              <w:rPr>
                <w:rFonts w:ascii="Calibri" w:hAnsi="Calibri"/>
                <w:b w:val="0"/>
                <w:i w:val="0"/>
                <w:color w:val="212121"/>
                <w:sz w:val="19"/>
              </w:rPr>
              <w:t>Referral bias, better tissue-diagnostic access and dense high-burden populations concentrate diagnosed EPTB at tertiary centres, so the measured proportion varies widely by setting.</w:t>
            </w:r>
          </w:p>
          <w:p>
            <w:pPr>
              <w:spacing w:after="40" w:before="60" w:line="259" w:lineRule="auto"/>
            </w:pPr>
            <w:r>
              <w:rPr>
                <w:rFonts w:ascii="Calibri" w:hAnsi="Calibri"/>
                <w:b w:val="0"/>
                <w:i w:val="0"/>
                <w:color w:val="212121"/>
                <w:sz w:val="19"/>
              </w:rPr>
              <w:t>The EPTB share of notifications ranges from under 10% in some districts to more than 30% at tertiary referral centres in India.</w:t>
            </w:r>
          </w:p>
          <w:p>
            <w:pPr>
              <w:spacing w:after="40" w:line="252" w:lineRule="auto"/>
            </w:pPr>
            <w:hyperlink r:id="rId9">
              <w:r>
                <w:rPr>
                  <w:rFonts w:ascii="Calibri" w:hAnsi="Calibri" w:cs="Calibri"/>
                  <w:sz w:val="18"/>
                  <w:color w:val="1155CC"/>
                  <w:u w:val="single"/>
                </w:rPr>
                <w:t xml:space="preserve">ijmpr.in — district vs tertiary EPTB variation</w:t>
              </w:r>
            </w:hyperlink>
          </w:p>
          <w:p>
            <w:pPr>
              <w:spacing w:before="60" w:after="40"/>
            </w:pPr>
            <w:r>
              <w:rPr>
                <w:rFonts w:ascii="Calibri" w:hAnsi="Calibri"/>
                <w:b w:val="0"/>
                <w:i w:val="0"/>
                <w:color w:val="5A5A5A"/>
                <w:sz w:val="18"/>
              </w:rPr>
              <w:t>#highburden  #tertiarycare  #referralbias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Access to care</w:t>
            </w:r>
          </w:p>
        </w:tc>
        <w:tc>
          <w:tcPr>
            <w:tcW w:type="dxa" w:w="2160"/>
            <w:vAlign w:val="top"/>
          </w:tcPr>
          <w:p>
            <w:pPr>
              <w:spacing w:after="40" w:before="0" w:line="259" w:lineRule="auto"/>
            </w:pPr>
            <w:r>
              <w:rPr>
                <w:rFonts w:ascii="Calibri" w:hAnsi="Calibri"/>
                <w:b w:val="0"/>
                <w:i w:val="0"/>
                <w:color w:val="212121"/>
                <w:sz w:val="19"/>
              </w:rPr>
              <w:t>Rural, tribal &amp; underserved communities</w:t>
            </w:r>
          </w:p>
        </w:tc>
        <w:tc>
          <w:tcPr>
            <w:tcW w:type="dxa" w:w="4276"/>
            <w:vAlign w:val="top"/>
          </w:tcPr>
          <w:p>
            <w:pPr>
              <w:spacing w:after="60" w:line="259" w:lineRule="auto"/>
            </w:pPr>
            <w:r>
              <w:rPr>
                <w:rFonts w:ascii="Calibri" w:hAnsi="Calibri"/>
                <w:b w:val="0"/>
                <w:i w:val="0"/>
                <w:color w:val="212121"/>
                <w:sz w:val="19"/>
              </w:rPr>
              <w:t>Limited access to tissue sampling, molecular testing and specialists delays extrapulmonary diagnosis, so patients present later with advanced nodal, spinal or meningeal disease and higher complication rates.</w:t>
            </w:r>
          </w:p>
          <w:p>
            <w:pPr>
              <w:spacing w:after="40" w:before="60" w:line="259" w:lineRule="auto"/>
            </w:pPr>
            <w:r>
              <w:rPr>
                <w:rFonts w:ascii="Calibri" w:hAnsi="Calibri"/>
                <w:b w:val="0"/>
                <w:i w:val="0"/>
                <w:color w:val="212121"/>
                <w:sz w:val="19"/>
              </w:rPr>
              <w:t>Paucibacillary lesions and scarce biopsy/NAAT access make EPTB diagnosis slower and later in underserved settings.</w:t>
            </w:r>
          </w:p>
          <w:p>
            <w:pPr>
              <w:spacing w:before="60" w:after="40"/>
            </w:pPr>
            <w:r>
              <w:rPr>
                <w:rFonts w:ascii="Calibri" w:hAnsi="Calibri"/>
                <w:b w:val="0"/>
                <w:i w:val="0"/>
                <w:color w:val="5A5A5A"/>
                <w:sz w:val="18"/>
              </w:rPr>
              <w:t>#ruralhealth  #tribal  #accessgap  #latediagnosis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&amp; bidi smokers</w:t>
            </w:r>
          </w:p>
        </w:tc>
        <w:tc>
          <w:tcPr>
            <w:tcW w:type="dxa" w:w="4276"/>
            <w:vAlign w:val="top"/>
          </w:tcPr>
          <w:p>
            <w:pPr>
              <w:spacing w:after="60" w:line="259" w:lineRule="auto"/>
            </w:pPr>
            <w:r>
              <w:rPr>
                <w:rFonts w:ascii="Calibri" w:hAnsi="Calibri"/>
                <w:b w:val="0"/>
                <w:i w:val="0"/>
                <w:color w:val="212121"/>
                <w:sz w:val="19"/>
              </w:rPr>
              <w:t>Tobacco smoke impairs alveolar macrophage function and cell-mediated immunity, increasing both acquisition of infection and progression to active disease, including its extrapulmonary forms.</w:t>
            </w:r>
          </w:p>
          <w:p>
            <w:pPr>
              <w:spacing w:after="40" w:before="60" w:line="259" w:lineRule="auto"/>
            </w:pPr>
            <w:r>
              <w:rPr>
                <w:rFonts w:ascii="Calibri" w:hAnsi="Calibri"/>
                <w:b w:val="0"/>
                <w:i w:val="0"/>
                <w:color w:val="212121"/>
                <w:sz w:val="19"/>
              </w:rPr>
              <w:t>Smoking is an established risk factor that roughly doubles the risk of active tuberculosis and worsens outcomes.</w:t>
            </w:r>
          </w:p>
          <w:p>
            <w:pPr>
              <w:spacing w:before="60" w:after="40"/>
            </w:pPr>
            <w:r>
              <w:rPr>
                <w:rFonts w:ascii="Calibri" w:hAnsi="Calibri"/>
                <w:b w:val="0"/>
                <w:i w:val="0"/>
                <w:color w:val="5A5A5A"/>
                <w:sz w:val="18"/>
              </w:rPr>
              <w:t>#smoking  #bidi  #tobacco  #immunity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harmful alcohol users</w:t>
            </w:r>
          </w:p>
        </w:tc>
        <w:tc>
          <w:tcPr>
            <w:tcW w:type="dxa" w:w="4276"/>
            <w:vAlign w:val="top"/>
          </w:tcPr>
          <w:p>
            <w:pPr>
              <w:spacing w:after="60" w:line="259" w:lineRule="auto"/>
            </w:pPr>
            <w:r>
              <w:rPr>
                <w:rFonts w:ascii="Calibri" w:hAnsi="Calibri"/>
                <w:b w:val="0"/>
                <w:i w:val="0"/>
                <w:color w:val="212121"/>
                <w:sz w:val="19"/>
              </w:rPr>
              <w:t>Harmful drinking impairs immune function, worsens nutrition and undermines treatment adherence and liver tolerance of anti-tubercular drugs, raising TB risk and complicating the long EPTB regimens.</w:t>
            </w:r>
          </w:p>
          <w:p>
            <w:pPr>
              <w:spacing w:after="40" w:before="60" w:line="259" w:lineRule="auto"/>
            </w:pPr>
            <w:r>
              <w:rPr>
                <w:rFonts w:ascii="Calibri" w:hAnsi="Calibri"/>
                <w:b w:val="0"/>
                <w:i w:val="0"/>
                <w:color w:val="212121"/>
                <w:sz w:val="19"/>
              </w:rPr>
              <w:t>Harmful alcohol use is a recognised risk factor for active TB and for anti-tubercular-drug hepatotoxicity and non-adherence.</w:t>
            </w:r>
          </w:p>
          <w:p>
            <w:pPr>
              <w:spacing w:before="60" w:after="40"/>
            </w:pPr>
            <w:r>
              <w:rPr>
                <w:rFonts w:ascii="Calibri" w:hAnsi="Calibri"/>
                <w:b w:val="0"/>
                <w:i w:val="0"/>
                <w:color w:val="5A5A5A"/>
                <w:sz w:val="18"/>
              </w:rPr>
              <w:t>#alcohol  #AUD  #hepatotoxicity  #adherence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 (low BMI)</w:t>
            </w:r>
          </w:p>
        </w:tc>
        <w:tc>
          <w:tcPr>
            <w:tcW w:type="dxa" w:w="2160"/>
            <w:vAlign w:val="top"/>
          </w:tcPr>
          <w:p>
            <w:pPr>
              <w:spacing w:after="40" w:before="0" w:line="259" w:lineRule="auto"/>
            </w:pPr>
            <w:r>
              <w:rPr>
                <w:rFonts w:ascii="Calibri" w:hAnsi="Calibri"/>
                <w:b w:val="0"/>
                <w:i w:val="0"/>
                <w:color w:val="212121"/>
                <w:sz w:val="19"/>
              </w:rPr>
              <w:t>Underweight adults (BMI &lt; 18.5 kg/m²)</w:t>
            </w:r>
          </w:p>
        </w:tc>
        <w:tc>
          <w:tcPr>
            <w:tcW w:type="dxa" w:w="4276"/>
            <w:vAlign w:val="top"/>
          </w:tcPr>
          <w:p>
            <w:pPr>
              <w:spacing w:after="60" w:line="259" w:lineRule="auto"/>
            </w:pPr>
            <w:r>
              <w:rPr>
                <w:rFonts w:ascii="Calibri" w:hAnsi="Calibri"/>
                <w:b w:val="0"/>
                <w:i w:val="0"/>
                <w:color w:val="212121"/>
                <w:sz w:val="19"/>
              </w:rPr>
              <w:t>Protein-energy undernutrition weakens cell-mediated immunity and granuloma containment, making it both a leading cause and a consequence of TB and its extrapulmonary spread; it is the dominant population driver in India.</w:t>
            </w:r>
          </w:p>
          <w:p>
            <w:pPr>
              <w:spacing w:after="40" w:before="60" w:line="259" w:lineRule="auto"/>
            </w:pPr>
            <w:r>
              <w:rPr>
                <w:rFonts w:ascii="Calibri" w:hAnsi="Calibri"/>
                <w:b w:val="0"/>
                <w:i w:val="0"/>
                <w:color w:val="212121"/>
                <w:sz w:val="19"/>
              </w:rPr>
              <w:t>Undernutrition accounts for roughly half of incident TB in India, and nutritional support cut TB incidence by 39–48% among household contacts in the RATIONS trial.</w:t>
            </w:r>
          </w:p>
          <w:p>
            <w:pPr>
              <w:spacing w:after="40" w:line="252" w:lineRule="auto"/>
            </w:pPr>
            <w:hyperlink r:id="rId13">
              <w:r>
                <w:rPr>
                  <w:rFonts w:ascii="Calibri" w:hAnsi="Calibri" w:cs="Calibri"/>
                  <w:sz w:val="18"/>
                  <w:color w:val="1155CC"/>
                  <w:u w:val="single"/>
                </w:rPr>
                <w:t xml:space="preserve">ijmr.org.in — undernutrition &amp; TB in India: situation analysis</w:t>
              </w:r>
            </w:hyperlink>
          </w:p>
          <w:p>
            <w:pPr>
              <w:spacing w:before="60" w:after="40"/>
            </w:pPr>
            <w:r>
              <w:rPr>
                <w:rFonts w:ascii="Calibri" w:hAnsi="Calibri"/>
                <w:b w:val="0"/>
                <w:i w:val="0"/>
                <w:color w:val="5A5A5A"/>
                <w:sz w:val="18"/>
              </w:rPr>
              <w:t>#undernutrition  #lowBMI  #wasting  #cellmediatedimmunity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Unpasteurised dairy</w:t>
            </w:r>
          </w:p>
        </w:tc>
        <w:tc>
          <w:tcPr>
            <w:tcW w:type="dxa" w:w="2160"/>
            <w:vAlign w:val="top"/>
          </w:tcPr>
          <w:p>
            <w:pPr>
              <w:spacing w:after="40" w:before="0" w:line="259" w:lineRule="auto"/>
            </w:pPr>
            <w:r>
              <w:rPr>
                <w:rFonts w:ascii="Calibri" w:hAnsi="Calibri"/>
                <w:b w:val="0"/>
                <w:i w:val="0"/>
                <w:color w:val="212121"/>
                <w:sz w:val="19"/>
              </w:rPr>
              <w:t>Consumers of raw / unboiled milk (M. bovis exposure)</w:t>
            </w:r>
          </w:p>
        </w:tc>
        <w:tc>
          <w:tcPr>
            <w:tcW w:type="dxa" w:w="4276"/>
            <w:vAlign w:val="top"/>
          </w:tcPr>
          <w:p>
            <w:pPr>
              <w:spacing w:after="60" w:line="259" w:lineRule="auto"/>
            </w:pPr>
            <w:r>
              <w:rPr>
                <w:rFonts w:ascii="Calibri" w:hAnsi="Calibri"/>
                <w:b w:val="0"/>
                <w:i w:val="0"/>
                <w:color w:val="212121"/>
                <w:sz w:val="19"/>
              </w:rPr>
              <w:t>Ingestion of unpasteurised milk from infected cattle can transmit Mycobacterium bovis, which characteristically causes cervical lymph-node and abdominal (intestinal) tuberculosis — classic extrapulmonary routes.</w:t>
            </w:r>
          </w:p>
          <w:p>
            <w:pPr>
              <w:spacing w:after="40" w:before="60" w:line="259" w:lineRule="auto"/>
            </w:pPr>
            <w:r>
              <w:rPr>
                <w:rFonts w:ascii="Calibri" w:hAnsi="Calibri"/>
                <w:b w:val="0"/>
                <w:i w:val="0"/>
                <w:color w:val="212121"/>
                <w:sz w:val="19"/>
              </w:rPr>
              <w:t>Bovine TB from unpasteurised dairy is a recognised route to cervical nodal and gastrointestinal extrapulmonary disease.</w:t>
            </w:r>
          </w:p>
          <w:p>
            <w:pPr>
              <w:spacing w:before="60" w:after="40"/>
            </w:pPr>
            <w:r>
              <w:rPr>
                <w:rFonts w:ascii="Calibri" w:hAnsi="Calibri"/>
                <w:b w:val="0"/>
                <w:i w:val="0"/>
                <w:color w:val="5A5A5A"/>
                <w:sz w:val="18"/>
              </w:rPr>
              <w:t>#Mbovis  #rawmilk  #abdominalTB  #zoonotic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Vitamin-D and protein-deficient individuals</w:t>
            </w:r>
          </w:p>
        </w:tc>
        <w:tc>
          <w:tcPr>
            <w:tcW w:type="dxa" w:w="4276"/>
            <w:vAlign w:val="top"/>
          </w:tcPr>
          <w:p>
            <w:pPr>
              <w:spacing w:after="60" w:line="259" w:lineRule="auto"/>
            </w:pPr>
            <w:r>
              <w:rPr>
                <w:rFonts w:ascii="Calibri" w:hAnsi="Calibri"/>
                <w:b w:val="0"/>
                <w:i w:val="0"/>
                <w:color w:val="212121"/>
                <w:sz w:val="19"/>
              </w:rPr>
              <w:t>Vitamin D is required for macrophage cathelicidin-mediated killing of M. tuberculosis; widespread deficiency and low dietary protein in India are associated with greater susceptibility and poorer recovery.</w:t>
            </w:r>
          </w:p>
          <w:p>
            <w:pPr>
              <w:spacing w:after="40" w:before="60" w:line="259" w:lineRule="auto"/>
            </w:pPr>
            <w:r>
              <w:rPr>
                <w:rFonts w:ascii="Calibri" w:hAnsi="Calibri"/>
                <w:b w:val="0"/>
                <w:i w:val="0"/>
                <w:color w:val="212121"/>
                <w:sz w:val="19"/>
              </w:rPr>
              <w:t>Vitamin-D deficiency and low dietary protein impair anti-mycobacterial immunity and are common among Indian TB patients.</w:t>
            </w:r>
          </w:p>
          <w:p>
            <w:pPr>
              <w:spacing w:before="60" w:after="40"/>
            </w:pPr>
            <w:r>
              <w:rPr>
                <w:rFonts w:ascii="Calibri" w:hAnsi="Calibri"/>
                <w:b w:val="0"/>
                <w:i w:val="0"/>
                <w:color w:val="5A5A5A"/>
                <w:sz w:val="18"/>
              </w:rPr>
              <w:t>#vitaminD  #micronutrients  #cathelicidin  #protein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Household contact</w:t>
            </w:r>
          </w:p>
        </w:tc>
        <w:tc>
          <w:tcPr>
            <w:tcW w:type="dxa" w:w="2160"/>
            <w:vAlign w:val="top"/>
          </w:tcPr>
          <w:p>
            <w:pPr>
              <w:spacing w:after="40" w:before="0" w:line="259" w:lineRule="auto"/>
            </w:pPr>
            <w:r>
              <w:rPr>
                <w:rFonts w:ascii="Calibri" w:hAnsi="Calibri"/>
                <w:b w:val="0"/>
                <w:i w:val="0"/>
                <w:color w:val="212121"/>
                <w:sz w:val="19"/>
              </w:rPr>
              <w:t>Household contacts of an infectious pulmonary TB case</w:t>
            </w:r>
          </w:p>
        </w:tc>
        <w:tc>
          <w:tcPr>
            <w:tcW w:type="dxa" w:w="4276"/>
            <w:vAlign w:val="top"/>
          </w:tcPr>
          <w:p>
            <w:pPr>
              <w:spacing w:after="60" w:line="259" w:lineRule="auto"/>
            </w:pPr>
            <w:r>
              <w:rPr>
                <w:rFonts w:ascii="Calibri" w:hAnsi="Calibri"/>
                <w:b w:val="0"/>
                <w:i w:val="0"/>
                <w:color w:val="212121"/>
                <w:sz w:val="19"/>
              </w:rPr>
              <w:t>Shared indoor air with an infectious index case, plus shared genetic susceptibility and nutritional environment, makes household contacts a priority group in whom infection may later manifest at extrapulmonary sites.</w:t>
            </w:r>
          </w:p>
          <w:p>
            <w:pPr>
              <w:spacing w:after="40" w:before="60" w:line="259" w:lineRule="auto"/>
            </w:pPr>
            <w:r>
              <w:rPr>
                <w:rFonts w:ascii="Calibri" w:hAnsi="Calibri"/>
                <w:b w:val="0"/>
                <w:i w:val="0"/>
                <w:color w:val="212121"/>
                <w:sz w:val="19"/>
              </w:rPr>
              <w:t>A South-Karnataka cohort found ongoing TB disease incidence among household contacts of extrapulmonary TB patients, supporting contact screening.</w:t>
            </w:r>
          </w:p>
          <w:p>
            <w:pPr>
              <w:spacing w:after="40" w:line="252" w:lineRule="auto"/>
            </w:pPr>
            <w:hyperlink r:id="rId14">
              <w:r>
                <w:rPr>
                  <w:rFonts w:ascii="Calibri" w:hAnsi="Calibri" w:cs="Calibri"/>
                  <w:sz w:val="18"/>
                  <w:color w:val="1155CC"/>
                  <w:u w:val="single"/>
                </w:rPr>
                <w:t xml:space="preserve">sciencedirect.com — TB incidence among contacts of EPTB patients (Karnataka)</w:t>
              </w:r>
            </w:hyperlink>
          </w:p>
          <w:p>
            <w:pPr>
              <w:spacing w:before="60" w:after="40"/>
            </w:pPr>
            <w:r>
              <w:rPr>
                <w:rFonts w:ascii="Calibri" w:hAnsi="Calibri"/>
                <w:b w:val="0"/>
                <w:i w:val="0"/>
                <w:color w:val="5A5A5A"/>
                <w:sz w:val="18"/>
              </w:rPr>
              <w:t>#householdcontacts  #screening  #indexcase  #TPT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Host genetic susceptibility</w:t>
            </w:r>
          </w:p>
        </w:tc>
        <w:tc>
          <w:tcPr>
            <w:tcW w:type="dxa" w:w="2160"/>
            <w:vAlign w:val="top"/>
          </w:tcPr>
          <w:p>
            <w:pPr>
              <w:spacing w:after="40" w:before="0" w:line="259" w:lineRule="auto"/>
            </w:pPr>
            <w:r>
              <w:rPr>
                <w:rFonts w:ascii="Calibri" w:hAnsi="Calibri"/>
                <w:b w:val="0"/>
                <w:i w:val="0"/>
                <w:color w:val="212121"/>
                <w:sz w:val="19"/>
              </w:rPr>
              <w:t>Carriers of susceptibility polymorphisms (HLA, SLC11A1/NRAMP1, VDR)</w:t>
            </w:r>
          </w:p>
        </w:tc>
        <w:tc>
          <w:tcPr>
            <w:tcW w:type="dxa" w:w="4276"/>
            <w:vAlign w:val="top"/>
          </w:tcPr>
          <w:p>
            <w:pPr>
              <w:spacing w:after="60" w:line="259" w:lineRule="auto"/>
            </w:pPr>
            <w:r>
              <w:rPr>
                <w:rFonts w:ascii="Calibri" w:hAnsi="Calibri"/>
                <w:b w:val="0"/>
                <w:i w:val="0"/>
                <w:color w:val="212121"/>
                <w:sz w:val="19"/>
              </w:rPr>
              <w:t>Variation in genes governing macrophage function, iron handling and vitamin-D signalling modulates whether infection is contained or disseminates to extrapulmonary sites, explaining familial clustering beyond shared exposure.</w:t>
            </w:r>
          </w:p>
          <w:p>
            <w:pPr>
              <w:spacing w:after="40" w:before="60" w:line="259" w:lineRule="auto"/>
            </w:pPr>
            <w:r>
              <w:rPr>
                <w:rFonts w:ascii="Calibri" w:hAnsi="Calibri"/>
                <w:b w:val="0"/>
                <w:i w:val="0"/>
                <w:color w:val="212121"/>
                <w:sz w:val="19"/>
              </w:rPr>
              <w:t>Host genetic factors are established modifiers of TB susceptibility and of the tendency to disseminate, acting alongside environmental and nutritional drivers.</w:t>
            </w:r>
          </w:p>
          <w:p>
            <w:pPr>
              <w:spacing w:before="60" w:after="40"/>
            </w:pPr>
            <w:r>
              <w:rPr>
                <w:rFonts w:ascii="Calibri" w:hAnsi="Calibri"/>
                <w:b w:val="0"/>
                <w:i w:val="0"/>
                <w:color w:val="5A5A5A"/>
                <w:sz w:val="18"/>
              </w:rPr>
              <w:t>#genetics  #NRAMP1  #HLA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People living with HIV (PLHIV)</w:t>
            </w:r>
          </w:p>
        </w:tc>
        <w:tc>
          <w:tcPr>
            <w:tcW w:type="dxa" w:w="4276"/>
            <w:vAlign w:val="top"/>
          </w:tcPr>
          <w:p>
            <w:pPr>
              <w:spacing w:after="60" w:line="259" w:lineRule="auto"/>
            </w:pPr>
            <w:r>
              <w:rPr>
                <w:rFonts w:ascii="Calibri" w:hAnsi="Calibri"/>
                <w:b w:val="0"/>
                <w:i w:val="0"/>
                <w:color w:val="212121"/>
                <w:sz w:val="19"/>
              </w:rPr>
              <w:t>Progressive CD4 T-cell depletion cripples containment of M. tuberculosis, so TB in PLHIV is far more likely to be extrapulmonary or disseminated and to carry higher mortality, especially in tuberculous meningitis.</w:t>
            </w:r>
          </w:p>
          <w:p>
            <w:pPr>
              <w:spacing w:after="40" w:before="60" w:line="259" w:lineRule="auto"/>
            </w:pPr>
            <w:r>
              <w:rPr>
                <w:rFonts w:ascii="Calibri" w:hAnsi="Calibri"/>
                <w:b w:val="0"/>
                <w:i w:val="0"/>
                <w:color w:val="212121"/>
                <w:sz w:val="19"/>
              </w:rPr>
              <w:t>EPTB predominantly affects immunocompromised adults; HIV-positive tuberculous meningitis carries ~57% mortality versus ~16% in HIV-negative patients.</w:t>
            </w:r>
          </w:p>
          <w:p>
            <w:pPr>
              <w:spacing w:after="40" w:line="252" w:lineRule="auto"/>
            </w:pPr>
            <w:hyperlink r:id="rId10">
              <w:r>
                <w:rPr>
                  <w:rFonts w:ascii="Calibri" w:hAnsi="Calibri" w:cs="Calibri"/>
                  <w:sz w:val="18"/>
                  <w:color w:val="1155CC"/>
                  <w:u w:val="single"/>
                </w:rPr>
                <w:t xml:space="preserve">intechopen.com — TBM mortality by HIV status</w:t>
              </w:r>
            </w:hyperlink>
          </w:p>
          <w:p>
            <w:pPr>
              <w:spacing w:before="60" w:after="40"/>
            </w:pPr>
            <w:r>
              <w:rPr>
                <w:rFonts w:ascii="Calibri" w:hAnsi="Calibri"/>
                <w:b w:val="0"/>
                <w:i w:val="0"/>
                <w:color w:val="5A5A5A"/>
                <w:sz w:val="18"/>
              </w:rPr>
              <w:t>#HIV  #coinfection  #disseminatedTB  #CD4</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People with type 2 diabetes</w:t>
            </w:r>
          </w:p>
        </w:tc>
        <w:tc>
          <w:tcPr>
            <w:tcW w:type="dxa" w:w="4276"/>
            <w:vAlign w:val="top"/>
          </w:tcPr>
          <w:p>
            <w:pPr>
              <w:spacing w:after="60" w:line="259" w:lineRule="auto"/>
            </w:pPr>
            <w:r>
              <w:rPr>
                <w:rFonts w:ascii="Calibri" w:hAnsi="Calibri"/>
                <w:b w:val="0"/>
                <w:i w:val="0"/>
                <w:color w:val="212121"/>
                <w:sz w:val="19"/>
              </w:rPr>
              <w:t>Chronic hyperglycaemia impairs neutrophil and macrophage function, roughly trebling active-TB risk and predisposing to more severe and extrapulmonary disease; the TB–diabetes syndemic is growing rapidly in India.</w:t>
            </w:r>
          </w:p>
          <w:p>
            <w:pPr>
              <w:spacing w:after="40" w:before="60" w:line="259" w:lineRule="auto"/>
            </w:pPr>
            <w:r>
              <w:rPr>
                <w:rFonts w:ascii="Calibri" w:hAnsi="Calibri"/>
                <w:b w:val="0"/>
                <w:i w:val="0"/>
                <w:color w:val="212121"/>
                <w:sz w:val="19"/>
              </w:rPr>
              <w:t>Diabetes was present in about 7% of notified EPTB patients in an Indian series, and bidirectional TB–diabetes screening is recommended.</w:t>
            </w:r>
          </w:p>
          <w:p>
            <w:pPr>
              <w:spacing w:after="40" w:line="252" w:lineRule="auto"/>
            </w:pPr>
            <w:hyperlink r:id="rId9">
              <w:r>
                <w:rPr>
                  <w:rFonts w:ascii="Calibri" w:hAnsi="Calibri" w:cs="Calibri"/>
                  <w:sz w:val="18"/>
                  <w:color w:val="1155CC"/>
                  <w:u w:val="single"/>
                </w:rPr>
                <w:t xml:space="preserve">ijmpr.in — diabetes among EPTB cases</w:t>
              </w:r>
            </w:hyperlink>
          </w:p>
          <w:p>
            <w:pPr>
              <w:spacing w:before="60" w:after="40"/>
            </w:pPr>
            <w:r>
              <w:rPr>
                <w:rFonts w:ascii="Calibri" w:hAnsi="Calibri"/>
                <w:b w:val="0"/>
                <w:i w:val="0"/>
                <w:color w:val="5A5A5A"/>
                <w:sz w:val="18"/>
              </w:rPr>
              <w:t>#diabetes  #syndemic  #hyperglycaemia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 / on dialysis</w:t>
            </w:r>
          </w:p>
        </w:tc>
        <w:tc>
          <w:tcPr>
            <w:tcW w:type="dxa" w:w="4276"/>
            <w:vAlign w:val="top"/>
          </w:tcPr>
          <w:p>
            <w:pPr>
              <w:spacing w:after="60" w:line="259" w:lineRule="auto"/>
            </w:pPr>
            <w:r>
              <w:rPr>
                <w:rFonts w:ascii="Calibri" w:hAnsi="Calibri"/>
                <w:b w:val="0"/>
                <w:i w:val="0"/>
                <w:color w:val="212121"/>
                <w:sz w:val="19"/>
              </w:rPr>
              <w:t>Uraemia-related immune dysfunction impairs T-cell and macrophage responses, predisposing to reactivation and to atypical, often extrapulmonary and disseminated, tuberculosis that is easily missed.</w:t>
            </w:r>
          </w:p>
          <w:p>
            <w:pPr>
              <w:spacing w:after="40" w:before="60" w:line="259" w:lineRule="auto"/>
            </w:pPr>
            <w:r>
              <w:rPr>
                <w:rFonts w:ascii="Calibri" w:hAnsi="Calibri"/>
                <w:b w:val="0"/>
                <w:i w:val="0"/>
                <w:color w:val="212121"/>
                <w:sz w:val="19"/>
              </w:rPr>
              <w:t>CKD and dialysis are recognised immunosuppressive states that increase the risk and extrapulmonary presentation of TB.</w:t>
            </w:r>
          </w:p>
          <w:p>
            <w:pPr>
              <w:spacing w:before="60" w:after="40"/>
            </w:pPr>
            <w:r>
              <w:rPr>
                <w:rFonts w:ascii="Calibri" w:hAnsi="Calibri"/>
                <w:b w:val="0"/>
                <w:i w:val="0"/>
                <w:color w:val="5A5A5A"/>
                <w:sz w:val="18"/>
              </w:rPr>
              <w:t>#CKD  #dialysis  #uraemia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Immunosuppressive therapy</w:t>
            </w:r>
          </w:p>
        </w:tc>
        <w:tc>
          <w:tcPr>
            <w:tcW w:type="dxa" w:w="2160"/>
            <w:vAlign w:val="top"/>
          </w:tcPr>
          <w:p>
            <w:pPr>
              <w:spacing w:after="40" w:before="0" w:line="259" w:lineRule="auto"/>
            </w:pPr>
            <w:r>
              <w:rPr>
                <w:rFonts w:ascii="Calibri" w:hAnsi="Calibri"/>
                <w:b w:val="0"/>
                <w:i w:val="0"/>
                <w:color w:val="212121"/>
                <w:sz w:val="19"/>
              </w:rPr>
              <w:t>Patients on corticosteroids, anti-TNF biologics or transplant immunosuppression</w:t>
            </w:r>
          </w:p>
        </w:tc>
        <w:tc>
          <w:tcPr>
            <w:tcW w:type="dxa" w:w="4276"/>
            <w:vAlign w:val="top"/>
          </w:tcPr>
          <w:p>
            <w:pPr>
              <w:spacing w:after="60" w:line="259" w:lineRule="auto"/>
            </w:pPr>
            <w:r>
              <w:rPr>
                <w:rFonts w:ascii="Calibri" w:hAnsi="Calibri"/>
                <w:b w:val="0"/>
                <w:i w:val="0"/>
                <w:color w:val="212121"/>
                <w:sz w:val="19"/>
              </w:rPr>
              <w:t>Suppression of TNF-α and cell-mediated immunity dismantles granulomas, provoking reactivation and dissemination; latent-TB screening before starting biologics or transplantation is essential.</w:t>
            </w:r>
          </w:p>
          <w:p>
            <w:pPr>
              <w:spacing w:after="40" w:before="60" w:line="259" w:lineRule="auto"/>
            </w:pPr>
            <w:r>
              <w:rPr>
                <w:rFonts w:ascii="Calibri" w:hAnsi="Calibri"/>
                <w:b w:val="0"/>
                <w:i w:val="0"/>
                <w:color w:val="212121"/>
                <w:sz w:val="19"/>
              </w:rPr>
              <w:t>Anti-TNF and other immunosuppressive therapies markedly raise the risk of reactivation, extrapulmonary and disseminated TB.</w:t>
            </w:r>
          </w:p>
          <w:p>
            <w:pPr>
              <w:spacing w:before="60" w:after="40"/>
            </w:pPr>
            <w:r>
              <w:rPr>
                <w:rFonts w:ascii="Calibri" w:hAnsi="Calibri"/>
                <w:b w:val="0"/>
                <w:i w:val="0"/>
                <w:color w:val="5A5A5A"/>
                <w:sz w:val="18"/>
              </w:rPr>
              <w:t>#antiTNF  #biologics  #steroids  #transplant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Body composition matters more than exercise: undernutrition and muscle wasting raise TB risk and worsen recovery, while spinal and joint TB require a period of rest/immobilisation and later graded rehabilitation to prevent deformity and deconditioning.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Undernutrition is the dominant driver of TB in India (about half of incident cases) and predicts poor outcomes; nutritional support reduced TB incidence by 39–48% in household contacts, and unpasteurised milk (M. bovis) is a route to nodal and abdominal TB.</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linking sleep to EPTB is limited, but poor and short sleep impairs immune function and commonly coexists with the poverty and comorbidity that drive TB.</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smoke impairs macrophage killing and cell-mediated immunity, roughly doubling active-TB risk and worsening outcomes, including for extrapulmonary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Harmful alcohol use impairs immunity and nutrition and undermines adherence and liver tolerance during the long anti-tubercular regimens EPTB often requires.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Stigma, long 6–12-month regimens, disability and infertility (genital TB) drive depression and anxiety, which bidirectionally worsen adherence and loss to follow-up.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TB is not waterborne, so hydration has no direct preventive role, though adequate fluids support recovery and drug tolerance.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Boiling/pasteurising milk prevents M. bovis nodal and intestinal TB, and respiratory hygiene plus early treatment of the infectious pulmonary source case reduces onward transmission that seeds extrapulmonary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Immunosuppression — HIV (low CD4), diabetes, chronic kidney disease, corticosteroids, anti-TNF biologics, transplantation and malignancy — provokes reactivation and dissemination of latent infection to extrapulmonary sites.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 &lt; 16 (severe)</w:t>
            </w:r>
          </w:p>
        </w:tc>
        <w:tc>
          <w:tcPr>
            <w:tcW w:type="dxa" w:w="1468"/>
            <w:vAlign w:val="top"/>
          </w:tcPr>
          <w:p>
            <w:pPr>
              <w:spacing w:after="60" w:line="259" w:lineRule="auto"/>
            </w:pPr>
            <w:r>
              <w:rPr>
                <w:rFonts w:ascii="Calibri" w:hAnsi="Calibri"/>
                <w:b w:val="0"/>
                <w:i w:val="0"/>
                <w:color w:val="212121"/>
                <w:sz w:val="19"/>
              </w:rPr>
              <w:t>Low BMI strongly predicts TB and poor outcomes; each unit fall raises risk ~14%</w:t>
            </w:r>
          </w:p>
          <w:p>
            <w:pPr>
              <w:spacing w:after="40" w:line="252" w:lineRule="auto"/>
            </w:pPr>
            <w:hyperlink r:id="rId13">
              <w:r>
                <w:rPr>
                  <w:rFonts w:ascii="Calibri" w:hAnsi="Calibri" w:cs="Calibri"/>
                  <w:sz w:val="18"/>
                  <w:color w:val="1155CC"/>
                  <w:u w:val="single"/>
                </w:rPr>
                <w:t xml:space="preserve">https://ijmr.org.in/undernutrition-tuberculosis-in-india-situation-analysis-the-way-forward/</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Mid-Upper Arm Circumference (MUAC)</w:t>
            </w:r>
          </w:p>
        </w:tc>
        <w:tc>
          <w:tcPr>
            <w:tcW w:type="dxa" w:w="1655"/>
            <w:vAlign w:val="top"/>
          </w:tcPr>
          <w:p>
            <w:pPr>
              <w:spacing w:after="40" w:before="0" w:line="259" w:lineRule="auto"/>
            </w:pPr>
            <w:r>
              <w:rPr>
                <w:rFonts w:ascii="Calibri" w:hAnsi="Calibri"/>
                <w:b w:val="0"/>
                <w:i w:val="0"/>
                <w:color w:val="212121"/>
                <w:sz w:val="19"/>
              </w:rPr>
              <w:t>Adults with/at risk of TB</w:t>
            </w:r>
          </w:p>
        </w:tc>
        <w:tc>
          <w:tcPr>
            <w:tcW w:type="dxa" w:w="1512"/>
            <w:vAlign w:val="top"/>
          </w:tcPr>
          <w:p>
            <w:pPr>
              <w:spacing w:after="40" w:before="0" w:line="259" w:lineRule="auto"/>
            </w:pPr>
            <w:r>
              <w:rPr>
                <w:rFonts w:ascii="Calibri" w:hAnsi="Calibri"/>
                <w:b w:val="0"/>
                <w:i w:val="0"/>
                <w:color w:val="212121"/>
                <w:sz w:val="19"/>
              </w:rPr>
              <w:t>&gt; 23 cm</w:t>
            </w:r>
          </w:p>
        </w:tc>
        <w:tc>
          <w:tcPr>
            <w:tcW w:type="dxa" w:w="1512"/>
            <w:vAlign w:val="top"/>
          </w:tcPr>
          <w:p>
            <w:pPr>
              <w:spacing w:after="40" w:before="0" w:line="259" w:lineRule="auto"/>
            </w:pPr>
            <w:r>
              <w:rPr>
                <w:rFonts w:ascii="Calibri" w:hAnsi="Calibri"/>
                <w:b w:val="0"/>
                <w:i w:val="0"/>
                <w:color w:val="212121"/>
                <w:sz w:val="19"/>
              </w:rPr>
              <w:t>&lt; 19 cm (severe undernutrition)</w:t>
            </w:r>
          </w:p>
        </w:tc>
        <w:tc>
          <w:tcPr>
            <w:tcW w:type="dxa" w:w="1468"/>
            <w:vAlign w:val="top"/>
          </w:tcPr>
          <w:p>
            <w:pPr>
              <w:spacing w:after="40" w:before="0" w:line="259" w:lineRule="auto"/>
            </w:pPr>
            <w:r>
              <w:rPr>
                <w:rFonts w:ascii="Calibri" w:hAnsi="Calibri"/>
                <w:b w:val="0"/>
                <w:i w:val="0"/>
                <w:color w:val="212121"/>
                <w:sz w:val="19"/>
              </w:rPr>
              <w:t>Simple field marker of acute undernutrition and treatment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EPTB patients</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3.5 g/dL</w:t>
            </w:r>
          </w:p>
        </w:tc>
        <w:tc>
          <w:tcPr>
            <w:tcW w:type="dxa" w:w="1468"/>
            <w:vAlign w:val="top"/>
          </w:tcPr>
          <w:p>
            <w:pPr>
              <w:spacing w:after="40" w:before="0" w:line="259" w:lineRule="auto"/>
            </w:pPr>
            <w:r>
              <w:rPr>
                <w:rFonts w:ascii="Calibri" w:hAnsi="Calibri"/>
                <w:b w:val="0"/>
                <w:i w:val="0"/>
                <w:color w:val="212121"/>
                <w:sz w:val="19"/>
              </w:rPr>
              <w:t>Hypoalbuminaemia reflects protein-energy undernutrition and worse prognosis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Vitamin D supports macrophage killing of M. tuberculosis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HIV status / CD4 count</w:t>
            </w:r>
          </w:p>
        </w:tc>
        <w:tc>
          <w:tcPr>
            <w:tcW w:type="dxa" w:w="1655"/>
            <w:vAlign w:val="top"/>
          </w:tcPr>
          <w:p>
            <w:pPr>
              <w:spacing w:after="40" w:before="0" w:line="259" w:lineRule="auto"/>
            </w:pPr>
            <w:r>
              <w:rPr>
                <w:rFonts w:ascii="Calibri" w:hAnsi="Calibri"/>
                <w:b w:val="0"/>
                <w:i w:val="0"/>
                <w:color w:val="212121"/>
                <w:sz w:val="19"/>
              </w:rPr>
              <w:t>All notified TB patients</w:t>
            </w:r>
          </w:p>
        </w:tc>
        <w:tc>
          <w:tcPr>
            <w:tcW w:type="dxa" w:w="1512"/>
            <w:vAlign w:val="top"/>
          </w:tcPr>
          <w:p>
            <w:pPr>
              <w:spacing w:after="40" w:before="0" w:line="259" w:lineRule="auto"/>
            </w:pPr>
            <w:r>
              <w:rPr>
                <w:rFonts w:ascii="Calibri" w:hAnsi="Calibri"/>
                <w:b w:val="0"/>
                <w:i w:val="0"/>
                <w:color w:val="212121"/>
                <w:sz w:val="19"/>
              </w:rPr>
              <w:t>Non-reactive; CD4 normal</w:t>
            </w:r>
          </w:p>
        </w:tc>
        <w:tc>
          <w:tcPr>
            <w:tcW w:type="dxa" w:w="1512"/>
            <w:vAlign w:val="top"/>
          </w:tcPr>
          <w:p>
            <w:pPr>
              <w:spacing w:after="40" w:before="0" w:line="259" w:lineRule="auto"/>
            </w:pPr>
            <w:r>
              <w:rPr>
                <w:rFonts w:ascii="Calibri" w:hAnsi="Calibri"/>
                <w:b w:val="0"/>
                <w:i w:val="0"/>
                <w:color w:val="212121"/>
                <w:sz w:val="19"/>
              </w:rPr>
              <w:t>Reactive; CD4 &lt; 200/µL</w:t>
            </w:r>
          </w:p>
        </w:tc>
        <w:tc>
          <w:tcPr>
            <w:tcW w:type="dxa" w:w="1468"/>
            <w:vAlign w:val="top"/>
          </w:tcPr>
          <w:p>
            <w:pPr>
              <w:spacing w:after="60" w:line="259" w:lineRule="auto"/>
            </w:pPr>
            <w:r>
              <w:rPr>
                <w:rFonts w:ascii="Calibri" w:hAnsi="Calibri"/>
                <w:b w:val="0"/>
                <w:i w:val="0"/>
                <w:color w:val="212121"/>
                <w:sz w:val="19"/>
              </w:rPr>
              <w:t>Low CD4 shifts TB toward extrapulmonary and disseminated forms; provider-initiated testing is mandatory</w:t>
            </w:r>
          </w:p>
          <w:p>
            <w:pPr>
              <w:spacing w:after="40" w:line="252" w:lineRule="auto"/>
            </w:pPr>
            <w:hyperlink r:id="rId10">
              <w:r>
                <w:rPr>
                  <w:rFonts w:ascii="Calibri" w:hAnsi="Calibri" w:cs="Calibri"/>
                  <w:sz w:val="18"/>
                  <w:color w:val="1155CC"/>
                  <w:u w:val="single"/>
                </w:rPr>
                <w:t xml:space="preserve">https://www.intechopen.com/chapters/1237650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Glycaemic status (HbA1c)</w:t>
            </w:r>
          </w:p>
        </w:tc>
        <w:tc>
          <w:tcPr>
            <w:tcW w:type="dxa" w:w="1655"/>
            <w:vAlign w:val="top"/>
          </w:tcPr>
          <w:p>
            <w:pPr>
              <w:spacing w:after="40" w:before="0" w:line="259" w:lineRule="auto"/>
            </w:pPr>
            <w:r>
              <w:rPr>
                <w:rFonts w:ascii="Calibri" w:hAnsi="Calibri"/>
                <w:b w:val="0"/>
                <w:i w:val="0"/>
                <w:color w:val="212121"/>
                <w:sz w:val="19"/>
              </w:rPr>
              <w:t>Adults with TB or at risk</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w:t>
            </w:r>
          </w:p>
        </w:tc>
        <w:tc>
          <w:tcPr>
            <w:tcW w:type="dxa" w:w="1468"/>
            <w:vAlign w:val="top"/>
          </w:tcPr>
          <w:p>
            <w:pPr>
              <w:spacing w:after="40" w:before="0" w:line="259" w:lineRule="auto"/>
            </w:pPr>
            <w:r>
              <w:rPr>
                <w:rFonts w:ascii="Calibri" w:hAnsi="Calibri"/>
                <w:b w:val="0"/>
                <w:i w:val="0"/>
                <w:color w:val="212121"/>
                <w:sz w:val="19"/>
              </w:rPr>
              <w:t>Bidirectional TB–diabetes screening is recommended for all TB patients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Any tobacco use raises TB risk and worsens outcomes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g/day</w:t>
            </w:r>
          </w:p>
        </w:tc>
        <w:tc>
          <w:tcPr>
            <w:tcW w:type="dxa" w:w="1512"/>
            <w:vAlign w:val="top"/>
          </w:tcPr>
          <w:p>
            <w:pPr>
              <w:spacing w:after="40" w:before="0" w:line="259" w:lineRule="auto"/>
            </w:pPr>
            <w:r>
              <w:rPr>
                <w:rFonts w:ascii="Calibri" w:hAnsi="Calibri"/>
                <w:b w:val="0"/>
                <w:i w:val="0"/>
                <w:color w:val="212121"/>
                <w:sz w:val="19"/>
              </w:rPr>
              <w:t>≥ 40 g/day or an alcohol-use disorder</w:t>
            </w:r>
          </w:p>
        </w:tc>
        <w:tc>
          <w:tcPr>
            <w:tcW w:type="dxa" w:w="1468"/>
            <w:vAlign w:val="top"/>
          </w:tcPr>
          <w:p>
            <w:pPr>
              <w:spacing w:after="40" w:before="0" w:line="259" w:lineRule="auto"/>
            </w:pPr>
            <w:r>
              <w:rPr>
                <w:rFonts w:ascii="Calibri" w:hAnsi="Calibri"/>
                <w:b w:val="0"/>
                <w:i w:val="0"/>
                <w:color w:val="212121"/>
                <w:sz w:val="19"/>
              </w:rPr>
              <w:t>Heavy use raises TB risk and adds anti-tubercular-drug hepatotoxicity</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Milk handling</w:t>
            </w:r>
          </w:p>
        </w:tc>
        <w:tc>
          <w:tcPr>
            <w:tcW w:type="dxa" w:w="1655"/>
            <w:vAlign w:val="top"/>
          </w:tcPr>
          <w:p>
            <w:pPr>
              <w:spacing w:after="40" w:before="0" w:line="259" w:lineRule="auto"/>
            </w:pPr>
            <w:r>
              <w:rPr>
                <w:rFonts w:ascii="Calibri" w:hAnsi="Calibri"/>
                <w:b w:val="0"/>
                <w:i w:val="0"/>
                <w:color w:val="212121"/>
                <w:sz w:val="19"/>
              </w:rPr>
              <w:t>Households consuming dairy</w:t>
            </w:r>
          </w:p>
        </w:tc>
        <w:tc>
          <w:tcPr>
            <w:tcW w:type="dxa" w:w="1512"/>
            <w:vAlign w:val="top"/>
          </w:tcPr>
          <w:p>
            <w:pPr>
              <w:spacing w:after="40" w:before="0" w:line="259" w:lineRule="auto"/>
            </w:pPr>
            <w:r>
              <w:rPr>
                <w:rFonts w:ascii="Calibri" w:hAnsi="Calibri"/>
                <w:b w:val="0"/>
                <w:i w:val="0"/>
                <w:color w:val="212121"/>
                <w:sz w:val="19"/>
              </w:rPr>
              <w:t>Boiled / pasteurised milk</w:t>
            </w:r>
          </w:p>
        </w:tc>
        <w:tc>
          <w:tcPr>
            <w:tcW w:type="dxa" w:w="1512"/>
            <w:vAlign w:val="top"/>
          </w:tcPr>
          <w:p>
            <w:pPr>
              <w:spacing w:after="40" w:before="0" w:line="259" w:lineRule="auto"/>
            </w:pPr>
            <w:r>
              <w:rPr>
                <w:rFonts w:ascii="Calibri" w:hAnsi="Calibri"/>
                <w:b w:val="0"/>
                <w:i w:val="0"/>
                <w:color w:val="212121"/>
                <w:sz w:val="19"/>
              </w:rPr>
              <w:t>Raw / unpasteurised milk</w:t>
            </w:r>
          </w:p>
        </w:tc>
        <w:tc>
          <w:tcPr>
            <w:tcW w:type="dxa" w:w="1468"/>
            <w:vAlign w:val="top"/>
          </w:tcPr>
          <w:p>
            <w:pPr>
              <w:spacing w:after="40" w:before="0" w:line="259" w:lineRule="auto"/>
            </w:pPr>
            <w:r>
              <w:rPr>
                <w:rFonts w:ascii="Calibri" w:hAnsi="Calibri"/>
                <w:b w:val="0"/>
                <w:i w:val="0"/>
                <w:color w:val="212121"/>
                <w:sz w:val="19"/>
              </w:rPr>
              <w:t>Prevents M. bovis cervical-nodal and intestinal TB</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Unintentional weight change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Stable weight</w:t>
            </w:r>
          </w:p>
        </w:tc>
        <w:tc>
          <w:tcPr>
            <w:tcW w:type="dxa" w:w="1512"/>
            <w:vAlign w:val="top"/>
          </w:tcPr>
          <w:p>
            <w:pPr>
              <w:spacing w:after="40" w:before="0" w:line="259" w:lineRule="auto"/>
            </w:pPr>
            <w:r>
              <w:rPr>
                <w:rFonts w:ascii="Calibri" w:hAnsi="Calibri"/>
                <w:b w:val="0"/>
                <w:i w:val="0"/>
                <w:color w:val="212121"/>
                <w:sz w:val="19"/>
              </w:rPr>
              <w:t>Loss &gt; 5% over weeks–months</w:t>
            </w:r>
          </w:p>
        </w:tc>
        <w:tc>
          <w:tcPr>
            <w:tcW w:type="dxa" w:w="1468"/>
            <w:vAlign w:val="top"/>
          </w:tcPr>
          <w:p>
            <w:pPr>
              <w:spacing w:after="40" w:before="0" w:line="259" w:lineRule="auto"/>
            </w:pPr>
            <w:r>
              <w:rPr>
                <w:rFonts w:ascii="Calibri" w:hAnsi="Calibri"/>
                <w:b w:val="0"/>
                <w:i w:val="0"/>
                <w:color w:val="212121"/>
                <w:sz w:val="19"/>
              </w:rPr>
              <w:t>Progressive weight loss is a cardinal TB warning sign; early weight gain predicts survival</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M. tuberculosis DNA &amp; rifampicin resistance</w:t>
            </w:r>
          </w:p>
        </w:tc>
        <w:tc>
          <w:tcPr>
            <w:tcW w:type="dxa" w:w="892"/>
            <w:vAlign w:val="top"/>
          </w:tcPr>
          <w:p>
            <w:pPr>
              <w:spacing w:after="40" w:before="0" w:line="259" w:lineRule="auto"/>
            </w:pPr>
            <w:r>
              <w:rPr>
                <w:rFonts w:ascii="Calibri" w:hAnsi="Calibri"/>
                <w:b w:val="0"/>
                <w:i w:val="0"/>
                <w:color w:val="212121"/>
                <w:sz w:val="16"/>
              </w:rPr>
              <w:t>NAAT — CBNAAT/GeneXpert MTB/RIF or Xpert Ultra (EP specimen)</w:t>
            </w:r>
          </w:p>
        </w:tc>
        <w:tc>
          <w:tcPr>
            <w:tcW w:type="dxa" w:w="950"/>
            <w:vAlign w:val="top"/>
          </w:tcPr>
          <w:p>
            <w:pPr>
              <w:spacing w:after="40" w:before="0" w:line="259" w:lineRule="auto"/>
            </w:pPr>
            <w:r>
              <w:rPr>
                <w:rFonts w:ascii="Calibri" w:hAnsi="Calibri"/>
                <w:b w:val="0"/>
                <w:i w:val="0"/>
                <w:color w:val="212121"/>
                <w:sz w:val="16"/>
              </w:rPr>
              <w:t>MTB not detected</w:t>
            </w:r>
          </w:p>
        </w:tc>
        <w:tc>
          <w:tcPr>
            <w:tcW w:type="dxa" w:w="950"/>
            <w:vAlign w:val="top"/>
          </w:tcPr>
          <w:p>
            <w:pPr>
              <w:spacing w:after="40" w:before="0" w:line="259" w:lineRule="auto"/>
            </w:pPr>
            <w:r>
              <w:rPr>
                <w:rFonts w:ascii="Calibri" w:hAnsi="Calibri"/>
                <w:b w:val="0"/>
                <w:i w:val="0"/>
                <w:color w:val="212121"/>
                <w:sz w:val="16"/>
              </w:rPr>
              <w:t>MTB detected ± rifampicin resistance</w:t>
            </w:r>
          </w:p>
        </w:tc>
        <w:tc>
          <w:tcPr>
            <w:tcW w:type="dxa" w:w="1036"/>
            <w:vAlign w:val="top"/>
          </w:tcPr>
          <w:p>
            <w:pPr>
              <w:spacing w:after="40" w:before="0" w:line="259" w:lineRule="auto"/>
            </w:pPr>
            <w:r>
              <w:rPr>
                <w:rFonts w:ascii="Calibri" w:hAnsi="Calibri"/>
                <w:b w:val="0"/>
                <w:i w:val="0"/>
                <w:color w:val="212121"/>
                <w:sz w:val="16"/>
              </w:rPr>
              <w:t>Confirms EPTB and flags drug resistance in ~2 hours; recommended upfront on the sampled site</w:t>
            </w:r>
          </w:p>
        </w:tc>
        <w:tc>
          <w:tcPr>
            <w:tcW w:type="dxa" w:w="1036"/>
            <w:vAlign w:val="top"/>
          </w:tcPr>
          <w:p>
            <w:pPr>
              <w:spacing w:after="40" w:before="0" w:line="259" w:lineRule="auto"/>
            </w:pPr>
            <w:r>
              <w:rPr>
                <w:rFonts w:ascii="Calibri" w:hAnsi="Calibri"/>
                <w:b w:val="0"/>
                <w:i w:val="0"/>
                <w:color w:val="212121"/>
                <w:sz w:val="16"/>
              </w:rPr>
              <w:t>Presumptive EPTB, PLHIV, diabetics, contacts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(rapid)</w:t>
            </w:r>
          </w:p>
        </w:tc>
        <w:tc>
          <w:tcPr>
            <w:tcW w:type="dxa" w:w="720"/>
            <w:vAlign w:val="top"/>
          </w:tcPr>
          <w:p>
            <w:pPr>
              <w:spacing w:after="40" w:before="0" w:line="259" w:lineRule="auto"/>
            </w:pPr>
            <w:r>
              <w:rPr>
                <w:rFonts w:ascii="Calibri" w:hAnsi="Calibri"/>
                <w:b w:val="0"/>
                <w:i w:val="0"/>
                <w:color w:val="212121"/>
                <w:sz w:val="16"/>
              </w:rPr>
              <w:t>High yield on node aspirate (~85–90%); lower on CSF (~70%) &amp; pleural fluid (~50%)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Cytopathology</w:t>
            </w:r>
          </w:p>
        </w:tc>
        <w:tc>
          <w:tcPr>
            <w:tcW w:type="dxa" w:w="1036"/>
            <w:vAlign w:val="top"/>
          </w:tcPr>
          <w:p>
            <w:pPr>
              <w:spacing w:after="40" w:before="0" w:line="259" w:lineRule="auto"/>
            </w:pPr>
            <w:r>
              <w:rPr>
                <w:rFonts w:ascii="Calibri" w:hAnsi="Calibri"/>
                <w:b w:val="0"/>
                <w:i w:val="0"/>
                <w:color w:val="212121"/>
                <w:sz w:val="16"/>
              </w:rPr>
              <w:t>Granuloma ± acid-fast bacilli</w:t>
            </w:r>
          </w:p>
        </w:tc>
        <w:tc>
          <w:tcPr>
            <w:tcW w:type="dxa" w:w="892"/>
            <w:vAlign w:val="top"/>
          </w:tcPr>
          <w:p>
            <w:pPr>
              <w:spacing w:after="40" w:before="0" w:line="259" w:lineRule="auto"/>
            </w:pPr>
            <w:r>
              <w:rPr>
                <w:rFonts w:ascii="Calibri" w:hAnsi="Calibri"/>
                <w:b w:val="0"/>
                <w:i w:val="0"/>
                <w:color w:val="212121"/>
                <w:sz w:val="16"/>
              </w:rPr>
              <w:t>Fine-needle aspiration cytology (FNAC) of lymph node</w:t>
            </w:r>
          </w:p>
        </w:tc>
        <w:tc>
          <w:tcPr>
            <w:tcW w:type="dxa" w:w="950"/>
            <w:vAlign w:val="top"/>
          </w:tcPr>
          <w:p>
            <w:pPr>
              <w:spacing w:after="40" w:before="0" w:line="259" w:lineRule="auto"/>
            </w:pPr>
            <w:r>
              <w:rPr>
                <w:rFonts w:ascii="Calibri" w:hAnsi="Calibri"/>
                <w:b w:val="0"/>
                <w:i w:val="0"/>
                <w:color w:val="212121"/>
                <w:sz w:val="16"/>
              </w:rPr>
              <w:t>Reactive nodes, no granuloma</w:t>
            </w:r>
          </w:p>
        </w:tc>
        <w:tc>
          <w:tcPr>
            <w:tcW w:type="dxa" w:w="950"/>
            <w:vAlign w:val="top"/>
          </w:tcPr>
          <w:p>
            <w:pPr>
              <w:spacing w:after="40" w:before="0" w:line="259" w:lineRule="auto"/>
            </w:pPr>
            <w:r>
              <w:rPr>
                <w:rFonts w:ascii="Calibri" w:hAnsi="Calibri"/>
                <w:b w:val="0"/>
                <w:i w:val="0"/>
                <w:color w:val="212121"/>
                <w:sz w:val="16"/>
              </w:rPr>
              <w:t>Epithelioid granulomas with caseation ± AFB</w:t>
            </w:r>
          </w:p>
        </w:tc>
        <w:tc>
          <w:tcPr>
            <w:tcW w:type="dxa" w:w="1036"/>
            <w:vAlign w:val="top"/>
          </w:tcPr>
          <w:p>
            <w:pPr>
              <w:spacing w:after="40" w:before="0" w:line="259" w:lineRule="auto"/>
            </w:pPr>
            <w:r>
              <w:rPr>
                <w:rFonts w:ascii="Calibri" w:hAnsi="Calibri"/>
                <w:b w:val="0"/>
                <w:i w:val="0"/>
                <w:color w:val="212121"/>
                <w:sz w:val="16"/>
              </w:rPr>
              <w:t>First-line for nodal TB (commonest EPTB); rapid and minimally invasive</w:t>
            </w:r>
          </w:p>
        </w:tc>
        <w:tc>
          <w:tcPr>
            <w:tcW w:type="dxa" w:w="1036"/>
            <w:vAlign w:val="top"/>
          </w:tcPr>
          <w:p>
            <w:pPr>
              <w:spacing w:after="40" w:before="0" w:line="259" w:lineRule="auto"/>
            </w:pPr>
            <w:r>
              <w:rPr>
                <w:rFonts w:ascii="Calibri" w:hAnsi="Calibri"/>
                <w:b w:val="0"/>
                <w:i w:val="0"/>
                <w:color w:val="212121"/>
                <w:sz w:val="16"/>
              </w:rPr>
              <w:t>Cervical / peripheral lymphadenitis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Combine aspirate with CBNAAT to raise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Caseating granuloma with Langhans giant cells</w:t>
            </w:r>
          </w:p>
        </w:tc>
        <w:tc>
          <w:tcPr>
            <w:tcW w:type="dxa" w:w="892"/>
            <w:vAlign w:val="top"/>
          </w:tcPr>
          <w:p>
            <w:pPr>
              <w:spacing w:after="40" w:before="0" w:line="259" w:lineRule="auto"/>
            </w:pPr>
            <w:r>
              <w:rPr>
                <w:rFonts w:ascii="Calibri" w:hAnsi="Calibri"/>
                <w:b w:val="0"/>
                <w:i w:val="0"/>
                <w:color w:val="212121"/>
                <w:sz w:val="16"/>
              </w:rPr>
              <w:t>Excision / core biopsy with histology</w:t>
            </w:r>
          </w:p>
        </w:tc>
        <w:tc>
          <w:tcPr>
            <w:tcW w:type="dxa" w:w="950"/>
            <w:vAlign w:val="top"/>
          </w:tcPr>
          <w:p>
            <w:pPr>
              <w:spacing w:after="40" w:before="0" w:line="259" w:lineRule="auto"/>
            </w:pPr>
            <w:r>
              <w:rPr>
                <w:rFonts w:ascii="Calibri" w:hAnsi="Calibri"/>
                <w:b w:val="0"/>
                <w:i w:val="0"/>
                <w:color w:val="212121"/>
                <w:sz w:val="16"/>
              </w:rPr>
              <w:t>No granuloma</w:t>
            </w:r>
          </w:p>
        </w:tc>
        <w:tc>
          <w:tcPr>
            <w:tcW w:type="dxa" w:w="950"/>
            <w:vAlign w:val="top"/>
          </w:tcPr>
          <w:p>
            <w:pPr>
              <w:spacing w:after="40" w:before="0" w:line="259" w:lineRule="auto"/>
            </w:pPr>
            <w:r>
              <w:rPr>
                <w:rFonts w:ascii="Calibri" w:hAnsi="Calibri"/>
                <w:b w:val="0"/>
                <w:i w:val="0"/>
                <w:color w:val="212121"/>
                <w:sz w:val="16"/>
              </w:rPr>
              <w:t>Necrotising (caseating) granuloma</w:t>
            </w:r>
          </w:p>
        </w:tc>
        <w:tc>
          <w:tcPr>
            <w:tcW w:type="dxa" w:w="1036"/>
            <w:vAlign w:val="top"/>
          </w:tcPr>
          <w:p>
            <w:pPr>
              <w:spacing w:after="40" w:before="0" w:line="259" w:lineRule="auto"/>
            </w:pPr>
            <w:r>
              <w:rPr>
                <w:rFonts w:ascii="Calibri" w:hAnsi="Calibri"/>
                <w:b w:val="0"/>
                <w:i w:val="0"/>
                <w:color w:val="212121"/>
                <w:sz w:val="16"/>
              </w:rPr>
              <w:t>Confirmatory histological hallmark of TB when microbiology is negative</w:t>
            </w:r>
          </w:p>
        </w:tc>
        <w:tc>
          <w:tcPr>
            <w:tcW w:type="dxa" w:w="1036"/>
            <w:vAlign w:val="top"/>
          </w:tcPr>
          <w:p>
            <w:pPr>
              <w:spacing w:after="40" w:before="0" w:line="259" w:lineRule="auto"/>
            </w:pPr>
            <w:r>
              <w:rPr>
                <w:rFonts w:ascii="Calibri" w:hAnsi="Calibri"/>
                <w:b w:val="0"/>
                <w:i w:val="0"/>
                <w:color w:val="212121"/>
                <w:sz w:val="16"/>
              </w:rPr>
              <w:t>Node, spine, peritoneum, pleura, endometrium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Send part of specimen for culture/NAAT too</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Adenosine deaminase (ADA)</w:t>
            </w:r>
          </w:p>
        </w:tc>
        <w:tc>
          <w:tcPr>
            <w:tcW w:type="dxa" w:w="892"/>
            <w:vAlign w:val="top"/>
          </w:tcPr>
          <w:p>
            <w:pPr>
              <w:spacing w:after="40" w:before="0" w:line="259" w:lineRule="auto"/>
            </w:pPr>
            <w:r>
              <w:rPr>
                <w:rFonts w:ascii="Calibri" w:hAnsi="Calibri"/>
                <w:b w:val="0"/>
                <w:i w:val="0"/>
                <w:color w:val="212121"/>
                <w:sz w:val="16"/>
              </w:rPr>
              <w:t>ADA in pleural / peritoneal / pericardial fluid or CSF</w:t>
            </w:r>
          </w:p>
        </w:tc>
        <w:tc>
          <w:tcPr>
            <w:tcW w:type="dxa" w:w="950"/>
            <w:vAlign w:val="top"/>
          </w:tcPr>
          <w:p>
            <w:pPr>
              <w:spacing w:after="40" w:before="0" w:line="259" w:lineRule="auto"/>
            </w:pPr>
            <w:r>
              <w:rPr>
                <w:rFonts w:ascii="Calibri" w:hAnsi="Calibri"/>
                <w:b w:val="0"/>
                <w:i w:val="0"/>
                <w:color w:val="212121"/>
                <w:sz w:val="16"/>
              </w:rPr>
              <w:t>Below site cut-off</w:t>
            </w:r>
          </w:p>
        </w:tc>
        <w:tc>
          <w:tcPr>
            <w:tcW w:type="dxa" w:w="950"/>
            <w:vAlign w:val="top"/>
          </w:tcPr>
          <w:p>
            <w:pPr>
              <w:spacing w:after="40" w:before="0" w:line="259" w:lineRule="auto"/>
            </w:pPr>
            <w:r>
              <w:rPr>
                <w:rFonts w:ascii="Calibri" w:hAnsi="Calibri"/>
                <w:b w:val="0"/>
                <w:i w:val="0"/>
                <w:color w:val="212121"/>
                <w:sz w:val="16"/>
              </w:rPr>
              <w:t>Pleural &gt; 40 IU/L; CSF &gt; 10 U/L</w:t>
            </w:r>
          </w:p>
        </w:tc>
        <w:tc>
          <w:tcPr>
            <w:tcW w:type="dxa" w:w="1036"/>
            <w:vAlign w:val="top"/>
          </w:tcPr>
          <w:p>
            <w:pPr>
              <w:spacing w:after="40" w:before="0" w:line="259" w:lineRule="auto"/>
            </w:pPr>
            <w:r>
              <w:rPr>
                <w:rFonts w:ascii="Calibri" w:hAnsi="Calibri"/>
                <w:b w:val="0"/>
                <w:i w:val="0"/>
                <w:color w:val="212121"/>
                <w:sz w:val="16"/>
              </w:rPr>
              <w:t>Supportive marker of tuberculous serositis / meningitis with good sensitivity</w:t>
            </w:r>
          </w:p>
        </w:tc>
        <w:tc>
          <w:tcPr>
            <w:tcW w:type="dxa" w:w="1036"/>
            <w:vAlign w:val="top"/>
          </w:tcPr>
          <w:p>
            <w:pPr>
              <w:spacing w:after="40" w:before="0" w:line="259" w:lineRule="auto"/>
            </w:pPr>
            <w:r>
              <w:rPr>
                <w:rFonts w:ascii="Calibri" w:hAnsi="Calibri"/>
                <w:b w:val="0"/>
                <w:i w:val="0"/>
                <w:color w:val="212121"/>
                <w:sz w:val="16"/>
              </w:rPr>
              <w:t>Effusions, ascites, pericardial effusion, TBM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lymphocytic, low-glucose exudate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Mycobacterial growth &amp; drug susceptibility</w:t>
            </w:r>
          </w:p>
        </w:tc>
        <w:tc>
          <w:tcPr>
            <w:tcW w:type="dxa" w:w="892"/>
            <w:vAlign w:val="top"/>
          </w:tcPr>
          <w:p>
            <w:pPr>
              <w:spacing w:after="40" w:before="0" w:line="259" w:lineRule="auto"/>
            </w:pPr>
            <w:r>
              <w:rPr>
                <w:rFonts w:ascii="Calibri" w:hAnsi="Calibri"/>
                <w:b w:val="0"/>
                <w:i w:val="0"/>
                <w:color w:val="212121"/>
                <w:sz w:val="16"/>
              </w:rPr>
              <w:t>Culture — liquid (MGIT) / solid (LJ) of EP specimen</w:t>
            </w:r>
          </w:p>
        </w:tc>
        <w:tc>
          <w:tcPr>
            <w:tcW w:type="dxa" w:w="950"/>
            <w:vAlign w:val="top"/>
          </w:tcPr>
          <w:p>
            <w:pPr>
              <w:spacing w:after="40" w:before="0" w:line="259" w:lineRule="auto"/>
            </w:pPr>
            <w:r>
              <w:rPr>
                <w:rFonts w:ascii="Calibri" w:hAnsi="Calibri"/>
                <w:b w:val="0"/>
                <w:i w:val="0"/>
                <w:color w:val="212121"/>
                <w:sz w:val="16"/>
              </w:rPr>
              <w:t>No growth at 6–8 weeks</w:t>
            </w:r>
          </w:p>
        </w:tc>
        <w:tc>
          <w:tcPr>
            <w:tcW w:type="dxa" w:w="950"/>
            <w:vAlign w:val="top"/>
          </w:tcPr>
          <w:p>
            <w:pPr>
              <w:spacing w:after="40" w:before="0" w:line="259" w:lineRule="auto"/>
            </w:pPr>
            <w:r>
              <w:rPr>
                <w:rFonts w:ascii="Calibri" w:hAnsi="Calibri"/>
                <w:b w:val="0"/>
                <w:i w:val="0"/>
                <w:color w:val="212121"/>
                <w:sz w:val="16"/>
              </w:rPr>
              <w:t>M. tuberculosis isolated</w:t>
            </w:r>
          </w:p>
        </w:tc>
        <w:tc>
          <w:tcPr>
            <w:tcW w:type="dxa" w:w="1036"/>
            <w:vAlign w:val="top"/>
          </w:tcPr>
          <w:p>
            <w:pPr>
              <w:spacing w:after="40" w:before="0" w:line="259" w:lineRule="auto"/>
            </w:pPr>
            <w:r>
              <w:rPr>
                <w:rFonts w:ascii="Calibri" w:hAnsi="Calibri"/>
                <w:b w:val="0"/>
                <w:i w:val="0"/>
                <w:color w:val="212121"/>
                <w:sz w:val="16"/>
              </w:rPr>
              <w:t>Reference standard; enables phenotypic DST</w:t>
            </w:r>
          </w:p>
        </w:tc>
        <w:tc>
          <w:tcPr>
            <w:tcW w:type="dxa" w:w="1036"/>
            <w:vAlign w:val="top"/>
          </w:tcPr>
          <w:p>
            <w:pPr>
              <w:spacing w:after="40" w:before="0" w:line="259" w:lineRule="auto"/>
            </w:pPr>
            <w:r>
              <w:rPr>
                <w:rFonts w:ascii="Calibri" w:hAnsi="Calibri"/>
                <w:b w:val="0"/>
                <w:i w:val="0"/>
                <w:color w:val="212121"/>
                <w:sz w:val="16"/>
              </w:rPr>
              <w:t>Confirmed/complex EPTB, treatment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Slow (weeks); paucibacillary samples may be culture-negative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Cells, protein, glucose</w:t>
            </w:r>
          </w:p>
        </w:tc>
        <w:tc>
          <w:tcPr>
            <w:tcW w:type="dxa" w:w="892"/>
            <w:vAlign w:val="top"/>
          </w:tcPr>
          <w:p>
            <w:pPr>
              <w:spacing w:after="40" w:before="0" w:line="259" w:lineRule="auto"/>
            </w:pPr>
            <w:r>
              <w:rPr>
                <w:rFonts w:ascii="Calibri" w:hAnsi="Calibri"/>
                <w:b w:val="0"/>
                <w:i w:val="0"/>
                <w:color w:val="212121"/>
                <w:sz w:val="16"/>
              </w:rPr>
              <w:t>Lumbar puncture with CSF cytology &amp; biochemistry</w:t>
            </w:r>
          </w:p>
        </w:tc>
        <w:tc>
          <w:tcPr>
            <w:tcW w:type="dxa" w:w="950"/>
            <w:vAlign w:val="top"/>
          </w:tcPr>
          <w:p>
            <w:pPr>
              <w:spacing w:after="40" w:before="0" w:line="259" w:lineRule="auto"/>
            </w:pPr>
            <w:r>
              <w:rPr>
                <w:rFonts w:ascii="Calibri" w:hAnsi="Calibri"/>
                <w:b w:val="0"/>
                <w:i w:val="0"/>
                <w:color w:val="212121"/>
                <w:sz w:val="16"/>
              </w:rPr>
              <w:t>Clear CSF, normal protein/glucose</w:t>
            </w:r>
          </w:p>
        </w:tc>
        <w:tc>
          <w:tcPr>
            <w:tcW w:type="dxa" w:w="950"/>
            <w:vAlign w:val="top"/>
          </w:tcPr>
          <w:p>
            <w:pPr>
              <w:spacing w:after="40" w:before="0" w:line="259" w:lineRule="auto"/>
            </w:pPr>
            <w:r>
              <w:rPr>
                <w:rFonts w:ascii="Calibri" w:hAnsi="Calibri"/>
                <w:b w:val="0"/>
                <w:i w:val="0"/>
                <w:color w:val="212121"/>
                <w:sz w:val="16"/>
              </w:rPr>
              <w:t>Lymphocytic pleocytosis, high protein, low glucose</w:t>
            </w:r>
          </w:p>
        </w:tc>
        <w:tc>
          <w:tcPr>
            <w:tcW w:type="dxa" w:w="1036"/>
            <w:vAlign w:val="top"/>
          </w:tcPr>
          <w:p>
            <w:pPr>
              <w:spacing w:after="40" w:before="0" w:line="259" w:lineRule="auto"/>
            </w:pPr>
            <w:r>
              <w:rPr>
                <w:rFonts w:ascii="Calibri" w:hAnsi="Calibri"/>
                <w:b w:val="0"/>
                <w:i w:val="0"/>
                <w:color w:val="212121"/>
                <w:sz w:val="16"/>
              </w:rPr>
              <w:t>Classic triad supporting tuberculous meningitis; pair with CSF NAAT &amp; ADA</w:t>
            </w:r>
          </w:p>
        </w:tc>
        <w:tc>
          <w:tcPr>
            <w:tcW w:type="dxa" w:w="1036"/>
            <w:vAlign w:val="top"/>
          </w:tcPr>
          <w:p>
            <w:pPr>
              <w:spacing w:after="40" w:before="0" w:line="259" w:lineRule="auto"/>
            </w:pPr>
            <w:r>
              <w:rPr>
                <w:rFonts w:ascii="Calibri" w:hAnsi="Calibri"/>
                <w:b w:val="0"/>
                <w:i w:val="0"/>
                <w:color w:val="212121"/>
                <w:sz w:val="16"/>
              </w:rPr>
              <w:t>Suspected CNS TB / TBM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100–500 cells (&gt;80% lymphocytes); glucose &lt; half blood level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Site-specific structural disease</w:t>
            </w:r>
          </w:p>
        </w:tc>
        <w:tc>
          <w:tcPr>
            <w:tcW w:type="dxa" w:w="892"/>
            <w:vAlign w:val="top"/>
          </w:tcPr>
          <w:p>
            <w:pPr>
              <w:spacing w:after="40" w:before="0" w:line="259" w:lineRule="auto"/>
            </w:pPr>
            <w:r>
              <w:rPr>
                <w:rFonts w:ascii="Calibri" w:hAnsi="Calibri"/>
                <w:b w:val="0"/>
                <w:i w:val="0"/>
                <w:color w:val="212121"/>
                <w:sz w:val="16"/>
              </w:rPr>
              <w:t>CT abdomen / MRI spine / contrast CT–MRI brain / USG nodes</w:t>
            </w:r>
          </w:p>
        </w:tc>
        <w:tc>
          <w:tcPr>
            <w:tcW w:type="dxa" w:w="950"/>
            <w:vAlign w:val="top"/>
          </w:tcPr>
          <w:p>
            <w:pPr>
              <w:spacing w:after="40" w:before="0" w:line="259" w:lineRule="auto"/>
            </w:pPr>
            <w:r>
              <w:rPr>
                <w:rFonts w:ascii="Calibri" w:hAnsi="Calibri"/>
                <w:b w:val="0"/>
                <w:i w:val="0"/>
                <w:color w:val="212121"/>
                <w:sz w:val="16"/>
              </w:rPr>
              <w:t>No lesion</w:t>
            </w:r>
          </w:p>
        </w:tc>
        <w:tc>
          <w:tcPr>
            <w:tcW w:type="dxa" w:w="950"/>
            <w:vAlign w:val="top"/>
          </w:tcPr>
          <w:p>
            <w:pPr>
              <w:spacing w:after="40" w:before="0" w:line="259" w:lineRule="auto"/>
            </w:pPr>
            <w:r>
              <w:rPr>
                <w:rFonts w:ascii="Calibri" w:hAnsi="Calibri"/>
                <w:b w:val="0"/>
                <w:i w:val="0"/>
                <w:color w:val="212121"/>
                <w:sz w:val="16"/>
              </w:rPr>
              <w:t>Ileocaecal/peritoneal thickening &amp; nodes; vertebral destruction with paravertebral/psoas abscess; basal meningeal enhancement, tuberculoma, hydrocephalus</w:t>
            </w:r>
          </w:p>
        </w:tc>
        <w:tc>
          <w:tcPr>
            <w:tcW w:type="dxa" w:w="1036"/>
            <w:vAlign w:val="top"/>
          </w:tcPr>
          <w:p>
            <w:pPr>
              <w:spacing w:after="40" w:before="0" w:line="259" w:lineRule="auto"/>
            </w:pPr>
            <w:r>
              <w:rPr>
                <w:rFonts w:ascii="Calibri" w:hAnsi="Calibri"/>
                <w:b w:val="0"/>
                <w:i w:val="0"/>
                <w:color w:val="212121"/>
                <w:sz w:val="16"/>
              </w:rPr>
              <w:t>Localises and stages EPTB and guides biopsy/surgery</w:t>
            </w:r>
          </w:p>
        </w:tc>
        <w:tc>
          <w:tcPr>
            <w:tcW w:type="dxa" w:w="1036"/>
            <w:vAlign w:val="top"/>
          </w:tcPr>
          <w:p>
            <w:pPr>
              <w:spacing w:after="40" w:before="0" w:line="259" w:lineRule="auto"/>
            </w:pPr>
            <w:r>
              <w:rPr>
                <w:rFonts w:ascii="Calibri" w:hAnsi="Calibri"/>
                <w:b w:val="0"/>
                <w:i w:val="0"/>
                <w:color w:val="212121"/>
                <w:sz w:val="16"/>
              </w:rPr>
              <w:t>Abdominal, spinal and CNS TB</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staging</w:t>
            </w:r>
          </w:p>
        </w:tc>
        <w:tc>
          <w:tcPr>
            <w:tcW w:type="dxa" w:w="720"/>
            <w:vAlign w:val="top"/>
          </w:tcPr>
          <w:p>
            <w:pPr>
              <w:spacing w:after="40" w:before="0" w:line="259" w:lineRule="auto"/>
            </w:pPr>
            <w:r>
              <w:rPr>
                <w:rFonts w:ascii="Calibri" w:hAnsi="Calibri"/>
                <w:b w:val="0"/>
                <w:i w:val="0"/>
                <w:color w:val="212121"/>
                <w:sz w:val="16"/>
              </w:rPr>
              <w:t>MRI is most sensitive for spinal and CNS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Biochemical</w:t>
            </w:r>
          </w:p>
        </w:tc>
        <w:tc>
          <w:tcPr>
            <w:tcW w:type="dxa" w:w="1036"/>
            <w:vAlign w:val="top"/>
          </w:tcPr>
          <w:p>
            <w:pPr>
              <w:spacing w:after="40" w:before="0" w:line="259" w:lineRule="auto"/>
            </w:pPr>
            <w:r>
              <w:rPr>
                <w:rFonts w:ascii="Calibri" w:hAnsi="Calibri"/>
                <w:b w:val="0"/>
                <w:i w:val="0"/>
                <w:color w:val="212121"/>
                <w:sz w:val="16"/>
              </w:rPr>
              <w:t>HIV status &amp; glycaemia</w:t>
            </w:r>
          </w:p>
        </w:tc>
        <w:tc>
          <w:tcPr>
            <w:tcW w:type="dxa" w:w="892"/>
            <w:vAlign w:val="top"/>
          </w:tcPr>
          <w:p>
            <w:pPr>
              <w:spacing w:after="40" w:before="0" w:line="259" w:lineRule="auto"/>
            </w:pPr>
            <w:r>
              <w:rPr>
                <w:rFonts w:ascii="Calibri" w:hAnsi="Calibri"/>
                <w:b w:val="0"/>
                <w:i w:val="0"/>
                <w:color w:val="212121"/>
                <w:sz w:val="16"/>
              </w:rPr>
              <w:t>HIV rapid test + fasting glucose / HbA1c</w:t>
            </w:r>
          </w:p>
        </w:tc>
        <w:tc>
          <w:tcPr>
            <w:tcW w:type="dxa" w:w="950"/>
            <w:vAlign w:val="top"/>
          </w:tcPr>
          <w:p>
            <w:pPr>
              <w:spacing w:after="40" w:before="0" w:line="259" w:lineRule="auto"/>
            </w:pPr>
            <w:r>
              <w:rPr>
                <w:rFonts w:ascii="Calibri" w:hAnsi="Calibri"/>
                <w:b w:val="0"/>
                <w:i w:val="0"/>
                <w:color w:val="212121"/>
                <w:sz w:val="16"/>
              </w:rPr>
              <w:t>Non-reactive; HbA1c &lt; 5.7%</w:t>
            </w:r>
          </w:p>
        </w:tc>
        <w:tc>
          <w:tcPr>
            <w:tcW w:type="dxa" w:w="950"/>
            <w:vAlign w:val="top"/>
          </w:tcPr>
          <w:p>
            <w:pPr>
              <w:spacing w:after="40" w:before="0" w:line="259" w:lineRule="auto"/>
            </w:pPr>
            <w:r>
              <w:rPr>
                <w:rFonts w:ascii="Calibri" w:hAnsi="Calibri"/>
                <w:b w:val="0"/>
                <w:i w:val="0"/>
                <w:color w:val="212121"/>
                <w:sz w:val="16"/>
              </w:rPr>
              <w:t>Reactive; HbA1c ≥ 6.5%</w:t>
            </w:r>
          </w:p>
        </w:tc>
        <w:tc>
          <w:tcPr>
            <w:tcW w:type="dxa" w:w="1036"/>
            <w:vAlign w:val="top"/>
          </w:tcPr>
          <w:p>
            <w:pPr>
              <w:spacing w:after="40" w:before="0" w:line="259" w:lineRule="auto"/>
            </w:pPr>
            <w:r>
              <w:rPr>
                <w:rFonts w:ascii="Calibri" w:hAnsi="Calibri"/>
                <w:b w:val="0"/>
                <w:i w:val="0"/>
                <w:color w:val="212121"/>
                <w:sz w:val="16"/>
              </w:rPr>
              <w:t>Detects immunosuppression that drives extrapulmonary/disseminated disease and alters management</w:t>
            </w:r>
          </w:p>
        </w:tc>
        <w:tc>
          <w:tcPr>
            <w:tcW w:type="dxa" w:w="1036"/>
            <w:vAlign w:val="top"/>
          </w:tcPr>
          <w:p>
            <w:pPr>
              <w:spacing w:after="40" w:before="0" w:line="259" w:lineRule="auto"/>
            </w:pPr>
            <w:r>
              <w:rPr>
                <w:rFonts w:ascii="Calibri" w:hAnsi="Calibri"/>
                <w:b w:val="0"/>
                <w:i w:val="0"/>
                <w:color w:val="212121"/>
                <w:sz w:val="16"/>
              </w:rPr>
              <w:t>All EPTB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Mandatory / recommended</w:t>
            </w:r>
          </w:p>
        </w:tc>
        <w:tc>
          <w:tcPr>
            <w:tcW w:type="dxa" w:w="720"/>
            <w:vAlign w:val="top"/>
          </w:tcPr>
          <w:p>
            <w:pPr>
              <w:spacing w:after="40" w:before="0" w:line="259" w:lineRule="auto"/>
            </w:pPr>
            <w:r>
              <w:rPr>
                <w:rFonts w:ascii="Calibri" w:hAnsi="Calibri"/>
                <w:b w:val="0"/>
                <w:i w:val="0"/>
                <w:color w:val="212121"/>
                <w:sz w:val="16"/>
              </w:rPr>
              <w:t>Bidirectional TB–HIV and TB–diabetes screening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Site-specific chief complaints</w:t>
            </w:r>
          </w:p>
        </w:tc>
        <w:tc>
          <w:tcPr>
            <w:tcW w:type="dxa" w:w="979"/>
            <w:vAlign w:val="top"/>
          </w:tcPr>
          <w:p>
            <w:pPr>
              <w:spacing w:after="40" w:before="0" w:line="259" w:lineRule="auto"/>
            </w:pPr>
            <w:r>
              <w:rPr>
                <w:rFonts w:ascii="Calibri" w:hAnsi="Calibri"/>
                <w:b w:val="0"/>
                <w:i w:val="0"/>
                <w:color w:val="212121"/>
                <w:sz w:val="16"/>
              </w:rPr>
              <w:t>Neck/other swelling; chronic effusion breathlessness; abdominal pain/ascites; back pain/deformity; headache-fever-altered sensorium</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Localises the organ system involved and directs sampling</w:t>
            </w:r>
          </w:p>
        </w:tc>
        <w:tc>
          <w:tcPr>
            <w:tcW w:type="dxa" w:w="1036"/>
            <w:vAlign w:val="top"/>
          </w:tcPr>
          <w:p>
            <w:pPr>
              <w:spacing w:after="40" w:before="0" w:line="259" w:lineRule="auto"/>
            </w:pPr>
            <w:r>
              <w:rPr>
                <w:rFonts w:ascii="Calibri" w:hAnsi="Calibri"/>
                <w:b w:val="0"/>
                <w:i w:val="0"/>
                <w:color w:val="212121"/>
                <w:sz w:val="16"/>
              </w:rPr>
              <w:t>Presumptive EPTB in all settings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Presentation is protean and often insidious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Constitutional symptoms</w:t>
            </w:r>
          </w:p>
        </w:tc>
        <w:tc>
          <w:tcPr>
            <w:tcW w:type="dxa" w:w="979"/>
            <w:vAlign w:val="top"/>
          </w:tcPr>
          <w:p>
            <w:pPr>
              <w:spacing w:after="40" w:before="0" w:line="259" w:lineRule="auto"/>
            </w:pPr>
            <w:r>
              <w:rPr>
                <w:rFonts w:ascii="Calibri" w:hAnsi="Calibri"/>
                <w:b w:val="0"/>
                <w:i w:val="0"/>
                <w:color w:val="212121"/>
                <w:sz w:val="16"/>
              </w:rPr>
              <w:t>Evening-rise fever, night sweats, weight loss, anorexia, fatigue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Systemic features of chronic mycobacterial infection common to all EPTB</w:t>
            </w:r>
          </w:p>
        </w:tc>
        <w:tc>
          <w:tcPr>
            <w:tcW w:type="dxa" w:w="1036"/>
            <w:vAlign w:val="top"/>
          </w:tcPr>
          <w:p>
            <w:pPr>
              <w:spacing w:after="40" w:before="0" w:line="259" w:lineRule="auto"/>
            </w:pPr>
            <w:r>
              <w:rPr>
                <w:rFonts w:ascii="Calibri" w:hAnsi="Calibri"/>
                <w:b w:val="0"/>
                <w:i w:val="0"/>
                <w:color w:val="212121"/>
                <w:sz w:val="16"/>
              </w:rPr>
              <w:t>All presumptive EPTB</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mild or absent in localised nodal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Contact, exposure &amp; risk-factor history</w:t>
            </w:r>
          </w:p>
        </w:tc>
        <w:tc>
          <w:tcPr>
            <w:tcW w:type="dxa" w:w="979"/>
            <w:vAlign w:val="top"/>
          </w:tcPr>
          <w:p>
            <w:pPr>
              <w:spacing w:after="40" w:before="0" w:line="259" w:lineRule="auto"/>
            </w:pPr>
            <w:r>
              <w:rPr>
                <w:rFonts w:ascii="Calibri" w:hAnsi="Calibri"/>
                <w:b w:val="0"/>
                <w:i w:val="0"/>
                <w:color w:val="212121"/>
                <w:sz w:val="16"/>
              </w:rPr>
              <w:t>TB contact, HIV, diabetes, immunosuppressants, unpasteurised milk, prior TB</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Stratifies risk and identifies source case and comorbidity to manage</w:t>
            </w:r>
          </w:p>
        </w:tc>
        <w:tc>
          <w:tcPr>
            <w:tcW w:type="dxa" w:w="1036"/>
            <w:vAlign w:val="top"/>
          </w:tcPr>
          <w:p>
            <w:pPr>
              <w:spacing w:after="40" w:before="0" w:line="259" w:lineRule="auto"/>
            </w:pPr>
            <w:r>
              <w:rPr>
                <w:rFonts w:ascii="Calibri" w:hAnsi="Calibri"/>
                <w:b w:val="0"/>
                <w:i w:val="0"/>
                <w:color w:val="212121"/>
                <w:sz w:val="16"/>
              </w:rPr>
              <w:t>Contacts, PLHIV, immunosuppressed</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Prognostic / public-health</w:t>
            </w:r>
          </w:p>
        </w:tc>
        <w:tc>
          <w:tcPr>
            <w:tcW w:type="dxa" w:w="720"/>
            <w:vAlign w:val="top"/>
          </w:tcPr>
          <w:p>
            <w:pPr>
              <w:spacing w:after="40" w:before="0" w:line="259" w:lineRule="auto"/>
            </w:pPr>
            <w:r>
              <w:rPr>
                <w:rFonts w:ascii="Calibri" w:hAnsi="Calibri"/>
                <w:b w:val="0"/>
                <w:i w:val="0"/>
                <w:color w:val="212121"/>
                <w:sz w:val="16"/>
              </w:rPr>
              <w:t>Prior anti-TB treatment distinguishes new vs previously treated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Nutritional status &amp; lymph-node survey</w:t>
            </w:r>
          </w:p>
        </w:tc>
        <w:tc>
          <w:tcPr>
            <w:tcW w:type="dxa" w:w="979"/>
            <w:vAlign w:val="top"/>
          </w:tcPr>
          <w:p>
            <w:pPr>
              <w:spacing w:after="40" w:before="0" w:line="259" w:lineRule="auto"/>
            </w:pPr>
            <w:r>
              <w:rPr>
                <w:rFonts w:ascii="Calibri" w:hAnsi="Calibri"/>
                <w:b w:val="0"/>
                <w:i w:val="0"/>
                <w:color w:val="212121"/>
                <w:sz w:val="16"/>
              </w:rPr>
              <w:t>Cachexia, low BMI/MUAC, pallor, temperature, palpable node groups</w:t>
            </w:r>
          </w:p>
        </w:tc>
        <w:tc>
          <w:tcPr>
            <w:tcW w:type="dxa" w:w="950"/>
            <w:vAlign w:val="top"/>
          </w:tcPr>
          <w:p>
            <w:pPr>
              <w:spacing w:after="40" w:before="0" w:line="259" w:lineRule="auto"/>
            </w:pPr>
            <w:r>
              <w:rPr>
                <w:rFonts w:ascii="Calibri" w:hAnsi="Calibri"/>
                <w:b w:val="0"/>
                <w:i w:val="0"/>
                <w:color w:val="212121"/>
                <w:sz w:val="16"/>
              </w:rPr>
              <w:t>Well-nourished, no nodes</w:t>
            </w:r>
          </w:p>
        </w:tc>
        <w:tc>
          <w:tcPr>
            <w:tcW w:type="dxa" w:w="950"/>
            <w:vAlign w:val="top"/>
          </w:tcPr>
          <w:p>
            <w:pPr>
              <w:spacing w:after="40" w:before="0" w:line="259" w:lineRule="auto"/>
            </w:pPr>
            <w:r>
              <w:rPr>
                <w:rFonts w:ascii="Calibri" w:hAnsi="Calibri"/>
                <w:b w:val="0"/>
                <w:i w:val="0"/>
                <w:color w:val="212121"/>
                <w:sz w:val="16"/>
              </w:rPr>
              <w:t>Wasting, anaemia, fever, matted nodes/sinus</w:t>
            </w:r>
          </w:p>
        </w:tc>
        <w:tc>
          <w:tcPr>
            <w:tcW w:type="dxa" w:w="1036"/>
            <w:vAlign w:val="top"/>
          </w:tcPr>
          <w:p>
            <w:pPr>
              <w:spacing w:after="40" w:before="0" w:line="259" w:lineRule="auto"/>
            </w:pPr>
            <w:r>
              <w:rPr>
                <w:rFonts w:ascii="Calibri" w:hAnsi="Calibri"/>
                <w:b w:val="0"/>
                <w:i w:val="0"/>
                <w:color w:val="212121"/>
                <w:sz w:val="16"/>
              </w:rPr>
              <w:t>Reflects chronicity and reveals accessible nodes for FNAC</w:t>
            </w:r>
          </w:p>
        </w:tc>
        <w:tc>
          <w:tcPr>
            <w:tcW w:type="dxa" w:w="1036"/>
            <w:vAlign w:val="top"/>
          </w:tcPr>
          <w:p>
            <w:pPr>
              <w:spacing w:after="40" w:before="0" w:line="259" w:lineRule="auto"/>
            </w:pPr>
            <w:r>
              <w:rPr>
                <w:rFonts w:ascii="Calibri" w:hAnsi="Calibri"/>
                <w:b w:val="0"/>
                <w:i w:val="0"/>
                <w:color w:val="212121"/>
                <w:sz w:val="16"/>
              </w:rPr>
              <w:t>EPTB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Baseline / diagnostic</w:t>
            </w:r>
          </w:p>
        </w:tc>
        <w:tc>
          <w:tcPr>
            <w:tcW w:type="dxa" w:w="720"/>
            <w:vAlign w:val="top"/>
          </w:tcPr>
          <w:p>
            <w:pPr>
              <w:spacing w:after="40" w:before="0" w:line="259" w:lineRule="auto"/>
            </w:pPr>
            <w:r>
              <w:rPr>
                <w:rFonts w:ascii="Calibri" w:hAnsi="Calibri"/>
                <w:b w:val="0"/>
                <w:i w:val="0"/>
                <w:color w:val="212121"/>
                <w:sz w:val="16"/>
              </w:rPr>
              <w:t>Record baseline weight to track recovery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Site-directed examination</w:t>
            </w:r>
          </w:p>
        </w:tc>
        <w:tc>
          <w:tcPr>
            <w:tcW w:type="dxa" w:w="950"/>
            <w:vAlign w:val="top"/>
          </w:tcPr>
          <w:p>
            <w:pPr>
              <w:spacing w:after="40" w:before="0" w:line="259" w:lineRule="auto"/>
            </w:pPr>
            <w:r>
              <w:rPr>
                <w:rFonts w:ascii="Calibri" w:hAnsi="Calibri"/>
                <w:b w:val="0"/>
                <w:i w:val="0"/>
                <w:color w:val="212121"/>
                <w:sz w:val="16"/>
              </w:rPr>
              <w:t>Targeted organ examination</w:t>
            </w:r>
          </w:p>
        </w:tc>
        <w:tc>
          <w:tcPr>
            <w:tcW w:type="dxa" w:w="979"/>
            <w:vAlign w:val="top"/>
          </w:tcPr>
          <w:p>
            <w:pPr>
              <w:spacing w:after="40" w:before="0" w:line="259" w:lineRule="auto"/>
            </w:pPr>
            <w:r>
              <w:rPr>
                <w:rFonts w:ascii="Calibri" w:hAnsi="Calibri"/>
                <w:b w:val="0"/>
                <w:i w:val="0"/>
                <w:color w:val="212121"/>
                <w:sz w:val="16"/>
              </w:rPr>
              <w:t>Node palpation/sinus; spine tenderness, gibbus, neuro deficit; abdomen doughy/ascites/mass; CNS meningism, cranial-nerve palsy, papilloedema</w:t>
            </w:r>
          </w:p>
        </w:tc>
        <w:tc>
          <w:tcPr>
            <w:tcW w:type="dxa" w:w="950"/>
            <w:vAlign w:val="top"/>
          </w:tcPr>
          <w:p>
            <w:pPr>
              <w:spacing w:after="40" w:before="0" w:line="259" w:lineRule="auto"/>
            </w:pPr>
            <w:r>
              <w:rPr>
                <w:rFonts w:ascii="Calibri" w:hAnsi="Calibri"/>
                <w:b w:val="0"/>
                <w:i w:val="0"/>
                <w:color w:val="212121"/>
                <w:sz w:val="16"/>
              </w:rPr>
              <w:t>Normal site exam</w:t>
            </w:r>
          </w:p>
        </w:tc>
        <w:tc>
          <w:tcPr>
            <w:tcW w:type="dxa" w:w="950"/>
            <w:vAlign w:val="top"/>
          </w:tcPr>
          <w:p>
            <w:pPr>
              <w:spacing w:after="40" w:before="0" w:line="259" w:lineRule="auto"/>
            </w:pPr>
            <w:r>
              <w:rPr>
                <w:rFonts w:ascii="Calibri" w:hAnsi="Calibri"/>
                <w:b w:val="0"/>
                <w:i w:val="0"/>
                <w:color w:val="212121"/>
                <w:sz w:val="16"/>
              </w:rPr>
              <w:t>Focal signs of nodal, spinal, abdominal or CNS TB</w:t>
            </w:r>
          </w:p>
        </w:tc>
        <w:tc>
          <w:tcPr>
            <w:tcW w:type="dxa" w:w="1036"/>
            <w:vAlign w:val="top"/>
          </w:tcPr>
          <w:p>
            <w:pPr>
              <w:spacing w:after="40" w:before="0" w:line="259" w:lineRule="auto"/>
            </w:pPr>
            <w:r>
              <w:rPr>
                <w:rFonts w:ascii="Calibri" w:hAnsi="Calibri"/>
                <w:b w:val="0"/>
                <w:i w:val="0"/>
                <w:color w:val="212121"/>
                <w:sz w:val="16"/>
              </w:rPr>
              <w:t>Confirms and localises organ involvement and detects complications</w:t>
            </w:r>
          </w:p>
        </w:tc>
        <w:tc>
          <w:tcPr>
            <w:tcW w:type="dxa" w:w="1036"/>
            <w:vAlign w:val="top"/>
          </w:tcPr>
          <w:p>
            <w:pPr>
              <w:spacing w:after="40" w:before="0" w:line="259" w:lineRule="auto"/>
            </w:pPr>
            <w:r>
              <w:rPr>
                <w:rFonts w:ascii="Calibri" w:hAnsi="Calibri"/>
                <w:b w:val="0"/>
                <w:i w:val="0"/>
                <w:color w:val="212121"/>
                <w:sz w:val="16"/>
              </w:rPr>
              <w:t>Nodal, spinal, abdominal, CNS TB</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support</w:t>
            </w:r>
          </w:p>
        </w:tc>
        <w:tc>
          <w:tcPr>
            <w:tcW w:type="dxa" w:w="720"/>
            <w:vAlign w:val="top"/>
          </w:tcPr>
          <w:p>
            <w:pPr>
              <w:spacing w:after="40" w:before="0" w:line="259" w:lineRule="auto"/>
            </w:pPr>
            <w:r>
              <w:rPr>
                <w:rFonts w:ascii="Calibri" w:hAnsi="Calibri"/>
                <w:b w:val="0"/>
                <w:i w:val="0"/>
                <w:color w:val="212121"/>
                <w:sz w:val="16"/>
              </w:rPr>
              <w:t>Neurological deficit or gibbus in spinal TB is a surgical red flag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Prolonged low-grade fever with evening rise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intermittent pyrexia of chronic TB, common to most extrapulmonary sites.</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Drenching sweats disturbing sleep, reflecting systemic inflammatory activity.</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wasting from anorexia and the catabolic effect of chronic infection.</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Cytokine-mediated appetite suppression compounding undernutrition.</w:t>
            </w:r>
          </w:p>
        </w:tc>
      </w:tr>
      <w:tr>
        <w:trPr>
          <w:cantSplit/>
        </w:trPr>
        <w:tc>
          <w:tcPr>
            <w:tcW w:type="dxa" w:w="2304"/>
            <w:vAlign w:val="top"/>
          </w:tcPr>
          <w:p>
            <w:pPr>
              <w:spacing w:after="40" w:before="0" w:line="259" w:lineRule="auto"/>
            </w:pPr>
            <w:r>
              <w:rPr>
                <w:rFonts w:ascii="Calibri" w:hAnsi="Calibri"/>
                <w:b/>
                <w:i w:val="0"/>
                <w:color w:val="212121"/>
                <w:sz w:val="19"/>
              </w:rPr>
              <w:t>Fatigue &amp;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Pervasive tiredness from chronic infection and anaemia.</w:t>
            </w:r>
          </w:p>
        </w:tc>
      </w:tr>
      <w:tr>
        <w:trPr>
          <w:cantSplit/>
        </w:trPr>
        <w:tc>
          <w:tcPr>
            <w:tcW w:type="dxa" w:w="2304"/>
            <w:vAlign w:val="top"/>
          </w:tcPr>
          <w:p>
            <w:pPr>
              <w:spacing w:after="40" w:before="0" w:line="259" w:lineRule="auto"/>
            </w:pPr>
            <w:r>
              <w:rPr>
                <w:rFonts w:ascii="Calibri" w:hAnsi="Calibri"/>
                <w:b/>
                <w:i w:val="0"/>
                <w:color w:val="212121"/>
                <w:sz w:val="19"/>
              </w:rPr>
              <w:t>Localised painless swelling (lymph node)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Firm, sometimes matted nodes — cervical most often (“scrofula”) — the commonest EPTB presentation.</w:t>
            </w:r>
          </w:p>
        </w:tc>
      </w:tr>
      <w:tr>
        <w:trPr>
          <w:cantSplit/>
        </w:trPr>
        <w:tc>
          <w:tcPr>
            <w:tcW w:type="dxa" w:w="2304"/>
            <w:vAlign w:val="top"/>
          </w:tcPr>
          <w:p>
            <w:pPr>
              <w:spacing w:after="40" w:before="0" w:line="259" w:lineRule="auto"/>
            </w:pPr>
            <w:r>
              <w:rPr>
                <w:rFonts w:ascii="Calibri" w:hAnsi="Calibri"/>
                <w:b/>
                <w:i w:val="0"/>
                <w:color w:val="212121"/>
                <w:sz w:val="19"/>
              </w:rPr>
              <w:t>Chronic localised pain (back or abdomen)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Insidious back pain in spinal TB or chronic abdominal pain in gastrointestinal/peritoneal TB.</w:t>
            </w:r>
          </w:p>
        </w:tc>
      </w:tr>
      <w:tr>
        <w:trPr>
          <w:cantSplit/>
        </w:trPr>
        <w:tc>
          <w:tcPr>
            <w:tcW w:type="dxa" w:w="2304"/>
            <w:vAlign w:val="top"/>
          </w:tcPr>
          <w:p>
            <w:pPr>
              <w:spacing w:after="40" w:before="0" w:line="259" w:lineRule="auto"/>
            </w:pPr>
            <w:r>
              <w:rPr>
                <w:rFonts w:ascii="Calibri" w:hAnsi="Calibri"/>
                <w:b/>
                <w:i w:val="0"/>
                <w:color w:val="212121"/>
                <w:sz w:val="19"/>
              </w:rPr>
              <w:t>Breathlessness / pleuritic 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 tuberculous pleural effusion — the second commonest extrapulmonary form.</w:t>
            </w:r>
          </w:p>
        </w:tc>
      </w:tr>
      <w:tr>
        <w:trPr>
          <w:cantSplit/>
        </w:trPr>
        <w:tc>
          <w:tcPr>
            <w:tcW w:type="dxa" w:w="2304"/>
            <w:vAlign w:val="top"/>
          </w:tcPr>
          <w:p>
            <w:pPr>
              <w:spacing w:after="40" w:before="0" w:line="259" w:lineRule="auto"/>
            </w:pPr>
            <w:r>
              <w:rPr>
                <w:rFonts w:ascii="Calibri" w:hAnsi="Calibri"/>
                <w:b/>
                <w:i w:val="0"/>
                <w:color w:val="212121"/>
                <w:sz w:val="19"/>
              </w:rPr>
              <w:t>Abdominal distension / ascites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Peritoneal TB with exudative, lymphocytic ascites and a doughy abdomen.</w:t>
            </w:r>
          </w:p>
        </w:tc>
      </w:tr>
      <w:tr>
        <w:trPr>
          <w:cantSplit/>
        </w:trPr>
        <w:tc>
          <w:tcPr>
            <w:tcW w:type="dxa" w:w="2304"/>
            <w:vAlign w:val="top"/>
          </w:tcPr>
          <w:p>
            <w:pPr>
              <w:spacing w:after="40" w:before="0" w:line="259" w:lineRule="auto"/>
            </w:pPr>
            <w:r>
              <w:rPr>
                <w:rFonts w:ascii="Calibri" w:hAnsi="Calibri"/>
                <w:b/>
                <w:i w:val="0"/>
                <w:color w:val="212121"/>
                <w:sz w:val="19"/>
              </w:rPr>
              <w:t>Headache, vomiting &amp; neck stiffness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Subacute onset suggests tuberculous meningitis; a medical emergency.</w:t>
            </w:r>
          </w:p>
        </w:tc>
      </w:tr>
      <w:tr>
        <w:trPr>
          <w:cantSplit/>
        </w:trPr>
        <w:tc>
          <w:tcPr>
            <w:tcW w:type="dxa" w:w="2304"/>
            <w:vAlign w:val="top"/>
          </w:tcPr>
          <w:p>
            <w:pPr>
              <w:spacing w:after="40" w:before="0" w:line="259" w:lineRule="auto"/>
            </w:pPr>
            <w:r>
              <w:rPr>
                <w:rFonts w:ascii="Calibri" w:hAnsi="Calibri"/>
                <w:b/>
                <w:i w:val="0"/>
                <w:color w:val="212121"/>
                <w:sz w:val="19"/>
              </w:rPr>
              <w:t>Chronic discharging sinus / cold abscess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non-tender “cold” abscess or sinus over a node or spine, without acute inflammation.</w:t>
            </w:r>
          </w:p>
        </w:tc>
      </w:tr>
      <w:tr>
        <w:trPr>
          <w:cantSplit/>
        </w:trPr>
        <w:tc>
          <w:tcPr>
            <w:tcW w:type="dxa" w:w="2304"/>
            <w:vAlign w:val="top"/>
          </w:tcPr>
          <w:p>
            <w:pPr>
              <w:spacing w:after="40" w:before="0" w:line="259" w:lineRule="auto"/>
            </w:pPr>
            <w:r>
              <w:rPr>
                <w:rFonts w:ascii="Calibri" w:hAnsi="Calibri"/>
                <w:b/>
                <w:i w:val="0"/>
                <w:color w:val="212121"/>
                <w:sz w:val="19"/>
              </w:rPr>
              <w:t>Altered sensorium, seizures or focal deficit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Advanced tuberculous meningitis, tuberculoma or hydrocephalus.</w:t>
            </w:r>
          </w:p>
        </w:tc>
      </w:tr>
      <w:tr>
        <w:trPr>
          <w:cantSplit/>
        </w:trPr>
        <w:tc>
          <w:tcPr>
            <w:tcW w:type="dxa" w:w="2304"/>
            <w:vAlign w:val="top"/>
          </w:tcPr>
          <w:p>
            <w:pPr>
              <w:spacing w:after="40" w:before="0" w:line="259" w:lineRule="auto"/>
            </w:pPr>
            <w:r>
              <w:rPr>
                <w:rFonts w:ascii="Calibri" w:hAnsi="Calibri"/>
                <w:b/>
                <w:i w:val="0"/>
                <w:color w:val="212121"/>
                <w:sz w:val="19"/>
              </w:rPr>
              <w:t>Limb weakness / paraparesis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Cord compression in spinal TB (Pott’s paraplegia) — a surgical emergency.</w:t>
            </w:r>
          </w:p>
        </w:tc>
      </w:tr>
      <w:tr>
        <w:trPr>
          <w:cantSplit/>
        </w:trPr>
        <w:tc>
          <w:tcPr>
            <w:tcW w:type="dxa" w:w="2304"/>
            <w:vAlign w:val="top"/>
          </w:tcPr>
          <w:p>
            <w:pPr>
              <w:spacing w:after="40" w:before="0" w:line="259" w:lineRule="auto"/>
            </w:pPr>
            <w:r>
              <w:rPr>
                <w:rFonts w:ascii="Calibri" w:hAnsi="Calibri"/>
                <w:b/>
                <w:i w:val="0"/>
                <w:color w:val="212121"/>
                <w:sz w:val="19"/>
              </w:rPr>
              <w:t>Infertility or menstrual disturbance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Silent female genital TB damaging the fallopian tubes and endometrium.</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Firm, matted lymphadenopathy ± sinus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Cervical or other node groups, sometimes matted or with a discharging sinus — hallmark of nodal TB.</w:t>
            </w:r>
          </w:p>
        </w:tc>
      </w:tr>
      <w:tr>
        <w:trPr>
          <w:cantSplit/>
        </w:trPr>
        <w:tc>
          <w:tcPr>
            <w:tcW w:type="dxa" w:w="3456"/>
            <w:vAlign w:val="top"/>
          </w:tcPr>
          <w:p>
            <w:pPr>
              <w:spacing w:after="40" w:before="0" w:line="259" w:lineRule="auto"/>
            </w:pPr>
            <w:r>
              <w:rPr>
                <w:rFonts w:ascii="Calibri" w:hAnsi="Calibri"/>
                <w:b/>
                <w:i w:val="0"/>
                <w:color w:val="212121"/>
                <w:sz w:val="19"/>
              </w:rPr>
              <w:t>Cachexia / low BMI /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undernutrition, common to chronic active TB and a predictor of poor outcome.</w:t>
            </w:r>
          </w:p>
        </w:tc>
      </w:tr>
      <w:tr>
        <w:trPr>
          <w:cantSplit/>
        </w:trPr>
        <w:tc>
          <w:tcPr>
            <w:tcW w:type="dxa" w:w="3456"/>
            <w:vAlign w:val="top"/>
          </w:tcPr>
          <w:p>
            <w:pPr>
              <w:spacing w:after="40" w:before="0" w:line="259" w:lineRule="auto"/>
            </w:pPr>
            <w:r>
              <w:rPr>
                <w:rFonts w:ascii="Calibri" w:hAnsi="Calibri"/>
                <w:b/>
                <w:i w:val="0"/>
                <w:color w:val="212121"/>
                <w:sz w:val="19"/>
              </w:rPr>
              <w:t>Documented low-grade 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Low-grade pyrexia recorded on examination, often evening-predominant.</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Anaemia of chronic disease from sustained inflammation and undernutrition.</w:t>
            </w:r>
          </w:p>
        </w:tc>
      </w:tr>
      <w:tr>
        <w:trPr>
          <w:cantSplit/>
        </w:trPr>
        <w:tc>
          <w:tcPr>
            <w:tcW w:type="dxa" w:w="3456"/>
            <w:vAlign w:val="top"/>
          </w:tcPr>
          <w:p>
            <w:pPr>
              <w:spacing w:after="40" w:before="0" w:line="259" w:lineRule="auto"/>
            </w:pPr>
            <w:r>
              <w:rPr>
                <w:rFonts w:ascii="Calibri" w:hAnsi="Calibri"/>
                <w:b/>
                <w:i w:val="0"/>
                <w:color w:val="212121"/>
                <w:sz w:val="19"/>
              </w:rPr>
              <w:t>Signs of pleural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Stony-dull percussion note with reduced breath sounds in tuberculous pleurisy.</w:t>
            </w:r>
          </w:p>
        </w:tc>
      </w:tr>
      <w:tr>
        <w:trPr>
          <w:cantSplit/>
        </w:trPr>
        <w:tc>
          <w:tcPr>
            <w:tcW w:type="dxa" w:w="3456"/>
            <w:vAlign w:val="top"/>
          </w:tcPr>
          <w:p>
            <w:pPr>
              <w:spacing w:after="40" w:before="0" w:line="259" w:lineRule="auto"/>
            </w:pPr>
            <w:r>
              <w:rPr>
                <w:rFonts w:ascii="Calibri" w:hAnsi="Calibri"/>
                <w:b/>
                <w:i w:val="0"/>
                <w:color w:val="212121"/>
                <w:sz w:val="19"/>
              </w:rPr>
              <w:t>Doughy abdomen, ascites or mass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ileocaecal mass, shifting dullness or a characteristic “doughy” feel in abdominal TB.</w:t>
            </w:r>
          </w:p>
        </w:tc>
      </w:tr>
      <w:tr>
        <w:trPr>
          <w:cantSplit/>
        </w:trPr>
        <w:tc>
          <w:tcPr>
            <w:tcW w:type="dxa" w:w="3456"/>
            <w:vAlign w:val="top"/>
          </w:tcPr>
          <w:p>
            <w:pPr>
              <w:spacing w:after="40" w:before="0" w:line="259" w:lineRule="auto"/>
            </w:pPr>
            <w:r>
              <w:rPr>
                <w:rFonts w:ascii="Calibri" w:hAnsi="Calibri"/>
                <w:b/>
                <w:i w:val="0"/>
                <w:color w:val="212121"/>
                <w:sz w:val="19"/>
              </w:rPr>
              <w:t>Spinal tenderness with gibbus (angular kyphosis)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Localised tenderness and a sharp kyphotic prominence from vertebral collapse in Pott’s disease.</w:t>
            </w:r>
          </w:p>
        </w:tc>
      </w:tr>
      <w:tr>
        <w:trPr>
          <w:cantSplit/>
        </w:trPr>
        <w:tc>
          <w:tcPr>
            <w:tcW w:type="dxa" w:w="3456"/>
            <w:vAlign w:val="top"/>
          </w:tcPr>
          <w:p>
            <w:pPr>
              <w:spacing w:after="40" w:before="0" w:line="259" w:lineRule="auto"/>
            </w:pPr>
            <w:r>
              <w:rPr>
                <w:rFonts w:ascii="Calibri" w:hAnsi="Calibri"/>
                <w:b/>
                <w:i w:val="0"/>
                <w:color w:val="212121"/>
                <w:sz w:val="19"/>
              </w:rPr>
              <w:t>Paravertebral / psoas cold abscess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non-tender fluctuant swelling tracking from a spinal focus, without overlying inflammation.</w:t>
            </w:r>
          </w:p>
        </w:tc>
      </w:tr>
      <w:tr>
        <w:trPr>
          <w:cantSplit/>
        </w:trPr>
        <w:tc>
          <w:tcPr>
            <w:tcW w:type="dxa" w:w="3456"/>
            <w:vAlign w:val="top"/>
          </w:tcPr>
          <w:p>
            <w:pPr>
              <w:spacing w:after="40" w:before="0" w:line="259" w:lineRule="auto"/>
            </w:pPr>
            <w:r>
              <w:rPr>
                <w:rFonts w:ascii="Calibri" w:hAnsi="Calibri"/>
                <w:b/>
                <w:i w:val="0"/>
                <w:color w:val="212121"/>
                <w:sz w:val="19"/>
              </w:rPr>
              <w:t>Meningism &amp; cranial-nerve palsies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Neck stiffness, positive Kernig/Brudzinski and cranial-nerve (especially VI) palsies in tuberculous meningitis.</w:t>
            </w:r>
          </w:p>
        </w:tc>
      </w:tr>
      <w:tr>
        <w:trPr>
          <w:cantSplit/>
        </w:trPr>
        <w:tc>
          <w:tcPr>
            <w:tcW w:type="dxa" w:w="3456"/>
            <w:vAlign w:val="top"/>
          </w:tcPr>
          <w:p>
            <w:pPr>
              <w:spacing w:after="40" w:before="0" w:line="259" w:lineRule="auto"/>
            </w:pPr>
            <w:r>
              <w:rPr>
                <w:rFonts w:ascii="Calibri" w:hAnsi="Calibri"/>
                <w:b/>
                <w:i w:val="0"/>
                <w:color w:val="212121"/>
                <w:sz w:val="19"/>
              </w:rPr>
              <w:t>Papilloedema / focal neurological deficit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Raised intracranial pressure from hydrocephalus or a tuberculoma in CNS TB.</w:t>
            </w:r>
          </w:p>
        </w:tc>
      </w:tr>
      <w:tr>
        <w:trPr>
          <w:cantSplit/>
        </w:trPr>
        <w:tc>
          <w:tcPr>
            <w:tcW w:type="dxa" w:w="3456"/>
            <w:vAlign w:val="top"/>
          </w:tcPr>
          <w:p>
            <w:pPr>
              <w:spacing w:after="40" w:before="0" w:line="259" w:lineRule="auto"/>
            </w:pPr>
            <w:r>
              <w:rPr>
                <w:rFonts w:ascii="Calibri" w:hAnsi="Calibri"/>
                <w:b/>
                <w:i w:val="0"/>
                <w:color w:val="212121"/>
                <w:sz w:val="19"/>
              </w:rPr>
              <w:t>Sensorimotor deficit / paraplegia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Spinal-cord compression in advanced Pott’s disease (Pott’s paraplegia).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Cold abscess and chronic discharging sinus over a node or spine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Loculated tuberculous empyema or large pleural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Intestinal obstruction, stricture, perforation or fistula (abdominal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Vertebral collapse with angular kyphosis (gibbus) and instability (Pott’s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Hydrocephalus, cranial-nerve palsies, vasculitic infarcts and tuberculoma (CNS TB)</w:t>
            </w:r>
          </w:p>
        </w:tc>
        <w:tc>
          <w:tcPr>
            <w:tcW w:type="dxa" w:w="2980"/>
            <w:vAlign w:val="top"/>
          </w:tcPr>
          <w:p>
            <w:pPr>
              <w:spacing w:after="40" w:before="0" w:line="259" w:lineRule="auto"/>
            </w:pPr>
            <w:r>
              <w:rPr>
                <w:rFonts w:ascii="Calibri" w:hAnsi="Calibri"/>
                <w:b w:val="0"/>
                <w:i w:val="0"/>
                <w:color w:val="212121"/>
                <w:sz w:val="19"/>
              </w:rPr>
              <w:t>Direct consequences of granulomatous destruction and caseation at the involved site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Pott’s paraplegia / spinal-cord compression with neurological deficit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Miliary / disseminated TB from haematogenous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Tubal-factor infertility from female genital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Constrictive pericarditis (pericardial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Emergence of drug-resistant EPTB and anti-TB-drug hepatotoxicity</w:t>
            </w:r>
          </w:p>
        </w:tc>
        <w:tc>
          <w:tcPr>
            <w:tcW w:type="dxa" w:w="2980"/>
            <w:vAlign w:val="top"/>
          </w:tcPr>
          <w:p>
            <w:pPr>
              <w:spacing w:after="40" w:before="0" w:line="259" w:lineRule="auto"/>
            </w:pPr>
            <w:r>
              <w:rPr>
                <w:rFonts w:ascii="Calibri" w:hAnsi="Calibri"/>
                <w:b w:val="0"/>
                <w:i w:val="0"/>
                <w:color w:val="212121"/>
                <w:sz w:val="19"/>
              </w:rPr>
              <w:t>Result from local extension, dissemination, host immune compromise or inadequate/interrupted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post-meningitic sequelae — cognitive impairment, epilepsy, blindness, paralysis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spinal deformity and chronic mechanical back pain /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infertility and its psychosocial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malabsorption and short-gut after extensive bowel disease/surgery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ill-health, catastrophic costs and death (notably in HIV-associated TBM)</w:t>
            </w:r>
          </w:p>
        </w:tc>
        <w:tc>
          <w:tcPr>
            <w:tcW w:type="dxa" w:w="2980"/>
            <w:vAlign w:val="top"/>
          </w:tcPr>
          <w:p>
            <w:pPr>
              <w:spacing w:after="40" w:before="0" w:line="259" w:lineRule="auto"/>
            </w:pPr>
            <w:r>
              <w:rPr>
                <w:rFonts w:ascii="Calibri" w:hAnsi="Calibri"/>
                <w:b w:val="0"/>
                <w:i w:val="0"/>
                <w:color w:val="212121"/>
                <w:sz w:val="19"/>
              </w:rPr>
              <w:t>Irreversible structural, functional and social sequelae of longstanding or advanced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CD4 depletion cripples containment of M. tuberculosis, greatly increasing the likelihood of extrapulmonary and disseminated disease and multiplying mortality (e.g. HIV-positive tuberculous meningitis ~57% vs ~16% mortality); rifampicin–antiretroviral interactions and immune reconstitution complicate co-treatment.</w:t>
            </w:r>
          </w:p>
          <w:p>
            <w:pPr>
              <w:spacing w:after="40" w:before="0" w:line="259" w:lineRule="auto"/>
            </w:pPr>
            <w:r>
              <w:rPr>
                <w:rFonts w:ascii="Calibri" w:hAnsi="Calibri"/>
                <w:b/>
                <w:i w:val="0"/>
                <w:color w:val="212121"/>
                <w:sz w:val="19"/>
              </w:rPr>
              <w:t>~57% TBM mortality in HIV-positive vs ~16% HIV-negative</w:t>
            </w:r>
          </w:p>
        </w:tc>
      </w:tr>
      <w:tr>
        <w:trPr>
          <w:cantSplit/>
        </w:trPr>
        <w:tc>
          <w:tcPr>
            <w:tcW w:type="dxa" w:w="2232"/>
            <w:vAlign w:val="top"/>
          </w:tcPr>
          <w:p>
            <w:pPr>
              <w:spacing w:after="40" w:before="0" w:line="259" w:lineRule="auto"/>
            </w:pPr>
            <w:r>
              <w:rPr>
                <w:rFonts w:ascii="Calibri" w:hAnsi="Calibri"/>
                <w:b/>
                <w:i w:val="0"/>
                <w:color w:val="212121"/>
                <w:sz w:val="19"/>
              </w:rPr>
              <w:t>Pulmonary / miliary tuberculosis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primary or reactivated lung focus is the usual source of the lymphohaematogenous spread that seeds extrapulmonary sites; concurrent lung disease reclassifies the case as pulmonary for infection control.</w:t>
            </w:r>
          </w:p>
        </w:tc>
      </w:tr>
      <w:tr>
        <w:trPr>
          <w:cantSplit/>
        </w:trPr>
        <w:tc>
          <w:tcPr>
            <w:tcW w:type="dxa" w:w="2232"/>
            <w:vAlign w:val="top"/>
          </w:tcPr>
          <w:p>
            <w:pPr>
              <w:spacing w:after="40" w:before="0" w:line="259" w:lineRule="auto"/>
            </w:pPr>
            <w:r>
              <w:rPr>
                <w:rFonts w:ascii="Calibri" w:hAnsi="Calibri"/>
                <w:b/>
                <w:i w:val="0"/>
                <w:color w:val="212121"/>
                <w:sz w:val="19"/>
              </w:rPr>
              <w:t>Undernutrition / protein-energy malnutrition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leading cause and a consequence of TB — low body mass predisposes to disease and dissemination while TB drives wasting; nutritional support improves survival and reduces incidence in contacts.</w:t>
            </w:r>
          </w:p>
          <w:p>
            <w:pPr>
              <w:spacing w:after="40" w:before="0" w:line="259" w:lineRule="auto"/>
            </w:pPr>
            <w:r>
              <w:rPr>
                <w:rFonts w:ascii="Calibri" w:hAnsi="Calibri"/>
                <w:b/>
                <w:i w:val="0"/>
                <w:color w:val="212121"/>
                <w:sz w:val="19"/>
              </w:rPr>
              <w:t>~50% of incident TB in India attributable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innate and cell-mediated immunity, trebling active-TB risk and predisposing to more severe and extrapulmonary disease; bidirectional screening is standard.</w:t>
            </w:r>
          </w:p>
          <w:p>
            <w:pPr>
              <w:spacing w:after="40" w:before="0" w:line="259" w:lineRule="auto"/>
            </w:pPr>
            <w:r>
              <w:rPr>
                <w:rFonts w:ascii="Calibri" w:hAnsi="Calibri"/>
                <w:b/>
                <w:i w:val="0"/>
                <w:color w:val="212121"/>
                <w:sz w:val="19"/>
              </w:rPr>
              <w:t>~7% of EPTB cases (Indian series)</w:t>
            </w:r>
          </w:p>
        </w:tc>
      </w:tr>
      <w:tr>
        <w:trPr>
          <w:cantSplit/>
        </w:trPr>
        <w:tc>
          <w:tcPr>
            <w:tcW w:type="dxa" w:w="2232"/>
            <w:vAlign w:val="top"/>
          </w:tcPr>
          <w:p>
            <w:pPr>
              <w:spacing w:after="40" w:before="0" w:line="259" w:lineRule="auto"/>
            </w:pPr>
            <w:r>
              <w:rPr>
                <w:rFonts w:ascii="Calibri" w:hAnsi="Calibri"/>
                <w:b/>
                <w:i w:val="0"/>
                <w:color w:val="212121"/>
                <w:sz w:val="19"/>
              </w:rPr>
              <w:t>Chronic kidney disease / dialysis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Uraemic immune dysfunction predisposes to reactivation and to atypical extrapulmonary and disseminated TB that is easily missed.</w:t>
            </w:r>
          </w:p>
        </w:tc>
      </w:tr>
      <w:tr>
        <w:trPr>
          <w:cantSplit/>
        </w:trPr>
        <w:tc>
          <w:tcPr>
            <w:tcW w:type="dxa" w:w="2232"/>
            <w:vAlign w:val="top"/>
          </w:tcPr>
          <w:p>
            <w:pPr>
              <w:spacing w:after="40" w:before="0" w:line="259" w:lineRule="auto"/>
            </w:pPr>
            <w:r>
              <w:rPr>
                <w:rFonts w:ascii="Calibri" w:hAnsi="Calibri"/>
                <w:b/>
                <w:i w:val="0"/>
                <w:color w:val="212121"/>
                <w:sz w:val="19"/>
              </w:rPr>
              <w:t>Female genital TB – tubal-factor infertility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Genital extrapulmonary TB scars the fallopian tubes and endometrium, an important and often silent cause of infertility in India.</w:t>
            </w:r>
          </w:p>
          <w:p>
            <w:pPr>
              <w:spacing w:after="40" w:before="0" w:line="259" w:lineRule="auto"/>
            </w:pPr>
            <w:r>
              <w:rPr>
                <w:rFonts w:ascii="Calibri" w:hAnsi="Calibri"/>
                <w:b/>
                <w:i w:val="0"/>
                <w:color w:val="212121"/>
                <w:sz w:val="19"/>
              </w:rPr>
              <w:t>Up to 48.5% of tubal-factor infertility (North India)</w:t>
            </w:r>
          </w:p>
        </w:tc>
      </w:tr>
      <w:tr>
        <w:trPr>
          <w:cantSplit/>
        </w:trPr>
        <w:tc>
          <w:tcPr>
            <w:tcW w:type="dxa" w:w="2232"/>
            <w:vAlign w:val="top"/>
          </w:tcPr>
          <w:p>
            <w:pPr>
              <w:spacing w:after="40" w:before="0" w:line="259" w:lineRule="auto"/>
            </w:pPr>
            <w:r>
              <w:rPr>
                <w:rFonts w:ascii="Calibri" w:hAnsi="Calibri"/>
                <w:b/>
                <w:i w:val="0"/>
                <w:color w:val="212121"/>
                <w:sz w:val="19"/>
              </w:rPr>
              <w:t>Immunosuppressive / anti-TNF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Corticosteroids, biologics and transplant immunosuppression dismantle granulomas and provoke reactivation and dissemination; latent-TB screening before biologics is mandatory.</w:t>
            </w:r>
          </w:p>
        </w:tc>
      </w:tr>
      <w:tr>
        <w:trPr>
          <w:cantSplit/>
        </w:trPr>
        <w:tc>
          <w:tcPr>
            <w:tcW w:type="dxa" w:w="2232"/>
            <w:vAlign w:val="top"/>
          </w:tcPr>
          <w:p>
            <w:pPr>
              <w:spacing w:after="40" w:before="0" w:line="259" w:lineRule="auto"/>
            </w:pPr>
            <w:r>
              <w:rPr>
                <w:rFonts w:ascii="Calibri" w:hAnsi="Calibri"/>
                <w:b/>
                <w:i w:val="0"/>
                <w:color w:val="212121"/>
                <w:sz w:val="19"/>
              </w:rPr>
              <w:t>Hydrocephalus (post-tuberculous meningitis)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Basal exudates obstruct CSF flow, a common complication of CNS TB that may need CSF diversion and drives long-term disability.</w:t>
            </w:r>
          </w:p>
        </w:tc>
      </w:tr>
      <w:tr>
        <w:trPr>
          <w:cantSplit/>
        </w:trPr>
        <w:tc>
          <w:tcPr>
            <w:tcW w:type="dxa" w:w="2232"/>
            <w:vAlign w:val="top"/>
          </w:tcPr>
          <w:p>
            <w:pPr>
              <w:spacing w:after="40" w:before="0" w:line="259" w:lineRule="auto"/>
            </w:pPr>
            <w:r>
              <w:rPr>
                <w:rFonts w:ascii="Calibri" w:hAnsi="Calibri"/>
                <w:b/>
                <w:i w:val="0"/>
                <w:color w:val="212121"/>
                <w:sz w:val="19"/>
              </w:rPr>
              <w:t>Anti-tubercular drug-induced hepatitis</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prolonged multi-drug regimens (6–12 months, longer for CNS/bone) carry hepatotoxicity risk, compounded by alcohol and antiretrovirals, requiring liver monitoring.</w:t>
            </w:r>
          </w:p>
        </w:tc>
      </w:tr>
      <w:tr>
        <w:trPr>
          <w:cantSplit/>
        </w:trPr>
        <w:tc>
          <w:tcPr>
            <w:tcW w:type="dxa" w:w="2232"/>
            <w:vAlign w:val="top"/>
          </w:tcPr>
          <w:p>
            <w:pPr>
              <w:spacing w:after="40" w:before="0" w:line="259" w:lineRule="auto"/>
            </w:pPr>
            <w:r>
              <w:rPr>
                <w:rFonts w:ascii="Calibri" w:hAnsi="Calibri"/>
                <w:b/>
                <w:i w:val="0"/>
                <w:color w:val="212121"/>
                <w:sz w:val="19"/>
              </w:rPr>
              <w:t>Anaemia of chronic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Sustained inflammation and undernutrition commonly cause anaemia in EPTB, adding to fatigue and poorer outcomes.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site-specific warning signs — a slowly enlarging painless neck (or other) lump, unexplained back pain with fever, chronic abdominal pain or swelling, and headache with fever or drowsiness — and seek evaluation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EPTB is usually not contagious, but is diagnosed by sampling the affected site (needle aspiration, biopsy, fluid tap) rather than by sputum, so consent to these tests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anti-tubercular course — typically 6 months, but 9–12 months for CNS and bone/joint disease — without interruption to achieve cure and prevent drug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Boil or pasteurise milk to prevent M. bovis nodal and intestinal TB, and ensure the infectious pulmonary source case in the household is 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household contacts, children, PLHIV and immunosuppressed members are screened and offered TB preventive therapy where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for early detection of complications such as neurological deficit, sinus formation or infertility.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&amp; workplace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living with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Immunosuppressed / pre-biologic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high-calorie, high-protein diet to reverse undernutrition, which drives roughly half of India’s TB and predicts poor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early weight gain in the first two months of treatment, which is associated with better survival.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nutritional support (e.g. Ni-kshay Poshan Yojana benefits) for patients and, where possible, 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Supplement micronutrients — vitamin D, iron for anaemia and B-complex with pyridoxine alongside isoniazid — as clinically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BMI and mid-upper-arm circumference at each visit and escalate nutritional care if weight fails to recover.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EPTB patients (BMI &lt; 18.5)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 with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TB–diabetes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household food insecurity and undernutrition, the dominant modifiable driver of TB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Boil or pasteurise all milk and avoid raw dairy to prevent bovine (M. bovis) nodal and abdominal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balanced meals with adequate pulses, milk, eggs, whole grains and vegetables to maintain a healthy body mass.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vitamin-D and micronutrient deficiencies that impair anti-mycobacterial immunity.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consuming raw milk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spinal TB, follow advised rest, bracing or immobilisation early to protect the cord and prevent deformity, progressing to graded rehabilitation as healing allows.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physiotherapy and mobilisation after joint or spinal disease to rebuild strength and prevent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gentle, graded activity during recovery to counter deconditioning while respecting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exertion during the acute, febrile phase or where there is spinal instability or neurological deficit.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spinal / skeletal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Post-TBM patients in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 elderly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forms of tobacco (cigarettes, bidis, hookah) — smoking roughly doubles active-TB risk and worsens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brief cessation advice and referral to tobacco-cessation services at every TB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to second-hand smoke, particularly for children and other household members.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or at risk of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Second-hand-smoke-exposed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tobacco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abstinence during treatment — harmful alcohol use raises TB risk and compounds anti-tubercular-drug liver toxicity across the long EPTB regimens.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alcohol-use disorder and link patients to de-addiction and counselling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liver function more closely in patients with harmful alcohol use on hepatotoxic regimens.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adherence support, as alcohol use is a leading cause of treatment interruption and relapse.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harmful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Previously treated / relapse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hepatotoxic regimens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adequate, regular sleep to support immune recovery during the long treatment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night sweats, fever and pain that disrupt sleep with appropriate symptomatic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sleeping-area ventilation and reduce overcrowding to lower transmission from any infectious pulmonary source case.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Congregate-setting residents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anxiety and stigma, which are common with long 6–12-month regimens, disability and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peer support, and specific fertility counselling for women with genital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catastrophic costs and social support through available welfare and Ni-kshay benefit schemes.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patient-centred, stigma-free counselling to sustain adherence across the full treatment course.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 or drug-resistant regimens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genital TB /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stigma or financial hardship</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mpr.in/article/trends-and-distribution-of-extrapulmonary-tuberculosis-a-5-year-retrospective-study-1390/" TargetMode="External"/><Relationship Id="rId10" Type="http://schemas.openxmlformats.org/officeDocument/2006/relationships/hyperlink" Target="https://www.intechopen.com/chapters/1237650" TargetMode="External"/><Relationship Id="rId11" Type="http://schemas.openxmlformats.org/officeDocument/2006/relationships/hyperlink" Target="https://ijmr.org.in/genital-tuberculosis-in-females/" TargetMode="External"/><Relationship Id="rId12" Type="http://schemas.openxmlformats.org/officeDocument/2006/relationships/hyperlink" Target="https://www.nature.com/articles/s41598-025-92613-5" TargetMode="External"/><Relationship Id="rId13" Type="http://schemas.openxmlformats.org/officeDocument/2006/relationships/hyperlink" Target="https://ijmr.org.in/undernutrition-tuberculosis-in-india-situation-analysis-the-way-forward/" TargetMode="External"/><Relationship Id="rId14" Type="http://schemas.openxmlformats.org/officeDocument/2006/relationships/hyperlink" Target="https://www.sciencedirect.com/science/article/abs/pii/S0019570725000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