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Upper Respiratory Tract Infection / Common Cold</w:t>
      </w:r>
    </w:p>
    <w:p>
      <w:pPr>
        <w:spacing w:before="0" w:after="160"/>
      </w:pPr>
      <w:r>
        <w:rPr>
          <w:rFonts w:ascii="Calibri" w:hAnsi="Calibri"/>
          <w:b/>
          <w:i w:val="0"/>
          <w:color w:val="212121"/>
          <w:sz w:val="22"/>
        </w:rPr>
        <w:t xml:space="preserve">AKA </w:t>
      </w:r>
      <w:r>
        <w:rPr>
          <w:rFonts w:ascii="Calibri" w:hAnsi="Calibri"/>
          <w:b w:val="0"/>
          <w:i w:val="0"/>
          <w:color w:val="212121"/>
          <w:sz w:val="22"/>
        </w:rPr>
        <w:t>i.e., Common cold, Acute nasopharyngitis, Acute coryza, Acute rhinitis/rhinopharyngitis, Acute URI/URTI, “Sardi-Jukam” (Hindi)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Upper respiratory tract infection (URTI), most commonly manifesting as the common cold, is an acute, usually self-limiting infection of the upper airway — the nasal passages, paranasal sinuses, pharynx and larynx. It is overwhelmingly viral in origin (rhinoviruses predominate, with more than 200 respiratory viruses implicated) and spreads by respiratory droplets, aerosols and contaminated hands or surfaces. Symptoms peak within 2–3 days and resolve within 7–10 days in most people, though cough can linger for 2–3 weeks. It is the single highest-volume presentation in Indian primary care and general OPDs.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URTI is the most common acute illness worldwide and the leading reason for outpatient visits and lost school/work days in India. A community-based longitudinal study of young children in South India recorded 6.42 acute respiratory infection (ARI) episodes per child per year, of which 91.3% were simple cough-and-cold (uncomplicated URTI) without pneumonia. Adults average about 2–3 colds per year and young children considerably more, giving the average person dozens of episodes across a lifetime.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 common cold is a clinical diagnosis made on history and examination; no routine laboratory test is required. Supportive features and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onset of nasal symptoms — rhinorrhoea, nasal congestion/obstruction and sneezing — with a sore or scratchy throat and/or cough;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self-limiting course in which symptoms peak by day 2–3 and largely resolve within 7–10 days (post-viral cough may persist up to 2–3 weeks);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toxicity, sustained high fever, tachypnoea, hypoxia or chest crackles — features that instead point to influenza, COVID-19 or lower respiratory tract infection/pneumonia;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viral testing (multiplex RT-PCR or rapid antigen for influenza/SARS-CoV-2) is reserved for high-risk patients, hospitalised cases, outbreaks or when antiviral/isolation decisions depend on it, not for routine colds;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 for red flags — fever persisting &gt;3 days or returning after improvement, unilateral facial pain with purulent nasal discharge &gt;10 days, ear pain, dyspnoea or wheeze — which suggest bacterial complication or lower-tract involvement.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Upper respiratory tract infections are grouped by the anatomical site involved, the causative organism, and clinical course:</w:t>
      </w:r>
    </w:p>
    <w:p>
      <w:pPr>
        <w:spacing w:before="0" w:after="80"/>
      </w:pPr>
      <w:r>
        <w:rPr>
          <w:rFonts w:ascii="Calibri" w:hAnsi="Calibri"/>
          <w:b w:val="0"/>
          <w:i w:val="0"/>
          <w:color w:val="212121"/>
          <w:sz w:val="21"/>
        </w:rPr>
        <w:t>(1) By site — acute rhinitis/nasopharyngitis (the classic ‘common cold’), acute pharyngitis and tonsillitis, acute laryngitis, acute rhinosinusitis, acute otitis media, and (in children) laryngotracheobronchitis (croup) and epiglottitis;</w:t>
      </w:r>
    </w:p>
    <w:p>
      <w:pPr>
        <w:spacing w:before="0" w:after="80"/>
      </w:pPr>
      <w:r>
        <w:rPr>
          <w:rFonts w:ascii="Calibri" w:hAnsi="Calibri"/>
          <w:b w:val="0"/>
          <w:i w:val="0"/>
          <w:color w:val="212121"/>
          <w:sz w:val="21"/>
        </w:rPr>
        <w:t>(2) By aetiology — viral (the large majority; rhinovirus, human coronaviruses, respiratory syncytial virus, influenza and parainfluenza viruses, adenovirus, human metapneumovirus and enteroviruses) versus bacterial (e.g., Group A beta-haemolytic Streptococcus pharyngitis, or secondary bacterial sinusitis/otitis complicating a viral cold);</w:t>
      </w:r>
    </w:p>
    <w:p>
      <w:pPr>
        <w:spacing w:before="0" w:after="80"/>
      </w:pPr>
      <w:r>
        <w:rPr>
          <w:rFonts w:ascii="Calibri" w:hAnsi="Calibri"/>
          <w:b w:val="0"/>
          <w:i w:val="0"/>
          <w:color w:val="212121"/>
          <w:sz w:val="21"/>
        </w:rPr>
        <w:t>(3) By course and severity — uncomplicated, self-limiting URTI versus complicated disease with secondary bacterial otitis media, sinusitis or lower respiratory extension; and recurrent URTI (commonly defined in children as frequent, closely spaced episodes), which warrants evaluation for atopy, adenoid hypertrophy or immune deficiency.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infection: Rhinoviruses cause the majority of colds, with more than 200 respiratory viruses implicated; they infect and inflame the upper-airway mucosa, producing congestion and secretions.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Person-to-person transmission: Spread by respiratory droplets and aerosols from coughing/sneezing and by touching the face after contact with contaminated hands or surfaces, on which cold viruses can survive for around 24 hours.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Crowding and poor ventilation: High-density housing, schools, day-care, public transport and workplaces amplify transmission — a major driver in urban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Reduced host defence: Immature immunity in young children, immunosenescence in the elderly, immunosuppression, uncontrolled diabetes and micronutrient deficiency (vitamin D, vitamin C, zinc, protein) lower resistance.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Air pollution and tobacco smoke: Ambient PM2.5 and household biomass/solid-fuel smoke, plus active and passive smoking, impair mucociliary clearance and mucosal innate immunity, increasing susceptibility.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Cold, dry and seasonal conditions: Low temperature and humidity blunt nasal innate antiviral defences; incidence peaks in winter and the monsoon in India.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Adults sustain regular exposure at workplaces, on public transport and from children at home, re-infected repeatedly because immunity to any single strain is short-lived and strains are numerous.</w:t>
            </w:r>
          </w:p>
          <w:p>
            <w:pPr>
              <w:spacing w:after="40" w:before="60" w:line="259" w:lineRule="auto"/>
            </w:pPr>
            <w:r>
              <w:rPr>
                <w:rFonts w:ascii="Calibri" w:hAnsi="Calibri"/>
                <w:b w:val="0"/>
                <w:i w:val="0"/>
                <w:color w:val="212121"/>
                <w:sz w:val="19"/>
              </w:rPr>
              <w:t>Adults have an average of two to three colds per year, and children often have more.</w:t>
            </w:r>
          </w:p>
          <w:p>
            <w:pPr>
              <w:spacing w:after="40" w:line="252" w:lineRule="auto"/>
            </w:pPr>
            <w:hyperlink r:id="rId9">
              <w:r>
                <w:rPr>
                  <w:rFonts w:ascii="Calibri" w:hAnsi="Calibri" w:cs="Calibri"/>
                  <w:sz w:val="18"/>
                  <w:color w:val="1155CC"/>
                  <w:u w:val="single"/>
                </w:rPr>
                <w:t xml:space="preserve">cdc.gov — about the common cold</w:t>
              </w:r>
            </w:hyperlink>
          </w:p>
          <w:p>
            <w:pPr>
              <w:spacing w:before="60" w:after="40"/>
            </w:pPr>
            <w:r>
              <w:rPr>
                <w:rFonts w:ascii="Calibri" w:hAnsi="Calibri"/>
                <w:b w:val="0"/>
                <w:i w:val="0"/>
                <w:color w:val="5A5A5A"/>
                <w:sz w:val="18"/>
              </w:rPr>
              <w:t>#commoncold  #rhinovirus  #urti  #workplaceexposure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children (&lt;5 yr) &amp; school-age</w:t>
            </w:r>
          </w:p>
        </w:tc>
        <w:tc>
          <w:tcPr>
            <w:tcW w:type="dxa" w:w="4276"/>
            <w:vAlign w:val="top"/>
          </w:tcPr>
          <w:p>
            <w:pPr>
              <w:spacing w:after="60" w:line="259" w:lineRule="auto"/>
            </w:pPr>
            <w:r>
              <w:rPr>
                <w:rFonts w:ascii="Calibri" w:hAnsi="Calibri"/>
                <w:b w:val="0"/>
                <w:i w:val="0"/>
                <w:color w:val="212121"/>
                <w:sz w:val="19"/>
              </w:rPr>
              <w:t>Immature adaptive immunity, first exposure to most viruses, and intense close contact in homes, crèches and schools make young children the highest-incidence group and the main household reservoir.</w:t>
            </w:r>
          </w:p>
          <w:p>
            <w:pPr>
              <w:spacing w:after="40" w:before="60" w:line="259" w:lineRule="auto"/>
            </w:pPr>
            <w:r>
              <w:rPr>
                <w:rFonts w:ascii="Calibri" w:hAnsi="Calibri"/>
                <w:b w:val="0"/>
                <w:i w:val="0"/>
                <w:color w:val="212121"/>
                <w:sz w:val="19"/>
              </w:rPr>
              <w:t>A South India community cohort recorded 6.42 ARI episodes per child per year, 91.3% of them simple cough-and-cold (no pneumonia).</w:t>
            </w:r>
          </w:p>
          <w:p>
            <w:pPr>
              <w:spacing w:after="40" w:line="252" w:lineRule="auto"/>
            </w:pPr>
            <w:hyperlink r:id="rId10">
              <w:r>
                <w:rPr>
                  <w:rFonts w:ascii="Calibri" w:hAnsi="Calibri" w:cs="Calibri"/>
                  <w:sz w:val="18"/>
                  <w:color w:val="1155CC"/>
                  <w:u w:val="single"/>
                </w:rPr>
                <w:t xml:space="preserve">pubmed 14723289 — ARI community cohort, South India</w:t>
              </w:r>
            </w:hyperlink>
          </w:p>
          <w:p>
            <w:pPr>
              <w:spacing w:before="60" w:after="40"/>
            </w:pPr>
            <w:r>
              <w:rPr>
                <w:rFonts w:ascii="Calibri" w:hAnsi="Calibri"/>
                <w:b w:val="0"/>
                <w:i w:val="0"/>
                <w:color w:val="5A5A5A"/>
                <w:sz w:val="18"/>
              </w:rPr>
              <w:t>#children  #daycare  #schoolexposure  #recurrenturti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Immunosenescence and frequent comorbidity (COPD, heart failure, diabetes) mean a simple cold more often triggers exacerbations, lower-tract spread and hospitalisation in older adults.</w:t>
            </w:r>
          </w:p>
          <w:p>
            <w:pPr>
              <w:spacing w:after="40" w:before="60" w:line="259" w:lineRule="auto"/>
            </w:pPr>
            <w:r>
              <w:rPr>
                <w:rFonts w:ascii="Calibri" w:hAnsi="Calibri"/>
                <w:b w:val="0"/>
                <w:i w:val="0"/>
                <w:color w:val="212121"/>
                <w:sz w:val="19"/>
              </w:rPr>
              <w:t>Older adults and those with long-term conditions are more likely to develop complications from a cold and should seek review if symptoms are severe or persistent.</w:t>
            </w:r>
          </w:p>
          <w:p>
            <w:pPr>
              <w:spacing w:after="40" w:line="252" w:lineRule="auto"/>
            </w:pPr>
            <w:hyperlink r:id="rId11">
              <w:r>
                <w:rPr>
                  <w:rFonts w:ascii="Calibri" w:hAnsi="Calibri" w:cs="Calibri"/>
                  <w:sz w:val="18"/>
                  <w:color w:val="1155CC"/>
                  <w:u w:val="single"/>
                </w:rPr>
                <w:t xml:space="preserve">nhs.uk — common cold</w:t>
              </w:r>
            </w:hyperlink>
          </w:p>
          <w:p>
            <w:pPr>
              <w:spacing w:before="60" w:after="40"/>
            </w:pPr>
            <w:r>
              <w:rPr>
                <w:rFonts w:ascii="Calibri" w:hAnsi="Calibri"/>
                <w:b w:val="0"/>
                <w:i w:val="0"/>
                <w:color w:val="5A5A5A"/>
                <w:sz w:val="18"/>
              </w:rPr>
              <w:t>#elderly  #immunosenescence  #complications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Young children, boys (early childhood)</w:t>
            </w:r>
          </w:p>
        </w:tc>
        <w:tc>
          <w:tcPr>
            <w:tcW w:type="dxa" w:w="4276"/>
            <w:vAlign w:val="top"/>
          </w:tcPr>
          <w:p>
            <w:pPr>
              <w:spacing w:after="60" w:line="259" w:lineRule="auto"/>
            </w:pPr>
            <w:r>
              <w:rPr>
                <w:rFonts w:ascii="Calibri" w:hAnsi="Calibri"/>
                <w:b w:val="0"/>
                <w:i w:val="0"/>
                <w:color w:val="212121"/>
                <w:sz w:val="19"/>
              </w:rPr>
              <w:t>In early childhood boys tend to have marginally higher rates of acute respiratory infection; among adults, incidence is broadly similar between sexes, though caregiving women have heavy exposure to sick children.</w:t>
            </w:r>
          </w:p>
          <w:p>
            <w:pPr>
              <w:spacing w:after="40" w:before="60" w:line="259" w:lineRule="auto"/>
            </w:pPr>
            <w:r>
              <w:rPr>
                <w:rFonts w:ascii="Calibri" w:hAnsi="Calibri"/>
                <w:b w:val="0"/>
                <w:i w:val="0"/>
                <w:color w:val="212121"/>
                <w:sz w:val="19"/>
              </w:rPr>
              <w:t>Overall cold incidence is similar between adult men and women; caregivers of young children are re-exposed frequently.</w:t>
            </w:r>
          </w:p>
          <w:p>
            <w:pPr>
              <w:spacing w:before="60" w:after="40"/>
            </w:pPr>
            <w:r>
              <w:rPr>
                <w:rFonts w:ascii="Calibri" w:hAnsi="Calibri"/>
                <w:b w:val="0"/>
                <w:i w:val="0"/>
                <w:color w:val="5A5A5A"/>
                <w:sz w:val="18"/>
              </w:rPr>
              <w:t>#sexdifferences  #caregivers  #earlychildhood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Overcrowded, low-income households</w:t>
            </w:r>
          </w:p>
        </w:tc>
        <w:tc>
          <w:tcPr>
            <w:tcW w:type="dxa" w:w="4276"/>
            <w:vAlign w:val="top"/>
          </w:tcPr>
          <w:p>
            <w:pPr>
              <w:spacing w:after="60" w:line="259" w:lineRule="auto"/>
            </w:pPr>
            <w:r>
              <w:rPr>
                <w:rFonts w:ascii="Calibri" w:hAnsi="Calibri"/>
                <w:b w:val="0"/>
                <w:i w:val="0"/>
                <w:color w:val="212121"/>
                <w:sz w:val="19"/>
              </w:rPr>
              <w:t>Crowding, poor ventilation, indoor smoke, shared bedding and limited handwashing facilities accelerate droplet and fomite transmission and cluster infections within families.</w:t>
            </w:r>
          </w:p>
          <w:p>
            <w:pPr>
              <w:spacing w:after="40" w:before="60" w:line="259" w:lineRule="auto"/>
            </w:pPr>
            <w:r>
              <w:rPr>
                <w:rFonts w:ascii="Calibri" w:hAnsi="Calibri"/>
                <w:b w:val="0"/>
                <w:i w:val="0"/>
                <w:color w:val="212121"/>
                <w:sz w:val="19"/>
              </w:rPr>
              <w:t>Crowding and poor ventilation are established amplifiers of respiratory-virus transmission.</w:t>
            </w:r>
          </w:p>
          <w:p>
            <w:pPr>
              <w:spacing w:before="60" w:after="40"/>
            </w:pPr>
            <w:r>
              <w:rPr>
                <w:rFonts w:ascii="Calibri" w:hAnsi="Calibri"/>
                <w:b w:val="0"/>
                <w:i w:val="0"/>
                <w:color w:val="5A5A5A"/>
                <w:sz w:val="18"/>
              </w:rPr>
              <w:t>#overcrowding  #poorventilation  #lowincome  #transmission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ambient air pollution</w:t>
            </w:r>
          </w:p>
        </w:tc>
        <w:tc>
          <w:tcPr>
            <w:tcW w:type="dxa" w:w="2160"/>
            <w:vAlign w:val="top"/>
          </w:tcPr>
          <w:p>
            <w:pPr>
              <w:spacing w:after="40" w:before="0" w:line="259" w:lineRule="auto"/>
            </w:pPr>
            <w:r>
              <w:rPr>
                <w:rFonts w:ascii="Calibri" w:hAnsi="Calibri"/>
                <w:b w:val="0"/>
                <w:i w:val="0"/>
                <w:color w:val="212121"/>
                <w:sz w:val="19"/>
              </w:rPr>
              <w:t>Residents of high-PM2.5 north Indian cities</w:t>
            </w:r>
          </w:p>
        </w:tc>
        <w:tc>
          <w:tcPr>
            <w:tcW w:type="dxa" w:w="4276"/>
            <w:vAlign w:val="top"/>
          </w:tcPr>
          <w:p>
            <w:pPr>
              <w:spacing w:after="60" w:line="259" w:lineRule="auto"/>
            </w:pPr>
            <w:r>
              <w:rPr>
                <w:rFonts w:ascii="Calibri" w:hAnsi="Calibri"/>
                <w:b w:val="0"/>
                <w:i w:val="0"/>
                <w:color w:val="212121"/>
                <w:sz w:val="19"/>
              </w:rPr>
              <w:t>Chronic exposure to high ambient particulate matter (e.g., the Indo-Gangetic plain and cities such as Delhi) inflames and injures the airway lining and impairs mucociliary clearance, raising susceptibility to and severity of respiratory infection.</w:t>
            </w:r>
          </w:p>
          <w:p>
            <w:pPr>
              <w:spacing w:after="40" w:before="60" w:line="259" w:lineRule="auto"/>
            </w:pPr>
            <w:r>
              <w:rPr>
                <w:rFonts w:ascii="Calibri" w:hAnsi="Calibri"/>
                <w:b w:val="0"/>
                <w:i w:val="0"/>
                <w:color w:val="212121"/>
                <w:sz w:val="19"/>
              </w:rPr>
              <w:t>Particulate air pollution damages respiratory defences and is linked to higher respiratory-infection burden.</w:t>
            </w:r>
          </w:p>
          <w:p>
            <w:pPr>
              <w:spacing w:before="60" w:after="40"/>
            </w:pPr>
            <w:r>
              <w:rPr>
                <w:rFonts w:ascii="Calibri" w:hAnsi="Calibri"/>
                <w:b w:val="0"/>
                <w:i w:val="0"/>
                <w:color w:val="5A5A5A"/>
                <w:sz w:val="18"/>
              </w:rPr>
              <w:t>#airpollution  #pm25  #delhi  #indogangetic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environment</w:t>
            </w:r>
          </w:p>
        </w:tc>
        <w:tc>
          <w:tcPr>
            <w:tcW w:type="dxa" w:w="2160"/>
            <w:vAlign w:val="top"/>
          </w:tcPr>
          <w:p>
            <w:pPr>
              <w:spacing w:after="40" w:before="0" w:line="259" w:lineRule="auto"/>
            </w:pPr>
            <w:r>
              <w:rPr>
                <w:rFonts w:ascii="Calibri" w:hAnsi="Calibri"/>
                <w:b w:val="0"/>
                <w:i w:val="0"/>
                <w:color w:val="212121"/>
                <w:sz w:val="19"/>
              </w:rPr>
              <w:t>Rural homes using biomass / solid cooking fuel</w:t>
            </w:r>
          </w:p>
        </w:tc>
        <w:tc>
          <w:tcPr>
            <w:tcW w:type="dxa" w:w="4276"/>
            <w:vAlign w:val="top"/>
          </w:tcPr>
          <w:p>
            <w:pPr>
              <w:spacing w:after="60" w:line="259" w:lineRule="auto"/>
            </w:pPr>
            <w:r>
              <w:rPr>
                <w:rFonts w:ascii="Calibri" w:hAnsi="Calibri"/>
                <w:b w:val="0"/>
                <w:i w:val="0"/>
                <w:color w:val="212121"/>
                <w:sz w:val="19"/>
              </w:rPr>
              <w:t>Cooking on wood, dung or crop-residue in poorly ventilated kitchens exposes women and children to high indoor particulate levels that impair airway defences and predispose to lower respiratory extension of infection.</w:t>
            </w:r>
          </w:p>
          <w:p>
            <w:pPr>
              <w:spacing w:after="40" w:before="60" w:line="259" w:lineRule="auto"/>
            </w:pPr>
            <w:r>
              <w:rPr>
                <w:rFonts w:ascii="Calibri" w:hAnsi="Calibri"/>
                <w:b w:val="0"/>
                <w:i w:val="0"/>
                <w:color w:val="212121"/>
                <w:sz w:val="19"/>
              </w:rPr>
              <w:t>Household air pollution almost doubles the risk of childhood lower respiratory infection and causes a large share of under-5 pneumonia deaths.</w:t>
            </w:r>
          </w:p>
          <w:p>
            <w:pPr>
              <w:spacing w:after="40" w:line="252" w:lineRule="auto"/>
            </w:pPr>
            <w:hyperlink r:id="rId12">
              <w:r>
                <w:rPr>
                  <w:rFonts w:ascii="Calibri" w:hAnsi="Calibri" w:cs="Calibri"/>
                  <w:sz w:val="18"/>
                  <w:color w:val="1155CC"/>
                  <w:u w:val="single"/>
                </w:rPr>
                <w:t xml:space="preserve">who.int — household air pollution &amp; health</w:t>
              </w:r>
            </w:hyperlink>
          </w:p>
          <w:p>
            <w:pPr>
              <w:spacing w:before="60" w:after="40"/>
            </w:pPr>
            <w:r>
              <w:rPr>
                <w:rFonts w:ascii="Calibri" w:hAnsi="Calibri"/>
                <w:b w:val="0"/>
                <w:i w:val="0"/>
                <w:color w:val="5A5A5A"/>
                <w:sz w:val="18"/>
              </w:rPr>
              <w:t>#biomassfuel  #indoorairpollution  #ruralindia  #chulha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Seasonality / climate</w:t>
            </w:r>
          </w:p>
        </w:tc>
        <w:tc>
          <w:tcPr>
            <w:tcW w:type="dxa" w:w="2160"/>
            <w:vAlign w:val="top"/>
          </w:tcPr>
          <w:p>
            <w:pPr>
              <w:spacing w:after="40" w:before="0" w:line="259" w:lineRule="auto"/>
            </w:pPr>
            <w:r>
              <w:rPr>
                <w:rFonts w:ascii="Calibri" w:hAnsi="Calibri"/>
                <w:b w:val="0"/>
                <w:i w:val="0"/>
                <w:color w:val="212121"/>
                <w:sz w:val="19"/>
              </w:rPr>
              <w:t>Populations in winter &amp; monsoon months</w:t>
            </w:r>
          </w:p>
        </w:tc>
        <w:tc>
          <w:tcPr>
            <w:tcW w:type="dxa" w:w="4276"/>
            <w:vAlign w:val="top"/>
          </w:tcPr>
          <w:p>
            <w:pPr>
              <w:spacing w:after="60" w:line="259" w:lineRule="auto"/>
            </w:pPr>
            <w:r>
              <w:rPr>
                <w:rFonts w:ascii="Calibri" w:hAnsi="Calibri"/>
                <w:b w:val="0"/>
                <w:i w:val="0"/>
                <w:color w:val="212121"/>
                <w:sz w:val="19"/>
              </w:rPr>
              <w:t>Cold, dry winter air and the crowding and damp of the monsoon favour viral survival and transmission while blunting nasal innate antiviral defences, producing seasonal peaks of colds.</w:t>
            </w:r>
          </w:p>
          <w:p>
            <w:pPr>
              <w:spacing w:after="40" w:before="60" w:line="259" w:lineRule="auto"/>
            </w:pPr>
            <w:r>
              <w:rPr>
                <w:rFonts w:ascii="Calibri" w:hAnsi="Calibri"/>
                <w:b w:val="0"/>
                <w:i w:val="0"/>
                <w:color w:val="212121"/>
                <w:sz w:val="19"/>
              </w:rPr>
              <w:t>Colds occur year-round but several respiratory viruses peak in the colder months.</w:t>
            </w:r>
          </w:p>
          <w:p>
            <w:pPr>
              <w:spacing w:after="40" w:line="252" w:lineRule="auto"/>
            </w:pPr>
            <w:hyperlink r:id="rId9">
              <w:r>
                <w:rPr>
                  <w:rFonts w:ascii="Calibri" w:hAnsi="Calibri" w:cs="Calibri"/>
                  <w:sz w:val="18"/>
                  <w:color w:val="1155CC"/>
                  <w:u w:val="single"/>
                </w:rPr>
                <w:t xml:space="preserve">cdc.gov — about the common cold</w:t>
              </w:r>
            </w:hyperlink>
          </w:p>
          <w:p>
            <w:pPr>
              <w:spacing w:before="60" w:after="40"/>
            </w:pPr>
            <w:r>
              <w:rPr>
                <w:rFonts w:ascii="Calibri" w:hAnsi="Calibri"/>
                <w:b w:val="0"/>
                <w:i w:val="0"/>
                <w:color w:val="5A5A5A"/>
                <w:sz w:val="18"/>
              </w:rPr>
              <w:t>#winter  #monsoon  #seasonal  #coldair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over-training</w:t>
            </w:r>
          </w:p>
        </w:tc>
        <w:tc>
          <w:tcPr>
            <w:tcW w:type="dxa" w:w="2160"/>
            <w:vAlign w:val="top"/>
          </w:tcPr>
          <w:p>
            <w:pPr>
              <w:spacing w:after="40" w:before="0" w:line="259" w:lineRule="auto"/>
            </w:pPr>
            <w:r>
              <w:rPr>
                <w:rFonts w:ascii="Calibri" w:hAnsi="Calibri"/>
                <w:b w:val="0"/>
                <w:i w:val="0"/>
                <w:color w:val="212121"/>
                <w:sz w:val="19"/>
              </w:rPr>
              <w:t>Physically inactive adults and over-trained athletes</w:t>
            </w:r>
          </w:p>
        </w:tc>
        <w:tc>
          <w:tcPr>
            <w:tcW w:type="dxa" w:w="4276"/>
            <w:vAlign w:val="top"/>
          </w:tcPr>
          <w:p>
            <w:pPr>
              <w:spacing w:after="60" w:line="259" w:lineRule="auto"/>
            </w:pPr>
            <w:r>
              <w:rPr>
                <w:rFonts w:ascii="Calibri" w:hAnsi="Calibri"/>
                <w:b w:val="0"/>
                <w:i w:val="0"/>
                <w:color w:val="212121"/>
                <w:sz w:val="19"/>
              </w:rPr>
              <w:t>Immune fitness follows a J-shaped curve: regular moderate activity supports host defence and lowers URTI risk, whereas both physical inactivity and prolonged, exhausting exertion are associated with more frequent upper-respiratory infections.</w:t>
            </w:r>
          </w:p>
          <w:p>
            <w:pPr>
              <w:spacing w:after="40" w:before="60" w:line="259" w:lineRule="auto"/>
            </w:pPr>
            <w:r>
              <w:rPr>
                <w:rFonts w:ascii="Calibri" w:hAnsi="Calibri"/>
                <w:b w:val="0"/>
                <w:i w:val="0"/>
                <w:color w:val="212121"/>
                <w:sz w:val="19"/>
              </w:rPr>
              <w:t>Both a sedentary pattern and heavy prolonged exertion are linked to higher URTI incidence than regular moderate activity.</w:t>
            </w:r>
          </w:p>
          <w:p>
            <w:pPr>
              <w:spacing w:before="60" w:after="40"/>
            </w:pPr>
            <w:r>
              <w:rPr>
                <w:rFonts w:ascii="Calibri" w:hAnsi="Calibri"/>
                <w:b w:val="0"/>
                <w:i w:val="0"/>
                <w:color w:val="5A5A5A"/>
                <w:sz w:val="18"/>
              </w:rPr>
              <w:t>#sedentary  #overtraining  #jcurve  #immunefitness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Active &amp; passive (second-hand) smokers</w:t>
            </w:r>
          </w:p>
        </w:tc>
        <w:tc>
          <w:tcPr>
            <w:tcW w:type="dxa" w:w="4276"/>
            <w:vAlign w:val="top"/>
          </w:tcPr>
          <w:p>
            <w:pPr>
              <w:spacing w:after="60" w:line="259" w:lineRule="auto"/>
            </w:pPr>
            <w:r>
              <w:rPr>
                <w:rFonts w:ascii="Calibri" w:hAnsi="Calibri"/>
                <w:b w:val="0"/>
                <w:i w:val="0"/>
                <w:color w:val="212121"/>
                <w:sz w:val="19"/>
              </w:rPr>
              <w:t>Tobacco smoke paralyses mucociliary clearance and inflames the airway lining, so smokers and household members exposed to their smoke catch colds more often and suffer more severe, longer-lasting symptoms and complications.</w:t>
            </w:r>
          </w:p>
          <w:p>
            <w:pPr>
              <w:spacing w:after="40" w:before="60" w:line="259" w:lineRule="auto"/>
            </w:pPr>
            <w:r>
              <w:rPr>
                <w:rFonts w:ascii="Calibri" w:hAnsi="Calibri"/>
                <w:b w:val="0"/>
                <w:i w:val="0"/>
                <w:color w:val="212121"/>
                <w:sz w:val="19"/>
              </w:rPr>
              <w:t>Active and passive tobacco-smoke exposure impairs mucociliary clearance and increases frequency and severity of respiratory infection.</w:t>
            </w:r>
          </w:p>
          <w:p>
            <w:pPr>
              <w:spacing w:before="60" w:after="40"/>
            </w:pPr>
            <w:r>
              <w:rPr>
                <w:rFonts w:ascii="Calibri" w:hAnsi="Calibri"/>
                <w:b w:val="0"/>
                <w:i w:val="0"/>
                <w:color w:val="5A5A5A"/>
                <w:sz w:val="18"/>
              </w:rPr>
              <w:t>#smoking  #passivesmoke  #mucociliary  #bidi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Short sleepers &amp; shift workers</w:t>
            </w:r>
          </w:p>
        </w:tc>
        <w:tc>
          <w:tcPr>
            <w:tcW w:type="dxa" w:w="4276"/>
            <w:vAlign w:val="top"/>
          </w:tcPr>
          <w:p>
            <w:pPr>
              <w:spacing w:after="60" w:line="259" w:lineRule="auto"/>
            </w:pPr>
            <w:r>
              <w:rPr>
                <w:rFonts w:ascii="Calibri" w:hAnsi="Calibri"/>
                <w:b w:val="0"/>
                <w:i w:val="0"/>
                <w:color w:val="212121"/>
                <w:sz w:val="19"/>
              </w:rPr>
              <w:t>Curtailed and poor-quality sleep dysregulates immune signalling and antibody responses, measurably increasing the likelihood of developing a cold after viral exposure.</w:t>
            </w:r>
          </w:p>
          <w:p>
            <w:pPr>
              <w:spacing w:after="40" w:before="60" w:line="259" w:lineRule="auto"/>
            </w:pPr>
            <w:r>
              <w:rPr>
                <w:rFonts w:ascii="Calibri" w:hAnsi="Calibri"/>
                <w:b w:val="0"/>
                <w:i w:val="0"/>
                <w:color w:val="212121"/>
                <w:sz w:val="19"/>
              </w:rPr>
              <w:t>Habitually short sleep is associated with markedly greater susceptibility to the common cold.</w:t>
            </w:r>
          </w:p>
          <w:p>
            <w:pPr>
              <w:spacing w:before="60" w:after="40"/>
            </w:pPr>
            <w:r>
              <w:rPr>
                <w:rFonts w:ascii="Calibri" w:hAnsi="Calibri"/>
                <w:b w:val="0"/>
                <w:i w:val="0"/>
                <w:color w:val="5A5A5A"/>
                <w:sz w:val="18"/>
              </w:rPr>
              <w:t>#sleepdebt  #shiftwork  #immunity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Mental health / stress</w:t>
            </w:r>
          </w:p>
        </w:tc>
        <w:tc>
          <w:tcPr>
            <w:tcW w:type="dxa" w:w="2160"/>
            <w:vAlign w:val="top"/>
          </w:tcPr>
          <w:p>
            <w:pPr>
              <w:spacing w:after="40" w:before="0" w:line="259" w:lineRule="auto"/>
            </w:pPr>
            <w:r>
              <w:rPr>
                <w:rFonts w:ascii="Calibri" w:hAnsi="Calibri"/>
                <w:b w:val="0"/>
                <w:i w:val="0"/>
                <w:color w:val="212121"/>
                <w:sz w:val="19"/>
              </w:rPr>
              <w:t>Chronically stressed individuals</w:t>
            </w:r>
          </w:p>
        </w:tc>
        <w:tc>
          <w:tcPr>
            <w:tcW w:type="dxa" w:w="4276"/>
            <w:vAlign w:val="top"/>
          </w:tcPr>
          <w:p>
            <w:pPr>
              <w:spacing w:after="60" w:line="259" w:lineRule="auto"/>
            </w:pPr>
            <w:r>
              <w:rPr>
                <w:rFonts w:ascii="Calibri" w:hAnsi="Calibri"/>
                <w:b w:val="0"/>
                <w:i w:val="0"/>
                <w:color w:val="212121"/>
                <w:sz w:val="19"/>
              </w:rPr>
              <w:t>Sustained psychological stress raises cortisol and dampens antiviral immunity, increasing both the risk of catching a cold and the severity of symptoms after exposure.</w:t>
            </w:r>
          </w:p>
          <w:p>
            <w:pPr>
              <w:spacing w:after="40" w:before="60" w:line="259" w:lineRule="auto"/>
            </w:pPr>
            <w:r>
              <w:rPr>
                <w:rFonts w:ascii="Calibri" w:hAnsi="Calibri"/>
                <w:b w:val="0"/>
                <w:i w:val="0"/>
                <w:color w:val="212121"/>
                <w:sz w:val="19"/>
              </w:rPr>
              <w:t>Higher chronic psychological stress is associated with greater susceptibility to colds.</w:t>
            </w:r>
          </w:p>
          <w:p>
            <w:pPr>
              <w:spacing w:before="60" w:after="40"/>
            </w:pPr>
            <w:r>
              <w:rPr>
                <w:rFonts w:ascii="Calibri" w:hAnsi="Calibri"/>
                <w:b w:val="0"/>
                <w:i w:val="0"/>
                <w:color w:val="5A5A5A"/>
                <w:sz w:val="18"/>
              </w:rPr>
              <w:t>#stress  #cortisol  #mentalhealth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People with poor hand hygiene</w:t>
            </w:r>
          </w:p>
        </w:tc>
        <w:tc>
          <w:tcPr>
            <w:tcW w:type="dxa" w:w="4276"/>
            <w:vAlign w:val="top"/>
          </w:tcPr>
          <w:p>
            <w:pPr>
              <w:spacing w:after="60" w:line="259" w:lineRule="auto"/>
            </w:pPr>
            <w:r>
              <w:rPr>
                <w:rFonts w:ascii="Calibri" w:hAnsi="Calibri"/>
                <w:b w:val="0"/>
                <w:i w:val="0"/>
                <w:color w:val="212121"/>
                <w:sz w:val="19"/>
              </w:rPr>
              <w:t>Cold viruses transfer readily from contaminated hands and surfaces to the eyes and nose; infrequent handwashing and face-touching are direct routes of self-inoculation.</w:t>
            </w:r>
          </w:p>
          <w:p>
            <w:pPr>
              <w:spacing w:after="40" w:before="60" w:line="259" w:lineRule="auto"/>
            </w:pPr>
            <w:r>
              <w:rPr>
                <w:rFonts w:ascii="Calibri" w:hAnsi="Calibri"/>
                <w:b w:val="0"/>
                <w:i w:val="0"/>
                <w:color w:val="212121"/>
                <w:sz w:val="19"/>
              </w:rPr>
              <w:t>Hand-washing education reduces respiratory illnesses such as colds in the general population by 16–21%.</w:t>
            </w:r>
          </w:p>
          <w:p>
            <w:pPr>
              <w:spacing w:after="40" w:line="252" w:lineRule="auto"/>
            </w:pPr>
            <w:hyperlink r:id="rId13">
              <w:r>
                <w:rPr>
                  <w:rFonts w:ascii="Calibri" w:hAnsi="Calibri" w:cs="Calibri"/>
                  <w:sz w:val="18"/>
                  <w:color w:val="1155CC"/>
                  <w:u w:val="single"/>
                </w:rPr>
                <w:t xml:space="preserve">cdc.gov — handwashing facts &amp; stats</w:t>
              </w:r>
            </w:hyperlink>
          </w:p>
          <w:p>
            <w:pPr>
              <w:spacing w:before="60" w:after="40"/>
            </w:pPr>
            <w:r>
              <w:rPr>
                <w:rFonts w:ascii="Calibri" w:hAnsi="Calibri"/>
                <w:b w:val="0"/>
                <w:i w:val="0"/>
                <w:color w:val="5A5A5A"/>
                <w:sz w:val="18"/>
              </w:rPr>
              <w:t>#handhygiene  #fomites  #facetouching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Vitamin C / D / zinc-deficient, low fruit-and-vegetable intake</w:t>
            </w:r>
          </w:p>
        </w:tc>
        <w:tc>
          <w:tcPr>
            <w:tcW w:type="dxa" w:w="4276"/>
            <w:vAlign w:val="top"/>
          </w:tcPr>
          <w:p>
            <w:pPr>
              <w:spacing w:after="60" w:line="259" w:lineRule="auto"/>
            </w:pPr>
            <w:r>
              <w:rPr>
                <w:rFonts w:ascii="Calibri" w:hAnsi="Calibri"/>
                <w:b w:val="0"/>
                <w:i w:val="0"/>
                <w:color w:val="212121"/>
                <w:sz w:val="19"/>
              </w:rPr>
              <w:t>Deficiencies of vitamin C, vitamin D and zinc weaken mucosal and innate antiviral defences; correcting them supports resistance, and vitamin C is especially relevant for people under heavy physical stress.</w:t>
            </w:r>
          </w:p>
          <w:p>
            <w:pPr>
              <w:spacing w:after="40" w:before="60" w:line="259" w:lineRule="auto"/>
            </w:pPr>
            <w:r>
              <w:rPr>
                <w:rFonts w:ascii="Calibri" w:hAnsi="Calibri"/>
                <w:b w:val="0"/>
                <w:i w:val="0"/>
                <w:color w:val="212121"/>
                <w:sz w:val="19"/>
              </w:rPr>
              <w:t>Regular vitamin C halved common-cold risk (RR 0.48) in people under heavy short-term physical stress and modestly shortened cold duration.</w:t>
            </w:r>
          </w:p>
          <w:p>
            <w:pPr>
              <w:spacing w:after="40" w:line="252" w:lineRule="auto"/>
            </w:pPr>
            <w:hyperlink r:id="rId14">
              <w:r>
                <w:rPr>
                  <w:rFonts w:ascii="Calibri" w:hAnsi="Calibri" w:cs="Calibri"/>
                  <w:sz w:val="18"/>
                  <w:color w:val="1155CC"/>
                  <w:u w:val="single"/>
                </w:rPr>
                <w:t xml:space="preserve">cochrane.org — vitamin C for the common cold</w:t>
              </w:r>
            </w:hyperlink>
          </w:p>
          <w:p>
            <w:pPr>
              <w:spacing w:before="60" w:after="40"/>
            </w:pPr>
            <w:r>
              <w:rPr>
                <w:rFonts w:ascii="Calibri" w:hAnsi="Calibri"/>
                <w:b w:val="0"/>
                <w:i w:val="0"/>
                <w:color w:val="5A5A5A"/>
                <w:sz w:val="18"/>
              </w:rPr>
              <w:t>#vitaminC  #vitaminD  #zinc  #micronutrients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Malnourished / underweight children</w:t>
            </w:r>
          </w:p>
        </w:tc>
        <w:tc>
          <w:tcPr>
            <w:tcW w:type="dxa" w:w="4276"/>
            <w:vAlign w:val="top"/>
          </w:tcPr>
          <w:p>
            <w:pPr>
              <w:spacing w:after="60" w:line="259" w:lineRule="auto"/>
            </w:pPr>
            <w:r>
              <w:rPr>
                <w:rFonts w:ascii="Calibri" w:hAnsi="Calibri"/>
                <w:b w:val="0"/>
                <w:i w:val="0"/>
                <w:color w:val="212121"/>
                <w:sz w:val="19"/>
              </w:rPr>
              <w:t>Protein-energy malnutrition and micronutrient gaps blunt immune function, increasing the frequency, duration and risk of lower-tract progression of respiratory infections in children.</w:t>
            </w:r>
          </w:p>
          <w:p>
            <w:pPr>
              <w:spacing w:after="40" w:before="60" w:line="259" w:lineRule="auto"/>
            </w:pPr>
            <w:r>
              <w:rPr>
                <w:rFonts w:ascii="Calibri" w:hAnsi="Calibri"/>
                <w:b w:val="0"/>
                <w:i w:val="0"/>
                <w:color w:val="212121"/>
                <w:sz w:val="19"/>
              </w:rPr>
              <w:t>Undernutrition is a well-established amplifier of respiratory-infection frequency and severity in children.</w:t>
            </w:r>
          </w:p>
          <w:p>
            <w:pPr>
              <w:spacing w:before="60" w:after="40"/>
            </w:pPr>
            <w:r>
              <w:rPr>
                <w:rFonts w:ascii="Calibri" w:hAnsi="Calibri"/>
                <w:b w:val="0"/>
                <w:i w:val="0"/>
                <w:color w:val="5A5A5A"/>
                <w:sz w:val="18"/>
              </w:rPr>
              <w:t>#malnutrition  #childhealth  #immunity  #pem</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Atopy / family history</w:t>
            </w:r>
          </w:p>
        </w:tc>
        <w:tc>
          <w:tcPr>
            <w:tcW w:type="dxa" w:w="2160"/>
            <w:vAlign w:val="top"/>
          </w:tcPr>
          <w:p>
            <w:pPr>
              <w:spacing w:after="40" w:before="0" w:line="259" w:lineRule="auto"/>
            </w:pPr>
            <w:r>
              <w:rPr>
                <w:rFonts w:ascii="Calibri" w:hAnsi="Calibri"/>
                <w:b w:val="0"/>
                <w:i w:val="0"/>
                <w:color w:val="212121"/>
                <w:sz w:val="19"/>
              </w:rPr>
              <w:t>Atopic individuals &amp; families with recurrent infections</w:t>
            </w:r>
          </w:p>
        </w:tc>
        <w:tc>
          <w:tcPr>
            <w:tcW w:type="dxa" w:w="4276"/>
            <w:vAlign w:val="top"/>
          </w:tcPr>
          <w:p>
            <w:pPr>
              <w:spacing w:after="60" w:line="259" w:lineRule="auto"/>
            </w:pPr>
            <w:r>
              <w:rPr>
                <w:rFonts w:ascii="Calibri" w:hAnsi="Calibri"/>
                <w:b w:val="0"/>
                <w:i w:val="0"/>
                <w:color w:val="212121"/>
                <w:sz w:val="19"/>
              </w:rPr>
              <w:t>An atopic/allergic constitution predisposes to more frequent, prolonged and symptomatic upper-airway responses to viruses; clustering of very frequent infections in a family may signal an inherited immune deficiency warranting work-up.</w:t>
            </w:r>
          </w:p>
          <w:p>
            <w:pPr>
              <w:spacing w:after="40" w:before="60" w:line="259" w:lineRule="auto"/>
            </w:pPr>
            <w:r>
              <w:rPr>
                <w:rFonts w:ascii="Calibri" w:hAnsi="Calibri"/>
                <w:b w:val="0"/>
                <w:i w:val="0"/>
                <w:color w:val="212121"/>
                <w:sz w:val="19"/>
              </w:rPr>
              <w:t>Atopy is associated with more frequent and prolonged upper-respiratory symptoms; recurrent severe infection may indicate primary immunodeficiency.</w:t>
            </w:r>
          </w:p>
          <w:p>
            <w:pPr>
              <w:spacing w:before="60" w:after="40"/>
            </w:pPr>
            <w:r>
              <w:rPr>
                <w:rFonts w:ascii="Calibri" w:hAnsi="Calibri"/>
                <w:b w:val="0"/>
                <w:i w:val="0"/>
                <w:color w:val="5A5A5A"/>
                <w:sz w:val="18"/>
              </w:rPr>
              <w:t>#atopy  #allergy  #familyhistory  #immunodeficiency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w:t>
            </w:r>
          </w:p>
        </w:tc>
        <w:tc>
          <w:tcPr>
            <w:tcW w:type="dxa" w:w="2160"/>
            <w:vAlign w:val="top"/>
          </w:tcPr>
          <w:p>
            <w:pPr>
              <w:spacing w:after="40" w:before="0" w:line="259" w:lineRule="auto"/>
            </w:pPr>
            <w:r>
              <w:rPr>
                <w:rFonts w:ascii="Calibri" w:hAnsi="Calibri"/>
                <w:b w:val="0"/>
                <w:i w:val="0"/>
                <w:color w:val="212121"/>
                <w:sz w:val="19"/>
              </w:rPr>
              <w:t>Patients with allergic rhinitis</w:t>
            </w:r>
          </w:p>
        </w:tc>
        <w:tc>
          <w:tcPr>
            <w:tcW w:type="dxa" w:w="4276"/>
            <w:vAlign w:val="top"/>
          </w:tcPr>
          <w:p>
            <w:pPr>
              <w:spacing w:after="60" w:line="259" w:lineRule="auto"/>
            </w:pPr>
            <w:r>
              <w:rPr>
                <w:rFonts w:ascii="Calibri" w:hAnsi="Calibri"/>
                <w:b w:val="0"/>
                <w:i w:val="0"/>
                <w:color w:val="212121"/>
                <w:sz w:val="19"/>
              </w:rPr>
              <w:t>Allergic inflammation shares symptoms with and predisposes to viral URTI, and the two frequently coexist — making colds more troublesome and harder to distinguish clinically.</w:t>
            </w:r>
          </w:p>
          <w:p>
            <w:pPr>
              <w:spacing w:after="40" w:before="60" w:line="259" w:lineRule="auto"/>
            </w:pPr>
            <w:r>
              <w:rPr>
                <w:rFonts w:ascii="Calibri" w:hAnsi="Calibri"/>
                <w:b w:val="0"/>
                <w:i w:val="0"/>
                <w:color w:val="212121"/>
                <w:sz w:val="19"/>
              </w:rPr>
              <w:t>Allergic rhinitis overlaps with and predisposes to viral URTI, compounding nasal symptoms.</w:t>
            </w:r>
          </w:p>
          <w:p>
            <w:pPr>
              <w:spacing w:before="60" w:after="40"/>
            </w:pPr>
            <w:r>
              <w:rPr>
                <w:rFonts w:ascii="Calibri" w:hAnsi="Calibri"/>
                <w:b w:val="0"/>
                <w:i w:val="0"/>
                <w:color w:val="5A5A5A"/>
                <w:sz w:val="18"/>
              </w:rPr>
              <w:t>#allergicrhinitis  #atopy  #overlap  #nasalcongestion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Asthma &amp; COPD</w:t>
            </w:r>
          </w:p>
        </w:tc>
        <w:tc>
          <w:tcPr>
            <w:tcW w:type="dxa" w:w="2160"/>
            <w:vAlign w:val="top"/>
          </w:tcPr>
          <w:p>
            <w:pPr>
              <w:spacing w:after="40" w:before="0" w:line="259" w:lineRule="auto"/>
            </w:pPr>
            <w:r>
              <w:rPr>
                <w:rFonts w:ascii="Calibri" w:hAnsi="Calibri"/>
                <w:b w:val="0"/>
                <w:i w:val="0"/>
                <w:color w:val="212121"/>
                <w:sz w:val="19"/>
              </w:rPr>
              <w:t>Patients with asthma or COPD</w:t>
            </w:r>
          </w:p>
        </w:tc>
        <w:tc>
          <w:tcPr>
            <w:tcW w:type="dxa" w:w="4276"/>
            <w:vAlign w:val="top"/>
          </w:tcPr>
          <w:p>
            <w:pPr>
              <w:spacing w:after="60" w:line="259" w:lineRule="auto"/>
            </w:pPr>
            <w:r>
              <w:rPr>
                <w:rFonts w:ascii="Calibri" w:hAnsi="Calibri"/>
                <w:b w:val="0"/>
                <w:i w:val="0"/>
                <w:color w:val="212121"/>
                <w:sz w:val="19"/>
              </w:rPr>
              <w:t>Viral URTIs are the leading trigger of acute asthma and COPD exacerbations, converting a trivial cold into breathlessness, wheeze and, at times, hospital admission.</w:t>
            </w:r>
          </w:p>
          <w:p>
            <w:pPr>
              <w:spacing w:after="40" w:before="60" w:line="259" w:lineRule="auto"/>
            </w:pPr>
            <w:r>
              <w:rPr>
                <w:rFonts w:ascii="Calibri" w:hAnsi="Calibri"/>
                <w:b w:val="0"/>
                <w:i w:val="0"/>
                <w:color w:val="212121"/>
                <w:sz w:val="19"/>
              </w:rPr>
              <w:t>Respiratory viral infection is the commonest precipitant of asthma and COPD exacerbations.</w:t>
            </w:r>
          </w:p>
          <w:p>
            <w:pPr>
              <w:spacing w:before="60" w:after="40"/>
            </w:pPr>
            <w:r>
              <w:rPr>
                <w:rFonts w:ascii="Calibri" w:hAnsi="Calibri"/>
                <w:b w:val="0"/>
                <w:i w:val="0"/>
                <w:color w:val="5A5A5A"/>
                <w:sz w:val="18"/>
              </w:rPr>
              <w:t>#asthma  #copd  #exacerbation  #wheeze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 / diabetes</w:t>
            </w:r>
          </w:p>
        </w:tc>
        <w:tc>
          <w:tcPr>
            <w:tcW w:type="dxa" w:w="2160"/>
            <w:vAlign w:val="top"/>
          </w:tcPr>
          <w:p>
            <w:pPr>
              <w:spacing w:after="40" w:before="0" w:line="259" w:lineRule="auto"/>
            </w:pPr>
            <w:r>
              <w:rPr>
                <w:rFonts w:ascii="Calibri" w:hAnsi="Calibri"/>
                <w:b w:val="0"/>
                <w:i w:val="0"/>
                <w:color w:val="212121"/>
                <w:sz w:val="19"/>
              </w:rPr>
              <w:t>Immunocompromised &amp; poorly-controlled diabetic patients</w:t>
            </w:r>
          </w:p>
        </w:tc>
        <w:tc>
          <w:tcPr>
            <w:tcW w:type="dxa" w:w="4276"/>
            <w:vAlign w:val="top"/>
          </w:tcPr>
          <w:p>
            <w:pPr>
              <w:spacing w:after="60" w:line="259" w:lineRule="auto"/>
            </w:pPr>
            <w:r>
              <w:rPr>
                <w:rFonts w:ascii="Calibri" w:hAnsi="Calibri"/>
                <w:b w:val="0"/>
                <w:i w:val="0"/>
                <w:color w:val="212121"/>
                <w:sz w:val="19"/>
              </w:rPr>
              <w:t>Impaired immunity from immunosuppression, chemotherapy, HIV or uncontrolled diabetes leads to more frequent, prolonged and complicated URTIs with greater risk of bacterial superinfection.</w:t>
            </w:r>
          </w:p>
          <w:p>
            <w:pPr>
              <w:spacing w:after="40" w:before="60" w:line="259" w:lineRule="auto"/>
            </w:pPr>
            <w:r>
              <w:rPr>
                <w:rFonts w:ascii="Calibri" w:hAnsi="Calibri"/>
                <w:b w:val="0"/>
                <w:i w:val="0"/>
                <w:color w:val="212121"/>
                <w:sz w:val="19"/>
              </w:rPr>
              <w:t>People with weakened immune systems are advised to seek medical review when they develop cold symptoms.</w:t>
            </w:r>
          </w:p>
          <w:p>
            <w:pPr>
              <w:spacing w:after="40" w:line="252" w:lineRule="auto"/>
            </w:pPr>
            <w:hyperlink r:id="rId11">
              <w:r>
                <w:rPr>
                  <w:rFonts w:ascii="Calibri" w:hAnsi="Calibri" w:cs="Calibri"/>
                  <w:sz w:val="18"/>
                  <w:color w:val="1155CC"/>
                  <w:u w:val="single"/>
                </w:rPr>
                <w:t xml:space="preserve">nhs.uk — common cold</w:t>
              </w:r>
            </w:hyperlink>
          </w:p>
          <w:p>
            <w:pPr>
              <w:spacing w:before="60" w:after="40"/>
            </w:pPr>
            <w:r>
              <w:rPr>
                <w:rFonts w:ascii="Calibri" w:hAnsi="Calibri"/>
                <w:b w:val="0"/>
                <w:i w:val="0"/>
                <w:color w:val="5A5A5A"/>
                <w:sz w:val="18"/>
              </w:rPr>
              <w:t>#immunocompromised  #diabetes  #superinfection  #highrisk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Immune defence follows a J-shaped curve: regular moderate-intensity activity is associated with fewer upper-respiratory infections, whereas physical inactivity and prolonged, exhausting exertion both raise URTI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deficient in vitamin C, vitamin D, zinc and protein impair mucosal and innate antiviral defences; adequate intake supports resistance, and vitamin C halves cold risk in people under heavy physical stress.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Short sleep duration (&lt;6–7 h) and poor sleep quality substantially increase susceptibility to the common cold after viral exposure by dysregulating immune responses.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 smoke impair mucociliary clearance and mucosal immunity, increasing the frequency, severity and duration of URTIs and their complications.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or chronic alcohol use suppresses immune function and is associated with greater respiratory-infection risk; light intake has no clear protective effect against colds.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psychological stress raises cortisol and blunts antiviral immunity, increasing both the likelihood of catching a cold and the severity of symptoms.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keeps airway secretions thin and eases congestion and comfort during a cold, though direct evidence that it prevents infection is limited.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direct effect on susceptibility to or duration of the common cold.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reduces acute respiratory infections by about 14% in pooled trials; hand-washing education cuts respiratory illness such as colds by 16–21%, and respiratory etiquette limits droplet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Close contact with infected people, crowding and poor ventilation, contaminated hands/surfaces, cold and dry air, seasonal change and air-pollution exposure are direct provokers of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frequency / technique</w:t>
            </w:r>
          </w:p>
        </w:tc>
        <w:tc>
          <w:tcPr>
            <w:tcW w:type="dxa" w:w="1655"/>
            <w:vAlign w:val="top"/>
          </w:tcPr>
          <w:p>
            <w:pPr>
              <w:spacing w:after="40" w:before="0" w:line="259" w:lineRule="auto"/>
            </w:pPr>
            <w:r>
              <w:rPr>
                <w:rFonts w:ascii="Calibri" w:hAnsi="Calibri"/>
                <w:b w:val="0"/>
                <w:i w:val="0"/>
                <w:color w:val="212121"/>
                <w:sz w:val="19"/>
              </w:rPr>
              <w:t>All ages, caregivers, health/school settings</w:t>
            </w:r>
          </w:p>
        </w:tc>
        <w:tc>
          <w:tcPr>
            <w:tcW w:type="dxa" w:w="1512"/>
            <w:vAlign w:val="top"/>
          </w:tcPr>
          <w:p>
            <w:pPr>
              <w:spacing w:after="40" w:before="0" w:line="259" w:lineRule="auto"/>
            </w:pPr>
            <w:r>
              <w:rPr>
                <w:rFonts w:ascii="Calibri" w:hAnsi="Calibri"/>
                <w:b w:val="0"/>
                <w:i w:val="0"/>
                <w:color w:val="212121"/>
                <w:sz w:val="19"/>
              </w:rPr>
              <w:t>Wash with soap 20 s at key moments (before eating/touching face, after nose-blowing, coughing, contact)</w:t>
            </w:r>
          </w:p>
        </w:tc>
        <w:tc>
          <w:tcPr>
            <w:tcW w:type="dxa" w:w="1512"/>
            <w:vAlign w:val="top"/>
          </w:tcPr>
          <w:p>
            <w:pPr>
              <w:spacing w:after="40" w:before="0" w:line="259" w:lineRule="auto"/>
            </w:pPr>
            <w:r>
              <w:rPr>
                <w:rFonts w:ascii="Calibri" w:hAnsi="Calibri"/>
                <w:b w:val="0"/>
                <w:i w:val="0"/>
                <w:color w:val="212121"/>
                <w:sz w:val="19"/>
              </w:rPr>
              <w:t>Infrequent or no hand-washing; frequent face-touching</w:t>
            </w:r>
          </w:p>
        </w:tc>
        <w:tc>
          <w:tcPr>
            <w:tcW w:type="dxa" w:w="1468"/>
            <w:vAlign w:val="top"/>
          </w:tcPr>
          <w:p>
            <w:pPr>
              <w:spacing w:after="60" w:line="259" w:lineRule="auto"/>
            </w:pPr>
            <w:r>
              <w:rPr>
                <w:rFonts w:ascii="Calibri" w:hAnsi="Calibri"/>
                <w:b w:val="0"/>
                <w:i w:val="0"/>
                <w:color w:val="212121"/>
                <w:sz w:val="19"/>
              </w:rPr>
              <w:t>Hand-washing education reduces respiratory illnesses like colds by 16–21%</w:t>
            </w:r>
          </w:p>
          <w:p>
            <w:pPr>
              <w:spacing w:after="40" w:line="252" w:lineRule="auto"/>
            </w:pPr>
            <w:hyperlink r:id="rId13">
              <w:r>
                <w:rPr>
                  <w:rFonts w:ascii="Calibri" w:hAnsi="Calibri" w:cs="Calibri"/>
                  <w:sz w:val="18"/>
                  <w:color w:val="1155CC"/>
                  <w:u w:val="single"/>
                </w:rPr>
                <w:t xml:space="preserve">https://www.cdc.gov/clean-hands/data-research/facts-stats/index.html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Hand-hygiene adherence (population)</w:t>
            </w:r>
          </w:p>
        </w:tc>
        <w:tc>
          <w:tcPr>
            <w:tcW w:type="dxa" w:w="1655"/>
            <w:vAlign w:val="top"/>
          </w:tcPr>
          <w:p>
            <w:pPr>
              <w:spacing w:after="40" w:before="0" w:line="259" w:lineRule="auto"/>
            </w:pPr>
            <w:r>
              <w:rPr>
                <w:rFonts w:ascii="Calibri" w:hAnsi="Calibri"/>
                <w:b w:val="0"/>
                <w:i w:val="0"/>
                <w:color w:val="212121"/>
                <w:sz w:val="19"/>
              </w:rPr>
              <w:t>Households, schools, workplaces</w:t>
            </w:r>
          </w:p>
        </w:tc>
        <w:tc>
          <w:tcPr>
            <w:tcW w:type="dxa" w:w="1512"/>
            <w:vAlign w:val="top"/>
          </w:tcPr>
          <w:p>
            <w:pPr>
              <w:spacing w:after="40" w:before="0" w:line="259" w:lineRule="auto"/>
            </w:pPr>
            <w:r>
              <w:rPr>
                <w:rFonts w:ascii="Calibri" w:hAnsi="Calibri"/>
                <w:b w:val="0"/>
                <w:i w:val="0"/>
                <w:color w:val="212121"/>
                <w:sz w:val="19"/>
              </w:rPr>
              <w:t>Consistent hand hygiene + respiratory etiquette</w:t>
            </w:r>
          </w:p>
        </w:tc>
        <w:tc>
          <w:tcPr>
            <w:tcW w:type="dxa" w:w="1512"/>
            <w:vAlign w:val="top"/>
          </w:tcPr>
          <w:p>
            <w:pPr>
              <w:spacing w:after="40" w:before="0" w:line="259" w:lineRule="auto"/>
            </w:pPr>
            <w:r>
              <w:rPr>
                <w:rFonts w:ascii="Calibri" w:hAnsi="Calibri"/>
                <w:b w:val="0"/>
                <w:i w:val="0"/>
                <w:color w:val="212121"/>
                <w:sz w:val="19"/>
              </w:rPr>
              <w:t>Low adherence during outbreaks/season</w:t>
            </w:r>
          </w:p>
        </w:tc>
        <w:tc>
          <w:tcPr>
            <w:tcW w:type="dxa" w:w="1468"/>
            <w:vAlign w:val="top"/>
          </w:tcPr>
          <w:p>
            <w:pPr>
              <w:spacing w:after="60" w:line="259" w:lineRule="auto"/>
            </w:pPr>
            <w:r>
              <w:rPr>
                <w:rFonts w:ascii="Calibri" w:hAnsi="Calibri"/>
                <w:b w:val="0"/>
                <w:i w:val="0"/>
                <w:color w:val="212121"/>
                <w:sz w:val="19"/>
              </w:rPr>
              <w:t>Pooled trials show ~14% relative reduction in acute respiratory infections (RR 0.86)</w:t>
            </w:r>
          </w:p>
          <w:p>
            <w:pPr>
              <w:spacing w:after="40" w:line="252" w:lineRule="auto"/>
            </w:pPr>
            <w:hyperlink r:id="rId15">
              <w:r>
                <w:rPr>
                  <w:rFonts w:ascii="Calibri" w:hAnsi="Calibri" w:cs="Calibri"/>
                  <w:sz w:val="18"/>
                  <w:color w:val="1155CC"/>
                  <w:u w:val="single"/>
                </w:rPr>
                <w:t xml:space="preserve">https://www.cochrane.org/CD006207/ARI_physical-interventions-to-interrupt-or-reduce-the-spread-of-respiratory-viruses</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150–300 min/week moderate aerobic activity</w:t>
            </w:r>
          </w:p>
        </w:tc>
        <w:tc>
          <w:tcPr>
            <w:tcW w:type="dxa" w:w="1512"/>
            <w:vAlign w:val="top"/>
          </w:tcPr>
          <w:p>
            <w:pPr>
              <w:spacing w:after="40" w:before="0" w:line="259" w:lineRule="auto"/>
            </w:pPr>
            <w:r>
              <w:rPr>
                <w:rFonts w:ascii="Calibri" w:hAnsi="Calibri"/>
                <w:b w:val="0"/>
                <w:i w:val="0"/>
                <w:color w:val="212121"/>
                <w:sz w:val="19"/>
              </w:rPr>
              <w:t>Sedentary (&lt;150 min/week) or prolonged exhausting exertion</w:t>
            </w:r>
          </w:p>
        </w:tc>
        <w:tc>
          <w:tcPr>
            <w:tcW w:type="dxa" w:w="1468"/>
            <w:vAlign w:val="top"/>
          </w:tcPr>
          <w:p>
            <w:pPr>
              <w:spacing w:after="40" w:before="0" w:line="259" w:lineRule="auto"/>
            </w:pPr>
            <w:r>
              <w:rPr>
                <w:rFonts w:ascii="Calibri" w:hAnsi="Calibri"/>
                <w:b w:val="0"/>
                <w:i w:val="0"/>
                <w:color w:val="212121"/>
                <w:sz w:val="19"/>
              </w:rPr>
              <w:t>U/J-shaped relationship — moderate activity protective, extremes raise URTI risk</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7–9 h/night, good quality</w:t>
            </w:r>
          </w:p>
        </w:tc>
        <w:tc>
          <w:tcPr>
            <w:tcW w:type="dxa" w:w="1512"/>
            <w:vAlign w:val="top"/>
          </w:tcPr>
          <w:p>
            <w:pPr>
              <w:spacing w:after="40" w:before="0" w:line="259" w:lineRule="auto"/>
            </w:pPr>
            <w:r>
              <w:rPr>
                <w:rFonts w:ascii="Calibri" w:hAnsi="Calibri"/>
                <w:b w:val="0"/>
                <w:i w:val="0"/>
                <w:color w:val="212121"/>
                <w:sz w:val="19"/>
              </w:rPr>
              <w:t>&lt;6–7 h or fragmented sleep</w:t>
            </w:r>
          </w:p>
        </w:tc>
        <w:tc>
          <w:tcPr>
            <w:tcW w:type="dxa" w:w="1468"/>
            <w:vAlign w:val="top"/>
          </w:tcPr>
          <w:p>
            <w:pPr>
              <w:spacing w:after="40" w:before="0" w:line="259" w:lineRule="auto"/>
            </w:pPr>
            <w:r>
              <w:rPr>
                <w:rFonts w:ascii="Calibri" w:hAnsi="Calibri"/>
                <w:b w:val="0"/>
                <w:i w:val="0"/>
                <w:color w:val="212121"/>
                <w:sz w:val="19"/>
              </w:rPr>
              <w:t>Short sleep markedly increases susceptibility to colds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 smoke exposure</w:t>
            </w:r>
          </w:p>
        </w:tc>
        <w:tc>
          <w:tcPr>
            <w:tcW w:type="dxa" w:w="1655"/>
            <w:vAlign w:val="top"/>
          </w:tcPr>
          <w:p>
            <w:pPr>
              <w:spacing w:after="40" w:before="0" w:line="259" w:lineRule="auto"/>
            </w:pPr>
            <w:r>
              <w:rPr>
                <w:rFonts w:ascii="Calibri" w:hAnsi="Calibri"/>
                <w:b w:val="0"/>
                <w:i w:val="0"/>
                <w:color w:val="212121"/>
                <w:sz w:val="19"/>
              </w:rPr>
              <w:t>Smokers, household contacts, children</w:t>
            </w:r>
          </w:p>
        </w:tc>
        <w:tc>
          <w:tcPr>
            <w:tcW w:type="dxa" w:w="1512"/>
            <w:vAlign w:val="top"/>
          </w:tcPr>
          <w:p>
            <w:pPr>
              <w:spacing w:after="40" w:before="0" w:line="259" w:lineRule="auto"/>
            </w:pPr>
            <w:r>
              <w:rPr>
                <w:rFonts w:ascii="Calibri" w:hAnsi="Calibri"/>
                <w:b w:val="0"/>
                <w:i w:val="0"/>
                <w:color w:val="212121"/>
                <w:sz w:val="19"/>
              </w:rPr>
              <w:t>0 (no active or second-hand exposure)</w:t>
            </w:r>
          </w:p>
        </w:tc>
        <w:tc>
          <w:tcPr>
            <w:tcW w:type="dxa" w:w="1512"/>
            <w:vAlign w:val="top"/>
          </w:tcPr>
          <w:p>
            <w:pPr>
              <w:spacing w:after="40" w:before="0" w:line="259" w:lineRule="auto"/>
            </w:pPr>
            <w:r>
              <w:rPr>
                <w:rFonts w:ascii="Calibri" w:hAnsi="Calibri"/>
                <w:b w:val="0"/>
                <w:i w:val="0"/>
                <w:color w:val="212121"/>
                <w:sz w:val="19"/>
              </w:rPr>
              <w:t>Any active smoking or household smoke exposure</w:t>
            </w:r>
          </w:p>
        </w:tc>
        <w:tc>
          <w:tcPr>
            <w:tcW w:type="dxa" w:w="1468"/>
            <w:vAlign w:val="top"/>
          </w:tcPr>
          <w:p>
            <w:pPr>
              <w:spacing w:after="40" w:before="0" w:line="259" w:lineRule="auto"/>
            </w:pPr>
            <w:r>
              <w:rPr>
                <w:rFonts w:ascii="Calibri" w:hAnsi="Calibri"/>
                <w:b w:val="0"/>
                <w:i w:val="0"/>
                <w:color w:val="212121"/>
                <w:sz w:val="19"/>
              </w:rPr>
              <w:t>Smoke impairs mucociliary clearance and worsens URTI frequency/severity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low; avoid during illness</w:t>
            </w:r>
          </w:p>
        </w:tc>
        <w:tc>
          <w:tcPr>
            <w:tcW w:type="dxa" w:w="1512"/>
            <w:vAlign w:val="top"/>
          </w:tcPr>
          <w:p>
            <w:pPr>
              <w:spacing w:after="40" w:before="0" w:line="259" w:lineRule="auto"/>
            </w:pPr>
            <w:r>
              <w:rPr>
                <w:rFonts w:ascii="Calibri" w:hAnsi="Calibri"/>
                <w:b w:val="0"/>
                <w:i w:val="0"/>
                <w:color w:val="212121"/>
                <w:sz w:val="19"/>
              </w:rPr>
              <w:t>Heavy/binge drinking</w:t>
            </w:r>
          </w:p>
        </w:tc>
        <w:tc>
          <w:tcPr>
            <w:tcW w:type="dxa" w:w="1468"/>
            <w:vAlign w:val="top"/>
          </w:tcPr>
          <w:p>
            <w:pPr>
              <w:spacing w:after="40" w:before="0" w:line="259" w:lineRule="auto"/>
            </w:pPr>
            <w:r>
              <w:rPr>
                <w:rFonts w:ascii="Calibri" w:hAnsi="Calibri"/>
                <w:b w:val="0"/>
                <w:i w:val="0"/>
                <w:color w:val="212121"/>
                <w:sz w:val="19"/>
              </w:rPr>
              <w:t>Heavy intake suppresses immunity and raises respiratory-infection risk</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Vitamin C adequacy</w:t>
            </w:r>
          </w:p>
        </w:tc>
        <w:tc>
          <w:tcPr>
            <w:tcW w:type="dxa" w:w="1655"/>
            <w:vAlign w:val="top"/>
          </w:tcPr>
          <w:p>
            <w:pPr>
              <w:spacing w:after="40" w:before="0" w:line="259" w:lineRule="auto"/>
            </w:pPr>
            <w:r>
              <w:rPr>
                <w:rFonts w:ascii="Calibri" w:hAnsi="Calibri"/>
                <w:b w:val="0"/>
                <w:i w:val="0"/>
                <w:color w:val="212121"/>
                <w:sz w:val="19"/>
              </w:rPr>
              <w:t>Adults, athletes, physically stressed, elderly</w:t>
            </w:r>
          </w:p>
        </w:tc>
        <w:tc>
          <w:tcPr>
            <w:tcW w:type="dxa" w:w="1512"/>
            <w:vAlign w:val="top"/>
          </w:tcPr>
          <w:p>
            <w:pPr>
              <w:spacing w:after="40" w:before="0" w:line="259" w:lineRule="auto"/>
            </w:pPr>
            <w:r>
              <w:rPr>
                <w:rFonts w:ascii="Calibri" w:hAnsi="Calibri"/>
                <w:b w:val="0"/>
                <w:i w:val="0"/>
                <w:color w:val="212121"/>
                <w:sz w:val="19"/>
              </w:rPr>
              <w:t>Adequate daily dietary vitamin C (fruit/vegetables)</w:t>
            </w:r>
          </w:p>
        </w:tc>
        <w:tc>
          <w:tcPr>
            <w:tcW w:type="dxa" w:w="1512"/>
            <w:vAlign w:val="top"/>
          </w:tcPr>
          <w:p>
            <w:pPr>
              <w:spacing w:after="40" w:before="0" w:line="259" w:lineRule="auto"/>
            </w:pPr>
            <w:r>
              <w:rPr>
                <w:rFonts w:ascii="Calibri" w:hAnsi="Calibri"/>
                <w:b w:val="0"/>
                <w:i w:val="0"/>
                <w:color w:val="212121"/>
                <w:sz w:val="19"/>
              </w:rPr>
              <w:t>Deficient intake, especially under heavy exertion</w:t>
            </w:r>
          </w:p>
        </w:tc>
        <w:tc>
          <w:tcPr>
            <w:tcW w:type="dxa" w:w="1468"/>
            <w:vAlign w:val="top"/>
          </w:tcPr>
          <w:p>
            <w:pPr>
              <w:spacing w:after="60" w:line="259" w:lineRule="auto"/>
            </w:pPr>
            <w:r>
              <w:rPr>
                <w:rFonts w:ascii="Calibri" w:hAnsi="Calibri"/>
                <w:b w:val="0"/>
                <w:i w:val="0"/>
                <w:color w:val="212121"/>
                <w:sz w:val="19"/>
              </w:rPr>
              <w:t>Regular vitamin C halved cold risk (RR 0.48) in physically stressed groups and modestly shortened duration</w:t>
            </w:r>
          </w:p>
          <w:p>
            <w:pPr>
              <w:spacing w:after="40" w:line="252" w:lineRule="auto"/>
            </w:pPr>
            <w:hyperlink r:id="rId14">
              <w:r>
                <w:rPr>
                  <w:rFonts w:ascii="Calibri" w:hAnsi="Calibri" w:cs="Calibri"/>
                  <w:sz w:val="18"/>
                  <w:color w:val="1155CC"/>
                  <w:u w:val="single"/>
                </w:rPr>
                <w:t xml:space="preserve">https://www.cochrane.org/CD000980/ARI_vitamin-c-for-preventing-and-treating-the-common-cold</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Zinc (therapeutic lozenges)</w:t>
            </w:r>
          </w:p>
        </w:tc>
        <w:tc>
          <w:tcPr>
            <w:tcW w:type="dxa" w:w="1655"/>
            <w:vAlign w:val="top"/>
          </w:tcPr>
          <w:p>
            <w:pPr>
              <w:spacing w:after="40" w:before="0" w:line="259" w:lineRule="auto"/>
            </w:pPr>
            <w:r>
              <w:rPr>
                <w:rFonts w:ascii="Calibri" w:hAnsi="Calibri"/>
                <w:b w:val="0"/>
                <w:i w:val="0"/>
                <w:color w:val="212121"/>
                <w:sz w:val="19"/>
              </w:rPr>
              <w:t>Adults with early cold symptoms</w:t>
            </w:r>
          </w:p>
        </w:tc>
        <w:tc>
          <w:tcPr>
            <w:tcW w:type="dxa" w:w="1512"/>
            <w:vAlign w:val="top"/>
          </w:tcPr>
          <w:p>
            <w:pPr>
              <w:spacing w:after="40" w:before="0" w:line="259" w:lineRule="auto"/>
            </w:pPr>
            <w:r>
              <w:rPr>
                <w:rFonts w:ascii="Calibri" w:hAnsi="Calibri"/>
                <w:b w:val="0"/>
                <w:i w:val="0"/>
                <w:color w:val="212121"/>
                <w:sz w:val="19"/>
              </w:rPr>
              <w:t>Started within 24 h of onset per evidence-based dosing</w:t>
            </w:r>
          </w:p>
        </w:tc>
        <w:tc>
          <w:tcPr>
            <w:tcW w:type="dxa" w:w="1512"/>
            <w:vAlign w:val="top"/>
          </w:tcPr>
          <w:p>
            <w:pPr>
              <w:spacing w:after="40" w:before="0" w:line="259" w:lineRule="auto"/>
            </w:pPr>
            <w:r>
              <w:rPr>
                <w:rFonts w:ascii="Calibri" w:hAnsi="Calibri"/>
                <w:b w:val="0"/>
                <w:i w:val="0"/>
                <w:color w:val="212121"/>
                <w:sz w:val="19"/>
              </w:rPr>
              <w:t>Delayed or no zinc when indicated</w:t>
            </w:r>
          </w:p>
        </w:tc>
        <w:tc>
          <w:tcPr>
            <w:tcW w:type="dxa" w:w="1468"/>
            <w:vAlign w:val="top"/>
          </w:tcPr>
          <w:p>
            <w:pPr>
              <w:spacing w:after="60" w:line="259" w:lineRule="auto"/>
            </w:pPr>
            <w:r>
              <w:rPr>
                <w:rFonts w:ascii="Calibri" w:hAnsi="Calibri"/>
                <w:b w:val="0"/>
                <w:i w:val="0"/>
                <w:color w:val="212121"/>
                <w:sz w:val="19"/>
              </w:rPr>
              <w:t>Zinc lozenges may shorten the duration of colds</w:t>
            </w:r>
          </w:p>
          <w:p>
            <w:pPr>
              <w:spacing w:after="40" w:line="252" w:lineRule="auto"/>
            </w:pPr>
            <w:hyperlink r:id="rId16">
              <w:r>
                <w:rPr>
                  <w:rFonts w:ascii="Calibri" w:hAnsi="Calibri" w:cs="Calibri"/>
                  <w:sz w:val="18"/>
                  <w:color w:val="1155CC"/>
                  <w:u w:val="single"/>
                </w:rPr>
                <w:t xml:space="preserve">https://pubmed.ncbi.nlm.nih.gov/21769305/</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All, especially febrile patients &amp; children</w:t>
            </w:r>
          </w:p>
        </w:tc>
        <w:tc>
          <w:tcPr>
            <w:tcW w:type="dxa" w:w="1512"/>
            <w:vAlign w:val="top"/>
          </w:tcPr>
          <w:p>
            <w:pPr>
              <w:spacing w:after="40" w:before="0" w:line="259" w:lineRule="auto"/>
            </w:pPr>
            <w:r>
              <w:rPr>
                <w:rFonts w:ascii="Calibri" w:hAnsi="Calibri"/>
                <w:b w:val="0"/>
                <w:i w:val="0"/>
                <w:color w:val="212121"/>
                <w:sz w:val="19"/>
              </w:rPr>
              <w:t>~2–3 L/day (adjust for age/fever)</w:t>
            </w:r>
          </w:p>
        </w:tc>
        <w:tc>
          <w:tcPr>
            <w:tcW w:type="dxa" w:w="1512"/>
            <w:vAlign w:val="top"/>
          </w:tcPr>
          <w:p>
            <w:pPr>
              <w:spacing w:after="40" w:before="0" w:line="259" w:lineRule="auto"/>
            </w:pPr>
            <w:r>
              <w:rPr>
                <w:rFonts w:ascii="Calibri" w:hAnsi="Calibri"/>
                <w:b w:val="0"/>
                <w:i w:val="0"/>
                <w:color w:val="212121"/>
                <w:sz w:val="19"/>
              </w:rPr>
              <w:t>Inadequate intake, dehydration during fever</w:t>
            </w:r>
          </w:p>
        </w:tc>
        <w:tc>
          <w:tcPr>
            <w:tcW w:type="dxa" w:w="1468"/>
            <w:vAlign w:val="top"/>
          </w:tcPr>
          <w:p>
            <w:pPr>
              <w:spacing w:after="40" w:before="0" w:line="259" w:lineRule="auto"/>
            </w:pPr>
            <w:r>
              <w:rPr>
                <w:rFonts w:ascii="Calibri" w:hAnsi="Calibri"/>
                <w:b w:val="0"/>
                <w:i w:val="0"/>
                <w:color w:val="212121"/>
                <w:sz w:val="19"/>
              </w:rPr>
              <w:t>Adequate hydration thins secretions and eases congestion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Indoor/ambient air quality (PM2.5)</w:t>
            </w:r>
          </w:p>
        </w:tc>
        <w:tc>
          <w:tcPr>
            <w:tcW w:type="dxa" w:w="1655"/>
            <w:vAlign w:val="top"/>
          </w:tcPr>
          <w:p>
            <w:pPr>
              <w:spacing w:after="40" w:before="0" w:line="259" w:lineRule="auto"/>
            </w:pPr>
            <w:r>
              <w:rPr>
                <w:rFonts w:ascii="Calibri" w:hAnsi="Calibri"/>
                <w:b w:val="0"/>
                <w:i w:val="0"/>
                <w:color w:val="212121"/>
                <w:sz w:val="19"/>
              </w:rPr>
              <w:t>Urban residents, biomass-fuel households, children</w:t>
            </w:r>
          </w:p>
        </w:tc>
        <w:tc>
          <w:tcPr>
            <w:tcW w:type="dxa" w:w="1512"/>
            <w:vAlign w:val="top"/>
          </w:tcPr>
          <w:p>
            <w:pPr>
              <w:spacing w:after="40" w:before="0" w:line="259" w:lineRule="auto"/>
            </w:pPr>
            <w:r>
              <w:rPr>
                <w:rFonts w:ascii="Calibri" w:hAnsi="Calibri"/>
                <w:b w:val="0"/>
                <w:i w:val="0"/>
                <w:color w:val="212121"/>
                <w:sz w:val="19"/>
              </w:rPr>
              <w:t>WHO guideline PM2.5 (24-h) ≤ 15 µg/m³</w:t>
            </w:r>
          </w:p>
        </w:tc>
        <w:tc>
          <w:tcPr>
            <w:tcW w:type="dxa" w:w="1512"/>
            <w:vAlign w:val="top"/>
          </w:tcPr>
          <w:p>
            <w:pPr>
              <w:spacing w:after="40" w:before="0" w:line="259" w:lineRule="auto"/>
            </w:pPr>
            <w:r>
              <w:rPr>
                <w:rFonts w:ascii="Calibri" w:hAnsi="Calibri"/>
                <w:b w:val="0"/>
                <w:i w:val="0"/>
                <w:color w:val="212121"/>
                <w:sz w:val="19"/>
              </w:rPr>
              <w:t>High ambient PM2.5 or indoor biomass smoke</w:t>
            </w:r>
          </w:p>
        </w:tc>
        <w:tc>
          <w:tcPr>
            <w:tcW w:type="dxa" w:w="1468"/>
            <w:vAlign w:val="top"/>
          </w:tcPr>
          <w:p>
            <w:pPr>
              <w:spacing w:after="60" w:line="259" w:lineRule="auto"/>
            </w:pPr>
            <w:r>
              <w:rPr>
                <w:rFonts w:ascii="Calibri" w:hAnsi="Calibri"/>
                <w:b w:val="0"/>
                <w:i w:val="0"/>
                <w:color w:val="212121"/>
                <w:sz w:val="19"/>
              </w:rPr>
              <w:t>Household air pollution almost doubles childhood lower-respiratory-infection risk</w:t>
            </w:r>
          </w:p>
          <w:p>
            <w:pPr>
              <w:spacing w:after="40" w:line="252" w:lineRule="auto"/>
            </w:pPr>
            <w:hyperlink r:id="rId12">
              <w:r>
                <w:rPr>
                  <w:rFonts w:ascii="Calibri" w:hAnsi="Calibri" w:cs="Calibri"/>
                  <w:sz w:val="18"/>
                  <w:color w:val="1155CC"/>
                  <w:u w:val="single"/>
                </w:rPr>
                <w:t xml:space="preserve">https://www.who.int/news-room/fact-sheets/detail/household-air-pollution-and-health</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(only if indicated)</w:t>
            </w:r>
          </w:p>
        </w:tc>
        <w:tc>
          <w:tcPr>
            <w:tcW w:type="dxa" w:w="1036"/>
            <w:vAlign w:val="top"/>
          </w:tcPr>
          <w:p>
            <w:pPr>
              <w:spacing w:after="40" w:before="0" w:line="259" w:lineRule="auto"/>
            </w:pPr>
            <w:r>
              <w:rPr>
                <w:rFonts w:ascii="Calibri" w:hAnsi="Calibri"/>
                <w:b w:val="0"/>
                <w:i w:val="0"/>
                <w:color w:val="212121"/>
                <w:sz w:val="16"/>
              </w:rPr>
              <w:t>Respiratory viral multiplex RT-PCR</w:t>
            </w:r>
          </w:p>
        </w:tc>
        <w:tc>
          <w:tcPr>
            <w:tcW w:type="dxa" w:w="892"/>
            <w:vAlign w:val="top"/>
          </w:tcPr>
          <w:p>
            <w:pPr>
              <w:spacing w:after="40" w:before="0" w:line="259" w:lineRule="auto"/>
            </w:pPr>
            <w:r>
              <w:rPr>
                <w:rFonts w:ascii="Calibri" w:hAnsi="Calibri"/>
                <w:b w:val="0"/>
                <w:i w:val="0"/>
                <w:color w:val="212121"/>
                <w:sz w:val="16"/>
              </w:rPr>
              <w:t>Nasopharyngeal swab</w:t>
            </w:r>
          </w:p>
        </w:tc>
        <w:tc>
          <w:tcPr>
            <w:tcW w:type="dxa" w:w="950"/>
            <w:vAlign w:val="top"/>
          </w:tcPr>
          <w:p>
            <w:pPr>
              <w:spacing w:after="40" w:before="0" w:line="259" w:lineRule="auto"/>
            </w:pPr>
            <w:r>
              <w:rPr>
                <w:rFonts w:ascii="Calibri" w:hAnsi="Calibri"/>
                <w:b w:val="0"/>
                <w:i w:val="0"/>
                <w:color w:val="212121"/>
                <w:sz w:val="16"/>
              </w:rPr>
              <w:t>Not routinely required in uncomplicated colds</w:t>
            </w:r>
          </w:p>
        </w:tc>
        <w:tc>
          <w:tcPr>
            <w:tcW w:type="dxa" w:w="950"/>
            <w:vAlign w:val="top"/>
          </w:tcPr>
          <w:p>
            <w:pPr>
              <w:spacing w:after="40" w:before="0" w:line="259" w:lineRule="auto"/>
            </w:pPr>
            <w:r>
              <w:rPr>
                <w:rFonts w:ascii="Calibri" w:hAnsi="Calibri"/>
                <w:b w:val="0"/>
                <w:i w:val="0"/>
                <w:color w:val="212121"/>
                <w:sz w:val="16"/>
              </w:rPr>
              <w:t>Viral RNA detected (rhinovirus, influenza, RSV, SARS-CoV-2, etc.)</w:t>
            </w:r>
          </w:p>
        </w:tc>
        <w:tc>
          <w:tcPr>
            <w:tcW w:type="dxa" w:w="1036"/>
            <w:vAlign w:val="top"/>
          </w:tcPr>
          <w:p>
            <w:pPr>
              <w:spacing w:after="40" w:before="0" w:line="259" w:lineRule="auto"/>
            </w:pPr>
            <w:r>
              <w:rPr>
                <w:rFonts w:ascii="Calibri" w:hAnsi="Calibri"/>
                <w:b w:val="0"/>
                <w:i w:val="0"/>
                <w:color w:val="212121"/>
                <w:sz w:val="16"/>
              </w:rPr>
              <w:t>Confirms viral aetiology and guides isolation/antivirals; unnecessary for routine self-limiting colds</w:t>
            </w:r>
          </w:p>
        </w:tc>
        <w:tc>
          <w:tcPr>
            <w:tcW w:type="dxa" w:w="1036"/>
            <w:vAlign w:val="top"/>
          </w:tcPr>
          <w:p>
            <w:pPr>
              <w:spacing w:after="40" w:before="0" w:line="259" w:lineRule="auto"/>
            </w:pPr>
            <w:r>
              <w:rPr>
                <w:rFonts w:ascii="Calibri" w:hAnsi="Calibri"/>
                <w:b w:val="0"/>
                <w:i w:val="0"/>
                <w:color w:val="212121"/>
                <w:sz w:val="16"/>
              </w:rPr>
              <w:t>High-risk, hospitalised, immunocompromised, outbreaks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 for cases where result changes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Rapid influenza / SARS-CoV-2 antigen</w:t>
            </w:r>
          </w:p>
        </w:tc>
        <w:tc>
          <w:tcPr>
            <w:tcW w:type="dxa" w:w="892"/>
            <w:vAlign w:val="top"/>
          </w:tcPr>
          <w:p>
            <w:pPr>
              <w:spacing w:after="40" w:before="0" w:line="259" w:lineRule="auto"/>
            </w:pPr>
            <w:r>
              <w:rPr>
                <w:rFonts w:ascii="Calibri" w:hAnsi="Calibri"/>
                <w:b w:val="0"/>
                <w:i w:val="0"/>
                <w:color w:val="212121"/>
                <w:sz w:val="16"/>
              </w:rPr>
              <w:t>Nasal/nasopharyngeal swab</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Differentiates influenza/COVID-19 (needing antivirals/isolation) from a plain cold</w:t>
            </w:r>
          </w:p>
        </w:tc>
        <w:tc>
          <w:tcPr>
            <w:tcW w:type="dxa" w:w="1036"/>
            <w:vAlign w:val="top"/>
          </w:tcPr>
          <w:p>
            <w:pPr>
              <w:spacing w:after="40" w:before="0" w:line="259" w:lineRule="auto"/>
            </w:pPr>
            <w:r>
              <w:rPr>
                <w:rFonts w:ascii="Calibri" w:hAnsi="Calibri"/>
                <w:b w:val="0"/>
                <w:i w:val="0"/>
                <w:color w:val="212121"/>
                <w:sz w:val="16"/>
              </w:rPr>
              <w:t>Elderly, comorbid, healthcare/school settings, during surges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Point-of-care; sensitivity varies with timing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Group A Strep rapid antigen / throat culture</w:t>
            </w:r>
          </w:p>
        </w:tc>
        <w:tc>
          <w:tcPr>
            <w:tcW w:type="dxa" w:w="892"/>
            <w:vAlign w:val="top"/>
          </w:tcPr>
          <w:p>
            <w:pPr>
              <w:spacing w:after="40" w:before="0" w:line="259" w:lineRule="auto"/>
            </w:pPr>
            <w:r>
              <w:rPr>
                <w:rFonts w:ascii="Calibri" w:hAnsi="Calibri"/>
                <w:b w:val="0"/>
                <w:i w:val="0"/>
                <w:color w:val="212121"/>
                <w:sz w:val="16"/>
              </w:rPr>
              <w:t>Throat swab</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GAS antigen/culture positive</w:t>
            </w:r>
          </w:p>
        </w:tc>
        <w:tc>
          <w:tcPr>
            <w:tcW w:type="dxa" w:w="1036"/>
            <w:vAlign w:val="top"/>
          </w:tcPr>
          <w:p>
            <w:pPr>
              <w:spacing w:after="40" w:before="0" w:line="259" w:lineRule="auto"/>
            </w:pPr>
            <w:r>
              <w:rPr>
                <w:rFonts w:ascii="Calibri" w:hAnsi="Calibri"/>
                <w:b w:val="0"/>
                <w:i w:val="0"/>
                <w:color w:val="212121"/>
                <w:sz w:val="16"/>
              </w:rPr>
              <w:t>Identifies streptococcal pharyngitis (tonsillar exudate, tender nodes, fever, no cough) that warrants antibiotics</w:t>
            </w:r>
          </w:p>
        </w:tc>
        <w:tc>
          <w:tcPr>
            <w:tcW w:type="dxa" w:w="1036"/>
            <w:vAlign w:val="top"/>
          </w:tcPr>
          <w:p>
            <w:pPr>
              <w:spacing w:after="40" w:before="0" w:line="259" w:lineRule="auto"/>
            </w:pPr>
            <w:r>
              <w:rPr>
                <w:rFonts w:ascii="Calibri" w:hAnsi="Calibri"/>
                <w:b w:val="0"/>
                <w:i w:val="0"/>
                <w:color w:val="212121"/>
                <w:sz w:val="16"/>
              </w:rPr>
              <w:t>Sore throat with Centor/McIsaac features, children/adolescents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Avoids unnecessary antibiotics for viral sore throat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(CBC)</w:t>
            </w:r>
          </w:p>
        </w:tc>
        <w:tc>
          <w:tcPr>
            <w:tcW w:type="dxa" w:w="892"/>
            <w:vAlign w:val="top"/>
          </w:tcPr>
          <w:p>
            <w:pPr>
              <w:spacing w:after="40" w:before="0" w:line="259" w:lineRule="auto"/>
            </w:pPr>
            <w:r>
              <w:rPr>
                <w:rFonts w:ascii="Calibri" w:hAnsi="Calibri"/>
                <w:b w:val="0"/>
                <w:i w:val="0"/>
                <w:color w:val="212121"/>
                <w:sz w:val="16"/>
              </w:rPr>
              <w:t>Venous blood</w:t>
            </w:r>
          </w:p>
        </w:tc>
        <w:tc>
          <w:tcPr>
            <w:tcW w:type="dxa" w:w="950"/>
            <w:vAlign w:val="top"/>
          </w:tcPr>
          <w:p>
            <w:pPr>
              <w:spacing w:after="40" w:before="0" w:line="259" w:lineRule="auto"/>
            </w:pPr>
            <w:r>
              <w:rPr>
                <w:rFonts w:ascii="Calibri" w:hAnsi="Calibri"/>
                <w:b w:val="0"/>
                <w:i w:val="0"/>
                <w:color w:val="212121"/>
                <w:sz w:val="16"/>
              </w:rPr>
              <w:t>Normal counts / lymphocyte-predominant</w:t>
            </w:r>
          </w:p>
        </w:tc>
        <w:tc>
          <w:tcPr>
            <w:tcW w:type="dxa" w:w="950"/>
            <w:vAlign w:val="top"/>
          </w:tcPr>
          <w:p>
            <w:pPr>
              <w:spacing w:after="40" w:before="0" w:line="259" w:lineRule="auto"/>
            </w:pPr>
            <w:r>
              <w:rPr>
                <w:rFonts w:ascii="Calibri" w:hAnsi="Calibri"/>
                <w:b w:val="0"/>
                <w:i w:val="0"/>
                <w:color w:val="212121"/>
                <w:sz w:val="16"/>
              </w:rPr>
              <w:t>Neutrophilic leucocytosis</w:t>
            </w:r>
          </w:p>
        </w:tc>
        <w:tc>
          <w:tcPr>
            <w:tcW w:type="dxa" w:w="1036"/>
            <w:vAlign w:val="top"/>
          </w:tcPr>
          <w:p>
            <w:pPr>
              <w:spacing w:after="40" w:before="0" w:line="259" w:lineRule="auto"/>
            </w:pPr>
            <w:r>
              <w:rPr>
                <w:rFonts w:ascii="Calibri" w:hAnsi="Calibri"/>
                <w:b w:val="0"/>
                <w:i w:val="0"/>
                <w:color w:val="212121"/>
                <w:sz w:val="16"/>
              </w:rPr>
              <w:t>Marked neutrophilia suggests bacterial superinfection rather than uncomplicated viral cold</w:t>
            </w:r>
          </w:p>
        </w:tc>
        <w:tc>
          <w:tcPr>
            <w:tcW w:type="dxa" w:w="1036"/>
            <w:vAlign w:val="top"/>
          </w:tcPr>
          <w:p>
            <w:pPr>
              <w:spacing w:after="40" w:before="0" w:line="259" w:lineRule="auto"/>
            </w:pPr>
            <w:r>
              <w:rPr>
                <w:rFonts w:ascii="Calibri" w:hAnsi="Calibri"/>
                <w:b w:val="0"/>
                <w:i w:val="0"/>
                <w:color w:val="212121"/>
                <w:sz w:val="16"/>
              </w:rPr>
              <w:t>Prolonged/worsening course, suspected complication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needed in typical colds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 Procalcitonin</w:t>
            </w:r>
          </w:p>
        </w:tc>
        <w:tc>
          <w:tcPr>
            <w:tcW w:type="dxa" w:w="892"/>
            <w:vAlign w:val="top"/>
          </w:tcPr>
          <w:p>
            <w:pPr>
              <w:spacing w:after="40" w:before="0" w:line="259" w:lineRule="auto"/>
            </w:pPr>
            <w:r>
              <w:rPr>
                <w:rFonts w:ascii="Calibri" w:hAnsi="Calibri"/>
                <w:b w:val="0"/>
                <w:i w:val="0"/>
                <w:color w:val="212121"/>
                <w:sz w:val="16"/>
              </w:rPr>
              <w:t>Venous blood</w:t>
            </w:r>
          </w:p>
        </w:tc>
        <w:tc>
          <w:tcPr>
            <w:tcW w:type="dxa" w:w="950"/>
            <w:vAlign w:val="top"/>
          </w:tcPr>
          <w:p>
            <w:pPr>
              <w:spacing w:after="40" w:before="0" w:line="259" w:lineRule="auto"/>
            </w:pPr>
            <w:r>
              <w:rPr>
                <w:rFonts w:ascii="Calibri" w:hAnsi="Calibri"/>
                <w:b w:val="0"/>
                <w:i w:val="0"/>
                <w:color w:val="212121"/>
                <w:sz w:val="16"/>
              </w:rPr>
              <w:t>Low CRP; low procalcitonin</w:t>
            </w:r>
          </w:p>
        </w:tc>
        <w:tc>
          <w:tcPr>
            <w:tcW w:type="dxa" w:w="950"/>
            <w:vAlign w:val="top"/>
          </w:tcPr>
          <w:p>
            <w:pPr>
              <w:spacing w:after="40" w:before="0" w:line="259" w:lineRule="auto"/>
            </w:pPr>
            <w:r>
              <w:rPr>
                <w:rFonts w:ascii="Calibri" w:hAnsi="Calibri"/>
                <w:b w:val="0"/>
                <w:i w:val="0"/>
                <w:color w:val="212121"/>
                <w:sz w:val="16"/>
              </w:rPr>
              <w:t>Elevated CRP/procalcitonin</w:t>
            </w:r>
          </w:p>
        </w:tc>
        <w:tc>
          <w:tcPr>
            <w:tcW w:type="dxa" w:w="1036"/>
            <w:vAlign w:val="top"/>
          </w:tcPr>
          <w:p>
            <w:pPr>
              <w:spacing w:after="40" w:before="0" w:line="259" w:lineRule="auto"/>
            </w:pPr>
            <w:r>
              <w:rPr>
                <w:rFonts w:ascii="Calibri" w:hAnsi="Calibri"/>
                <w:b w:val="0"/>
                <w:i w:val="0"/>
                <w:color w:val="212121"/>
                <w:sz w:val="16"/>
              </w:rPr>
              <w:t>Low values support viral illness and antibiotic-sparing; high values raise suspicion of bacterial infection</w:t>
            </w:r>
          </w:p>
        </w:tc>
        <w:tc>
          <w:tcPr>
            <w:tcW w:type="dxa" w:w="1036"/>
            <w:vAlign w:val="top"/>
          </w:tcPr>
          <w:p>
            <w:pPr>
              <w:spacing w:after="40" w:before="0" w:line="259" w:lineRule="auto"/>
            </w:pPr>
            <w:r>
              <w:rPr>
                <w:rFonts w:ascii="Calibri" w:hAnsi="Calibri"/>
                <w:b w:val="0"/>
                <w:i w:val="0"/>
                <w:color w:val="212121"/>
                <w:sz w:val="16"/>
              </w:rPr>
              <w:t>Diagnostic uncertainty, complicated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Aids antibiotic stewardship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 (only if indicated)</w:t>
            </w:r>
          </w:p>
        </w:tc>
        <w:tc>
          <w:tcPr>
            <w:tcW w:type="dxa" w:w="1036"/>
            <w:vAlign w:val="top"/>
          </w:tcPr>
          <w:p>
            <w:pPr>
              <w:spacing w:after="40" w:before="0" w:line="259" w:lineRule="auto"/>
            </w:pPr>
            <w:r>
              <w:rPr>
                <w:rFonts w:ascii="Calibri" w:hAnsi="Calibri"/>
                <w:b w:val="0"/>
                <w:i w:val="0"/>
                <w:color w:val="212121"/>
                <w:sz w:val="16"/>
              </w:rPr>
              <w:t>Chest X-ray / sinus imaging</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Clear lung fields; no sinus opacification</w:t>
            </w:r>
          </w:p>
        </w:tc>
        <w:tc>
          <w:tcPr>
            <w:tcW w:type="dxa" w:w="950"/>
            <w:vAlign w:val="top"/>
          </w:tcPr>
          <w:p>
            <w:pPr>
              <w:spacing w:after="40" w:before="0" w:line="259" w:lineRule="auto"/>
            </w:pPr>
            <w:r>
              <w:rPr>
                <w:rFonts w:ascii="Calibri" w:hAnsi="Calibri"/>
                <w:b w:val="0"/>
                <w:i w:val="0"/>
                <w:color w:val="212121"/>
                <w:sz w:val="16"/>
              </w:rPr>
              <w:t>Consolidation (pneumonia) or opacified sinuses (bacterial sinusitis)</w:t>
            </w:r>
          </w:p>
        </w:tc>
        <w:tc>
          <w:tcPr>
            <w:tcW w:type="dxa" w:w="1036"/>
            <w:vAlign w:val="top"/>
          </w:tcPr>
          <w:p>
            <w:pPr>
              <w:spacing w:after="40" w:before="0" w:line="259" w:lineRule="auto"/>
            </w:pPr>
            <w:r>
              <w:rPr>
                <w:rFonts w:ascii="Calibri" w:hAnsi="Calibri"/>
                <w:b w:val="0"/>
                <w:i w:val="0"/>
                <w:color w:val="212121"/>
                <w:sz w:val="16"/>
              </w:rPr>
              <w:t>Confirms lower-tract or complicated sinus disease; normal in uncomplicated URTI</w:t>
            </w:r>
          </w:p>
        </w:tc>
        <w:tc>
          <w:tcPr>
            <w:tcW w:type="dxa" w:w="1036"/>
            <w:vAlign w:val="top"/>
          </w:tcPr>
          <w:p>
            <w:pPr>
              <w:spacing w:after="40" w:before="0" w:line="259" w:lineRule="auto"/>
            </w:pPr>
            <w:r>
              <w:rPr>
                <w:rFonts w:ascii="Calibri" w:hAnsi="Calibri"/>
                <w:b w:val="0"/>
                <w:i w:val="0"/>
                <w:color w:val="212121"/>
                <w:sz w:val="16"/>
              </w:rPr>
              <w:t>Suspected pneumonia or complicated rhinosinusitis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Avoid routine imaging for colds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Rhinorrhoea, nasal congestion, sneezing, sore throat, cough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combination present</w:t>
            </w:r>
          </w:p>
        </w:tc>
        <w:tc>
          <w:tcPr>
            <w:tcW w:type="dxa" w:w="1036"/>
            <w:vAlign w:val="top"/>
          </w:tcPr>
          <w:p>
            <w:pPr>
              <w:spacing w:after="40" w:before="0" w:line="259" w:lineRule="auto"/>
            </w:pPr>
            <w:r>
              <w:rPr>
                <w:rFonts w:ascii="Calibri" w:hAnsi="Calibri"/>
                <w:b w:val="0"/>
                <w:i w:val="0"/>
                <w:color w:val="212121"/>
                <w:sz w:val="16"/>
              </w:rPr>
              <w:t>Cardinal symptom cluster of the common cold; basis of clinical diagnosis</w:t>
            </w:r>
          </w:p>
        </w:tc>
        <w:tc>
          <w:tcPr>
            <w:tcW w:type="dxa" w:w="1036"/>
            <w:vAlign w:val="top"/>
          </w:tcPr>
          <w:p>
            <w:pPr>
              <w:spacing w:after="40" w:before="0" w:line="259" w:lineRule="auto"/>
            </w:pPr>
            <w:r>
              <w:rPr>
                <w:rFonts w:ascii="Calibri" w:hAnsi="Calibri"/>
                <w:b w:val="0"/>
                <w:i w:val="0"/>
                <w:color w:val="212121"/>
                <w:sz w:val="16"/>
              </w:rPr>
              <w:t>All ages presenting acutely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typically peak day 2–3</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trajectory &amp; duration</w:t>
            </w:r>
          </w:p>
        </w:tc>
        <w:tc>
          <w:tcPr>
            <w:tcW w:type="dxa" w:w="979"/>
            <w:vAlign w:val="top"/>
          </w:tcPr>
          <w:p>
            <w:pPr>
              <w:spacing w:after="40" w:before="0" w:line="259" w:lineRule="auto"/>
            </w:pPr>
            <w:r>
              <w:rPr>
                <w:rFonts w:ascii="Calibri" w:hAnsi="Calibri"/>
                <w:b w:val="0"/>
                <w:i w:val="0"/>
                <w:color w:val="212121"/>
                <w:sz w:val="16"/>
              </w:rPr>
              <w:t>Onset, peak, resolution timeline</w:t>
            </w:r>
          </w:p>
        </w:tc>
        <w:tc>
          <w:tcPr>
            <w:tcW w:type="dxa" w:w="950"/>
            <w:vAlign w:val="top"/>
          </w:tcPr>
          <w:p>
            <w:pPr>
              <w:spacing w:after="40" w:before="0" w:line="259" w:lineRule="auto"/>
            </w:pPr>
            <w:r>
              <w:rPr>
                <w:rFonts w:ascii="Calibri" w:hAnsi="Calibri"/>
                <w:b w:val="0"/>
                <w:i w:val="0"/>
                <w:color w:val="212121"/>
                <w:sz w:val="16"/>
              </w:rPr>
              <w:t>Improving by day 7–10</w:t>
            </w:r>
          </w:p>
        </w:tc>
        <w:tc>
          <w:tcPr>
            <w:tcW w:type="dxa" w:w="950"/>
            <w:vAlign w:val="top"/>
          </w:tcPr>
          <w:p>
            <w:pPr>
              <w:spacing w:after="40" w:before="0" w:line="259" w:lineRule="auto"/>
            </w:pPr>
            <w:r>
              <w:rPr>
                <w:rFonts w:ascii="Calibri" w:hAnsi="Calibri"/>
                <w:b w:val="0"/>
                <w:i w:val="0"/>
                <w:color w:val="212121"/>
                <w:sz w:val="16"/>
              </w:rPr>
              <w:t>&gt;10 days, worsening after initial improvement, or fever &gt;3 days</w:t>
            </w:r>
          </w:p>
        </w:tc>
        <w:tc>
          <w:tcPr>
            <w:tcW w:type="dxa" w:w="1036"/>
            <w:vAlign w:val="top"/>
          </w:tcPr>
          <w:p>
            <w:pPr>
              <w:spacing w:after="40" w:before="0" w:line="259" w:lineRule="auto"/>
            </w:pPr>
            <w:r>
              <w:rPr>
                <w:rFonts w:ascii="Calibri" w:hAnsi="Calibri"/>
                <w:b w:val="0"/>
                <w:i w:val="0"/>
                <w:color w:val="212121"/>
                <w:sz w:val="16"/>
              </w:rPr>
              <w:t>A biphasic or prolonged course suggests secondary bacterial sinusitis/otitis or lower-tract spread</w:t>
            </w:r>
          </w:p>
        </w:tc>
        <w:tc>
          <w:tcPr>
            <w:tcW w:type="dxa" w:w="1036"/>
            <w:vAlign w:val="top"/>
          </w:tcPr>
          <w:p>
            <w:pPr>
              <w:spacing w:after="40" w:before="0" w:line="259" w:lineRule="auto"/>
            </w:pPr>
            <w:r>
              <w:rPr>
                <w:rFonts w:ascii="Calibri" w:hAnsi="Calibri"/>
                <w:b w:val="0"/>
                <w:i w:val="0"/>
                <w:color w:val="212121"/>
                <w:sz w:val="16"/>
              </w:rPr>
              <w:t>All, especially recurrent/prolonged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red-flag identification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contacts &amp; seasonality</w:t>
            </w:r>
          </w:p>
        </w:tc>
        <w:tc>
          <w:tcPr>
            <w:tcW w:type="dxa" w:w="979"/>
            <w:vAlign w:val="top"/>
          </w:tcPr>
          <w:p>
            <w:pPr>
              <w:spacing w:after="40" w:before="0" w:line="259" w:lineRule="auto"/>
            </w:pPr>
            <w:r>
              <w:rPr>
                <w:rFonts w:ascii="Calibri" w:hAnsi="Calibri"/>
                <w:b w:val="0"/>
                <w:i w:val="0"/>
                <w:color w:val="212121"/>
                <w:sz w:val="16"/>
              </w:rPr>
              <w:t>Sick contacts, crowding, season, smoke/pollution exposure</w:t>
            </w:r>
          </w:p>
        </w:tc>
        <w:tc>
          <w:tcPr>
            <w:tcW w:type="dxa" w:w="950"/>
            <w:vAlign w:val="top"/>
          </w:tcPr>
          <w:p>
            <w:pPr>
              <w:spacing w:after="40" w:before="0" w:line="259" w:lineRule="auto"/>
            </w:pPr>
            <w:r>
              <w:rPr>
                <w:rFonts w:ascii="Calibri" w:hAnsi="Calibri"/>
                <w:b w:val="0"/>
                <w:i w:val="0"/>
                <w:color w:val="212121"/>
                <w:sz w:val="16"/>
              </w:rPr>
              <w:t>No clear exposure</w:t>
            </w:r>
          </w:p>
        </w:tc>
        <w:tc>
          <w:tcPr>
            <w:tcW w:type="dxa" w:w="950"/>
            <w:vAlign w:val="top"/>
          </w:tcPr>
          <w:p>
            <w:pPr>
              <w:spacing w:after="40" w:before="0" w:line="259" w:lineRule="auto"/>
            </w:pPr>
            <w:r>
              <w:rPr>
                <w:rFonts w:ascii="Calibri" w:hAnsi="Calibri"/>
                <w:b w:val="0"/>
                <w:i w:val="0"/>
                <w:color w:val="212121"/>
                <w:sz w:val="16"/>
              </w:rPr>
              <w:t>Known contact/outbreak, crowding, biomass or tobacco smoke</w:t>
            </w:r>
          </w:p>
        </w:tc>
        <w:tc>
          <w:tcPr>
            <w:tcW w:type="dxa" w:w="1036"/>
            <w:vAlign w:val="top"/>
          </w:tcPr>
          <w:p>
            <w:pPr>
              <w:spacing w:after="40" w:before="0" w:line="259" w:lineRule="auto"/>
            </w:pPr>
            <w:r>
              <w:rPr>
                <w:rFonts w:ascii="Calibri" w:hAnsi="Calibri"/>
                <w:b w:val="0"/>
                <w:i w:val="0"/>
                <w:color w:val="212121"/>
                <w:sz w:val="16"/>
              </w:rPr>
              <w:t>Supports diagnosis and directs preventive counselling</w:t>
            </w:r>
          </w:p>
        </w:tc>
        <w:tc>
          <w:tcPr>
            <w:tcW w:type="dxa" w:w="1036"/>
            <w:vAlign w:val="top"/>
          </w:tcPr>
          <w:p>
            <w:pPr>
              <w:spacing w:after="40" w:before="0" w:line="259" w:lineRule="auto"/>
            </w:pPr>
            <w:r>
              <w:rPr>
                <w:rFonts w:ascii="Calibri" w:hAnsi="Calibri"/>
                <w:b w:val="0"/>
                <w:i w:val="0"/>
                <w:color w:val="212121"/>
                <w:sz w:val="16"/>
              </w:rPr>
              <w:t>Households, school/day-care, biomass-fuel homes</w:t>
            </w:r>
          </w:p>
        </w:tc>
        <w:tc>
          <w:tcPr>
            <w:tcW w:type="dxa" w:w="720"/>
            <w:vAlign w:val="top"/>
          </w:tcPr>
          <w:p>
            <w:pPr>
              <w:spacing w:after="40" w:before="0" w:line="259" w:lineRule="auto"/>
            </w:pPr>
            <w:r>
              <w:rPr>
                <w:rFonts w:ascii="Calibri" w:hAnsi="Calibri"/>
                <w:b w:val="0"/>
                <w:i w:val="0"/>
                <w:color w:val="212121"/>
                <w:sz w:val="16"/>
              </w:rPr>
              <w:t>Hygiene; Smoking; Provoking factors</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Frames source control and hygiene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ENT examination</w:t>
            </w:r>
          </w:p>
        </w:tc>
        <w:tc>
          <w:tcPr>
            <w:tcW w:type="dxa" w:w="979"/>
            <w:vAlign w:val="top"/>
          </w:tcPr>
          <w:p>
            <w:pPr>
              <w:spacing w:after="40" w:before="0" w:line="259" w:lineRule="auto"/>
            </w:pPr>
            <w:r>
              <w:rPr>
                <w:rFonts w:ascii="Calibri" w:hAnsi="Calibri"/>
                <w:b w:val="0"/>
                <w:i w:val="0"/>
                <w:color w:val="212121"/>
                <w:sz w:val="16"/>
              </w:rPr>
              <w:t>Nasal mucosa, oropharynx, tympanic membranes, sinus tenderness</w:t>
            </w:r>
          </w:p>
        </w:tc>
        <w:tc>
          <w:tcPr>
            <w:tcW w:type="dxa" w:w="950"/>
            <w:vAlign w:val="top"/>
          </w:tcPr>
          <w:p>
            <w:pPr>
              <w:spacing w:after="40" w:before="0" w:line="259" w:lineRule="auto"/>
            </w:pPr>
            <w:r>
              <w:rPr>
                <w:rFonts w:ascii="Calibri" w:hAnsi="Calibri"/>
                <w:b w:val="0"/>
                <w:i w:val="0"/>
                <w:color w:val="212121"/>
                <w:sz w:val="16"/>
              </w:rPr>
              <w:t>Mildly erythematous/oedematous mucosa, clear–mucoid discharge, no exudate, normal TMs</w:t>
            </w:r>
          </w:p>
        </w:tc>
        <w:tc>
          <w:tcPr>
            <w:tcW w:type="dxa" w:w="950"/>
            <w:vAlign w:val="top"/>
          </w:tcPr>
          <w:p>
            <w:pPr>
              <w:spacing w:after="40" w:before="0" w:line="259" w:lineRule="auto"/>
            </w:pPr>
            <w:r>
              <w:rPr>
                <w:rFonts w:ascii="Calibri" w:hAnsi="Calibri"/>
                <w:b w:val="0"/>
                <w:i w:val="0"/>
                <w:color w:val="212121"/>
                <w:sz w:val="16"/>
              </w:rPr>
              <w:t>Tonsillar exudate, bulging/red TM, purulent discharge with facial tenderness</w:t>
            </w:r>
          </w:p>
        </w:tc>
        <w:tc>
          <w:tcPr>
            <w:tcW w:type="dxa" w:w="1036"/>
            <w:vAlign w:val="top"/>
          </w:tcPr>
          <w:p>
            <w:pPr>
              <w:spacing w:after="40" w:before="0" w:line="259" w:lineRule="auto"/>
            </w:pPr>
            <w:r>
              <w:rPr>
                <w:rFonts w:ascii="Calibri" w:hAnsi="Calibri"/>
                <w:b w:val="0"/>
                <w:i w:val="0"/>
                <w:color w:val="212121"/>
                <w:sz w:val="16"/>
              </w:rPr>
              <w:t>Distinguishes uncomplicated URTI from streptococcal pharyngitis, otitis media or bacterial sinusitis</w:t>
            </w:r>
          </w:p>
        </w:tc>
        <w:tc>
          <w:tcPr>
            <w:tcW w:type="dxa" w:w="1036"/>
            <w:vAlign w:val="top"/>
          </w:tcPr>
          <w:p>
            <w:pPr>
              <w:spacing w:after="40" w:before="0" w:line="259" w:lineRule="auto"/>
            </w:pPr>
            <w:r>
              <w:rPr>
                <w:rFonts w:ascii="Calibri" w:hAnsi="Calibri"/>
                <w:b w:val="0"/>
                <w:i w:val="0"/>
                <w:color w:val="212121"/>
                <w:sz w:val="16"/>
              </w:rPr>
              <w:t>All symptomatic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Focus of the examination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Vital signs &amp; respiratory exam</w:t>
            </w:r>
          </w:p>
        </w:tc>
        <w:tc>
          <w:tcPr>
            <w:tcW w:type="dxa" w:w="979"/>
            <w:vAlign w:val="top"/>
          </w:tcPr>
          <w:p>
            <w:pPr>
              <w:spacing w:after="40" w:before="0" w:line="259" w:lineRule="auto"/>
            </w:pPr>
            <w:r>
              <w:rPr>
                <w:rFonts w:ascii="Calibri" w:hAnsi="Calibri"/>
                <w:b w:val="0"/>
                <w:i w:val="0"/>
                <w:color w:val="212121"/>
                <w:sz w:val="16"/>
              </w:rPr>
              <w:t>Temperature, respiratory rate, SpO₂, chest auscultation</w:t>
            </w:r>
          </w:p>
        </w:tc>
        <w:tc>
          <w:tcPr>
            <w:tcW w:type="dxa" w:w="950"/>
            <w:vAlign w:val="top"/>
          </w:tcPr>
          <w:p>
            <w:pPr>
              <w:spacing w:after="40" w:before="0" w:line="259" w:lineRule="auto"/>
            </w:pPr>
            <w:r>
              <w:rPr>
                <w:rFonts w:ascii="Calibri" w:hAnsi="Calibri"/>
                <w:b w:val="0"/>
                <w:i w:val="0"/>
                <w:color w:val="212121"/>
                <w:sz w:val="16"/>
              </w:rPr>
              <w:t>Afebrile/low-grade fever, normal RR &amp; SpO₂, clear chest</w:t>
            </w:r>
          </w:p>
        </w:tc>
        <w:tc>
          <w:tcPr>
            <w:tcW w:type="dxa" w:w="950"/>
            <w:vAlign w:val="top"/>
          </w:tcPr>
          <w:p>
            <w:pPr>
              <w:spacing w:after="40" w:before="0" w:line="259" w:lineRule="auto"/>
            </w:pPr>
            <w:r>
              <w:rPr>
                <w:rFonts w:ascii="Calibri" w:hAnsi="Calibri"/>
                <w:b w:val="0"/>
                <w:i w:val="0"/>
                <w:color w:val="212121"/>
                <w:sz w:val="16"/>
              </w:rPr>
              <w:t>High/persistent fever, tachypnoea, hypoxia, crackles/wheeze</w:t>
            </w:r>
          </w:p>
        </w:tc>
        <w:tc>
          <w:tcPr>
            <w:tcW w:type="dxa" w:w="1036"/>
            <w:vAlign w:val="top"/>
          </w:tcPr>
          <w:p>
            <w:pPr>
              <w:spacing w:after="40" w:before="0" w:line="259" w:lineRule="auto"/>
            </w:pPr>
            <w:r>
              <w:rPr>
                <w:rFonts w:ascii="Calibri" w:hAnsi="Calibri"/>
                <w:b w:val="0"/>
                <w:i w:val="0"/>
                <w:color w:val="212121"/>
                <w:sz w:val="16"/>
              </w:rPr>
              <w:t>Detects lower-respiratory involvement/pneumonia and exacerbations needing escalation</w:t>
            </w:r>
          </w:p>
        </w:tc>
        <w:tc>
          <w:tcPr>
            <w:tcW w:type="dxa" w:w="1036"/>
            <w:vAlign w:val="top"/>
          </w:tcPr>
          <w:p>
            <w:pPr>
              <w:spacing w:after="40" w:before="0" w:line="259" w:lineRule="auto"/>
            </w:pPr>
            <w:r>
              <w:rPr>
                <w:rFonts w:ascii="Calibri" w:hAnsi="Calibri"/>
                <w:b w:val="0"/>
                <w:i w:val="0"/>
                <w:color w:val="212121"/>
                <w:sz w:val="16"/>
              </w:rPr>
              <w:t>Elderly, children, asthma/COPD, comorbid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Key red-flag screen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&amp; comorbidity screen</w:t>
            </w:r>
          </w:p>
        </w:tc>
        <w:tc>
          <w:tcPr>
            <w:tcW w:type="dxa" w:w="979"/>
            <w:vAlign w:val="top"/>
          </w:tcPr>
          <w:p>
            <w:pPr>
              <w:spacing w:after="40" w:before="0" w:line="259" w:lineRule="auto"/>
            </w:pPr>
            <w:r>
              <w:rPr>
                <w:rFonts w:ascii="Calibri" w:hAnsi="Calibri"/>
                <w:b w:val="0"/>
                <w:i w:val="0"/>
                <w:color w:val="212121"/>
                <w:sz w:val="16"/>
              </w:rPr>
              <w:t>Dyspnoea, ear/facial pain, high fever, asthma/COPD, immunocompromise, diabetes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red flag or high-risk comorbidity</w:t>
            </w:r>
          </w:p>
        </w:tc>
        <w:tc>
          <w:tcPr>
            <w:tcW w:type="dxa" w:w="1036"/>
            <w:vAlign w:val="top"/>
          </w:tcPr>
          <w:p>
            <w:pPr>
              <w:spacing w:after="40" w:before="0" w:line="259" w:lineRule="auto"/>
            </w:pPr>
            <w:r>
              <w:rPr>
                <w:rFonts w:ascii="Calibri" w:hAnsi="Calibri"/>
                <w:b w:val="0"/>
                <w:i w:val="0"/>
                <w:color w:val="212121"/>
                <w:sz w:val="16"/>
              </w:rPr>
              <w:t>Identifies patients at risk of complications who need closer review or investigation</w:t>
            </w:r>
          </w:p>
        </w:tc>
        <w:tc>
          <w:tcPr>
            <w:tcW w:type="dxa" w:w="1036"/>
            <w:vAlign w:val="top"/>
          </w:tcPr>
          <w:p>
            <w:pPr>
              <w:spacing w:after="40" w:before="0" w:line="259" w:lineRule="auto"/>
            </w:pPr>
            <w:r>
              <w:rPr>
                <w:rFonts w:ascii="Calibri" w:hAnsi="Calibri"/>
                <w:b w:val="0"/>
                <w:i w:val="0"/>
                <w:color w:val="212121"/>
                <w:sz w:val="16"/>
              </w:rPr>
              <w:t>High-risk groups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Triggers escalation from reassurance to work-up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Nasal congestion / blockage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Mucosal swelling of the nasal lining obstructs airflow; often the most bothersome symptom.</w:t>
            </w:r>
          </w:p>
        </w:tc>
      </w:tr>
      <w:tr>
        <w:trPr>
          <w:cantSplit/>
        </w:trPr>
        <w:tc>
          <w:tcPr>
            <w:tcW w:type="dxa" w:w="2304"/>
            <w:vAlign w:val="top"/>
          </w:tcPr>
          <w:p>
            <w:pPr>
              <w:spacing w:after="40" w:before="0" w:line="259" w:lineRule="auto"/>
            </w:pPr>
            <w:r>
              <w:rPr>
                <w:rFonts w:ascii="Calibri" w:hAnsi="Calibri"/>
                <w:b/>
                <w:i w:val="0"/>
                <w:color w:val="212121"/>
                <w:sz w:val="19"/>
              </w:rPr>
              <w:t>Rhinorrhoea (runny nose)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Initially clear/watery, may become thicker and mucoid over days; not by itself a sign of bacterial infection.</w:t>
            </w:r>
          </w:p>
        </w:tc>
      </w:tr>
      <w:tr>
        <w:trPr>
          <w:cantSplit/>
        </w:trPr>
        <w:tc>
          <w:tcPr>
            <w:tcW w:type="dxa" w:w="2304"/>
            <w:vAlign w:val="top"/>
          </w:tcPr>
          <w:p>
            <w:pPr>
              <w:spacing w:after="40" w:before="0" w:line="259" w:lineRule="auto"/>
            </w:pPr>
            <w:r>
              <w:rPr>
                <w:rFonts w:ascii="Calibri" w:hAnsi="Calibri"/>
                <w:b/>
                <w:i w:val="0"/>
                <w:color w:val="212121"/>
                <w:sz w:val="19"/>
              </w:rPr>
              <w:t>Sneezing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response to mucosal irritation and inflammation; aids viral spread.</w:t>
            </w:r>
          </w:p>
        </w:tc>
      </w:tr>
      <w:tr>
        <w:trPr>
          <w:cantSplit/>
        </w:trPr>
        <w:tc>
          <w:tcPr>
            <w:tcW w:type="dxa" w:w="2304"/>
            <w:vAlign w:val="top"/>
          </w:tcPr>
          <w:p>
            <w:pPr>
              <w:spacing w:after="40" w:before="0" w:line="259" w:lineRule="auto"/>
            </w:pPr>
            <w:r>
              <w:rPr>
                <w:rFonts w:ascii="Calibri" w:hAnsi="Calibri"/>
                <w:b/>
                <w:i w:val="0"/>
                <w:color w:val="212121"/>
                <w:sz w:val="19"/>
              </w:rPr>
              <w:t>Sore / scratchy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Pharyngeal inflammation; often an early symptom that settles as nasal symptoms build.</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dry initially, may become productive; post-viral cough can persist 2–3 weeks.</w:t>
            </w:r>
          </w:p>
        </w:tc>
      </w:tr>
      <w:tr>
        <w:trPr>
          <w:cantSplit/>
        </w:trPr>
        <w:tc>
          <w:tcPr>
            <w:tcW w:type="dxa" w:w="2304"/>
            <w:vAlign w:val="top"/>
          </w:tcPr>
          <w:p>
            <w:pPr>
              <w:spacing w:after="40" w:before="0" w:line="259" w:lineRule="auto"/>
            </w:pPr>
            <w:r>
              <w:rPr>
                <w:rFonts w:ascii="Calibri" w:hAnsi="Calibri"/>
                <w:b/>
                <w:i w:val="0"/>
                <w:color w:val="212121"/>
                <w:sz w:val="19"/>
              </w:rPr>
              <w:t>Post-nasal drip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Mucus tracking down the throat, provoking throat-clearing and night-time cough.</w:t>
            </w:r>
          </w:p>
        </w:tc>
      </w:tr>
      <w:tr>
        <w:trPr>
          <w:cantSplit/>
        </w:trPr>
        <w:tc>
          <w:tcPr>
            <w:tcW w:type="dxa" w:w="2304"/>
            <w:vAlign w:val="top"/>
          </w:tcPr>
          <w:p>
            <w:pPr>
              <w:spacing w:after="40" w:before="0" w:line="259" w:lineRule="auto"/>
            </w:pPr>
            <w:r>
              <w:rPr>
                <w:rFonts w:ascii="Calibri" w:hAnsi="Calibri"/>
                <w:b/>
                <w:i w:val="0"/>
                <w:color w:val="212121"/>
                <w:sz w:val="19"/>
              </w:rPr>
              <w:t>Malaise /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response to viral infection and inflammatory cytokines.</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congestion, sinus pressure and the systemic viral response.</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More frequent and higher in infants and young children than in adults.</w:t>
            </w:r>
          </w:p>
        </w:tc>
      </w:tr>
      <w:tr>
        <w:trPr>
          <w:cantSplit/>
        </w:trPr>
        <w:tc>
          <w:tcPr>
            <w:tcW w:type="dxa" w:w="2304"/>
            <w:vAlign w:val="top"/>
          </w:tcPr>
          <w:p>
            <w:pPr>
              <w:spacing w:after="40" w:before="0" w:line="259" w:lineRule="auto"/>
            </w:pPr>
            <w:r>
              <w:rPr>
                <w:rFonts w:ascii="Calibri" w:hAnsi="Calibri"/>
                <w:b/>
                <w:i w:val="0"/>
                <w:color w:val="212121"/>
                <w:sz w:val="19"/>
              </w:rPr>
              <w:t>Hoarseness / altered voice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Laryngeal involvement (acute laryngitis) accompanying the cold.</w:t>
            </w:r>
          </w:p>
        </w:tc>
      </w:tr>
      <w:tr>
        <w:trPr>
          <w:cantSplit/>
        </w:trPr>
        <w:tc>
          <w:tcPr>
            <w:tcW w:type="dxa" w:w="2304"/>
            <w:vAlign w:val="top"/>
          </w:tcPr>
          <w:p>
            <w:pPr>
              <w:spacing w:after="40" w:before="0" w:line="259" w:lineRule="auto"/>
            </w:pPr>
            <w:r>
              <w:rPr>
                <w:rFonts w:ascii="Calibri" w:hAnsi="Calibri"/>
                <w:b/>
                <w:i w:val="0"/>
                <w:color w:val="212121"/>
                <w:sz w:val="19"/>
              </w:rPr>
              <w:t>Body aches /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When prominent with high fever, consider influenza rather than a plain cold.</w:t>
            </w:r>
          </w:p>
        </w:tc>
      </w:tr>
      <w:tr>
        <w:trPr>
          <w:cantSplit/>
        </w:trPr>
        <w:tc>
          <w:tcPr>
            <w:tcW w:type="dxa" w:w="2304"/>
            <w:vAlign w:val="top"/>
          </w:tcPr>
          <w:p>
            <w:pPr>
              <w:spacing w:after="40" w:before="0" w:line="259" w:lineRule="auto"/>
            </w:pPr>
            <w:r>
              <w:rPr>
                <w:rFonts w:ascii="Calibri" w:hAnsi="Calibri"/>
                <w:b/>
                <w:i w:val="0"/>
                <w:color w:val="212121"/>
                <w:sz w:val="19"/>
              </w:rPr>
              <w:t>Reduced smell &amp; taste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nasal obstruction and mucosal inflammation; usually reversible.</w:t>
            </w:r>
          </w:p>
        </w:tc>
      </w:tr>
      <w:tr>
        <w:trPr>
          <w:cantSplit/>
        </w:trPr>
        <w:tc>
          <w:tcPr>
            <w:tcW w:type="dxa" w:w="2304"/>
            <w:vAlign w:val="top"/>
          </w:tcPr>
          <w:p>
            <w:pPr>
              <w:spacing w:after="40" w:before="0" w:line="259" w:lineRule="auto"/>
            </w:pPr>
            <w:r>
              <w:rPr>
                <w:rFonts w:ascii="Calibri" w:hAnsi="Calibri"/>
                <w:b/>
                <w:i w:val="0"/>
                <w:color w:val="212121"/>
                <w:sz w:val="19"/>
              </w:rPr>
              <w:t>Blocked / popping ears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Eustachian-tube dysfunction; may precede otitis media, especially in children.</w:t>
            </w:r>
          </w:p>
        </w:tc>
      </w:tr>
      <w:tr>
        <w:trPr>
          <w:cantSplit/>
        </w:trPr>
        <w:tc>
          <w:tcPr>
            <w:tcW w:type="dxa" w:w="2304"/>
            <w:vAlign w:val="top"/>
          </w:tcPr>
          <w:p>
            <w:pPr>
              <w:spacing w:after="40" w:before="0" w:line="259" w:lineRule="auto"/>
            </w:pPr>
            <w:r>
              <w:rPr>
                <w:rFonts w:ascii="Calibri" w:hAnsi="Calibri"/>
                <w:b/>
                <w:i w:val="0"/>
                <w:color w:val="212121"/>
                <w:sz w:val="19"/>
              </w:rPr>
              <w:t>Marked dyspnoea or wheeze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lower-tract involvement or an asthma/COPD exacerbation — a red flag needing review.</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Erythematous, oedematous nasal mucosa with clear–mucoid discharge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rhinoscopic finding of viral rhinitis.</w:t>
            </w:r>
          </w:p>
        </w:tc>
      </w:tr>
      <w:tr>
        <w:trPr>
          <w:cantSplit/>
        </w:trPr>
        <w:tc>
          <w:tcPr>
            <w:tcW w:type="dxa" w:w="3456"/>
            <w:vAlign w:val="top"/>
          </w:tcPr>
          <w:p>
            <w:pPr>
              <w:spacing w:after="40" w:before="0" w:line="259" w:lineRule="auto"/>
            </w:pPr>
            <w:r>
              <w:rPr>
                <w:rFonts w:ascii="Calibri" w:hAnsi="Calibri"/>
                <w:b/>
                <w:i w:val="0"/>
                <w:color w:val="212121"/>
                <w:sz w:val="19"/>
              </w:rPr>
              <w:t>Pharyngeal erythema without exudate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Viral pharyngitis; exudate instead suggests streptococcal or other bacterial cause.</w:t>
            </w:r>
          </w:p>
        </w:tc>
      </w:tr>
      <w:tr>
        <w:trPr>
          <w:cantSplit/>
        </w:trPr>
        <w:tc>
          <w:tcPr>
            <w:tcW w:type="dxa" w:w="3456"/>
            <w:vAlign w:val="top"/>
          </w:tcPr>
          <w:p>
            <w:pPr>
              <w:spacing w:after="40" w:before="0" w:line="259" w:lineRule="auto"/>
            </w:pPr>
            <w:r>
              <w:rPr>
                <w:rFonts w:ascii="Calibri" w:hAnsi="Calibri"/>
                <w:b/>
                <w:i w:val="0"/>
                <w:color w:val="212121"/>
                <w:sz w:val="19"/>
              </w:rPr>
              <w:t>Nasal-quality (congested) voice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nasal obstruction from mucosal swelling.</w:t>
            </w:r>
          </w:p>
        </w:tc>
      </w:tr>
      <w:tr>
        <w:trPr>
          <w:cantSplit/>
        </w:trPr>
        <w:tc>
          <w:tcPr>
            <w:tcW w:type="dxa" w:w="3456"/>
            <w:vAlign w:val="top"/>
          </w:tcPr>
          <w:p>
            <w:pPr>
              <w:spacing w:after="40" w:before="0" w:line="259" w:lineRule="auto"/>
            </w:pPr>
            <w:r>
              <w:rPr>
                <w:rFonts w:ascii="Calibri" w:hAnsi="Calibri"/>
                <w:b/>
                <w:i w:val="0"/>
                <w:color w:val="212121"/>
                <w:sz w:val="19"/>
              </w:rPr>
              <w:t>Watery / mildly injected conjunctivae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with rhinovirus and adenovirus colds.</w:t>
            </w:r>
          </w:p>
        </w:tc>
      </w:tr>
      <w:tr>
        <w:trPr>
          <w:cantSplit/>
        </w:trPr>
        <w:tc>
          <w:tcPr>
            <w:tcW w:type="dxa" w:w="3456"/>
            <w:vAlign w:val="top"/>
          </w:tcPr>
          <w:p>
            <w:pPr>
              <w:spacing w:after="40" w:before="0" w:line="259" w:lineRule="auto"/>
            </w:pPr>
            <w:r>
              <w:rPr>
                <w:rFonts w:ascii="Calibri" w:hAnsi="Calibri"/>
                <w:b/>
                <w:i w:val="0"/>
                <w:color w:val="212121"/>
                <w:sz w:val="19"/>
              </w:rPr>
              <w:t>Low-grade pyrexia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temperature elevation, more pronounced in children.</w:t>
            </w:r>
          </w:p>
        </w:tc>
      </w:tr>
      <w:tr>
        <w:trPr>
          <w:cantSplit/>
        </w:trPr>
        <w:tc>
          <w:tcPr>
            <w:tcW w:type="dxa" w:w="3456"/>
            <w:vAlign w:val="top"/>
          </w:tcPr>
          <w:p>
            <w:pPr>
              <w:spacing w:after="40" w:before="0" w:line="259" w:lineRule="auto"/>
            </w:pPr>
            <w:r>
              <w:rPr>
                <w:rFonts w:ascii="Calibri" w:hAnsi="Calibri"/>
                <w:b/>
                <w:i w:val="0"/>
                <w:color w:val="212121"/>
                <w:sz w:val="19"/>
              </w:rPr>
              <w:t>Mildly tender, small anterior cervical lymph nodes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Reactive lymphadenopathy to upper-airway infection.</w:t>
            </w:r>
          </w:p>
        </w:tc>
      </w:tr>
      <w:tr>
        <w:trPr>
          <w:cantSplit/>
        </w:trPr>
        <w:tc>
          <w:tcPr>
            <w:tcW w:type="dxa" w:w="3456"/>
            <w:vAlign w:val="top"/>
          </w:tcPr>
          <w:p>
            <w:pPr>
              <w:spacing w:after="40" w:before="0" w:line="259" w:lineRule="auto"/>
            </w:pPr>
            <w:r>
              <w:rPr>
                <w:rFonts w:ascii="Calibri" w:hAnsi="Calibri"/>
                <w:b/>
                <w:i w:val="0"/>
                <w:color w:val="212121"/>
                <w:sz w:val="19"/>
              </w:rPr>
              <w:t>Post-nasal mucus streaks on the posterior pharyngeal wall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Correlates with post-nasal drip and cough.</w:t>
            </w:r>
          </w:p>
        </w:tc>
      </w:tr>
      <w:tr>
        <w:trPr>
          <w:cantSplit/>
        </w:trPr>
        <w:tc>
          <w:tcPr>
            <w:tcW w:type="dxa" w:w="3456"/>
            <w:vAlign w:val="top"/>
          </w:tcPr>
          <w:p>
            <w:pPr>
              <w:spacing w:after="40" w:before="0" w:line="259" w:lineRule="auto"/>
            </w:pPr>
            <w:r>
              <w:rPr>
                <w:rFonts w:ascii="Calibri" w:hAnsi="Calibri"/>
                <w:b/>
                <w:i w:val="0"/>
                <w:color w:val="212121"/>
                <w:sz w:val="19"/>
              </w:rPr>
              <w:t>Dull or retracted tympanic membrane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Eustachian-tube dysfunction / early middle-ear effusion.</w:t>
            </w:r>
          </w:p>
        </w:tc>
      </w:tr>
      <w:tr>
        <w:trPr>
          <w:cantSplit/>
        </w:trPr>
        <w:tc>
          <w:tcPr>
            <w:tcW w:type="dxa" w:w="3456"/>
            <w:vAlign w:val="top"/>
          </w:tcPr>
          <w:p>
            <w:pPr>
              <w:spacing w:after="40" w:before="0" w:line="259" w:lineRule="auto"/>
            </w:pPr>
            <w:r>
              <w:rPr>
                <w:rFonts w:ascii="Calibri" w:hAnsi="Calibri"/>
                <w:b/>
                <w:i w:val="0"/>
                <w:color w:val="212121"/>
                <w:sz w:val="19"/>
              </w:rPr>
              <w:t>Sinus tenderness on palpation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Mild in viral colds; marked unilateral tenderness with purulence suggests bacterial sinusitis.</w:t>
            </w:r>
          </w:p>
        </w:tc>
      </w:tr>
      <w:tr>
        <w:trPr>
          <w:cantSplit/>
        </w:trPr>
        <w:tc>
          <w:tcPr>
            <w:tcW w:type="dxa" w:w="3456"/>
            <w:vAlign w:val="top"/>
          </w:tcPr>
          <w:p>
            <w:pPr>
              <w:spacing w:after="40" w:before="0" w:line="259" w:lineRule="auto"/>
            </w:pPr>
            <w:r>
              <w:rPr>
                <w:rFonts w:ascii="Calibri" w:hAnsi="Calibri"/>
                <w:b/>
                <w:i w:val="0"/>
                <w:color w:val="212121"/>
                <w:sz w:val="19"/>
              </w:rPr>
              <w:t>Bulging, erythematous tympanic membrane</w:t>
            </w:r>
          </w:p>
        </w:tc>
        <w:tc>
          <w:tcPr>
            <w:tcW w:type="dxa" w:w="1728"/>
            <w:vAlign w:val="top"/>
          </w:tcPr>
          <w:p>
            <w:pPr>
              <w:spacing w:after="40" w:before="0" w:line="259" w:lineRule="auto"/>
            </w:pPr>
            <w:r>
              <w:rPr>
                <w:rFonts w:ascii="Calibri" w:hAnsi="Calibri"/>
                <w:b w:val="0"/>
                <w:i w:val="0"/>
                <w:color w:val="212121"/>
                <w:sz w:val="19"/>
              </w:rPr>
              <w:t>Rare (complication)</w:t>
            </w:r>
          </w:p>
        </w:tc>
        <w:tc>
          <w:tcPr>
            <w:tcW w:type="dxa" w:w="4420"/>
            <w:vAlign w:val="top"/>
          </w:tcPr>
          <w:p>
            <w:pPr>
              <w:spacing w:after="40" w:before="0" w:line="259" w:lineRule="auto"/>
            </w:pPr>
            <w:r>
              <w:rPr>
                <w:rFonts w:ascii="Calibri" w:hAnsi="Calibri"/>
                <w:b w:val="0"/>
                <w:i w:val="0"/>
                <w:color w:val="212121"/>
                <w:sz w:val="19"/>
              </w:rPr>
              <w:t>Sign of acute otitis media complicating the cold, especially in children.</w:t>
            </w:r>
          </w:p>
        </w:tc>
      </w:tr>
      <w:tr>
        <w:trPr>
          <w:cantSplit/>
        </w:trPr>
        <w:tc>
          <w:tcPr>
            <w:tcW w:type="dxa" w:w="3456"/>
            <w:vAlign w:val="top"/>
          </w:tcPr>
          <w:p>
            <w:pPr>
              <w:spacing w:after="40" w:before="0" w:line="259" w:lineRule="auto"/>
            </w:pPr>
            <w:r>
              <w:rPr>
                <w:rFonts w:ascii="Calibri" w:hAnsi="Calibri"/>
                <w:b/>
                <w:i w:val="0"/>
                <w:color w:val="212121"/>
                <w:sz w:val="19"/>
              </w:rPr>
              <w:t>Chest crackles / tachypnoea / hypoxia</w:t>
            </w:r>
          </w:p>
        </w:tc>
        <w:tc>
          <w:tcPr>
            <w:tcW w:type="dxa" w:w="1728"/>
            <w:vAlign w:val="top"/>
          </w:tcPr>
          <w:p>
            <w:pPr>
              <w:spacing w:after="40" w:before="0" w:line="259" w:lineRule="auto"/>
            </w:pPr>
            <w:r>
              <w:rPr>
                <w:rFonts w:ascii="Calibri" w:hAnsi="Calibri"/>
                <w:b w:val="0"/>
                <w:i w:val="0"/>
                <w:color w:val="212121"/>
                <w:sz w:val="19"/>
              </w:rPr>
              <w:t>Rare (red flag)</w:t>
            </w:r>
          </w:p>
        </w:tc>
        <w:tc>
          <w:tcPr>
            <w:tcW w:type="dxa" w:w="4420"/>
            <w:vAlign w:val="top"/>
          </w:tcPr>
          <w:p>
            <w:pPr>
              <w:spacing w:after="40" w:before="0" w:line="259" w:lineRule="auto"/>
            </w:pPr>
            <w:r>
              <w:rPr>
                <w:rFonts w:ascii="Calibri" w:hAnsi="Calibri"/>
                <w:b w:val="0"/>
                <w:i w:val="0"/>
                <w:color w:val="212121"/>
                <w:sz w:val="19"/>
              </w:rPr>
              <w:t>Indicates lower respiratory tract infection or pneumonia — no longer an uncomplicated cold.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otitis media (especially in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bacterial rhinosinusitis complicating a viral cold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laryngitis and, in children, laryngotracheobronchitis (croup)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pharyngitis/tonsillitis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Lower-respiratory extension — acute bronchitis</w:t>
            </w:r>
          </w:p>
        </w:tc>
        <w:tc>
          <w:tcPr>
            <w:tcW w:type="dxa" w:w="2980"/>
            <w:vAlign w:val="top"/>
          </w:tcPr>
          <w:p>
            <w:pPr>
              <w:spacing w:after="40" w:before="0" w:line="259" w:lineRule="auto"/>
            </w:pPr>
            <w:r>
              <w:rPr>
                <w:rFonts w:ascii="Calibri" w:hAnsi="Calibri"/>
                <w:b w:val="0"/>
                <w:i w:val="0"/>
                <w:color w:val="212121"/>
                <w:sz w:val="19"/>
              </w:rPr>
              <w:t>Direct spread or secondary bacterial superinfection of the inflamed upper airway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Exacerbation of asthma and COPD (viral URTI is the leading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Community-acquired pneumonia (viral or secondary bacterial)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Serous otitis media with transient conductive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seizures in susceptible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of heart failure or glycaemic control in comorbid adults</w:t>
            </w:r>
          </w:p>
        </w:tc>
        <w:tc>
          <w:tcPr>
            <w:tcW w:type="dxa" w:w="2980"/>
            <w:vAlign w:val="top"/>
          </w:tcPr>
          <w:p>
            <w:pPr>
              <w:spacing w:after="40" w:before="0" w:line="259" w:lineRule="auto"/>
            </w:pPr>
            <w:r>
              <w:rPr>
                <w:rFonts w:ascii="Calibri" w:hAnsi="Calibri"/>
                <w:b w:val="0"/>
                <w:i w:val="0"/>
                <w:color w:val="212121"/>
                <w:sz w:val="19"/>
              </w:rPr>
              <w:t>Consequences in vulnerable hosts and those with chronic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Mastoiditis, peri-orbital/orbital cellulitis, or intracranial spread (meningitis, abscess) from otitis/sinusitis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suppurative otitis media with lasting hearing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Bronchiectasis from recurrent/severe childhood lower-respiratory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failure/ARDS from severe pneumonia in high-risk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 antimicrobial resistance driven by inappropriate antibiotic use for viral colds</w:t>
            </w:r>
          </w:p>
        </w:tc>
        <w:tc>
          <w:tcPr>
            <w:tcW w:type="dxa" w:w="2980"/>
            <w:vAlign w:val="top"/>
          </w:tcPr>
          <w:p>
            <w:pPr>
              <w:spacing w:after="40" w:before="0" w:line="259" w:lineRule="auto"/>
            </w:pPr>
            <w:r>
              <w:rPr>
                <w:rFonts w:ascii="Calibri" w:hAnsi="Calibri"/>
                <w:b w:val="0"/>
                <w:i w:val="0"/>
                <w:color w:val="212121"/>
                <w:sz w:val="19"/>
              </w:rPr>
              <w:t>Severe, disabling or population-level sequelae of complicated or mismanaged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Allergic rhinitis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nasal symptoms with and predisposes to viral URTI; the two frequently coexist and are easily confused.</w:t>
            </w:r>
          </w:p>
        </w:tc>
      </w:tr>
      <w:tr>
        <w:trPr>
          <w:cantSplit/>
        </w:trPr>
        <w:tc>
          <w:tcPr>
            <w:tcW w:type="dxa" w:w="2232"/>
            <w:vAlign w:val="top"/>
          </w:tcPr>
          <w:p>
            <w:pPr>
              <w:spacing w:after="40" w:before="0" w:line="259" w:lineRule="auto"/>
            </w:pPr>
            <w:r>
              <w:rPr>
                <w:rFonts w:ascii="Calibri" w:hAnsi="Calibri"/>
                <w:b/>
                <w:i w:val="0"/>
                <w:color w:val="212121"/>
                <w:sz w:val="19"/>
              </w:rPr>
              <w:t>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Viral URTI is the commonest precipitant of acute asthma exacerbations, particularly in children.</w:t>
            </w:r>
          </w:p>
        </w:tc>
      </w:tr>
      <w:tr>
        <w:trPr>
          <w:cantSplit/>
        </w:trPr>
        <w:tc>
          <w:tcPr>
            <w:tcW w:type="dxa" w:w="2232"/>
            <w:vAlign w:val="top"/>
          </w:tcPr>
          <w:p>
            <w:pPr>
              <w:spacing w:after="40" w:before="0" w:line="259" w:lineRule="auto"/>
            </w:pPr>
            <w:r>
              <w:rPr>
                <w:rFonts w:ascii="Calibri" w:hAnsi="Calibri"/>
                <w:b/>
                <w:i w:val="0"/>
                <w:color w:val="212121"/>
                <w:sz w:val="19"/>
              </w:rPr>
              <w:t>COPD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Respiratory viral infection triggers a large share of COPD exacerbations and hospital admissions.</w:t>
            </w:r>
          </w:p>
        </w:tc>
      </w:tr>
      <w:tr>
        <w:trPr>
          <w:cantSplit/>
        </w:trPr>
        <w:tc>
          <w:tcPr>
            <w:tcW w:type="dxa" w:w="2232"/>
            <w:vAlign w:val="top"/>
          </w:tcPr>
          <w:p>
            <w:pPr>
              <w:spacing w:after="40" w:before="0" w:line="259" w:lineRule="auto"/>
            </w:pPr>
            <w:r>
              <w:rPr>
                <w:rFonts w:ascii="Calibri" w:hAnsi="Calibri"/>
                <w:b/>
                <w:i w:val="0"/>
                <w:color w:val="212121"/>
                <w:sz w:val="19"/>
              </w:rPr>
              <w:t>Acute otitis media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Frequent middle-ear complication of colds in young children owing to Eustachian-tube involvement.</w:t>
            </w:r>
          </w:p>
        </w:tc>
      </w:tr>
      <w:tr>
        <w:trPr>
          <w:cantSplit/>
        </w:trPr>
        <w:tc>
          <w:tcPr>
            <w:tcW w:type="dxa" w:w="2232"/>
            <w:vAlign w:val="top"/>
          </w:tcPr>
          <w:p>
            <w:pPr>
              <w:spacing w:after="40" w:before="0" w:line="259" w:lineRule="auto"/>
            </w:pPr>
            <w:r>
              <w:rPr>
                <w:rFonts w:ascii="Calibri" w:hAnsi="Calibri"/>
                <w:b/>
                <w:i w:val="0"/>
                <w:color w:val="212121"/>
                <w:sz w:val="19"/>
              </w:rPr>
              <w:t>Acute rhinosinusitis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Most sinusitis begins as a viral cold; only a small minority progress to bacterial infection.</w:t>
            </w:r>
          </w:p>
        </w:tc>
      </w:tr>
      <w:tr>
        <w:trPr>
          <w:cantSplit/>
        </w:trPr>
        <w:tc>
          <w:tcPr>
            <w:tcW w:type="dxa" w:w="2232"/>
            <w:vAlign w:val="top"/>
          </w:tcPr>
          <w:p>
            <w:pPr>
              <w:spacing w:after="40" w:before="0" w:line="259" w:lineRule="auto"/>
            </w:pPr>
            <w:r>
              <w:rPr>
                <w:rFonts w:ascii="Calibri" w:hAnsi="Calibri"/>
                <w:b/>
                <w:i w:val="0"/>
                <w:color w:val="212121"/>
                <w:sz w:val="19"/>
              </w:rPr>
              <w:t>Adenoid / tonsillar hypertrophy (children)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Predisposes to recurrent URTI, mouth-breathing and middle-ear effusions.</w:t>
            </w:r>
          </w:p>
        </w:tc>
      </w:tr>
      <w:tr>
        <w:trPr>
          <w:cantSplit/>
        </w:trPr>
        <w:tc>
          <w:tcPr>
            <w:tcW w:type="dxa" w:w="2232"/>
            <w:vAlign w:val="top"/>
          </w:tcPr>
          <w:p>
            <w:pPr>
              <w:spacing w:after="40" w:before="0" w:line="259" w:lineRule="auto"/>
            </w:pPr>
            <w:r>
              <w:rPr>
                <w:rFonts w:ascii="Calibri" w:hAnsi="Calibri"/>
                <w:b/>
                <w:i w:val="0"/>
                <w:color w:val="212121"/>
                <w:sz w:val="19"/>
              </w:rPr>
              <w:t>Diabetes mellitus / immunocompromise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Impaired immunity leads to more frequent, prolonged and complicated infections.</w:t>
            </w:r>
          </w:p>
        </w:tc>
      </w:tr>
      <w:tr>
        <w:trPr>
          <w:cantSplit/>
        </w:trPr>
        <w:tc>
          <w:tcPr>
            <w:tcW w:type="dxa" w:w="2232"/>
            <w:vAlign w:val="top"/>
          </w:tcPr>
          <w:p>
            <w:pPr>
              <w:spacing w:after="40" w:before="0" w:line="259" w:lineRule="auto"/>
            </w:pPr>
            <w:r>
              <w:rPr>
                <w:rFonts w:ascii="Calibri" w:hAnsi="Calibri"/>
                <w:b/>
                <w:i w:val="0"/>
                <w:color w:val="212121"/>
                <w:sz w:val="19"/>
              </w:rPr>
              <w:t>Chronic tobacco-smoke / biomass exposure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mucociliary defence increases URTI frequency, severity and lower-tract spread.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often with soap and water (or sanitiser) — especially before eating or touching the face and after coughing, sneezing or nose-blowing; this reduces respiratory illnesses like colds by 16–21%.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respiratory etiquette: cover coughs/sneezes with a tissue or elbow, dispose of tissues, and wear a mask when symptomatic or caring for the sick.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touching the eyes, nose and mouth, and clean frequently-touched surfaces, since cold viruses survive on hands and surfaces for around 24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home and rest when unwell to limit spread at school, work and in the household.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colds are viral and self-limiting — antibiotics do not help and should be avoided unless a bacterial complication is diagnosed.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(breathlessness, high or prolonged fever, ear/facial pain, symptoms worsening after 10 days) and seek timely care; keep at-risk groups up to date with influenza vaccination.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&amp; day-care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&amp; comorbid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and workplace settings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aerobic activity (150–300 min/week) to support immune function and lower URTI frequency.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exhausting exertion and over-training, which transiently raise susceptibility to upper-respiratory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into daily life (brisk walking, cycling) and ensure adequate recovery between hard sessions.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&amp;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Recreational and competitive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phase of a cold and avoid strenuous exercise while unwell.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‘neck check’: light activity is reasonable if symptoms are above the neck (runny nose, mild sore throat), but avoid exertion with fever, body aches or chest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training gradually once symptoms and fever have settled.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 acute cold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returning to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rich in fruit and vegetables to maintain adequate vitamin C, and correct proven vitamin D or zinc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protein and overall nutrition, particularly in children and the elderly, to support immune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under heavy short-term physical stress (e.g., endurance athletes, soldiers) may benefit from regular vitamin C, which halved cold risk in such groups.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 physically stressed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Micronutrient-deficient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warm fluids and stay well hydrated to thin secretions and ease throat discomfort and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soothing measures — honey (only in children over 1 year) for cough, salt-water gargles and steam inhalation.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Zinc lozenges started early may shorten the duration of a cold; routine therapeutic vitamin C has little consistent effect once symptoms begin.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 acute cold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early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over 1 year (honey)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as short sleep markedly increases susceptibility to colds.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sleep-wake timing and good sleep hygiene, particularly for shift workers and students.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Frequently-infected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Allow extra rest and sleep during a cold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and relieve nasal congestion (e.g., saline drops) to improve sleep when blocked.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 acute cold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Congested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active smoking and exposure to second-hand and biomass/solid-fuel smoke, which impair mucociliary clearance and increase colds and their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homes smoke-free and improve kitchen ventilation or switch to cleaner cooking fuels to protect children and women.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Biomass-fuel-using homes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Asthma/COPD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quitting improves airway defence and reduces the frequency and severity of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avoiding smoke exposure during and after a cold to limit cough and the risk of lower-tract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or prolonged colds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respiratory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which suppresses immune function and raises respiratory-infection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as part of general immune and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unwell with a cold, as it worsens dehydration and disturbs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sedating cold-and-cough remedies (e.g., antihistamines).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 acute cold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using cold medications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through relaxation, physical activity, social support and adequate sleep, since sustained stress increases susceptibility to colds.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burnout and anxiety, which compound stress-related immune suppression.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colds are self-limiting to reduce anxiety and discourage unnecessary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rest and stress-reducing routines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frequent colds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common-cold/about/index.html" TargetMode="External"/><Relationship Id="rId10" Type="http://schemas.openxmlformats.org/officeDocument/2006/relationships/hyperlink" Target="https://pubmed.ncbi.nlm.nih.gov/14723289/" TargetMode="External"/><Relationship Id="rId11" Type="http://schemas.openxmlformats.org/officeDocument/2006/relationships/hyperlink" Target="https://www.nhs.uk/conditions/common-cold/" TargetMode="External"/><Relationship Id="rId12" Type="http://schemas.openxmlformats.org/officeDocument/2006/relationships/hyperlink" Target="https://www.who.int/news-room/fact-sheets/detail/household-air-pollution-and-health" TargetMode="External"/><Relationship Id="rId13" Type="http://schemas.openxmlformats.org/officeDocument/2006/relationships/hyperlink" Target="https://www.cdc.gov/clean-hands/data-research/facts-stats/index.html" TargetMode="External"/><Relationship Id="rId14" Type="http://schemas.openxmlformats.org/officeDocument/2006/relationships/hyperlink" Target="https://www.cochrane.org/CD000980/ARI_vitamin-c-for-preventing-and-treating-the-common-cold" TargetMode="External"/><Relationship Id="rId15" Type="http://schemas.openxmlformats.org/officeDocument/2006/relationships/hyperlink" Target="https://www.cochrane.org/CD006207/ARI_physical-interventions-to-interrupt-or-reduce-the-spread-of-respiratory-viruses" TargetMode="External"/><Relationship Id="rId16" Type="http://schemas.openxmlformats.org/officeDocument/2006/relationships/hyperlink" Target="https://pubmed.ncbi.nlm.nih.gov/21769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