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Rhinosinusitis</w:t>
      </w:r>
    </w:p>
    <w:p>
      <w:pPr>
        <w:spacing w:before="0" w:after="160"/>
      </w:pPr>
      <w:r>
        <w:rPr>
          <w:rFonts w:ascii="Calibri" w:hAnsi="Calibri"/>
          <w:b/>
          <w:i w:val="0"/>
          <w:color w:val="212121"/>
          <w:sz w:val="22"/>
        </w:rPr>
        <w:t xml:space="preserve">AKA </w:t>
      </w:r>
      <w:r>
        <w:rPr>
          <w:rFonts w:ascii="Calibri" w:hAnsi="Calibri"/>
          <w:b w:val="0"/>
          <w:i w:val="0"/>
          <w:color w:val="212121"/>
          <w:sz w:val="22"/>
        </w:rPr>
        <w:t>i.e., Chronic sinusitis, CRS, Chronic sinus infection, Chronic rhinosinusitis with nasal polyps (CRSwNP) / without nasal polyps (CRSsNP)</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rhinosinusitis (CRS) is a persistent inflammatory disease of the mucosa lining the nose and paranasal sinuses that lasts for 12 weeks or longer. It is defined by two or more symptoms, one of which must be nasal blockage/obstruction/congestion or nasal discharge (anterior or posterior nasal drip), with or without facial pain/pressure and reduction or loss of the sense of smell, together with objective evidence of mucosal disease on nasal endoscopy or CT of the sinuses. It is broadly divided into CRS with nasal polyps (CRSwNP) and CRS without nasal polyps (CRSsNP), and it substantially impairs sleep, productivity and quality of life.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Chronic rhinosinusitis is one of the commonest chronic disorders of the upper airway. Internationally, around 12% of adults report CRS over a 12-month period, and European population studies put the prevalence near 10%. Robust community data for India are limited, but hospital-based and survey estimates place adult prevalence in the region of about 5%, set against a very high background burden of allergic rhinitis. India's hot, humid climate, heavy urban air pollution and widespread biomass-fuel and tobacco (including bidi) smoke exposure make it a recognised hotspot for allergic fungal rhinosinusitis and for difficult-to-treat CRS.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rhinosinusitis is a clinical diagnosis based on the EPOS 2020 criteria, requiring symptoms for at least 12 weeks together with objective confirmation of sinonasal inflammation: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for ≥ 12 weeks of two or more symptoms, one of which must be nasal blockage / obstruction / congestion OR nasal discharge (anterior or posterior nasal drip);</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 facial pain or pressure / fullness;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 reduction or loss of the sense of smell (hyposmia / anosmia);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AND objective evidence of disease on nasal endoscopy — nasal polyps, and/or mucopurulent discharge primarily from the middle meatus, and/or oedema / mucosal obstruction of the middle meatus;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OR CT of the paranasal sinuses showing mucosal changes within the ostiomeatal complex and/or the sinuses;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not fully explained by an alternative diagnosis (e.g., allergic rhinitis alone, migraine, or a dental cause), which must be excluded.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CRS is classified by clinical phenotype and, increasingly, by the underlying inflammatory endotype, which guides modern (including biologic) therapy:</w:t>
      </w:r>
    </w:p>
    <w:p>
      <w:pPr>
        <w:spacing w:before="0" w:after="80"/>
      </w:pPr>
      <w:r>
        <w:rPr>
          <w:rFonts w:ascii="Calibri" w:hAnsi="Calibri"/>
          <w:b w:val="0"/>
          <w:i w:val="0"/>
          <w:color w:val="212121"/>
          <w:sz w:val="21"/>
        </w:rPr>
        <w:t>(1) CRS without nasal polyps (CRSsNP) — the more common phenotype, showing mucosal inflammation without visible polyps and often a neutrophilic or mixed inflammatory pattern;</w:t>
      </w:r>
    </w:p>
    <w:p>
      <w:pPr>
        <w:spacing w:before="0" w:after="80"/>
      </w:pPr>
      <w:r>
        <w:rPr>
          <w:rFonts w:ascii="Calibri" w:hAnsi="Calibri"/>
          <w:b w:val="0"/>
          <w:i w:val="0"/>
          <w:color w:val="212121"/>
          <w:sz w:val="21"/>
        </w:rPr>
        <w:t>(2) CRS with nasal polyps (CRSwNP) — bilateral polyps arising from the middle meatus, frequently driven by type-2 (eosinophilic) inflammation, more often associated with asthma and with a higher rate of recurrence after surgery;</w:t>
      </w:r>
    </w:p>
    <w:p>
      <w:pPr>
        <w:spacing w:before="0" w:after="80"/>
      </w:pPr>
      <w:r>
        <w:rPr>
          <w:rFonts w:ascii="Calibri" w:hAnsi="Calibri"/>
          <w:b w:val="0"/>
          <w:i w:val="0"/>
          <w:color w:val="212121"/>
          <w:sz w:val="21"/>
        </w:rPr>
        <w:t>(3) The EPOS 2020 framework, which additionally separates primary from secondary CRS and localized (unilateral) from diffuse (bilateral) disease, and then classifies each by dominant endotype into type-2 and non-type-2 inflammation;</w:t>
      </w:r>
    </w:p>
    <w:p>
      <w:pPr>
        <w:spacing w:before="0" w:after="80"/>
      </w:pPr>
      <w:r>
        <w:rPr>
          <w:rFonts w:ascii="Calibri" w:hAnsi="Calibri"/>
          <w:b w:val="0"/>
          <w:i w:val="0"/>
          <w:color w:val="212121"/>
          <w:sz w:val="21"/>
        </w:rPr>
        <w:t>(4) Specific / defined forms — allergic fungal rhinosinusitis (AFRS, particularly common in hot, humid regions of India), aspirin-exacerbated respiratory disease (AERD / Samter's triad: asthma + CRSwNP + NSAID sensitivity), odontogenic (dental-origin) sinusitis, and CRS secondary to systemic disease such as cystic fibrosis, primary ciliary dyskinesia or granulomatosis with polyangiitis.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Epithelial barrier dysfunction &amp; dysregulated immunity: A defective sinonasal epithelial barrier and an over-active (often type-2, eosinophilic) mucosal immune response sustain chronic inflammation.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Allergy / atopy: Allergic rhinitis and inhalant-allergen sensitisation — highly prevalent in India — cause mucosal oedema and obstruction of sinus drainage pathways.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Infection &amp; biofilms: Bacterial colonisation (including Staphylococcus aureus superantigens), fungal colonisation and mucosal biofilms perpetuate inflammation and cause exacerbations.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Anatomical obstruction: Deviated nasal septum, concha bullosa and narrowing of the ostiomeatal complex impair sinus ventilation and mucociliary drainage.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irritants: Tobacco and bidi smoke, biomass-fuel smoke, high urban particulate air pollution (PM2.5) and occupational dust damage mucociliary clearance.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Impaired mucociliary clearance / systemic disease: Cystic fibrosis, primary ciliary dyskinesia, immunodeficiency and aspirin (NSAID) sensitivity strongly predispose to refractory CRS.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Local contributory factors: Gastro-oesophageal reflux and odontogenic (maxillary dental) infection can trigger or maintain sinus inflammation.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CRS most often presents in working-age adults, in whom chronic nasal obstruction, facial pressure, poor sleep and smell loss directly reduce concentration, work capacity and productivity. Cumulative exposure to allergens, infections and pollutants drives disease onset.</w:t>
            </w:r>
          </w:p>
          <w:p>
            <w:pPr>
              <w:spacing w:after="40" w:before="60" w:line="259" w:lineRule="auto"/>
            </w:pPr>
            <w:r>
              <w:rPr>
                <w:rFonts w:ascii="Calibri" w:hAnsi="Calibri"/>
                <w:b w:val="0"/>
                <w:i w:val="0"/>
                <w:color w:val="212121"/>
                <w:sz w:val="19"/>
              </w:rPr>
              <w:t>Internationally, about 12% of adults report chronic rhinosinusitis over a 12-month period.</w:t>
            </w:r>
          </w:p>
          <w:p>
            <w:pPr>
              <w:spacing w:after="40" w:line="252" w:lineRule="auto"/>
            </w:pPr>
            <w:hyperlink r:id="rId9">
              <w:r>
                <w:rPr>
                  <w:rFonts w:ascii="Calibri" w:hAnsi="Calibri" w:cs="Calibri"/>
                  <w:sz w:val="18"/>
                  <w:color w:val="1155CC"/>
                  <w:u w:val="single"/>
                </w:rPr>
                <w:t xml:space="preserve">ncbi.nlm.nih.gov — StatPearls, Chronic Rhinosinusitis</w:t>
              </w:r>
            </w:hyperlink>
          </w:p>
          <w:p>
            <w:pPr>
              <w:spacing w:before="60" w:after="40"/>
            </w:pPr>
            <w:r>
              <w:rPr>
                <w:rFonts w:ascii="Calibri" w:hAnsi="Calibri"/>
                <w:b w:val="0"/>
                <w:i w:val="0"/>
                <w:color w:val="5A5A5A"/>
                <w:sz w:val="18"/>
              </w:rPr>
              <w:t>#CRS  #chronicsinusitis  #workingage  #productivityloss  #qualityoflife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Ageing reduces mucociliary clearance and immune competence and increases comorbidity and polypharmacy, so CRS in older adults is often more persistent and may present atypically with fatigue, post-nasal drip and cough rather than classic facial pain.</w:t>
            </w:r>
          </w:p>
          <w:p>
            <w:pPr>
              <w:spacing w:after="40" w:before="60" w:line="259" w:lineRule="auto"/>
            </w:pPr>
            <w:r>
              <w:rPr>
                <w:rFonts w:ascii="Calibri" w:hAnsi="Calibri"/>
                <w:b w:val="0"/>
                <w:i w:val="0"/>
                <w:color w:val="212121"/>
                <w:sz w:val="19"/>
              </w:rPr>
              <w:t>Age-related decline in nasal mucociliary transport predisposes the elderly to persistent and recurrent sinonasal infection.</w:t>
            </w:r>
          </w:p>
          <w:p>
            <w:pPr>
              <w:spacing w:before="60" w:after="40"/>
            </w:pPr>
            <w:r>
              <w:rPr>
                <w:rFonts w:ascii="Calibri" w:hAnsi="Calibri"/>
                <w:b w:val="0"/>
                <w:i w:val="0"/>
                <w:color w:val="5A5A5A"/>
                <w:sz w:val="18"/>
              </w:rPr>
              <w:t>#elderly  #mucociliary  #immunosenescence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(CRSsNP)</w:t>
            </w:r>
          </w:p>
        </w:tc>
        <w:tc>
          <w:tcPr>
            <w:tcW w:type="dxa" w:w="4276"/>
            <w:vAlign w:val="top"/>
          </w:tcPr>
          <w:p>
            <w:pPr>
              <w:spacing w:after="60" w:line="259" w:lineRule="auto"/>
            </w:pPr>
            <w:r>
              <w:rPr>
                <w:rFonts w:ascii="Calibri" w:hAnsi="Calibri"/>
                <w:b w:val="0"/>
                <w:i w:val="0"/>
                <w:color w:val="212121"/>
                <w:sz w:val="19"/>
              </w:rPr>
              <w:t>CRS without polyps is somewhat more common in women, while CRS with nasal polyps is more common in men. In India, women's additional exposure to biomass-cooking smoke adds an important mucosal irritant burden.</w:t>
            </w:r>
          </w:p>
          <w:p>
            <w:pPr>
              <w:spacing w:after="40" w:before="60" w:line="259" w:lineRule="auto"/>
            </w:pPr>
            <w:r>
              <w:rPr>
                <w:rFonts w:ascii="Calibri" w:hAnsi="Calibri"/>
                <w:b w:val="0"/>
                <w:i w:val="0"/>
                <w:color w:val="212121"/>
                <w:sz w:val="19"/>
              </w:rPr>
              <w:t>In US survey data the highest CRS prevalence is reported among White women (about 15.4%).</w:t>
            </w:r>
          </w:p>
          <w:p>
            <w:pPr>
              <w:spacing w:after="40" w:line="252" w:lineRule="auto"/>
            </w:pPr>
            <w:hyperlink r:id="rId9">
              <w:r>
                <w:rPr>
                  <w:rFonts w:ascii="Calibri" w:hAnsi="Calibri" w:cs="Calibri"/>
                  <w:sz w:val="18"/>
                  <w:color w:val="1155CC"/>
                  <w:u w:val="single"/>
                </w:rPr>
                <w:t xml:space="preserve">ncbi.nlm.nih.gov — StatPearls, CRS prevalence by group</w:t>
              </w:r>
            </w:hyperlink>
          </w:p>
          <w:p>
            <w:pPr>
              <w:spacing w:before="60" w:after="40"/>
            </w:pPr>
            <w:r>
              <w:rPr>
                <w:rFonts w:ascii="Calibri" w:hAnsi="Calibri"/>
                <w:b w:val="0"/>
                <w:i w:val="0"/>
                <w:color w:val="5A5A5A"/>
                <w:sz w:val="18"/>
              </w:rPr>
              <w:t>#female  #CRSsNP  #biomasssmoke  #indoorairpollution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overcrowded households</w:t>
            </w:r>
          </w:p>
        </w:tc>
        <w:tc>
          <w:tcPr>
            <w:tcW w:type="dxa" w:w="4276"/>
            <w:vAlign w:val="top"/>
          </w:tcPr>
          <w:p>
            <w:pPr>
              <w:spacing w:after="60" w:line="259" w:lineRule="auto"/>
            </w:pPr>
            <w:r>
              <w:rPr>
                <w:rFonts w:ascii="Calibri" w:hAnsi="Calibri"/>
                <w:b w:val="0"/>
                <w:i w:val="0"/>
                <w:color w:val="212121"/>
                <w:sz w:val="19"/>
              </w:rPr>
              <w:t>Lower income is linked to indoor biomass-fuel smoke, overcrowding with more respiratory infections, delayed specialist care and reliance on repeated over-the-counter antibiotics and decongestant sprays, all of which promote chronic, poorly-controlled disease.</w:t>
            </w:r>
          </w:p>
          <w:p>
            <w:pPr>
              <w:spacing w:after="40" w:before="60" w:line="259" w:lineRule="auto"/>
            </w:pPr>
            <w:r>
              <w:rPr>
                <w:rFonts w:ascii="Calibri" w:hAnsi="Calibri"/>
                <w:b w:val="0"/>
                <w:i w:val="0"/>
                <w:color w:val="212121"/>
                <w:sz w:val="19"/>
              </w:rPr>
              <w:t>Indoor air pollution from solid-fuel cooking and delayed care are recognised drivers of chronic upper-airway disease in low-resource Indian settings.</w:t>
            </w:r>
          </w:p>
          <w:p>
            <w:pPr>
              <w:spacing w:before="60" w:after="40"/>
            </w:pPr>
            <w:r>
              <w:rPr>
                <w:rFonts w:ascii="Calibri" w:hAnsi="Calibri"/>
                <w:b w:val="0"/>
                <w:i w:val="0"/>
                <w:color w:val="5A5A5A"/>
                <w:sz w:val="18"/>
              </w:rPr>
              <w:t>#socioeconomic  #biomassfuel  #overcrowding  #accesstocare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Ethnicity/Region</w:t>
            </w:r>
          </w:p>
        </w:tc>
        <w:tc>
          <w:tcPr>
            <w:tcW w:type="dxa" w:w="2160"/>
            <w:vAlign w:val="top"/>
          </w:tcPr>
          <w:p>
            <w:pPr>
              <w:spacing w:after="40" w:before="0" w:line="259" w:lineRule="auto"/>
            </w:pPr>
            <w:r>
              <w:rPr>
                <w:rFonts w:ascii="Calibri" w:hAnsi="Calibri"/>
                <w:b w:val="0"/>
                <w:i w:val="0"/>
                <w:color w:val="212121"/>
                <w:sz w:val="19"/>
              </w:rPr>
              <w:t>Urban Indian / South Asian</w:t>
            </w:r>
          </w:p>
        </w:tc>
        <w:tc>
          <w:tcPr>
            <w:tcW w:type="dxa" w:w="4276"/>
            <w:vAlign w:val="top"/>
          </w:tcPr>
          <w:p>
            <w:pPr>
              <w:spacing w:after="60" w:line="259" w:lineRule="auto"/>
            </w:pPr>
            <w:r>
              <w:rPr>
                <w:rFonts w:ascii="Calibri" w:hAnsi="Calibri"/>
                <w:b w:val="0"/>
                <w:i w:val="0"/>
                <w:color w:val="212121"/>
                <w:sz w:val="19"/>
              </w:rPr>
              <w:t>Residents of large Indian cities are exposed to some of the world's highest levels of particulate air pollution (PM2.5), together with a very high prevalence of allergic rhinitis, both of which injure the sinonasal mucosa and sustain chronic inflammation.</w:t>
            </w:r>
          </w:p>
          <w:p>
            <w:pPr>
              <w:spacing w:after="40" w:before="60" w:line="259" w:lineRule="auto"/>
            </w:pPr>
            <w:r>
              <w:rPr>
                <w:rFonts w:ascii="Calibri" w:hAnsi="Calibri"/>
                <w:b w:val="0"/>
                <w:i w:val="0"/>
                <w:color w:val="212121"/>
                <w:sz w:val="19"/>
              </w:rPr>
              <w:t>High ambient PM2.5 and a large atopic population make urban India a high-exposure setting for chronic rhinosinusitis.</w:t>
            </w:r>
          </w:p>
          <w:p>
            <w:pPr>
              <w:spacing w:before="60" w:after="40"/>
            </w:pPr>
            <w:r>
              <w:rPr>
                <w:rFonts w:ascii="Calibri" w:hAnsi="Calibri"/>
                <w:b w:val="0"/>
                <w:i w:val="0"/>
                <w:color w:val="5A5A5A"/>
                <w:sz w:val="18"/>
              </w:rPr>
              <w:t>#india  #airpollution  #PM2point5  #urban  #allergicrhinitis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Region/Climate</w:t>
            </w:r>
          </w:p>
        </w:tc>
        <w:tc>
          <w:tcPr>
            <w:tcW w:type="dxa" w:w="2160"/>
            <w:vAlign w:val="top"/>
          </w:tcPr>
          <w:p>
            <w:pPr>
              <w:spacing w:after="40" w:before="0" w:line="259" w:lineRule="auto"/>
            </w:pPr>
            <w:r>
              <w:rPr>
                <w:rFonts w:ascii="Calibri" w:hAnsi="Calibri"/>
                <w:b w:val="0"/>
                <w:i w:val="0"/>
                <w:color w:val="212121"/>
                <w:sz w:val="19"/>
              </w:rPr>
              <w:t>Hot-humid, AFRS-endemic regions</w:t>
            </w:r>
          </w:p>
        </w:tc>
        <w:tc>
          <w:tcPr>
            <w:tcW w:type="dxa" w:w="4276"/>
            <w:vAlign w:val="top"/>
          </w:tcPr>
          <w:p>
            <w:pPr>
              <w:spacing w:after="60" w:line="259" w:lineRule="auto"/>
            </w:pPr>
            <w:r>
              <w:rPr>
                <w:rFonts w:ascii="Calibri" w:hAnsi="Calibri"/>
                <w:b w:val="0"/>
                <w:i w:val="0"/>
                <w:color w:val="212121"/>
                <w:sz w:val="19"/>
              </w:rPr>
              <w:t>The warm, humid climate across much of India favours abundant airborne fungal spores (e.g., Aspergillus, dematiaceous moulds); in atopic individuals this drives allergic fungal rhinosinusitis, a phenotype that is disproportionately common in India.</w:t>
            </w:r>
          </w:p>
          <w:p>
            <w:pPr>
              <w:spacing w:after="40" w:before="60" w:line="259" w:lineRule="auto"/>
            </w:pPr>
            <w:r>
              <w:rPr>
                <w:rFonts w:ascii="Calibri" w:hAnsi="Calibri"/>
                <w:b w:val="0"/>
                <w:i w:val="0"/>
                <w:color w:val="212121"/>
                <w:sz w:val="19"/>
              </w:rPr>
              <w:t>India is recognised internationally as a high-burden region for allergic fungal rhinosinusitis.</w:t>
            </w:r>
          </w:p>
          <w:p>
            <w:pPr>
              <w:spacing w:before="60" w:after="40"/>
            </w:pPr>
            <w:r>
              <w:rPr>
                <w:rFonts w:ascii="Calibri" w:hAnsi="Calibri"/>
                <w:b w:val="0"/>
                <w:i w:val="0"/>
                <w:color w:val="5A5A5A"/>
                <w:sz w:val="18"/>
              </w:rPr>
              <w:t>#AFRS  #fungalsinusitis  #humidclimate  #aspergillus  #atopy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 bidi smokers / second-hand smoke</w:t>
            </w:r>
          </w:p>
        </w:tc>
        <w:tc>
          <w:tcPr>
            <w:tcW w:type="dxa" w:w="4276"/>
            <w:vAlign w:val="top"/>
          </w:tcPr>
          <w:p>
            <w:pPr>
              <w:spacing w:after="60" w:line="259" w:lineRule="auto"/>
            </w:pPr>
            <w:r>
              <w:rPr>
                <w:rFonts w:ascii="Calibri" w:hAnsi="Calibri"/>
                <w:b w:val="0"/>
                <w:i w:val="0"/>
                <w:color w:val="212121"/>
                <w:sz w:val="19"/>
              </w:rPr>
              <w:t>Active and passive tobacco (and bidi) smoke paralyses cilia, impairs mucociliary clearance and epithelial repair, worsens symptom control and is associated with higher rates of medical and surgical treatment failure.</w:t>
            </w:r>
          </w:p>
          <w:p>
            <w:pPr>
              <w:spacing w:after="40" w:before="60" w:line="259" w:lineRule="auto"/>
            </w:pPr>
            <w:r>
              <w:rPr>
                <w:rFonts w:ascii="Calibri" w:hAnsi="Calibri"/>
                <w:b w:val="0"/>
                <w:i w:val="0"/>
                <w:color w:val="212121"/>
                <w:sz w:val="19"/>
              </w:rPr>
              <w:t>Smoking is an established risk factor for chronic rhinosinusitis and for poorer treatment outcomes.</w:t>
            </w:r>
          </w:p>
          <w:p>
            <w:pPr>
              <w:spacing w:after="40" w:line="252" w:lineRule="auto"/>
            </w:pPr>
            <w:hyperlink r:id="rId9">
              <w:r>
                <w:rPr>
                  <w:rFonts w:ascii="Calibri" w:hAnsi="Calibri" w:cs="Calibri"/>
                  <w:sz w:val="18"/>
                  <w:color w:val="1155CC"/>
                  <w:u w:val="single"/>
                </w:rPr>
                <w:t xml:space="preserve">ncbi.nlm.nih.gov — StatPearls, CRS risk factors</w:t>
              </w:r>
            </w:hyperlink>
          </w:p>
          <w:p>
            <w:pPr>
              <w:spacing w:before="60" w:after="40"/>
            </w:pPr>
            <w:r>
              <w:rPr>
                <w:rFonts w:ascii="Calibri" w:hAnsi="Calibri"/>
                <w:b w:val="0"/>
                <w:i w:val="0"/>
                <w:color w:val="5A5A5A"/>
                <w:sz w:val="18"/>
              </w:rPr>
              <w:t>#smoking  #bidi  #tobacco  #mucociliary  #surgicalfailure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 environmental exposure</w:t>
            </w:r>
          </w:p>
        </w:tc>
        <w:tc>
          <w:tcPr>
            <w:tcW w:type="dxa" w:w="2160"/>
            <w:vAlign w:val="top"/>
          </w:tcPr>
          <w:p>
            <w:pPr>
              <w:spacing w:after="40" w:before="0" w:line="259" w:lineRule="auto"/>
            </w:pPr>
            <w:r>
              <w:rPr>
                <w:rFonts w:ascii="Calibri" w:hAnsi="Calibri"/>
                <w:b w:val="0"/>
                <w:i w:val="0"/>
                <w:color w:val="212121"/>
                <w:sz w:val="19"/>
              </w:rPr>
              <w:t>Dust- and irritant-exposed workers</w:t>
            </w:r>
          </w:p>
        </w:tc>
        <w:tc>
          <w:tcPr>
            <w:tcW w:type="dxa" w:w="4276"/>
            <w:vAlign w:val="top"/>
          </w:tcPr>
          <w:p>
            <w:pPr>
              <w:spacing w:after="60" w:line="259" w:lineRule="auto"/>
            </w:pPr>
            <w:r>
              <w:rPr>
                <w:rFonts w:ascii="Calibri" w:hAnsi="Calibri"/>
                <w:b w:val="0"/>
                <w:i w:val="0"/>
                <w:color w:val="212121"/>
                <w:sz w:val="19"/>
              </w:rPr>
              <w:t>Chronic exposure to occupational dust, fumes and chemical irritants (construction, textiles, farming, welding, chemical industry) inflames and damages the sinonasal lining and predisposes to persistent rhinosinusitis.</w:t>
            </w:r>
          </w:p>
          <w:p>
            <w:pPr>
              <w:spacing w:after="40" w:before="60" w:line="259" w:lineRule="auto"/>
            </w:pPr>
            <w:r>
              <w:rPr>
                <w:rFonts w:ascii="Calibri" w:hAnsi="Calibri"/>
                <w:b w:val="0"/>
                <w:i w:val="0"/>
                <w:color w:val="212121"/>
                <w:sz w:val="19"/>
              </w:rPr>
              <w:t>Occupational irritant and dust exposure is a recognised contributor to chronic sinonasal inflammation.</w:t>
            </w:r>
          </w:p>
          <w:p>
            <w:pPr>
              <w:spacing w:before="60" w:after="40"/>
            </w:pPr>
            <w:r>
              <w:rPr>
                <w:rFonts w:ascii="Calibri" w:hAnsi="Calibri"/>
                <w:b w:val="0"/>
                <w:i w:val="0"/>
                <w:color w:val="5A5A5A"/>
                <w:sz w:val="18"/>
              </w:rPr>
              <w:t>#occupational  #dust  #irritants  #industrialexposure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w:t>
            </w:r>
          </w:p>
        </w:tc>
        <w:tc>
          <w:tcPr>
            <w:tcW w:type="dxa" w:w="4276"/>
            <w:vAlign w:val="top"/>
          </w:tcPr>
          <w:p>
            <w:pPr>
              <w:spacing w:after="60" w:line="259" w:lineRule="auto"/>
            </w:pPr>
            <w:r>
              <w:rPr>
                <w:rFonts w:ascii="Calibri" w:hAnsi="Calibri"/>
                <w:b w:val="0"/>
                <w:i w:val="0"/>
                <w:color w:val="212121"/>
                <w:sz w:val="19"/>
              </w:rPr>
              <w:t>Alcohol can provoke nasal congestion and rhinitis and, in aspirin-exacerbated respiratory disease, frequently triggers marked upper- and lower-airway symptoms; heavy use also degrades sleep and mucosal health.</w:t>
            </w:r>
          </w:p>
          <w:p>
            <w:pPr>
              <w:spacing w:after="40" w:before="60" w:line="259" w:lineRule="auto"/>
            </w:pPr>
            <w:r>
              <w:rPr>
                <w:rFonts w:ascii="Calibri" w:hAnsi="Calibri"/>
                <w:b w:val="0"/>
                <w:i w:val="0"/>
                <w:color w:val="212121"/>
                <w:sz w:val="19"/>
              </w:rPr>
              <w:t>Alcohol-induced worsening of nasal symptoms is characteristic of CRSwNP and AERD.</w:t>
            </w:r>
          </w:p>
          <w:p>
            <w:pPr>
              <w:spacing w:before="60" w:after="40"/>
            </w:pPr>
            <w:r>
              <w:rPr>
                <w:rFonts w:ascii="Calibri" w:hAnsi="Calibri"/>
                <w:b w:val="0"/>
                <w:i w:val="0"/>
                <w:color w:val="5A5A5A"/>
                <w:sz w:val="18"/>
              </w:rPr>
              <w:t>#alcohol  #nasalcongestion  #AERD  #rhinitis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Low-antioxidant / highly processed diets</w:t>
            </w:r>
          </w:p>
        </w:tc>
        <w:tc>
          <w:tcPr>
            <w:tcW w:type="dxa" w:w="4276"/>
            <w:vAlign w:val="top"/>
          </w:tcPr>
          <w:p>
            <w:pPr>
              <w:spacing w:after="60" w:line="259" w:lineRule="auto"/>
            </w:pPr>
            <w:r>
              <w:rPr>
                <w:rFonts w:ascii="Calibri" w:hAnsi="Calibri"/>
                <w:b w:val="0"/>
                <w:i w:val="0"/>
                <w:color w:val="212121"/>
                <w:sz w:val="19"/>
              </w:rPr>
              <w:t>Diets low in fruit, vegetables and omega-3 fats and high in processed, pro-inflammatory foods may reduce mucosal antioxidant defences; direct trial evidence in CRS is limited, so this is a supportive rather than primary factor.</w:t>
            </w:r>
          </w:p>
          <w:p>
            <w:pPr>
              <w:spacing w:after="40" w:before="60" w:line="259" w:lineRule="auto"/>
            </w:pPr>
            <w:r>
              <w:rPr>
                <w:rFonts w:ascii="Calibri" w:hAnsi="Calibri"/>
                <w:b w:val="0"/>
                <w:i w:val="0"/>
                <w:color w:val="212121"/>
                <w:sz w:val="19"/>
              </w:rPr>
              <w:t>Evidence linking specific diets to CRS is limited; anti-inflammatory, plant-rich diets are advised on general grounds.</w:t>
            </w:r>
          </w:p>
          <w:p>
            <w:pPr>
              <w:spacing w:before="60" w:after="40"/>
            </w:pPr>
            <w:r>
              <w:rPr>
                <w:rFonts w:ascii="Calibri" w:hAnsi="Calibri"/>
                <w:b w:val="0"/>
                <w:i w:val="0"/>
                <w:color w:val="5A5A5A"/>
                <w:sz w:val="18"/>
              </w:rPr>
              <w:t>#diet  #antioxidants  #omega3  #antiinflammatory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inherited disease</w:t>
            </w:r>
          </w:p>
        </w:tc>
        <w:tc>
          <w:tcPr>
            <w:tcW w:type="dxa" w:w="2160"/>
            <w:vAlign w:val="top"/>
          </w:tcPr>
          <w:p>
            <w:pPr>
              <w:spacing w:after="40" w:before="0" w:line="259" w:lineRule="auto"/>
            </w:pPr>
            <w:r>
              <w:rPr>
                <w:rFonts w:ascii="Calibri" w:hAnsi="Calibri"/>
                <w:b w:val="0"/>
                <w:i w:val="0"/>
                <w:color w:val="212121"/>
                <w:sz w:val="19"/>
              </w:rPr>
              <w:t>Atopy, nasal polyps, cystic fibrosis, primary ciliary dyskinesia</w:t>
            </w:r>
          </w:p>
        </w:tc>
        <w:tc>
          <w:tcPr>
            <w:tcW w:type="dxa" w:w="4276"/>
            <w:vAlign w:val="top"/>
          </w:tcPr>
          <w:p>
            <w:pPr>
              <w:spacing w:after="60" w:line="259" w:lineRule="auto"/>
            </w:pPr>
            <w:r>
              <w:rPr>
                <w:rFonts w:ascii="Calibri" w:hAnsi="Calibri"/>
                <w:b w:val="0"/>
                <w:i w:val="0"/>
                <w:color w:val="212121"/>
                <w:sz w:val="19"/>
              </w:rPr>
              <w:t>A family history of atopy, asthma or nasal polyps raises risk, and inherited disorders of mucus and cilia — cystic fibrosis and primary ciliary dyskinesia — cause early-onset, severe and refractory CRS through impaired mucociliary clearance.</w:t>
            </w:r>
          </w:p>
          <w:p>
            <w:pPr>
              <w:spacing w:after="40" w:before="60" w:line="259" w:lineRule="auto"/>
            </w:pPr>
            <w:r>
              <w:rPr>
                <w:rFonts w:ascii="Calibri" w:hAnsi="Calibri"/>
                <w:b w:val="0"/>
                <w:i w:val="0"/>
                <w:color w:val="212121"/>
                <w:sz w:val="19"/>
              </w:rPr>
              <w:t>Cystic fibrosis and primary ciliary dyskinesia are important genetic causes of early-onset, treatment-resistant CRS.</w:t>
            </w:r>
          </w:p>
          <w:p>
            <w:pPr>
              <w:spacing w:before="60" w:after="40"/>
            </w:pPr>
            <w:r>
              <w:rPr>
                <w:rFonts w:ascii="Calibri" w:hAnsi="Calibri"/>
                <w:b w:val="0"/>
                <w:i w:val="0"/>
                <w:color w:val="5A5A5A"/>
                <w:sz w:val="18"/>
              </w:rPr>
              <w:t>#familyhistory  #atopy  #cysticfibrosis  #PCD  #nasalpolyps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Allergic rhinitis</w:t>
            </w:r>
          </w:p>
        </w:tc>
        <w:tc>
          <w:tcPr>
            <w:tcW w:type="dxa" w:w="2160"/>
            <w:vAlign w:val="top"/>
          </w:tcPr>
          <w:p>
            <w:pPr>
              <w:spacing w:after="40" w:before="0" w:line="259" w:lineRule="auto"/>
            </w:pPr>
            <w:r>
              <w:rPr>
                <w:rFonts w:ascii="Calibri" w:hAnsi="Calibri"/>
                <w:b w:val="0"/>
                <w:i w:val="0"/>
                <w:color w:val="212121"/>
                <w:sz w:val="19"/>
              </w:rPr>
              <w:t>Patients with allergic rhinitis</w:t>
            </w:r>
          </w:p>
        </w:tc>
        <w:tc>
          <w:tcPr>
            <w:tcW w:type="dxa" w:w="4276"/>
            <w:vAlign w:val="top"/>
          </w:tcPr>
          <w:p>
            <w:pPr>
              <w:spacing w:after="60" w:line="259" w:lineRule="auto"/>
            </w:pPr>
            <w:r>
              <w:rPr>
                <w:rFonts w:ascii="Calibri" w:hAnsi="Calibri"/>
                <w:b w:val="0"/>
                <w:i w:val="0"/>
                <w:color w:val="212121"/>
                <w:sz w:val="19"/>
              </w:rPr>
              <w:t>Allergic rhinitis, extremely common in India, causes chronic mucosal oedema that obstructs sinus drainage pathways and is one of the strongest predisposing conditions for CRS (the 'united airway').</w:t>
            </w:r>
          </w:p>
          <w:p>
            <w:pPr>
              <w:spacing w:after="40" w:before="60" w:line="259" w:lineRule="auto"/>
            </w:pPr>
            <w:r>
              <w:rPr>
                <w:rFonts w:ascii="Calibri" w:hAnsi="Calibri"/>
                <w:b w:val="0"/>
                <w:i w:val="0"/>
                <w:color w:val="212121"/>
                <w:sz w:val="19"/>
              </w:rPr>
              <w:t>Allergic rhinitis is among the most frequent comorbidities of chronic rhinosinusitis.</w:t>
            </w:r>
          </w:p>
          <w:p>
            <w:pPr>
              <w:spacing w:before="60" w:after="40"/>
            </w:pPr>
            <w:r>
              <w:rPr>
                <w:rFonts w:ascii="Calibri" w:hAnsi="Calibri"/>
                <w:b w:val="0"/>
                <w:i w:val="0"/>
                <w:color w:val="5A5A5A"/>
                <w:sz w:val="18"/>
              </w:rPr>
              <w:t>#allergicrhinitis  #atopy  #unitedairway  #ostialobstruction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Patients with asthma</w:t>
            </w:r>
          </w:p>
        </w:tc>
        <w:tc>
          <w:tcPr>
            <w:tcW w:type="dxa" w:w="4276"/>
            <w:vAlign w:val="top"/>
          </w:tcPr>
          <w:p>
            <w:pPr>
              <w:spacing w:after="60" w:line="259" w:lineRule="auto"/>
            </w:pPr>
            <w:r>
              <w:rPr>
                <w:rFonts w:ascii="Calibri" w:hAnsi="Calibri"/>
                <w:b w:val="0"/>
                <w:i w:val="0"/>
                <w:color w:val="212121"/>
                <w:sz w:val="19"/>
              </w:rPr>
              <w:t>Asthma and CRS share type-2 inflammation and the 'unified airway' concept; each worsens the other, and coexisting CRS (especially CRSwNP) makes asthma harder to control.</w:t>
            </w:r>
          </w:p>
          <w:p>
            <w:pPr>
              <w:spacing w:after="40" w:before="60" w:line="259" w:lineRule="auto"/>
            </w:pPr>
            <w:r>
              <w:rPr>
                <w:rFonts w:ascii="Calibri" w:hAnsi="Calibri"/>
                <w:b w:val="0"/>
                <w:i w:val="0"/>
                <w:color w:val="212121"/>
                <w:sz w:val="19"/>
              </w:rPr>
              <w:t>Asthma frequently coexists with CRS, particularly the nasal-polyp (CRSwNP) phenotype.</w:t>
            </w:r>
          </w:p>
          <w:p>
            <w:pPr>
              <w:spacing w:before="60" w:after="40"/>
            </w:pPr>
            <w:r>
              <w:rPr>
                <w:rFonts w:ascii="Calibri" w:hAnsi="Calibri"/>
                <w:b w:val="0"/>
                <w:i w:val="0"/>
                <w:color w:val="5A5A5A"/>
                <w:sz w:val="18"/>
              </w:rPr>
              <w:t>#asthma  #unifiedairway  #type2inflammation  #CRSwNP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Nasal polyps (CRSwNP)</w:t>
            </w:r>
          </w:p>
        </w:tc>
        <w:tc>
          <w:tcPr>
            <w:tcW w:type="dxa" w:w="2160"/>
            <w:vAlign w:val="top"/>
          </w:tcPr>
          <w:p>
            <w:pPr>
              <w:spacing w:after="40" w:before="0" w:line="259" w:lineRule="auto"/>
            </w:pPr>
            <w:r>
              <w:rPr>
                <w:rFonts w:ascii="Calibri" w:hAnsi="Calibri"/>
                <w:b w:val="0"/>
                <w:i w:val="0"/>
                <w:color w:val="212121"/>
                <w:sz w:val="19"/>
              </w:rPr>
              <w:t>Patients with bilateral nasal polyps</w:t>
            </w:r>
          </w:p>
        </w:tc>
        <w:tc>
          <w:tcPr>
            <w:tcW w:type="dxa" w:w="4276"/>
            <w:vAlign w:val="top"/>
          </w:tcPr>
          <w:p>
            <w:pPr>
              <w:spacing w:after="60" w:line="259" w:lineRule="auto"/>
            </w:pPr>
            <w:r>
              <w:rPr>
                <w:rFonts w:ascii="Calibri" w:hAnsi="Calibri"/>
                <w:b w:val="0"/>
                <w:i w:val="0"/>
                <w:color w:val="212121"/>
                <w:sz w:val="19"/>
              </w:rPr>
              <w:t>Bilateral nasal polyps mark eosinophilic, type-2 disease with more severe smell loss and obstruction and a high recurrence rate after surgery, defining a distinct, harder-to-treat CRS phenotype.</w:t>
            </w:r>
          </w:p>
          <w:p>
            <w:pPr>
              <w:spacing w:after="40" w:before="60" w:line="259" w:lineRule="auto"/>
            </w:pPr>
            <w:r>
              <w:rPr>
                <w:rFonts w:ascii="Calibri" w:hAnsi="Calibri"/>
                <w:b w:val="0"/>
                <w:i w:val="0"/>
                <w:color w:val="212121"/>
                <w:sz w:val="19"/>
              </w:rPr>
              <w:t>CRSwNP carries a higher rate of recurrence and of associated asthma than CRSsNP.</w:t>
            </w:r>
          </w:p>
          <w:p>
            <w:pPr>
              <w:spacing w:before="60" w:after="40"/>
            </w:pPr>
            <w:r>
              <w:rPr>
                <w:rFonts w:ascii="Calibri" w:hAnsi="Calibri"/>
                <w:b w:val="0"/>
                <w:i w:val="0"/>
                <w:color w:val="5A5A5A"/>
                <w:sz w:val="18"/>
              </w:rPr>
              <w:t>#nasalpolyps  #CRSwNP  #eosinophilic  #anosmia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Aspirin-exacerbated respiratory disease (AERD)</w:t>
            </w:r>
          </w:p>
        </w:tc>
        <w:tc>
          <w:tcPr>
            <w:tcW w:type="dxa" w:w="2160"/>
            <w:vAlign w:val="top"/>
          </w:tcPr>
          <w:p>
            <w:pPr>
              <w:spacing w:after="40" w:before="0" w:line="259" w:lineRule="auto"/>
            </w:pPr>
            <w:r>
              <w:rPr>
                <w:rFonts w:ascii="Calibri" w:hAnsi="Calibri"/>
                <w:b w:val="0"/>
                <w:i w:val="0"/>
                <w:color w:val="212121"/>
                <w:sz w:val="19"/>
              </w:rPr>
              <w:t>Aspirin/NSAID-sensitive patients</w:t>
            </w:r>
          </w:p>
        </w:tc>
        <w:tc>
          <w:tcPr>
            <w:tcW w:type="dxa" w:w="4276"/>
            <w:vAlign w:val="top"/>
          </w:tcPr>
          <w:p>
            <w:pPr>
              <w:spacing w:after="60" w:line="259" w:lineRule="auto"/>
            </w:pPr>
            <w:r>
              <w:rPr>
                <w:rFonts w:ascii="Calibri" w:hAnsi="Calibri"/>
                <w:b w:val="0"/>
                <w:i w:val="0"/>
                <w:color w:val="212121"/>
                <w:sz w:val="19"/>
              </w:rPr>
              <w:t>In AERD (Samter's triad), NSAIDs trigger upper- and lower-airway reactions in patients with asthma and CRSwNP; this group has aggressive, recurrent polyposis needing specialised management.</w:t>
            </w:r>
          </w:p>
          <w:p>
            <w:pPr>
              <w:spacing w:after="40" w:before="60" w:line="259" w:lineRule="auto"/>
            </w:pPr>
            <w:r>
              <w:rPr>
                <w:rFonts w:ascii="Calibri" w:hAnsi="Calibri"/>
                <w:b w:val="0"/>
                <w:i w:val="0"/>
                <w:color w:val="212121"/>
                <w:sz w:val="19"/>
              </w:rPr>
              <w:t>AERD combines asthma, CRS with nasal polyps and aspirin/NSAID sensitivity, and is notably recurrent.</w:t>
            </w:r>
          </w:p>
          <w:p>
            <w:pPr>
              <w:spacing w:before="60" w:after="40"/>
            </w:pPr>
            <w:r>
              <w:rPr>
                <w:rFonts w:ascii="Calibri" w:hAnsi="Calibri"/>
                <w:b w:val="0"/>
                <w:i w:val="0"/>
                <w:color w:val="5A5A5A"/>
                <w:sz w:val="18"/>
              </w:rPr>
              <w:t>#AERD  #Samterstriad  #aspirin  #NSAID  #polyprecurrence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 obese adults</w:t>
            </w:r>
          </w:p>
        </w:tc>
        <w:tc>
          <w:tcPr>
            <w:tcW w:type="dxa" w:w="4276"/>
            <w:vAlign w:val="top"/>
          </w:tcPr>
          <w:p>
            <w:pPr>
              <w:spacing w:after="60" w:line="259" w:lineRule="auto"/>
            </w:pPr>
            <w:r>
              <w:rPr>
                <w:rFonts w:ascii="Calibri" w:hAnsi="Calibri"/>
                <w:b w:val="0"/>
                <w:i w:val="0"/>
                <w:color w:val="212121"/>
                <w:sz w:val="19"/>
              </w:rPr>
              <w:t>Adiposity sustains a low-grade systemic inflammatory state that may aggravate airway inflammation; an Indian study found that body-mass and obesity measures related to endoscopic outcomes in CRS.</w:t>
            </w:r>
          </w:p>
          <w:p>
            <w:pPr>
              <w:spacing w:after="40" w:before="60" w:line="259" w:lineRule="auto"/>
            </w:pPr>
            <w:r>
              <w:rPr>
                <w:rFonts w:ascii="Calibri" w:hAnsi="Calibri"/>
                <w:b w:val="0"/>
                <w:i w:val="0"/>
                <w:color w:val="212121"/>
                <w:sz w:val="19"/>
              </w:rPr>
              <w:t>An Indian study reported that obesity measures were associated with greater endoscopic improvement in CRS, though they did not alter baseline symptom severity.</w:t>
            </w:r>
          </w:p>
          <w:p>
            <w:pPr>
              <w:spacing w:after="40" w:line="252" w:lineRule="auto"/>
            </w:pPr>
            <w:hyperlink r:id="rId10">
              <w:r>
                <w:rPr>
                  <w:rFonts w:ascii="Calibri" w:hAnsi="Calibri" w:cs="Calibri"/>
                  <w:sz w:val="18"/>
                  <w:color w:val="1155CC"/>
                  <w:u w:val="single"/>
                </w:rPr>
                <w:t xml:space="preserve">doi.org — Impact of BMI on CRS (Eur Arch ORL, 2025)</w:t>
              </w:r>
            </w:hyperlink>
          </w:p>
          <w:p>
            <w:pPr>
              <w:spacing w:before="60" w:after="40"/>
            </w:pPr>
            <w:r>
              <w:rPr>
                <w:rFonts w:ascii="Calibri" w:hAnsi="Calibri"/>
                <w:b w:val="0"/>
                <w:i w:val="0"/>
                <w:color w:val="5A5A5A"/>
                <w:sz w:val="18"/>
              </w:rPr>
              <w:t>#obesity  #BMI  #inflammation  #endoscopicoutcome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Odontogenic (dental) infection</w:t>
            </w:r>
          </w:p>
        </w:tc>
        <w:tc>
          <w:tcPr>
            <w:tcW w:type="dxa" w:w="2160"/>
            <w:vAlign w:val="top"/>
          </w:tcPr>
          <w:p>
            <w:pPr>
              <w:spacing w:after="40" w:before="0" w:line="259" w:lineRule="auto"/>
            </w:pPr>
            <w:r>
              <w:rPr>
                <w:rFonts w:ascii="Calibri" w:hAnsi="Calibri"/>
                <w:b w:val="0"/>
                <w:i w:val="0"/>
                <w:color w:val="212121"/>
                <w:sz w:val="19"/>
              </w:rPr>
              <w:t>Maxillary dental disease / post-dental procedure</w:t>
            </w:r>
          </w:p>
        </w:tc>
        <w:tc>
          <w:tcPr>
            <w:tcW w:type="dxa" w:w="4276"/>
            <w:vAlign w:val="top"/>
          </w:tcPr>
          <w:p>
            <w:pPr>
              <w:spacing w:after="60" w:line="259" w:lineRule="auto"/>
            </w:pPr>
            <w:r>
              <w:rPr>
                <w:rFonts w:ascii="Calibri" w:hAnsi="Calibri"/>
                <w:b w:val="0"/>
                <w:i w:val="0"/>
                <w:color w:val="212121"/>
                <w:sz w:val="19"/>
              </w:rPr>
              <w:t>Infection of the maxillary posterior teeth or the maxillary sinus floor can seed and maintain unilateral maxillary sinusitis; the sinus and dentition share a close, bidirectional anatomical relationship.</w:t>
            </w:r>
          </w:p>
          <w:p>
            <w:pPr>
              <w:spacing w:after="40" w:before="60" w:line="259" w:lineRule="auto"/>
            </w:pPr>
            <w:r>
              <w:rPr>
                <w:rFonts w:ascii="Calibri" w:hAnsi="Calibri"/>
                <w:b w:val="0"/>
                <w:i w:val="0"/>
                <w:color w:val="212121"/>
                <w:sz w:val="19"/>
              </w:rPr>
              <w:t>A close, bidirectional relationship between the maxillary sinuses and posterior teeth means dental infection can cause and perpetuate rhinosinusitis.</w:t>
            </w:r>
          </w:p>
          <w:p>
            <w:pPr>
              <w:spacing w:after="40" w:line="252" w:lineRule="auto"/>
            </w:pPr>
            <w:hyperlink r:id="rId11">
              <w:r>
                <w:rPr>
                  <w:rFonts w:ascii="Calibri" w:hAnsi="Calibri" w:cs="Calibri"/>
                  <w:sz w:val="18"/>
                  <w:color w:val="1155CC"/>
                  <w:u w:val="single"/>
                </w:rPr>
                <w:t xml:space="preserve">doi.org — Sinus pathology &amp; dental infections (2025)</w:t>
              </w:r>
            </w:hyperlink>
          </w:p>
          <w:p>
            <w:pPr>
              <w:spacing w:before="60" w:after="40"/>
            </w:pPr>
            <w:r>
              <w:rPr>
                <w:rFonts w:ascii="Calibri" w:hAnsi="Calibri"/>
                <w:b w:val="0"/>
                <w:i w:val="0"/>
                <w:color w:val="5A5A5A"/>
                <w:sz w:val="18"/>
              </w:rPr>
              <w:t>#odontogenic  #dentalinfection  #maxillarysinus  #unilateralCRS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Uncontrolled diabetes / immunocompromise</w:t>
            </w:r>
          </w:p>
        </w:tc>
        <w:tc>
          <w:tcPr>
            <w:tcW w:type="dxa" w:w="2160"/>
            <w:vAlign w:val="top"/>
          </w:tcPr>
          <w:p>
            <w:pPr>
              <w:spacing w:after="40" w:before="0" w:line="259" w:lineRule="auto"/>
            </w:pPr>
            <w:r>
              <w:rPr>
                <w:rFonts w:ascii="Calibri" w:hAnsi="Calibri"/>
                <w:b w:val="0"/>
                <w:i w:val="0"/>
                <w:color w:val="212121"/>
                <w:sz w:val="19"/>
              </w:rPr>
              <w:t>Poorly-controlled diabetics, immunosuppressed</w:t>
            </w:r>
          </w:p>
        </w:tc>
        <w:tc>
          <w:tcPr>
            <w:tcW w:type="dxa" w:w="4276"/>
            <w:vAlign w:val="top"/>
          </w:tcPr>
          <w:p>
            <w:pPr>
              <w:spacing w:after="60" w:line="259" w:lineRule="auto"/>
            </w:pPr>
            <w:r>
              <w:rPr>
                <w:rFonts w:ascii="Calibri" w:hAnsi="Calibri"/>
                <w:b w:val="0"/>
                <w:i w:val="0"/>
                <w:color w:val="212121"/>
                <w:sz w:val="19"/>
              </w:rPr>
              <w:t>Uncontrolled diabetes and immunosuppression impair mucosal defence and, importantly in India, greatly raise the risk of invasive fungal rhinosinusitis (including mucormycosis) — a life-threatening emergency distinct from ordinary CRS.</w:t>
            </w:r>
          </w:p>
          <w:p>
            <w:pPr>
              <w:spacing w:after="40" w:before="60" w:line="259" w:lineRule="auto"/>
            </w:pPr>
            <w:r>
              <w:rPr>
                <w:rFonts w:ascii="Calibri" w:hAnsi="Calibri"/>
                <w:b w:val="0"/>
                <w:i w:val="0"/>
                <w:color w:val="212121"/>
                <w:sz w:val="19"/>
              </w:rPr>
              <w:t>Uncontrolled diabetes is a major risk factor for invasive fungal rhinosinusitis, a recognised burden in India.</w:t>
            </w:r>
          </w:p>
          <w:p>
            <w:pPr>
              <w:spacing w:before="60" w:after="40"/>
            </w:pPr>
            <w:r>
              <w:rPr>
                <w:rFonts w:ascii="Calibri" w:hAnsi="Calibri"/>
                <w:b w:val="0"/>
                <w:i w:val="0"/>
                <w:color w:val="5A5A5A"/>
                <w:sz w:val="18"/>
              </w:rPr>
              <w:t>#diabetes  #immunocompromise  #invasivefungal  #mucormycosis  #india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obesity sustain a systemic pro-inflammatory state that may aggravate airway inflammation; regular exercise supports weight control and general airway health, though outdoor exertion in high-pollution conditions can provoke symptoms.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Direct evidence linking diet to CRS is limited. Anti-inflammatory, plant-rich diets are advised on general grounds, and salicylate/NSAID avoidance is important specifically in aspirin-exacerbated respiratory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Nasal obstruction and post-nasal drip fragment sleep and are linked to snoring and obstructive sleep apnoea; poor sleep in turn worsens fatigue and quality of life, giving a bidirectional relationship.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tobacco/bidi smoke paralyses cilia, impairs mucociliary clearance and epithelial repair, worsens symptom control and is associated with higher medical and surgical treatment-failure rates; cessation is strongly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can provoke nasal congestion and, in AERD and CRSwNP, frequently triggers airway symptoms; heavy use also degrades sleep and mucosal health.</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Persistent symptoms, poor sleep and smell loss are strongly associated with depression, anxiety and reduced quality of life; psychological distress and symptom burden influence each other bidirectionally.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Large-volume isotonic saline nasal irrigation is a cornerstone of CRS management, supported by systematic-review evidence to improve symptoms and quality of life; adequate hydration keeps secretions thin and mucociliary clearance effective.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direct link between caffeine intake and CRS; any effect is negligible, though excess caffeine can indirectly worsen sleep.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hygiene and respiratory-infection control reduce exacerbations, nasal saline hygiene supports mucosal clearance, and good dental/oral hygiene helps prevent odontogenic maxillary sinusitis.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Flares are provoked by aeroallergens and high pollen, viral upper-respiratory infections, air pollution, smoke, occupational irritants, NSAIDs/aspirin (in AERD), and barotrauma from diving or air travel.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Nasal congestion and post-nasal drip are often worse when lying flat or bending forward; elevating the head of the bed can ease night-time symptoms, but posture is a minor factor overall.</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Smokers, second-hand-smoke-exposed</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Any smoking impairs mucociliary clearance and worsens CRS and surgical outcomes</w:t>
            </w:r>
          </w:p>
          <w:p>
            <w:pPr>
              <w:spacing w:after="40" w:line="252" w:lineRule="auto"/>
            </w:pPr>
            <w:hyperlink r:id="rId9">
              <w:r>
                <w:rPr>
                  <w:rFonts w:ascii="Calibri" w:hAnsi="Calibri" w:cs="Calibri"/>
                  <w:sz w:val="18"/>
                  <w:color w:val="1155CC"/>
                  <w:u w:val="single"/>
                </w:rPr>
                <w:t xml:space="preserve">https://www.ncbi.nlm.nih.gov/books/NBK441934/</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CRS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Obesity measures were associated with CRS endoscopic outcomes in an Indian study</w:t>
            </w:r>
          </w:p>
          <w:p>
            <w:pPr>
              <w:spacing w:after="40" w:line="252" w:lineRule="auto"/>
            </w:pPr>
            <w:hyperlink r:id="rId10">
              <w:r>
                <w:rPr>
                  <w:rFonts w:ascii="Calibri" w:hAnsi="Calibri" w:cs="Calibri"/>
                  <w:sz w:val="18"/>
                  <w:color w:val="1155CC"/>
                  <w:u w:val="single"/>
                </w:rPr>
                <w:t xml:space="preserve">https://doi.org/10.1007/s00405-025-09709-x</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quality (hours/night)</w:t>
            </w:r>
          </w:p>
        </w:tc>
        <w:tc>
          <w:tcPr>
            <w:tcW w:type="dxa" w:w="1655"/>
            <w:vAlign w:val="top"/>
          </w:tcPr>
          <w:p>
            <w:pPr>
              <w:spacing w:after="40" w:before="0" w:line="259" w:lineRule="auto"/>
            </w:pPr>
            <w:r>
              <w:rPr>
                <w:rFonts w:ascii="Calibri" w:hAnsi="Calibri"/>
                <w:b w:val="0"/>
                <w:i w:val="0"/>
                <w:color w:val="212121"/>
                <w:sz w:val="19"/>
              </w:rPr>
              <w:t>All CRS patients</w:t>
            </w:r>
          </w:p>
        </w:tc>
        <w:tc>
          <w:tcPr>
            <w:tcW w:type="dxa" w:w="1512"/>
            <w:vAlign w:val="top"/>
          </w:tcPr>
          <w:p>
            <w:pPr>
              <w:spacing w:after="40" w:before="0" w:line="259" w:lineRule="auto"/>
            </w:pPr>
            <w:r>
              <w:rPr>
                <w:rFonts w:ascii="Calibri" w:hAnsi="Calibri"/>
                <w:b w:val="0"/>
                <w:i w:val="0"/>
                <w:color w:val="212121"/>
                <w:sz w:val="19"/>
              </w:rPr>
              <w:t>7–9 hours, undisturbed</w:t>
            </w:r>
          </w:p>
        </w:tc>
        <w:tc>
          <w:tcPr>
            <w:tcW w:type="dxa" w:w="1512"/>
            <w:vAlign w:val="top"/>
          </w:tcPr>
          <w:p>
            <w:pPr>
              <w:spacing w:after="40" w:before="0" w:line="259" w:lineRule="auto"/>
            </w:pPr>
            <w:r>
              <w:rPr>
                <w:rFonts w:ascii="Calibri" w:hAnsi="Calibri"/>
                <w:b w:val="0"/>
                <w:i w:val="0"/>
                <w:color w:val="212121"/>
                <w:sz w:val="19"/>
              </w:rPr>
              <w:t>&lt; 6 h or fragmented by obstruction/snoring</w:t>
            </w:r>
          </w:p>
        </w:tc>
        <w:tc>
          <w:tcPr>
            <w:tcW w:type="dxa" w:w="1468"/>
            <w:vAlign w:val="top"/>
          </w:tcPr>
          <w:p>
            <w:pPr>
              <w:spacing w:after="40" w:before="0" w:line="259" w:lineRule="auto"/>
            </w:pPr>
            <w:r>
              <w:rPr>
                <w:rFonts w:ascii="Calibri" w:hAnsi="Calibri"/>
                <w:b w:val="0"/>
                <w:i w:val="0"/>
                <w:color w:val="212121"/>
                <w:sz w:val="19"/>
              </w:rPr>
              <w:t>Nasal obstruction fragments sleep and may signal obstructive sleep apnoea</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SNOT-22 score (0–110)</w:t>
            </w:r>
          </w:p>
        </w:tc>
        <w:tc>
          <w:tcPr>
            <w:tcW w:type="dxa" w:w="1655"/>
            <w:vAlign w:val="top"/>
          </w:tcPr>
          <w:p>
            <w:pPr>
              <w:spacing w:after="40" w:before="0" w:line="259" w:lineRule="auto"/>
            </w:pPr>
            <w:r>
              <w:rPr>
                <w:rFonts w:ascii="Calibri" w:hAnsi="Calibri"/>
                <w:b w:val="0"/>
                <w:i w:val="0"/>
                <w:color w:val="212121"/>
                <w:sz w:val="19"/>
              </w:rPr>
              <w:t>All CRS patients</w:t>
            </w:r>
          </w:p>
        </w:tc>
        <w:tc>
          <w:tcPr>
            <w:tcW w:type="dxa" w:w="1512"/>
            <w:vAlign w:val="top"/>
          </w:tcPr>
          <w:p>
            <w:pPr>
              <w:spacing w:after="40" w:before="0" w:line="259" w:lineRule="auto"/>
            </w:pPr>
            <w:r>
              <w:rPr>
                <w:rFonts w:ascii="Calibri" w:hAnsi="Calibri"/>
                <w:b w:val="0"/>
                <w:i w:val="0"/>
                <w:color w:val="212121"/>
                <w:sz w:val="19"/>
              </w:rPr>
              <w:t>Low score (minimal burden)</w:t>
            </w:r>
          </w:p>
        </w:tc>
        <w:tc>
          <w:tcPr>
            <w:tcW w:type="dxa" w:w="1512"/>
            <w:vAlign w:val="top"/>
          </w:tcPr>
          <w:p>
            <w:pPr>
              <w:spacing w:after="40" w:before="0" w:line="259" w:lineRule="auto"/>
            </w:pPr>
            <w:r>
              <w:rPr>
                <w:rFonts w:ascii="Calibri" w:hAnsi="Calibri"/>
                <w:b w:val="0"/>
                <w:i w:val="0"/>
                <w:color w:val="212121"/>
                <w:sz w:val="19"/>
              </w:rPr>
              <w:t>Persistently high score</w:t>
            </w:r>
          </w:p>
        </w:tc>
        <w:tc>
          <w:tcPr>
            <w:tcW w:type="dxa" w:w="1468"/>
            <w:vAlign w:val="top"/>
          </w:tcPr>
          <w:p>
            <w:pPr>
              <w:spacing w:after="40" w:before="0" w:line="259" w:lineRule="auto"/>
            </w:pPr>
            <w:r>
              <w:rPr>
                <w:rFonts w:ascii="Calibri" w:hAnsi="Calibri"/>
                <w:b w:val="0"/>
                <w:i w:val="0"/>
                <w:color w:val="212121"/>
                <w:sz w:val="19"/>
              </w:rPr>
              <w:t>Disease-specific quality-of-life score; higher = worse symptom burden, tracks treatment response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Nasal saline irrigation frequency</w:t>
            </w:r>
          </w:p>
        </w:tc>
        <w:tc>
          <w:tcPr>
            <w:tcW w:type="dxa" w:w="1655"/>
            <w:vAlign w:val="top"/>
          </w:tcPr>
          <w:p>
            <w:pPr>
              <w:spacing w:after="40" w:before="0" w:line="259" w:lineRule="auto"/>
            </w:pPr>
            <w:r>
              <w:rPr>
                <w:rFonts w:ascii="Calibri" w:hAnsi="Calibri"/>
                <w:b w:val="0"/>
                <w:i w:val="0"/>
                <w:color w:val="212121"/>
                <w:sz w:val="19"/>
              </w:rPr>
              <w:t>All CRS, post-FESS patients</w:t>
            </w:r>
          </w:p>
        </w:tc>
        <w:tc>
          <w:tcPr>
            <w:tcW w:type="dxa" w:w="1512"/>
            <w:vAlign w:val="top"/>
          </w:tcPr>
          <w:p>
            <w:pPr>
              <w:spacing w:after="40" w:before="0" w:line="259" w:lineRule="auto"/>
            </w:pPr>
            <w:r>
              <w:rPr>
                <w:rFonts w:ascii="Calibri" w:hAnsi="Calibri"/>
                <w:b w:val="0"/>
                <w:i w:val="0"/>
                <w:color w:val="212121"/>
                <w:sz w:val="19"/>
              </w:rPr>
              <w:t>1–2 large-volume isotonic irrigations/day</w:t>
            </w:r>
          </w:p>
        </w:tc>
        <w:tc>
          <w:tcPr>
            <w:tcW w:type="dxa" w:w="1512"/>
            <w:vAlign w:val="top"/>
          </w:tcPr>
          <w:p>
            <w:pPr>
              <w:spacing w:after="40" w:before="0" w:line="259" w:lineRule="auto"/>
            </w:pPr>
            <w:r>
              <w:rPr>
                <w:rFonts w:ascii="Calibri" w:hAnsi="Calibri"/>
                <w:b w:val="0"/>
                <w:i w:val="0"/>
                <w:color w:val="212121"/>
                <w:sz w:val="19"/>
              </w:rPr>
              <w:t>Not performed / crusting &amp; dryness</w:t>
            </w:r>
          </w:p>
        </w:tc>
        <w:tc>
          <w:tcPr>
            <w:tcW w:type="dxa" w:w="1468"/>
            <w:vAlign w:val="top"/>
          </w:tcPr>
          <w:p>
            <w:pPr>
              <w:spacing w:after="40" w:before="0" w:line="259" w:lineRule="auto"/>
            </w:pPr>
            <w:r>
              <w:rPr>
                <w:rFonts w:ascii="Calibri" w:hAnsi="Calibri"/>
                <w:b w:val="0"/>
                <w:i w:val="0"/>
                <w:color w:val="212121"/>
                <w:sz w:val="19"/>
              </w:rPr>
              <w:t>Saline irrigation is a cornerstone of CRS control and post-operative care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 AERD/CRSwNP</w:t>
            </w:r>
          </w:p>
        </w:tc>
        <w:tc>
          <w:tcPr>
            <w:tcW w:type="dxa" w:w="1512"/>
            <w:vAlign w:val="top"/>
          </w:tcPr>
          <w:p>
            <w:pPr>
              <w:spacing w:after="40" w:before="0" w:line="259" w:lineRule="auto"/>
            </w:pPr>
            <w:r>
              <w:rPr>
                <w:rFonts w:ascii="Calibri" w:hAnsi="Calibri"/>
                <w:b w:val="0"/>
                <w:i w:val="0"/>
                <w:color w:val="212121"/>
                <w:sz w:val="19"/>
              </w:rPr>
              <w:t>None to low</w:t>
            </w:r>
          </w:p>
        </w:tc>
        <w:tc>
          <w:tcPr>
            <w:tcW w:type="dxa" w:w="1512"/>
            <w:vAlign w:val="top"/>
          </w:tcPr>
          <w:p>
            <w:pPr>
              <w:spacing w:after="40" w:before="0" w:line="259" w:lineRule="auto"/>
            </w:pPr>
            <w:r>
              <w:rPr>
                <w:rFonts w:ascii="Calibri" w:hAnsi="Calibri"/>
                <w:b w:val="0"/>
                <w:i w:val="0"/>
                <w:color w:val="212121"/>
                <w:sz w:val="19"/>
              </w:rPr>
              <w:t>Regular intake or symptom-triggering doses</w:t>
            </w:r>
          </w:p>
        </w:tc>
        <w:tc>
          <w:tcPr>
            <w:tcW w:type="dxa" w:w="1468"/>
            <w:vAlign w:val="top"/>
          </w:tcPr>
          <w:p>
            <w:pPr>
              <w:spacing w:after="40" w:before="0" w:line="259" w:lineRule="auto"/>
            </w:pPr>
            <w:r>
              <w:rPr>
                <w:rFonts w:ascii="Calibri" w:hAnsi="Calibri"/>
                <w:b w:val="0"/>
                <w:i w:val="0"/>
                <w:color w:val="212121"/>
                <w:sz w:val="19"/>
              </w:rPr>
              <w:t>Alcohol can provoke congestion and airway reactions, especially in AERD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Aeroallergen / air-pollution exposure</w:t>
            </w:r>
          </w:p>
        </w:tc>
        <w:tc>
          <w:tcPr>
            <w:tcW w:type="dxa" w:w="1655"/>
            <w:vAlign w:val="top"/>
          </w:tcPr>
          <w:p>
            <w:pPr>
              <w:spacing w:after="40" w:before="0" w:line="259" w:lineRule="auto"/>
            </w:pPr>
            <w:r>
              <w:rPr>
                <w:rFonts w:ascii="Calibri" w:hAnsi="Calibri"/>
                <w:b w:val="0"/>
                <w:i w:val="0"/>
                <w:color w:val="212121"/>
                <w:sz w:val="19"/>
              </w:rPr>
              <w:t>Atopic CRS, urban dwellers</w:t>
            </w:r>
          </w:p>
        </w:tc>
        <w:tc>
          <w:tcPr>
            <w:tcW w:type="dxa" w:w="1512"/>
            <w:vAlign w:val="top"/>
          </w:tcPr>
          <w:p>
            <w:pPr>
              <w:spacing w:after="40" w:before="0" w:line="259" w:lineRule="auto"/>
            </w:pPr>
            <w:r>
              <w:rPr>
                <w:rFonts w:ascii="Calibri" w:hAnsi="Calibri"/>
                <w:b w:val="0"/>
                <w:i w:val="0"/>
                <w:color w:val="212121"/>
                <w:sz w:val="19"/>
              </w:rPr>
              <w:t>Exposure minimised (avoidance, masks, air purifiers)</w:t>
            </w:r>
          </w:p>
        </w:tc>
        <w:tc>
          <w:tcPr>
            <w:tcW w:type="dxa" w:w="1512"/>
            <w:vAlign w:val="top"/>
          </w:tcPr>
          <w:p>
            <w:pPr>
              <w:spacing w:after="40" w:before="0" w:line="259" w:lineRule="auto"/>
            </w:pPr>
            <w:r>
              <w:rPr>
                <w:rFonts w:ascii="Calibri" w:hAnsi="Calibri"/>
                <w:b w:val="0"/>
                <w:i w:val="0"/>
                <w:color w:val="212121"/>
                <w:sz w:val="19"/>
              </w:rPr>
              <w:t>High pollen / high PM2.5 days</w:t>
            </w:r>
          </w:p>
        </w:tc>
        <w:tc>
          <w:tcPr>
            <w:tcW w:type="dxa" w:w="1468"/>
            <w:vAlign w:val="top"/>
          </w:tcPr>
          <w:p>
            <w:pPr>
              <w:spacing w:after="40" w:before="0" w:line="259" w:lineRule="auto"/>
            </w:pPr>
            <w:r>
              <w:rPr>
                <w:rFonts w:ascii="Calibri" w:hAnsi="Calibri"/>
                <w:b w:val="0"/>
                <w:i w:val="0"/>
                <w:color w:val="212121"/>
                <w:sz w:val="19"/>
              </w:rPr>
              <w:t>Reducing allergen and pollutant exposure lowers exacerbation frequency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Dental / oral hygiene</w:t>
            </w:r>
          </w:p>
        </w:tc>
        <w:tc>
          <w:tcPr>
            <w:tcW w:type="dxa" w:w="1655"/>
            <w:vAlign w:val="top"/>
          </w:tcPr>
          <w:p>
            <w:pPr>
              <w:spacing w:after="40" w:before="0" w:line="259" w:lineRule="auto"/>
            </w:pPr>
            <w:r>
              <w:rPr>
                <w:rFonts w:ascii="Calibri" w:hAnsi="Calibri"/>
                <w:b w:val="0"/>
                <w:i w:val="0"/>
                <w:color w:val="212121"/>
                <w:sz w:val="19"/>
              </w:rPr>
              <w:t>Unilateral maxillary CRS</w:t>
            </w:r>
          </w:p>
        </w:tc>
        <w:tc>
          <w:tcPr>
            <w:tcW w:type="dxa" w:w="1512"/>
            <w:vAlign w:val="top"/>
          </w:tcPr>
          <w:p>
            <w:pPr>
              <w:spacing w:after="40" w:before="0" w:line="259" w:lineRule="auto"/>
            </w:pPr>
            <w:r>
              <w:rPr>
                <w:rFonts w:ascii="Calibri" w:hAnsi="Calibri"/>
                <w:b w:val="0"/>
                <w:i w:val="0"/>
                <w:color w:val="212121"/>
                <w:sz w:val="19"/>
              </w:rPr>
              <w:t>Healthy dentition; regular dental care</w:t>
            </w:r>
          </w:p>
        </w:tc>
        <w:tc>
          <w:tcPr>
            <w:tcW w:type="dxa" w:w="1512"/>
            <w:vAlign w:val="top"/>
          </w:tcPr>
          <w:p>
            <w:pPr>
              <w:spacing w:after="40" w:before="0" w:line="259" w:lineRule="auto"/>
            </w:pPr>
            <w:r>
              <w:rPr>
                <w:rFonts w:ascii="Calibri" w:hAnsi="Calibri"/>
                <w:b w:val="0"/>
                <w:i w:val="0"/>
                <w:color w:val="212121"/>
                <w:sz w:val="19"/>
              </w:rPr>
              <w:t>Untreated posterior maxillary dental disease</w:t>
            </w:r>
          </w:p>
        </w:tc>
        <w:tc>
          <w:tcPr>
            <w:tcW w:type="dxa" w:w="1468"/>
            <w:vAlign w:val="top"/>
          </w:tcPr>
          <w:p>
            <w:pPr>
              <w:spacing w:after="60" w:line="259" w:lineRule="auto"/>
            </w:pPr>
            <w:r>
              <w:rPr>
                <w:rFonts w:ascii="Calibri" w:hAnsi="Calibri"/>
                <w:b w:val="0"/>
                <w:i w:val="0"/>
                <w:color w:val="212121"/>
                <w:sz w:val="19"/>
              </w:rPr>
              <w:t>Odontogenic infection can cause and perpetuate maxillary sinusitis</w:t>
            </w:r>
          </w:p>
          <w:p>
            <w:pPr>
              <w:spacing w:after="40" w:line="252" w:lineRule="auto"/>
            </w:pPr>
            <w:hyperlink r:id="rId11">
              <w:r>
                <w:rPr>
                  <w:rFonts w:ascii="Calibri" w:hAnsi="Calibri" w:cs="Calibri"/>
                  <w:sz w:val="18"/>
                  <w:color w:val="1155CC"/>
                  <w:u w:val="single"/>
                </w:rPr>
                <w:t xml:space="preserve">https://doi.org/10.6026/973206300213475</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CT paranasal sinuses (Lund–Mackay score)</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mucosal opacification (score 0)</w:t>
            </w:r>
          </w:p>
        </w:tc>
        <w:tc>
          <w:tcPr>
            <w:tcW w:type="dxa" w:w="950"/>
            <w:vAlign w:val="top"/>
          </w:tcPr>
          <w:p>
            <w:pPr>
              <w:spacing w:after="40" w:before="0" w:line="259" w:lineRule="auto"/>
            </w:pPr>
            <w:r>
              <w:rPr>
                <w:rFonts w:ascii="Calibri" w:hAnsi="Calibri"/>
                <w:b w:val="0"/>
                <w:i w:val="0"/>
                <w:color w:val="212121"/>
                <w:sz w:val="16"/>
              </w:rPr>
              <w:t>Mucosal thickening / opacification of ostiomeatal complex or sinuses</w:t>
            </w:r>
          </w:p>
        </w:tc>
        <w:tc>
          <w:tcPr>
            <w:tcW w:type="dxa" w:w="1036"/>
            <w:vAlign w:val="top"/>
          </w:tcPr>
          <w:p>
            <w:pPr>
              <w:spacing w:after="40" w:before="0" w:line="259" w:lineRule="auto"/>
            </w:pPr>
            <w:r>
              <w:rPr>
                <w:rFonts w:ascii="Calibri" w:hAnsi="Calibri"/>
                <w:b w:val="0"/>
                <w:i w:val="0"/>
                <w:color w:val="212121"/>
                <w:sz w:val="16"/>
              </w:rPr>
              <w:t>Objective confirmation and mapping of disease extent; essential before surgery</w:t>
            </w:r>
          </w:p>
        </w:tc>
        <w:tc>
          <w:tcPr>
            <w:tcW w:type="dxa" w:w="1036"/>
            <w:vAlign w:val="top"/>
          </w:tcPr>
          <w:p>
            <w:pPr>
              <w:spacing w:after="40" w:before="0" w:line="259" w:lineRule="auto"/>
            </w:pPr>
            <w:r>
              <w:rPr>
                <w:rFonts w:ascii="Calibri" w:hAnsi="Calibri"/>
                <w:b w:val="0"/>
                <w:i w:val="0"/>
                <w:color w:val="212121"/>
                <w:sz w:val="16"/>
              </w:rPr>
              <w:t>Refractory CRS, pre-surgical, diagnostic uncertainty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imaging</w:t>
            </w:r>
          </w:p>
        </w:tc>
        <w:tc>
          <w:tcPr>
            <w:tcW w:type="dxa" w:w="720"/>
            <w:vAlign w:val="top"/>
          </w:tcPr>
          <w:p>
            <w:pPr>
              <w:spacing w:after="40" w:before="0" w:line="259" w:lineRule="auto"/>
            </w:pPr>
            <w:r>
              <w:rPr>
                <w:rFonts w:ascii="Calibri" w:hAnsi="Calibri"/>
                <w:b w:val="0"/>
                <w:i w:val="0"/>
                <w:color w:val="212121"/>
                <w:sz w:val="16"/>
              </w:rPr>
              <w:t>Best performed after a course of medical therapy to avoid over-calling incidental change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blood eosinophil count</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&lt; 300 cells/µL</w:t>
            </w:r>
          </w:p>
        </w:tc>
        <w:tc>
          <w:tcPr>
            <w:tcW w:type="dxa" w:w="950"/>
            <w:vAlign w:val="top"/>
          </w:tcPr>
          <w:p>
            <w:pPr>
              <w:spacing w:after="40" w:before="0" w:line="259" w:lineRule="auto"/>
            </w:pPr>
            <w:r>
              <w:rPr>
                <w:rFonts w:ascii="Calibri" w:hAnsi="Calibri"/>
                <w:b w:val="0"/>
                <w:i w:val="0"/>
                <w:color w:val="212121"/>
                <w:sz w:val="16"/>
              </w:rPr>
              <w:t>≥ 300 cells/µL (type-2 signal)</w:t>
            </w:r>
          </w:p>
        </w:tc>
        <w:tc>
          <w:tcPr>
            <w:tcW w:type="dxa" w:w="1036"/>
            <w:vAlign w:val="top"/>
          </w:tcPr>
          <w:p>
            <w:pPr>
              <w:spacing w:after="40" w:before="0" w:line="259" w:lineRule="auto"/>
            </w:pPr>
            <w:r>
              <w:rPr>
                <w:rFonts w:ascii="Calibri" w:hAnsi="Calibri"/>
                <w:b w:val="0"/>
                <w:i w:val="0"/>
                <w:color w:val="212121"/>
                <w:sz w:val="16"/>
              </w:rPr>
              <w:t>Marker of eosinophilic/type-2 endotype; predicts polyp recurrence and response to type-2-targeted (biologic) therapy</w:t>
            </w:r>
          </w:p>
        </w:tc>
        <w:tc>
          <w:tcPr>
            <w:tcW w:type="dxa" w:w="1036"/>
            <w:vAlign w:val="top"/>
          </w:tcPr>
          <w:p>
            <w:pPr>
              <w:spacing w:after="40" w:before="0" w:line="259" w:lineRule="auto"/>
            </w:pPr>
            <w:r>
              <w:rPr>
                <w:rFonts w:ascii="Calibri" w:hAnsi="Calibri"/>
                <w:b w:val="0"/>
                <w:i w:val="0"/>
                <w:color w:val="212121"/>
                <w:sz w:val="16"/>
              </w:rPr>
              <w:t>CRSwNP, AERD, asthma-CRS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Endotyping</w:t>
            </w:r>
          </w:p>
        </w:tc>
        <w:tc>
          <w:tcPr>
            <w:tcW w:type="dxa" w:w="720"/>
            <w:vAlign w:val="top"/>
          </w:tcPr>
          <w:p>
            <w:pPr>
              <w:spacing w:after="40" w:before="0" w:line="259" w:lineRule="auto"/>
            </w:pPr>
            <w:r>
              <w:rPr>
                <w:rFonts w:ascii="Calibri" w:hAnsi="Calibri"/>
                <w:b w:val="0"/>
                <w:i w:val="0"/>
                <w:color w:val="212121"/>
                <w:sz w:val="16"/>
              </w:rPr>
              <w:t>Non-specific; interpret alongside the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Total serum IgE</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Within age-adjusted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Supports atopy; often markedly raised in allergic fungal rhinosinusitis</w:t>
            </w:r>
          </w:p>
        </w:tc>
        <w:tc>
          <w:tcPr>
            <w:tcW w:type="dxa" w:w="1036"/>
            <w:vAlign w:val="top"/>
          </w:tcPr>
          <w:p>
            <w:pPr>
              <w:spacing w:after="40" w:before="0" w:line="259" w:lineRule="auto"/>
            </w:pPr>
            <w:r>
              <w:rPr>
                <w:rFonts w:ascii="Calibri" w:hAnsi="Calibri"/>
                <w:b w:val="0"/>
                <w:i w:val="0"/>
                <w:color w:val="212121"/>
                <w:sz w:val="16"/>
              </w:rPr>
              <w:t>AFRS-suspect, atopic CRSwNP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Very high levels raise suspicion of AFRS, which is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Allergen-specific IgE / skin-prick test</w:t>
            </w:r>
          </w:p>
        </w:tc>
        <w:tc>
          <w:tcPr>
            <w:tcW w:type="dxa" w:w="892"/>
            <w:vAlign w:val="top"/>
          </w:tcPr>
          <w:p>
            <w:pPr>
              <w:spacing w:after="40" w:before="0" w:line="259" w:lineRule="auto"/>
            </w:pPr>
            <w:r>
              <w:rPr>
                <w:rFonts w:ascii="Calibri" w:hAnsi="Calibri"/>
                <w:b w:val="0"/>
                <w:i w:val="0"/>
                <w:color w:val="212121"/>
                <w:sz w:val="16"/>
              </w:rPr>
              <w:t>Allergy testing</w:t>
            </w:r>
          </w:p>
        </w:tc>
        <w:tc>
          <w:tcPr>
            <w:tcW w:type="dxa" w:w="950"/>
            <w:vAlign w:val="top"/>
          </w:tcPr>
          <w:p>
            <w:pPr>
              <w:spacing w:after="40" w:before="0" w:line="259" w:lineRule="auto"/>
            </w:pPr>
            <w:r>
              <w:rPr>
                <w:rFonts w:ascii="Calibri" w:hAnsi="Calibri"/>
                <w:b w:val="0"/>
                <w:i w:val="0"/>
                <w:color w:val="212121"/>
                <w:sz w:val="16"/>
              </w:rPr>
              <w:t>No relevant sensitisation</w:t>
            </w:r>
          </w:p>
        </w:tc>
        <w:tc>
          <w:tcPr>
            <w:tcW w:type="dxa" w:w="950"/>
            <w:vAlign w:val="top"/>
          </w:tcPr>
          <w:p>
            <w:pPr>
              <w:spacing w:after="40" w:before="0" w:line="259" w:lineRule="auto"/>
            </w:pPr>
            <w:r>
              <w:rPr>
                <w:rFonts w:ascii="Calibri" w:hAnsi="Calibri"/>
                <w:b w:val="0"/>
                <w:i w:val="0"/>
                <w:color w:val="212121"/>
                <w:sz w:val="16"/>
              </w:rPr>
              <w:t>Sensitisation to aeroallergens or fungi</w:t>
            </w:r>
          </w:p>
        </w:tc>
        <w:tc>
          <w:tcPr>
            <w:tcW w:type="dxa" w:w="1036"/>
            <w:vAlign w:val="top"/>
          </w:tcPr>
          <w:p>
            <w:pPr>
              <w:spacing w:after="40" w:before="0" w:line="259" w:lineRule="auto"/>
            </w:pPr>
            <w:r>
              <w:rPr>
                <w:rFonts w:ascii="Calibri" w:hAnsi="Calibri"/>
                <w:b w:val="0"/>
                <w:i w:val="0"/>
                <w:color w:val="212121"/>
                <w:sz w:val="16"/>
              </w:rPr>
              <w:t>Identifies allergic triggers for avoidance or immunotherapy</w:t>
            </w:r>
          </w:p>
        </w:tc>
        <w:tc>
          <w:tcPr>
            <w:tcW w:type="dxa" w:w="1036"/>
            <w:vAlign w:val="top"/>
          </w:tcPr>
          <w:p>
            <w:pPr>
              <w:spacing w:after="40" w:before="0" w:line="259" w:lineRule="auto"/>
            </w:pPr>
            <w:r>
              <w:rPr>
                <w:rFonts w:ascii="Calibri" w:hAnsi="Calibri"/>
                <w:b w:val="0"/>
                <w:i w:val="0"/>
                <w:color w:val="212121"/>
                <w:sz w:val="16"/>
              </w:rPr>
              <w:t>Allergic-rhinitis-CRS, AFRS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Guides avoidance</w:t>
            </w:r>
          </w:p>
        </w:tc>
        <w:tc>
          <w:tcPr>
            <w:tcW w:type="dxa" w:w="720"/>
            <w:vAlign w:val="top"/>
          </w:tcPr>
          <w:p>
            <w:pPr>
              <w:spacing w:after="40" w:before="0" w:line="259" w:lineRule="auto"/>
            </w:pPr>
            <w:r>
              <w:rPr>
                <w:rFonts w:ascii="Calibri" w:hAnsi="Calibri"/>
                <w:b w:val="0"/>
                <w:i w:val="0"/>
                <w:color w:val="212121"/>
                <w:sz w:val="16"/>
              </w:rPr>
              <w:t>High aeroallergen burden in many Indian environments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Endoscopically-guided middle-meatal culture</w:t>
            </w:r>
          </w:p>
        </w:tc>
        <w:tc>
          <w:tcPr>
            <w:tcW w:type="dxa" w:w="892"/>
            <w:vAlign w:val="top"/>
          </w:tcPr>
          <w:p>
            <w:pPr>
              <w:spacing w:after="40" w:before="0" w:line="259" w:lineRule="auto"/>
            </w:pPr>
            <w:r>
              <w:rPr>
                <w:rFonts w:ascii="Calibri" w:hAnsi="Calibri"/>
                <w:b w:val="0"/>
                <w:i w:val="0"/>
                <w:color w:val="212121"/>
                <w:sz w:val="16"/>
              </w:rPr>
              <w:t>Culture &amp; sensitivity</w:t>
            </w:r>
          </w:p>
        </w:tc>
        <w:tc>
          <w:tcPr>
            <w:tcW w:type="dxa" w:w="950"/>
            <w:vAlign w:val="top"/>
          </w:tcPr>
          <w:p>
            <w:pPr>
              <w:spacing w:after="40" w:before="0" w:line="259" w:lineRule="auto"/>
            </w:pPr>
            <w:r>
              <w:rPr>
                <w:rFonts w:ascii="Calibri" w:hAnsi="Calibri"/>
                <w:b w:val="0"/>
                <w:i w:val="0"/>
                <w:color w:val="212121"/>
                <w:sz w:val="16"/>
              </w:rPr>
              <w:t>Commensal flora</w:t>
            </w:r>
          </w:p>
        </w:tc>
        <w:tc>
          <w:tcPr>
            <w:tcW w:type="dxa" w:w="950"/>
            <w:vAlign w:val="top"/>
          </w:tcPr>
          <w:p>
            <w:pPr>
              <w:spacing w:after="40" w:before="0" w:line="259" w:lineRule="auto"/>
            </w:pPr>
            <w:r>
              <w:rPr>
                <w:rFonts w:ascii="Calibri" w:hAnsi="Calibri"/>
                <w:b w:val="0"/>
                <w:i w:val="0"/>
                <w:color w:val="212121"/>
                <w:sz w:val="16"/>
              </w:rPr>
              <w:t>Pathogenic bacteria or fungi</w:t>
            </w:r>
          </w:p>
        </w:tc>
        <w:tc>
          <w:tcPr>
            <w:tcW w:type="dxa" w:w="1036"/>
            <w:vAlign w:val="top"/>
          </w:tcPr>
          <w:p>
            <w:pPr>
              <w:spacing w:after="40" w:before="0" w:line="259" w:lineRule="auto"/>
            </w:pPr>
            <w:r>
              <w:rPr>
                <w:rFonts w:ascii="Calibri" w:hAnsi="Calibri"/>
                <w:b w:val="0"/>
                <w:i w:val="0"/>
                <w:color w:val="212121"/>
                <w:sz w:val="16"/>
              </w:rPr>
              <w:t>Guides targeted antibiotics in purulent exacerbations or treatment failure</w:t>
            </w:r>
          </w:p>
        </w:tc>
        <w:tc>
          <w:tcPr>
            <w:tcW w:type="dxa" w:w="1036"/>
            <w:vAlign w:val="top"/>
          </w:tcPr>
          <w:p>
            <w:pPr>
              <w:spacing w:after="40" w:before="0" w:line="259" w:lineRule="auto"/>
            </w:pPr>
            <w:r>
              <w:rPr>
                <w:rFonts w:ascii="Calibri" w:hAnsi="Calibri"/>
                <w:b w:val="0"/>
                <w:i w:val="0"/>
                <w:color w:val="212121"/>
                <w:sz w:val="16"/>
              </w:rPr>
              <w:t>Refractory / purulent CRS, post-surgical</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Targets therapy</w:t>
            </w:r>
          </w:p>
        </w:tc>
        <w:tc>
          <w:tcPr>
            <w:tcW w:type="dxa" w:w="720"/>
            <w:vAlign w:val="top"/>
          </w:tcPr>
          <w:p>
            <w:pPr>
              <w:spacing w:after="40" w:before="0" w:line="259" w:lineRule="auto"/>
            </w:pPr>
            <w:r>
              <w:rPr>
                <w:rFonts w:ascii="Calibri" w:hAnsi="Calibri"/>
                <w:b w:val="0"/>
                <w:i w:val="0"/>
                <w:color w:val="212121"/>
                <w:sz w:val="16"/>
              </w:rPr>
              <w:t>Reserve for treatment failure to avoid blind, repeated antibiotic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Mycology / Histopathology</w:t>
            </w:r>
          </w:p>
        </w:tc>
        <w:tc>
          <w:tcPr>
            <w:tcW w:type="dxa" w:w="1036"/>
            <w:vAlign w:val="top"/>
          </w:tcPr>
          <w:p>
            <w:pPr>
              <w:spacing w:after="40" w:before="0" w:line="259" w:lineRule="auto"/>
            </w:pPr>
            <w:r>
              <w:rPr>
                <w:rFonts w:ascii="Calibri" w:hAnsi="Calibri"/>
                <w:b w:val="0"/>
                <w:i w:val="0"/>
                <w:color w:val="212121"/>
                <w:sz w:val="16"/>
              </w:rPr>
              <w:t>KOH mount, fungal culture &amp; histopathology of mucin</w:t>
            </w:r>
          </w:p>
        </w:tc>
        <w:tc>
          <w:tcPr>
            <w:tcW w:type="dxa" w:w="892"/>
            <w:vAlign w:val="top"/>
          </w:tcPr>
          <w:p>
            <w:pPr>
              <w:spacing w:after="40" w:before="0" w:line="259" w:lineRule="auto"/>
            </w:pPr>
            <w:r>
              <w:rPr>
                <w:rFonts w:ascii="Calibri" w:hAnsi="Calibri"/>
                <w:b w:val="0"/>
                <w:i w:val="0"/>
                <w:color w:val="212121"/>
                <w:sz w:val="16"/>
              </w:rPr>
              <w:t>Microscopy &amp; histopathology</w:t>
            </w:r>
          </w:p>
        </w:tc>
        <w:tc>
          <w:tcPr>
            <w:tcW w:type="dxa" w:w="950"/>
            <w:vAlign w:val="top"/>
          </w:tcPr>
          <w:p>
            <w:pPr>
              <w:spacing w:after="40" w:before="0" w:line="259" w:lineRule="auto"/>
            </w:pPr>
            <w:r>
              <w:rPr>
                <w:rFonts w:ascii="Calibri" w:hAnsi="Calibri"/>
                <w:b w:val="0"/>
                <w:i w:val="0"/>
                <w:color w:val="212121"/>
                <w:sz w:val="16"/>
              </w:rPr>
              <w:t>No fungal elements or allergic mucin</w:t>
            </w:r>
          </w:p>
        </w:tc>
        <w:tc>
          <w:tcPr>
            <w:tcW w:type="dxa" w:w="950"/>
            <w:vAlign w:val="top"/>
          </w:tcPr>
          <w:p>
            <w:pPr>
              <w:spacing w:after="40" w:before="0" w:line="259" w:lineRule="auto"/>
            </w:pPr>
            <w:r>
              <w:rPr>
                <w:rFonts w:ascii="Calibri" w:hAnsi="Calibri"/>
                <w:b w:val="0"/>
                <w:i w:val="0"/>
                <w:color w:val="212121"/>
                <w:sz w:val="16"/>
              </w:rPr>
              <w:t>Eosinophilic (allergic) mucin with non-invasive hyphae (AFRS); tissue invasion (invasive disease)</w:t>
            </w:r>
          </w:p>
        </w:tc>
        <w:tc>
          <w:tcPr>
            <w:tcW w:type="dxa" w:w="1036"/>
            <w:vAlign w:val="top"/>
          </w:tcPr>
          <w:p>
            <w:pPr>
              <w:spacing w:after="40" w:before="0" w:line="259" w:lineRule="auto"/>
            </w:pPr>
            <w:r>
              <w:rPr>
                <w:rFonts w:ascii="Calibri" w:hAnsi="Calibri"/>
                <w:b w:val="0"/>
                <w:i w:val="0"/>
                <w:color w:val="212121"/>
                <w:sz w:val="16"/>
              </w:rPr>
              <w:t>Distinguishes allergic fungal from invasive fungal rhinosinusitis</w:t>
            </w:r>
          </w:p>
        </w:tc>
        <w:tc>
          <w:tcPr>
            <w:tcW w:type="dxa" w:w="1036"/>
            <w:vAlign w:val="top"/>
          </w:tcPr>
          <w:p>
            <w:pPr>
              <w:spacing w:after="40" w:before="0" w:line="259" w:lineRule="auto"/>
            </w:pPr>
            <w:r>
              <w:rPr>
                <w:rFonts w:ascii="Calibri" w:hAnsi="Calibri"/>
                <w:b w:val="0"/>
                <w:i w:val="0"/>
                <w:color w:val="212121"/>
                <w:sz w:val="16"/>
              </w:rPr>
              <w:t>AFRS, diabetics/immunocompromised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Critical in India</w:t>
            </w:r>
          </w:p>
        </w:tc>
        <w:tc>
          <w:tcPr>
            <w:tcW w:type="dxa" w:w="720"/>
            <w:vAlign w:val="top"/>
          </w:tcPr>
          <w:p>
            <w:pPr>
              <w:spacing w:after="40" w:before="0" w:line="259" w:lineRule="auto"/>
            </w:pPr>
            <w:r>
              <w:rPr>
                <w:rFonts w:ascii="Calibri" w:hAnsi="Calibri"/>
                <w:b w:val="0"/>
                <w:i w:val="0"/>
                <w:color w:val="212121"/>
                <w:sz w:val="16"/>
              </w:rPr>
              <w:t>Invasive fungal disease is an emergency, especially in uncontrolled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Specialised</w:t>
            </w:r>
          </w:p>
        </w:tc>
        <w:tc>
          <w:tcPr>
            <w:tcW w:type="dxa" w:w="1036"/>
            <w:vAlign w:val="top"/>
          </w:tcPr>
          <w:p>
            <w:pPr>
              <w:spacing w:after="40" w:before="0" w:line="259" w:lineRule="auto"/>
            </w:pPr>
            <w:r>
              <w:rPr>
                <w:rFonts w:ascii="Calibri" w:hAnsi="Calibri"/>
                <w:b w:val="0"/>
                <w:i w:val="0"/>
                <w:color w:val="212121"/>
                <w:sz w:val="16"/>
              </w:rPr>
              <w:t>Sweat chloride / nasal nitric oxide</w:t>
            </w:r>
          </w:p>
        </w:tc>
        <w:tc>
          <w:tcPr>
            <w:tcW w:type="dxa" w:w="892"/>
            <w:vAlign w:val="top"/>
          </w:tcPr>
          <w:p>
            <w:pPr>
              <w:spacing w:after="40" w:before="0" w:line="259" w:lineRule="auto"/>
            </w:pPr>
            <w:r>
              <w:rPr>
                <w:rFonts w:ascii="Calibri" w:hAnsi="Calibri"/>
                <w:b w:val="0"/>
                <w:i w:val="0"/>
                <w:color w:val="212121"/>
                <w:sz w:val="16"/>
              </w:rPr>
              <w:t>Specialised testing</w:t>
            </w:r>
          </w:p>
        </w:tc>
        <w:tc>
          <w:tcPr>
            <w:tcW w:type="dxa" w:w="950"/>
            <w:vAlign w:val="top"/>
          </w:tcPr>
          <w:p>
            <w:pPr>
              <w:spacing w:after="40" w:before="0" w:line="259" w:lineRule="auto"/>
            </w:pPr>
            <w:r>
              <w:rPr>
                <w:rFonts w:ascii="Calibri" w:hAnsi="Calibri"/>
                <w:b w:val="0"/>
                <w:i w:val="0"/>
                <w:color w:val="212121"/>
                <w:sz w:val="16"/>
              </w:rPr>
              <w:t>Sweat Cl⁻ &lt; 30 mmol/L; normal nasal NO</w:t>
            </w:r>
          </w:p>
        </w:tc>
        <w:tc>
          <w:tcPr>
            <w:tcW w:type="dxa" w:w="950"/>
            <w:vAlign w:val="top"/>
          </w:tcPr>
          <w:p>
            <w:pPr>
              <w:spacing w:after="40" w:before="0" w:line="259" w:lineRule="auto"/>
            </w:pPr>
            <w:r>
              <w:rPr>
                <w:rFonts w:ascii="Calibri" w:hAnsi="Calibri"/>
                <w:b w:val="0"/>
                <w:i w:val="0"/>
                <w:color w:val="212121"/>
                <w:sz w:val="16"/>
              </w:rPr>
              <w:t>Sweat Cl⁻ ≥ 60 mmol/L (CF); very low nasal NO (PCD)</w:t>
            </w:r>
          </w:p>
        </w:tc>
        <w:tc>
          <w:tcPr>
            <w:tcW w:type="dxa" w:w="1036"/>
            <w:vAlign w:val="top"/>
          </w:tcPr>
          <w:p>
            <w:pPr>
              <w:spacing w:after="40" w:before="0" w:line="259" w:lineRule="auto"/>
            </w:pPr>
            <w:r>
              <w:rPr>
                <w:rFonts w:ascii="Calibri" w:hAnsi="Calibri"/>
                <w:b w:val="0"/>
                <w:i w:val="0"/>
                <w:color w:val="212121"/>
                <w:sz w:val="16"/>
              </w:rPr>
              <w:t>Screens for cystic fibrosis and primary ciliary dyskinesia</w:t>
            </w:r>
          </w:p>
        </w:tc>
        <w:tc>
          <w:tcPr>
            <w:tcW w:type="dxa" w:w="1036"/>
            <w:vAlign w:val="top"/>
          </w:tcPr>
          <w:p>
            <w:pPr>
              <w:spacing w:after="40" w:before="0" w:line="259" w:lineRule="auto"/>
            </w:pPr>
            <w:r>
              <w:rPr>
                <w:rFonts w:ascii="Calibri" w:hAnsi="Calibri"/>
                <w:b w:val="0"/>
                <w:i w:val="0"/>
                <w:color w:val="212121"/>
                <w:sz w:val="16"/>
              </w:rPr>
              <w:t>Early-onset, refractory or childhood CRS, CRS with bronchiectasis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in young, refractory or syndromic presentations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 &amp; duration</w:t>
            </w:r>
          </w:p>
        </w:tc>
        <w:tc>
          <w:tcPr>
            <w:tcW w:type="dxa" w:w="979"/>
            <w:vAlign w:val="top"/>
          </w:tcPr>
          <w:p>
            <w:pPr>
              <w:spacing w:after="40" w:before="0" w:line="259" w:lineRule="auto"/>
            </w:pPr>
            <w:r>
              <w:rPr>
                <w:rFonts w:ascii="Calibri" w:hAnsi="Calibri"/>
                <w:b w:val="0"/>
                <w:i w:val="0"/>
                <w:color w:val="212121"/>
                <w:sz w:val="16"/>
              </w:rPr>
              <w:t>≥ 2 sinonasal symptoms incl. obstruction or discharge, for ≥ 12 weeks</w:t>
            </w:r>
          </w:p>
        </w:tc>
        <w:tc>
          <w:tcPr>
            <w:tcW w:type="dxa" w:w="950"/>
            <w:vAlign w:val="top"/>
          </w:tcPr>
          <w:p>
            <w:pPr>
              <w:spacing w:after="40" w:before="0" w:line="259" w:lineRule="auto"/>
            </w:pPr>
            <w:r>
              <w:rPr>
                <w:rFonts w:ascii="Calibri" w:hAnsi="Calibri"/>
                <w:b w:val="0"/>
                <w:i w:val="0"/>
                <w:color w:val="212121"/>
                <w:sz w:val="16"/>
              </w:rPr>
              <w:t>Symptoms &lt; 4 weeks / fully resolved</w:t>
            </w:r>
          </w:p>
        </w:tc>
        <w:tc>
          <w:tcPr>
            <w:tcW w:type="dxa" w:w="950"/>
            <w:vAlign w:val="top"/>
          </w:tcPr>
          <w:p>
            <w:pPr>
              <w:spacing w:after="40" w:before="0" w:line="259" w:lineRule="auto"/>
            </w:pPr>
            <w:r>
              <w:rPr>
                <w:rFonts w:ascii="Calibri" w:hAnsi="Calibri"/>
                <w:b w:val="0"/>
                <w:i w:val="0"/>
                <w:color w:val="212121"/>
                <w:sz w:val="16"/>
              </w:rPr>
              <w:t>Two or more cardinal symptoms persisting ≥ 12 weeks</w:t>
            </w:r>
          </w:p>
        </w:tc>
        <w:tc>
          <w:tcPr>
            <w:tcW w:type="dxa" w:w="1036"/>
            <w:vAlign w:val="top"/>
          </w:tcPr>
          <w:p>
            <w:pPr>
              <w:spacing w:after="40" w:before="0" w:line="259" w:lineRule="auto"/>
            </w:pPr>
            <w:r>
              <w:rPr>
                <w:rFonts w:ascii="Calibri" w:hAnsi="Calibri"/>
                <w:b w:val="0"/>
                <w:i w:val="0"/>
                <w:color w:val="212121"/>
                <w:sz w:val="16"/>
              </w:rPr>
              <w:t>Fulfils the EPOS 2020 symptom-duration criterion</w:t>
            </w:r>
          </w:p>
        </w:tc>
        <w:tc>
          <w:tcPr>
            <w:tcW w:type="dxa" w:w="1036"/>
            <w:vAlign w:val="top"/>
          </w:tcPr>
          <w:p>
            <w:pPr>
              <w:spacing w:after="40" w:before="0" w:line="259" w:lineRule="auto"/>
            </w:pPr>
            <w:r>
              <w:rPr>
                <w:rFonts w:ascii="Calibri" w:hAnsi="Calibri"/>
                <w:b w:val="0"/>
                <w:i w:val="0"/>
                <w:color w:val="212121"/>
                <w:sz w:val="16"/>
              </w:rPr>
              <w:t>All suspected CRS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One symptom must be nasal obstruction or nasal discharge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Allergy, asthma &amp; aspirin history</w:t>
            </w:r>
          </w:p>
        </w:tc>
        <w:tc>
          <w:tcPr>
            <w:tcW w:type="dxa" w:w="979"/>
            <w:vAlign w:val="top"/>
          </w:tcPr>
          <w:p>
            <w:pPr>
              <w:spacing w:after="40" w:before="0" w:line="259" w:lineRule="auto"/>
            </w:pPr>
            <w:r>
              <w:rPr>
                <w:rFonts w:ascii="Calibri" w:hAnsi="Calibri"/>
                <w:b w:val="0"/>
                <w:i w:val="0"/>
                <w:color w:val="212121"/>
                <w:sz w:val="16"/>
              </w:rPr>
              <w:t>Allergic rhinitis, asthma, NSAID sensitivity, family history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atopy / asthma / aspirin sensitivity</w:t>
            </w:r>
          </w:p>
        </w:tc>
        <w:tc>
          <w:tcPr>
            <w:tcW w:type="dxa" w:w="1036"/>
            <w:vAlign w:val="top"/>
          </w:tcPr>
          <w:p>
            <w:pPr>
              <w:spacing w:after="40" w:before="0" w:line="259" w:lineRule="auto"/>
            </w:pPr>
            <w:r>
              <w:rPr>
                <w:rFonts w:ascii="Calibri" w:hAnsi="Calibri"/>
                <w:b w:val="0"/>
                <w:i w:val="0"/>
                <w:color w:val="212121"/>
                <w:sz w:val="16"/>
              </w:rPr>
              <w:t>Identifies united-airway and AERD phenotypes; prognostic for recurrence</w:t>
            </w:r>
          </w:p>
        </w:tc>
        <w:tc>
          <w:tcPr>
            <w:tcW w:type="dxa" w:w="1036"/>
            <w:vAlign w:val="top"/>
          </w:tcPr>
          <w:p>
            <w:pPr>
              <w:spacing w:after="40" w:before="0" w:line="259" w:lineRule="auto"/>
            </w:pPr>
            <w:r>
              <w:rPr>
                <w:rFonts w:ascii="Calibri" w:hAnsi="Calibri"/>
                <w:b w:val="0"/>
                <w:i w:val="0"/>
                <w:color w:val="212121"/>
                <w:sz w:val="16"/>
              </w:rPr>
              <w:t>CRSwNP, AERD, asthma-CRS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Phenotyping</w:t>
            </w:r>
          </w:p>
        </w:tc>
        <w:tc>
          <w:tcPr>
            <w:tcW w:type="dxa" w:w="720"/>
            <w:vAlign w:val="top"/>
          </w:tcPr>
          <w:p>
            <w:pPr>
              <w:spacing w:after="40" w:before="0" w:line="259" w:lineRule="auto"/>
            </w:pPr>
            <w:r>
              <w:rPr>
                <w:rFonts w:ascii="Calibri" w:hAnsi="Calibri"/>
                <w:b w:val="0"/>
                <w:i w:val="0"/>
                <w:color w:val="212121"/>
                <w:sz w:val="16"/>
              </w:rPr>
              <w:t>Aspirin/NSAID reactions define AERD (Samter's triad)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Environmental &amp; occupational exposure</w:t>
            </w:r>
          </w:p>
        </w:tc>
        <w:tc>
          <w:tcPr>
            <w:tcW w:type="dxa" w:w="979"/>
            <w:vAlign w:val="top"/>
          </w:tcPr>
          <w:p>
            <w:pPr>
              <w:spacing w:after="40" w:before="0" w:line="259" w:lineRule="auto"/>
            </w:pPr>
            <w:r>
              <w:rPr>
                <w:rFonts w:ascii="Calibri" w:hAnsi="Calibri"/>
                <w:b w:val="0"/>
                <w:i w:val="0"/>
                <w:color w:val="212121"/>
                <w:sz w:val="16"/>
              </w:rPr>
              <w:t>Smoking/bidi, biomass fuel, occupational dust, air pollution</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Significant irritant exposure</w:t>
            </w:r>
          </w:p>
        </w:tc>
        <w:tc>
          <w:tcPr>
            <w:tcW w:type="dxa" w:w="1036"/>
            <w:vAlign w:val="top"/>
          </w:tcPr>
          <w:p>
            <w:pPr>
              <w:spacing w:after="40" w:before="0" w:line="259" w:lineRule="auto"/>
            </w:pPr>
            <w:r>
              <w:rPr>
                <w:rFonts w:ascii="Calibri" w:hAnsi="Calibri"/>
                <w:b w:val="0"/>
                <w:i w:val="0"/>
                <w:color w:val="212121"/>
                <w:sz w:val="16"/>
              </w:rPr>
              <w:t>Identifies modifiable mucociliary insults</w:t>
            </w:r>
          </w:p>
        </w:tc>
        <w:tc>
          <w:tcPr>
            <w:tcW w:type="dxa" w:w="1036"/>
            <w:vAlign w:val="top"/>
          </w:tcPr>
          <w:p>
            <w:pPr>
              <w:spacing w:after="40" w:before="0" w:line="259" w:lineRule="auto"/>
            </w:pPr>
            <w:r>
              <w:rPr>
                <w:rFonts w:ascii="Calibri" w:hAnsi="Calibri"/>
                <w:b w:val="0"/>
                <w:i w:val="0"/>
                <w:color w:val="212121"/>
                <w:sz w:val="16"/>
              </w:rPr>
              <w:t>Smokers, rural women (biomass), industrial workers, urban dwellers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Modifiable risk</w:t>
            </w:r>
          </w:p>
        </w:tc>
        <w:tc>
          <w:tcPr>
            <w:tcW w:type="dxa" w:w="720"/>
            <w:vAlign w:val="top"/>
          </w:tcPr>
          <w:p>
            <w:pPr>
              <w:spacing w:after="40" w:before="0" w:line="259" w:lineRule="auto"/>
            </w:pPr>
            <w:r>
              <w:rPr>
                <w:rFonts w:ascii="Calibri" w:hAnsi="Calibri"/>
                <w:b w:val="0"/>
                <w:i w:val="0"/>
                <w:color w:val="212121"/>
                <w:sz w:val="16"/>
              </w:rPr>
              <w:t>High ambient PM2.5 in Indian cities aggravates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Anterior rhinoscopy</w:t>
            </w:r>
          </w:p>
        </w:tc>
        <w:tc>
          <w:tcPr>
            <w:tcW w:type="dxa" w:w="979"/>
            <w:vAlign w:val="top"/>
          </w:tcPr>
          <w:p>
            <w:pPr>
              <w:spacing w:after="40" w:before="0" w:line="259" w:lineRule="auto"/>
            </w:pPr>
            <w:r>
              <w:rPr>
                <w:rFonts w:ascii="Calibri" w:hAnsi="Calibri"/>
                <w:b w:val="0"/>
                <w:i w:val="0"/>
                <w:color w:val="212121"/>
                <w:sz w:val="16"/>
              </w:rPr>
              <w:t>Mucosal oedema, discharge, polyps, septal deviation</w:t>
            </w:r>
          </w:p>
        </w:tc>
        <w:tc>
          <w:tcPr>
            <w:tcW w:type="dxa" w:w="950"/>
            <w:vAlign w:val="top"/>
          </w:tcPr>
          <w:p>
            <w:pPr>
              <w:spacing w:after="40" w:before="0" w:line="259" w:lineRule="auto"/>
            </w:pPr>
            <w:r>
              <w:rPr>
                <w:rFonts w:ascii="Calibri" w:hAnsi="Calibri"/>
                <w:b w:val="0"/>
                <w:i w:val="0"/>
                <w:color w:val="212121"/>
                <w:sz w:val="16"/>
              </w:rPr>
              <w:t>Patent, healthy mucosa</w:t>
            </w:r>
          </w:p>
        </w:tc>
        <w:tc>
          <w:tcPr>
            <w:tcW w:type="dxa" w:w="950"/>
            <w:vAlign w:val="top"/>
          </w:tcPr>
          <w:p>
            <w:pPr>
              <w:spacing w:after="40" w:before="0" w:line="259" w:lineRule="auto"/>
            </w:pPr>
            <w:r>
              <w:rPr>
                <w:rFonts w:ascii="Calibri" w:hAnsi="Calibri"/>
                <w:b w:val="0"/>
                <w:i w:val="0"/>
                <w:color w:val="212121"/>
                <w:sz w:val="16"/>
              </w:rPr>
              <w:t>Oedema, mucopus, polyps or obstruction</w:t>
            </w:r>
          </w:p>
        </w:tc>
        <w:tc>
          <w:tcPr>
            <w:tcW w:type="dxa" w:w="1036"/>
            <w:vAlign w:val="top"/>
          </w:tcPr>
          <w:p>
            <w:pPr>
              <w:spacing w:after="40" w:before="0" w:line="259" w:lineRule="auto"/>
            </w:pPr>
            <w:r>
              <w:rPr>
                <w:rFonts w:ascii="Calibri" w:hAnsi="Calibri"/>
                <w:b w:val="0"/>
                <w:i w:val="0"/>
                <w:color w:val="212121"/>
                <w:sz w:val="16"/>
              </w:rPr>
              <w:t>First-line bedside sinonasal assessment</w:t>
            </w:r>
          </w:p>
        </w:tc>
        <w:tc>
          <w:tcPr>
            <w:tcW w:type="dxa" w:w="1036"/>
            <w:vAlign w:val="top"/>
          </w:tcPr>
          <w:p>
            <w:pPr>
              <w:spacing w:after="40" w:before="0" w:line="259" w:lineRule="auto"/>
            </w:pPr>
            <w:r>
              <w:rPr>
                <w:rFonts w:ascii="Calibri" w:hAnsi="Calibri"/>
                <w:b w:val="0"/>
                <w:i w:val="0"/>
                <w:color w:val="212121"/>
                <w:sz w:val="16"/>
              </w:rPr>
              <w:t>All CRS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Limited posterior view; endoscopy preferred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Nasal endoscopy (Lund–Kennedy score)</w:t>
            </w:r>
          </w:p>
        </w:tc>
        <w:tc>
          <w:tcPr>
            <w:tcW w:type="dxa" w:w="979"/>
            <w:vAlign w:val="top"/>
          </w:tcPr>
          <w:p>
            <w:pPr>
              <w:spacing w:after="40" w:before="0" w:line="259" w:lineRule="auto"/>
            </w:pPr>
            <w:r>
              <w:rPr>
                <w:rFonts w:ascii="Calibri" w:hAnsi="Calibri"/>
                <w:b w:val="0"/>
                <w:i w:val="0"/>
                <w:color w:val="212121"/>
                <w:sz w:val="16"/>
              </w:rPr>
              <w:t>Polyps, discharge, oedema, scarring/crusting</w:t>
            </w:r>
          </w:p>
        </w:tc>
        <w:tc>
          <w:tcPr>
            <w:tcW w:type="dxa" w:w="950"/>
            <w:vAlign w:val="top"/>
          </w:tcPr>
          <w:p>
            <w:pPr>
              <w:spacing w:after="40" w:before="0" w:line="259" w:lineRule="auto"/>
            </w:pPr>
            <w:r>
              <w:rPr>
                <w:rFonts w:ascii="Calibri" w:hAnsi="Calibri"/>
                <w:b w:val="0"/>
                <w:i w:val="0"/>
                <w:color w:val="212121"/>
                <w:sz w:val="16"/>
              </w:rPr>
              <w:t>Score 0; no polyps or discharge</w:t>
            </w:r>
          </w:p>
        </w:tc>
        <w:tc>
          <w:tcPr>
            <w:tcW w:type="dxa" w:w="950"/>
            <w:vAlign w:val="top"/>
          </w:tcPr>
          <w:p>
            <w:pPr>
              <w:spacing w:after="40" w:before="0" w:line="259" w:lineRule="auto"/>
            </w:pPr>
            <w:r>
              <w:rPr>
                <w:rFonts w:ascii="Calibri" w:hAnsi="Calibri"/>
                <w:b w:val="0"/>
                <w:i w:val="0"/>
                <w:color w:val="212121"/>
                <w:sz w:val="16"/>
              </w:rPr>
              <w:t>Middle-meatal mucopus, oedema or polyps</w:t>
            </w:r>
          </w:p>
        </w:tc>
        <w:tc>
          <w:tcPr>
            <w:tcW w:type="dxa" w:w="1036"/>
            <w:vAlign w:val="top"/>
          </w:tcPr>
          <w:p>
            <w:pPr>
              <w:spacing w:after="40" w:before="0" w:line="259" w:lineRule="auto"/>
            </w:pPr>
            <w:r>
              <w:rPr>
                <w:rFonts w:ascii="Calibri" w:hAnsi="Calibri"/>
                <w:b w:val="0"/>
                <w:i w:val="0"/>
                <w:color w:val="212121"/>
                <w:sz w:val="16"/>
              </w:rPr>
              <w:t>Objective confirmation required for diagnosis; grades severity and phenotype</w:t>
            </w:r>
          </w:p>
        </w:tc>
        <w:tc>
          <w:tcPr>
            <w:tcW w:type="dxa" w:w="1036"/>
            <w:vAlign w:val="top"/>
          </w:tcPr>
          <w:p>
            <w:pPr>
              <w:spacing w:after="40" w:before="0" w:line="259" w:lineRule="auto"/>
            </w:pPr>
            <w:r>
              <w:rPr>
                <w:rFonts w:ascii="Calibri" w:hAnsi="Calibri"/>
                <w:b w:val="0"/>
                <w:i w:val="0"/>
                <w:color w:val="212121"/>
                <w:sz w:val="16"/>
              </w:rPr>
              <w:t>All CRS, post-FESS follow-up</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Differentiates CRSwNP from CRSsNP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Olfactory assessment</w:t>
            </w:r>
          </w:p>
        </w:tc>
        <w:tc>
          <w:tcPr>
            <w:tcW w:type="dxa" w:w="979"/>
            <w:vAlign w:val="top"/>
          </w:tcPr>
          <w:p>
            <w:pPr>
              <w:spacing w:after="40" w:before="0" w:line="259" w:lineRule="auto"/>
            </w:pPr>
            <w:r>
              <w:rPr>
                <w:rFonts w:ascii="Calibri" w:hAnsi="Calibri"/>
                <w:b w:val="0"/>
                <w:i w:val="0"/>
                <w:color w:val="212121"/>
                <w:sz w:val="16"/>
              </w:rPr>
              <w:t>Smell identification testing (e.g., UPSIT / Sniffin' Sticks)</w:t>
            </w:r>
          </w:p>
        </w:tc>
        <w:tc>
          <w:tcPr>
            <w:tcW w:type="dxa" w:w="950"/>
            <w:vAlign w:val="top"/>
          </w:tcPr>
          <w:p>
            <w:pPr>
              <w:spacing w:after="40" w:before="0" w:line="259" w:lineRule="auto"/>
            </w:pPr>
            <w:r>
              <w:rPr>
                <w:rFonts w:ascii="Calibri" w:hAnsi="Calibri"/>
                <w:b w:val="0"/>
                <w:i w:val="0"/>
                <w:color w:val="212121"/>
                <w:sz w:val="16"/>
              </w:rPr>
              <w:t>Normosmia</w:t>
            </w:r>
          </w:p>
        </w:tc>
        <w:tc>
          <w:tcPr>
            <w:tcW w:type="dxa" w:w="950"/>
            <w:vAlign w:val="top"/>
          </w:tcPr>
          <w:p>
            <w:pPr>
              <w:spacing w:after="40" w:before="0" w:line="259" w:lineRule="auto"/>
            </w:pPr>
            <w:r>
              <w:rPr>
                <w:rFonts w:ascii="Calibri" w:hAnsi="Calibri"/>
                <w:b w:val="0"/>
                <w:i w:val="0"/>
                <w:color w:val="212121"/>
                <w:sz w:val="16"/>
              </w:rPr>
              <w:t>Hyposmia / anosmia</w:t>
            </w:r>
          </w:p>
        </w:tc>
        <w:tc>
          <w:tcPr>
            <w:tcW w:type="dxa" w:w="1036"/>
            <w:vAlign w:val="top"/>
          </w:tcPr>
          <w:p>
            <w:pPr>
              <w:spacing w:after="40" w:before="0" w:line="259" w:lineRule="auto"/>
            </w:pPr>
            <w:r>
              <w:rPr>
                <w:rFonts w:ascii="Calibri" w:hAnsi="Calibri"/>
                <w:b w:val="0"/>
                <w:i w:val="0"/>
                <w:color w:val="212121"/>
                <w:sz w:val="16"/>
              </w:rPr>
              <w:t>Smell loss is common, marks type-2 disease and tracks treatment response</w:t>
            </w:r>
          </w:p>
        </w:tc>
        <w:tc>
          <w:tcPr>
            <w:tcW w:type="dxa" w:w="1036"/>
            <w:vAlign w:val="top"/>
          </w:tcPr>
          <w:p>
            <w:pPr>
              <w:spacing w:after="40" w:before="0" w:line="259" w:lineRule="auto"/>
            </w:pPr>
            <w:r>
              <w:rPr>
                <w:rFonts w:ascii="Calibri" w:hAnsi="Calibri"/>
                <w:b w:val="0"/>
                <w:i w:val="0"/>
                <w:color w:val="212121"/>
                <w:sz w:val="16"/>
              </w:rPr>
              <w:t>CRSwNP, eosinophilic CRS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Severity / monitoring</w:t>
            </w:r>
          </w:p>
        </w:tc>
        <w:tc>
          <w:tcPr>
            <w:tcW w:type="dxa" w:w="720"/>
            <w:vAlign w:val="top"/>
          </w:tcPr>
          <w:p>
            <w:pPr>
              <w:spacing w:after="40" w:before="0" w:line="259" w:lineRule="auto"/>
            </w:pPr>
            <w:r>
              <w:rPr>
                <w:rFonts w:ascii="Calibri" w:hAnsi="Calibri"/>
                <w:b w:val="0"/>
                <w:i w:val="0"/>
                <w:color w:val="212121"/>
                <w:sz w:val="16"/>
              </w:rPr>
              <w:t>Anosmia strongly reduces quality of life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Facial &amp; dental examination</w:t>
            </w:r>
          </w:p>
        </w:tc>
        <w:tc>
          <w:tcPr>
            <w:tcW w:type="dxa" w:w="979"/>
            <w:vAlign w:val="top"/>
          </w:tcPr>
          <w:p>
            <w:pPr>
              <w:spacing w:after="40" w:before="0" w:line="259" w:lineRule="auto"/>
            </w:pPr>
            <w:r>
              <w:rPr>
                <w:rFonts w:ascii="Calibri" w:hAnsi="Calibri"/>
                <w:b w:val="0"/>
                <w:i w:val="0"/>
                <w:color w:val="212121"/>
                <w:sz w:val="16"/>
              </w:rPr>
              <w:t>Sinus tenderness; maxillary dental disease</w:t>
            </w:r>
          </w:p>
        </w:tc>
        <w:tc>
          <w:tcPr>
            <w:tcW w:type="dxa" w:w="950"/>
            <w:vAlign w:val="top"/>
          </w:tcPr>
          <w:p>
            <w:pPr>
              <w:spacing w:after="40" w:before="0" w:line="259" w:lineRule="auto"/>
            </w:pPr>
            <w:r>
              <w:rPr>
                <w:rFonts w:ascii="Calibri" w:hAnsi="Calibri"/>
                <w:b w:val="0"/>
                <w:i w:val="0"/>
                <w:color w:val="212121"/>
                <w:sz w:val="16"/>
              </w:rPr>
              <w:t>Non-tender; healthy dentition</w:t>
            </w:r>
          </w:p>
        </w:tc>
        <w:tc>
          <w:tcPr>
            <w:tcW w:type="dxa" w:w="950"/>
            <w:vAlign w:val="top"/>
          </w:tcPr>
          <w:p>
            <w:pPr>
              <w:spacing w:after="40" w:before="0" w:line="259" w:lineRule="auto"/>
            </w:pPr>
            <w:r>
              <w:rPr>
                <w:rFonts w:ascii="Calibri" w:hAnsi="Calibri"/>
                <w:b w:val="0"/>
                <w:i w:val="0"/>
                <w:color w:val="212121"/>
                <w:sz w:val="16"/>
              </w:rPr>
              <w:t>Focal tenderness; periapical or dental infection</w:t>
            </w:r>
          </w:p>
        </w:tc>
        <w:tc>
          <w:tcPr>
            <w:tcW w:type="dxa" w:w="1036"/>
            <w:vAlign w:val="top"/>
          </w:tcPr>
          <w:p>
            <w:pPr>
              <w:spacing w:after="40" w:before="0" w:line="259" w:lineRule="auto"/>
            </w:pPr>
            <w:r>
              <w:rPr>
                <w:rFonts w:ascii="Calibri" w:hAnsi="Calibri"/>
                <w:b w:val="0"/>
                <w:i w:val="0"/>
                <w:color w:val="212121"/>
                <w:sz w:val="16"/>
              </w:rPr>
              <w:t>Screens for an odontogenic source of unilateral maxillary CRS</w:t>
            </w:r>
          </w:p>
        </w:tc>
        <w:tc>
          <w:tcPr>
            <w:tcW w:type="dxa" w:w="1036"/>
            <w:vAlign w:val="top"/>
          </w:tcPr>
          <w:p>
            <w:pPr>
              <w:spacing w:after="40" w:before="0" w:line="259" w:lineRule="auto"/>
            </w:pPr>
            <w:r>
              <w:rPr>
                <w:rFonts w:ascii="Calibri" w:hAnsi="Calibri"/>
                <w:b w:val="0"/>
                <w:i w:val="0"/>
                <w:color w:val="212121"/>
                <w:sz w:val="16"/>
              </w:rPr>
              <w:t>Unilateral maxillary CRS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Identifies odontogenic CRS</w:t>
            </w:r>
          </w:p>
        </w:tc>
        <w:tc>
          <w:tcPr>
            <w:tcW w:type="dxa" w:w="720"/>
            <w:vAlign w:val="top"/>
          </w:tcPr>
          <w:p>
            <w:pPr>
              <w:spacing w:after="40" w:before="0" w:line="259" w:lineRule="auto"/>
            </w:pPr>
            <w:r>
              <w:rPr>
                <w:rFonts w:ascii="Calibri" w:hAnsi="Calibri"/>
                <w:b w:val="0"/>
                <w:i w:val="0"/>
                <w:color w:val="212121"/>
                <w:sz w:val="16"/>
              </w:rPr>
              <w:t>A dental cause needs combined ENT–dental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Questionnaire</w:t>
            </w:r>
          </w:p>
        </w:tc>
        <w:tc>
          <w:tcPr>
            <w:tcW w:type="dxa" w:w="950"/>
            <w:vAlign w:val="top"/>
          </w:tcPr>
          <w:p>
            <w:pPr>
              <w:spacing w:after="40" w:before="0" w:line="259" w:lineRule="auto"/>
            </w:pPr>
            <w:r>
              <w:rPr>
                <w:rFonts w:ascii="Calibri" w:hAnsi="Calibri"/>
                <w:b w:val="0"/>
                <w:i w:val="0"/>
                <w:color w:val="212121"/>
                <w:sz w:val="16"/>
              </w:rPr>
              <w:t>SNOT-22 quality-of-life score</w:t>
            </w:r>
          </w:p>
        </w:tc>
        <w:tc>
          <w:tcPr>
            <w:tcW w:type="dxa" w:w="979"/>
            <w:vAlign w:val="top"/>
          </w:tcPr>
          <w:p>
            <w:pPr>
              <w:spacing w:after="40" w:before="0" w:line="259" w:lineRule="auto"/>
            </w:pPr>
            <w:r>
              <w:rPr>
                <w:rFonts w:ascii="Calibri" w:hAnsi="Calibri"/>
                <w:b w:val="0"/>
                <w:i w:val="0"/>
                <w:color w:val="212121"/>
                <w:sz w:val="16"/>
              </w:rPr>
              <w:t>22-item symptom &amp; quality-of-life questionnaire (0–110)</w:t>
            </w:r>
          </w:p>
        </w:tc>
        <w:tc>
          <w:tcPr>
            <w:tcW w:type="dxa" w:w="950"/>
            <w:vAlign w:val="top"/>
          </w:tcPr>
          <w:p>
            <w:pPr>
              <w:spacing w:after="40" w:before="0" w:line="259" w:lineRule="auto"/>
            </w:pPr>
            <w:r>
              <w:rPr>
                <w:rFonts w:ascii="Calibri" w:hAnsi="Calibri"/>
                <w:b w:val="0"/>
                <w:i w:val="0"/>
                <w:color w:val="212121"/>
                <w:sz w:val="16"/>
              </w:rPr>
              <w:t>Low score</w:t>
            </w:r>
          </w:p>
        </w:tc>
        <w:tc>
          <w:tcPr>
            <w:tcW w:type="dxa" w:w="950"/>
            <w:vAlign w:val="top"/>
          </w:tcPr>
          <w:p>
            <w:pPr>
              <w:spacing w:after="40" w:before="0" w:line="259" w:lineRule="auto"/>
            </w:pPr>
            <w:r>
              <w:rPr>
                <w:rFonts w:ascii="Calibri" w:hAnsi="Calibri"/>
                <w:b w:val="0"/>
                <w:i w:val="0"/>
                <w:color w:val="212121"/>
                <w:sz w:val="16"/>
              </w:rPr>
              <w:t>Elevated score (greater burden)</w:t>
            </w:r>
          </w:p>
        </w:tc>
        <w:tc>
          <w:tcPr>
            <w:tcW w:type="dxa" w:w="1036"/>
            <w:vAlign w:val="top"/>
          </w:tcPr>
          <w:p>
            <w:pPr>
              <w:spacing w:after="40" w:before="0" w:line="259" w:lineRule="auto"/>
            </w:pPr>
            <w:r>
              <w:rPr>
                <w:rFonts w:ascii="Calibri" w:hAnsi="Calibri"/>
                <w:b w:val="0"/>
                <w:i w:val="0"/>
                <w:color w:val="212121"/>
                <w:sz w:val="16"/>
              </w:rPr>
              <w:t>Quantifies symptom burden and response to treatment</w:t>
            </w:r>
          </w:p>
        </w:tc>
        <w:tc>
          <w:tcPr>
            <w:tcW w:type="dxa" w:w="1036"/>
            <w:vAlign w:val="top"/>
          </w:tcPr>
          <w:p>
            <w:pPr>
              <w:spacing w:after="40" w:before="0" w:line="259" w:lineRule="auto"/>
            </w:pPr>
            <w:r>
              <w:rPr>
                <w:rFonts w:ascii="Calibri" w:hAnsi="Calibri"/>
                <w:b w:val="0"/>
                <w:i w:val="0"/>
                <w:color w:val="212121"/>
                <w:sz w:val="16"/>
              </w:rPr>
              <w:t>All CRS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Patient-reported outcome</w:t>
            </w:r>
          </w:p>
        </w:tc>
        <w:tc>
          <w:tcPr>
            <w:tcW w:type="dxa" w:w="720"/>
            <w:vAlign w:val="top"/>
          </w:tcPr>
          <w:p>
            <w:pPr>
              <w:spacing w:after="40" w:before="0" w:line="259" w:lineRule="auto"/>
            </w:pPr>
            <w:r>
              <w:rPr>
                <w:rFonts w:ascii="Calibri" w:hAnsi="Calibri"/>
                <w:b w:val="0"/>
                <w:i w:val="0"/>
                <w:color w:val="212121"/>
                <w:sz w:val="16"/>
              </w:rPr>
              <w:t>Higher scores reflect worse quality of life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Nasal obstruction / congestion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blocked or stuffy nose from mucosal oedema and/or polyps; one of the two required cardinal symptoms.</w:t>
            </w:r>
          </w:p>
        </w:tc>
      </w:tr>
      <w:tr>
        <w:trPr>
          <w:cantSplit/>
        </w:trPr>
        <w:tc>
          <w:tcPr>
            <w:tcW w:type="dxa" w:w="2304"/>
            <w:vAlign w:val="top"/>
          </w:tcPr>
          <w:p>
            <w:pPr>
              <w:spacing w:after="40" w:before="0" w:line="259" w:lineRule="auto"/>
            </w:pPr>
            <w:r>
              <w:rPr>
                <w:rFonts w:ascii="Calibri" w:hAnsi="Calibri"/>
                <w:b/>
                <w:i w:val="0"/>
                <w:color w:val="212121"/>
                <w:sz w:val="19"/>
              </w:rPr>
              <w:t>Mucopurulent nasal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Thick, often discoloured anterior nasal discharge; the alternative required cardinal symptom.</w:t>
            </w:r>
          </w:p>
        </w:tc>
      </w:tr>
      <w:tr>
        <w:trPr>
          <w:cantSplit/>
        </w:trPr>
        <w:tc>
          <w:tcPr>
            <w:tcW w:type="dxa" w:w="2304"/>
            <w:vAlign w:val="top"/>
          </w:tcPr>
          <w:p>
            <w:pPr>
              <w:spacing w:after="40" w:before="0" w:line="259" w:lineRule="auto"/>
            </w:pPr>
            <w:r>
              <w:rPr>
                <w:rFonts w:ascii="Calibri" w:hAnsi="Calibri"/>
                <w:b/>
                <w:i w:val="0"/>
                <w:color w:val="212121"/>
                <w:sz w:val="19"/>
              </w:rPr>
              <w:t>Post-nasal drip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Sensation of mucus dripping into the throat, often with throat-clearing and cough.</w:t>
            </w:r>
          </w:p>
        </w:tc>
      </w:tr>
      <w:tr>
        <w:trPr>
          <w:cantSplit/>
        </w:trPr>
        <w:tc>
          <w:tcPr>
            <w:tcW w:type="dxa" w:w="2304"/>
            <w:vAlign w:val="top"/>
          </w:tcPr>
          <w:p>
            <w:pPr>
              <w:spacing w:after="40" w:before="0" w:line="259" w:lineRule="auto"/>
            </w:pPr>
            <w:r>
              <w:rPr>
                <w:rFonts w:ascii="Calibri" w:hAnsi="Calibri"/>
                <w:b/>
                <w:i w:val="0"/>
                <w:color w:val="212121"/>
                <w:sz w:val="19"/>
              </w:rPr>
              <w:t>Facial pain / pressure / fullness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ache or pressure over the cheeks, forehead or between the eyes, worse on bending forward.</w:t>
            </w:r>
          </w:p>
        </w:tc>
      </w:tr>
      <w:tr>
        <w:trPr>
          <w:cantSplit/>
        </w:trPr>
        <w:tc>
          <w:tcPr>
            <w:tcW w:type="dxa" w:w="2304"/>
            <w:vAlign w:val="top"/>
          </w:tcPr>
          <w:p>
            <w:pPr>
              <w:spacing w:after="40" w:before="0" w:line="259" w:lineRule="auto"/>
            </w:pPr>
            <w:r>
              <w:rPr>
                <w:rFonts w:ascii="Calibri" w:hAnsi="Calibri"/>
                <w:b/>
                <w:i w:val="0"/>
                <w:color w:val="212121"/>
                <w:sz w:val="19"/>
              </w:rPr>
              <w:t>Reduced or lost sense of smell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Hyposmia or anosmia, particularly prominent in CRS with nasal polyps; also blunts taste.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or facial headache related to sinus congestion.</w:t>
            </w:r>
          </w:p>
        </w:tc>
      </w:tr>
      <w:tr>
        <w:trPr>
          <w:cantSplit/>
        </w:trPr>
        <w:tc>
          <w:tcPr>
            <w:tcW w:type="dxa" w:w="2304"/>
            <w:vAlign w:val="top"/>
          </w:tcPr>
          <w:p>
            <w:pPr>
              <w:spacing w:after="40" w:before="0" w:line="259" w:lineRule="auto"/>
            </w:pPr>
            <w:r>
              <w:rPr>
                <w:rFonts w:ascii="Calibri" w:hAnsi="Calibri"/>
                <w:b/>
                <w:i w:val="0"/>
                <w:color w:val="212121"/>
                <w:sz w:val="19"/>
              </w:rPr>
              <w:t>Cough (often nocturnal)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Driven by post-nasal drip; may worsen coexisting asthma.</w:t>
            </w:r>
          </w:p>
        </w:tc>
      </w:tr>
      <w:tr>
        <w:trPr>
          <w:cantSplit/>
        </w:trPr>
        <w:tc>
          <w:tcPr>
            <w:tcW w:type="dxa" w:w="2304"/>
            <w:vAlign w:val="top"/>
          </w:tcPr>
          <w:p>
            <w:pPr>
              <w:spacing w:after="40" w:before="0" w:line="259" w:lineRule="auto"/>
            </w:pPr>
            <w:r>
              <w:rPr>
                <w:rFonts w:ascii="Calibri" w:hAnsi="Calibri"/>
                <w:b/>
                <w:i w:val="0"/>
                <w:color w:val="212121"/>
                <w:sz w:val="19"/>
              </w:rPr>
              <w:t>Fatigue / reduced quality of life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symptoms and poor sleep produce tiredness and impaired daily functioning.</w:t>
            </w:r>
          </w:p>
        </w:tc>
      </w:tr>
      <w:tr>
        <w:trPr>
          <w:cantSplit/>
        </w:trPr>
        <w:tc>
          <w:tcPr>
            <w:tcW w:type="dxa" w:w="2304"/>
            <w:vAlign w:val="top"/>
          </w:tcPr>
          <w:p>
            <w:pPr>
              <w:spacing w:after="40" w:before="0" w:line="259" w:lineRule="auto"/>
            </w:pPr>
            <w:r>
              <w:rPr>
                <w:rFonts w:ascii="Calibri" w:hAnsi="Calibri"/>
                <w:b/>
                <w:i w:val="0"/>
                <w:color w:val="212121"/>
                <w:sz w:val="19"/>
              </w:rPr>
              <w:t>Ear fullness /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Eustachian-tube dysfunction associated with nasal inflammation.</w:t>
            </w:r>
          </w:p>
        </w:tc>
      </w:tr>
      <w:tr>
        <w:trPr>
          <w:cantSplit/>
        </w:trPr>
        <w:tc>
          <w:tcPr>
            <w:tcW w:type="dxa" w:w="2304"/>
            <w:vAlign w:val="top"/>
          </w:tcPr>
          <w:p>
            <w:pPr>
              <w:spacing w:after="40" w:before="0" w:line="259" w:lineRule="auto"/>
            </w:pPr>
            <w:r>
              <w:rPr>
                <w:rFonts w:ascii="Calibri" w:hAnsi="Calibri"/>
                <w:b/>
                <w:i w:val="0"/>
                <w:color w:val="212121"/>
                <w:sz w:val="19"/>
              </w:rPr>
              <w:t>Halitosis (bad breath)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stagnant infected secretions and post-nasal drainage.</w:t>
            </w:r>
          </w:p>
        </w:tc>
      </w:tr>
      <w:tr>
        <w:trPr>
          <w:cantSplit/>
        </w:trPr>
        <w:tc>
          <w:tcPr>
            <w:tcW w:type="dxa" w:w="2304"/>
            <w:vAlign w:val="top"/>
          </w:tcPr>
          <w:p>
            <w:pPr>
              <w:spacing w:after="40" w:before="0" w:line="259" w:lineRule="auto"/>
            </w:pPr>
            <w:r>
              <w:rPr>
                <w:rFonts w:ascii="Calibri" w:hAnsi="Calibri"/>
                <w:b/>
                <w:i w:val="0"/>
                <w:color w:val="212121"/>
                <w:sz w:val="19"/>
              </w:rPr>
              <w:t>Dental / maxillary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Upper-tooth or cheek pain, especially with maxillary or odontogenic sinus involvement.</w:t>
            </w:r>
          </w:p>
        </w:tc>
      </w:tr>
      <w:tr>
        <w:trPr>
          <w:cantSplit/>
        </w:trPr>
        <w:tc>
          <w:tcPr>
            <w:tcW w:type="dxa" w:w="2304"/>
            <w:vAlign w:val="top"/>
          </w:tcPr>
          <w:p>
            <w:pPr>
              <w:spacing w:after="40" w:before="0" w:line="259" w:lineRule="auto"/>
            </w:pPr>
            <w:r>
              <w:rPr>
                <w:rFonts w:ascii="Calibri" w:hAnsi="Calibri"/>
                <w:b/>
                <w:i w:val="0"/>
                <w:color w:val="212121"/>
                <w:sz w:val="19"/>
              </w:rPr>
              <w:t>Sleep disturbance / snoring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Nasal obstruction disrupts sleep and may contribute to obstructive sleep apnoea.</w:t>
            </w:r>
          </w:p>
        </w:tc>
      </w:tr>
      <w:tr>
        <w:trPr>
          <w:cantSplit/>
        </w:trPr>
        <w:tc>
          <w:tcPr>
            <w:tcW w:type="dxa" w:w="2304"/>
            <w:vAlign w:val="top"/>
          </w:tcPr>
          <w:p>
            <w:pPr>
              <w:spacing w:after="40" w:before="0" w:line="259" w:lineRule="auto"/>
            </w:pPr>
            <w:r>
              <w:rPr>
                <w:rFonts w:ascii="Calibri" w:hAnsi="Calibri"/>
                <w:b/>
                <w:i w:val="0"/>
                <w:color w:val="212121"/>
                <w:sz w:val="19"/>
              </w:rPr>
              <w:t>Blood-streaked nasal mucus (mild epistaxis)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bloody streaking from inflamed, crusted mucosa; persistent unilateral bleeding needs evaluation.</w:t>
            </w:r>
          </w:p>
        </w:tc>
      </w:tr>
      <w:tr>
        <w:trPr>
          <w:cantSplit/>
        </w:trPr>
        <w:tc>
          <w:tcPr>
            <w:tcW w:type="dxa" w:w="2304"/>
            <w:vAlign w:val="top"/>
          </w:tcPr>
          <w:p>
            <w:pPr>
              <w:spacing w:after="40" w:before="0" w:line="259" w:lineRule="auto"/>
            </w:pPr>
            <w:r>
              <w:rPr>
                <w:rFonts w:ascii="Calibri" w:hAnsi="Calibri"/>
                <w:b/>
                <w:i w:val="0"/>
                <w:color w:val="212121"/>
                <w:sz w:val="19"/>
              </w:rPr>
              <w:t>Visual disturbance / severe unremitting headache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Red-flag symptoms suggesting an orbital or intracranial complication and needing urgent assessment.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Mucopurulent discharge from the middle meatus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Seen on endoscopy; an objective diagnostic sign of CRS.</w:t>
            </w:r>
          </w:p>
        </w:tc>
      </w:tr>
      <w:tr>
        <w:trPr>
          <w:cantSplit/>
        </w:trPr>
        <w:tc>
          <w:tcPr>
            <w:tcW w:type="dxa" w:w="3456"/>
            <w:vAlign w:val="top"/>
          </w:tcPr>
          <w:p>
            <w:pPr>
              <w:spacing w:after="40" w:before="0" w:line="259" w:lineRule="auto"/>
            </w:pPr>
            <w:r>
              <w:rPr>
                <w:rFonts w:ascii="Calibri" w:hAnsi="Calibri"/>
                <w:b/>
                <w:i w:val="0"/>
                <w:color w:val="212121"/>
                <w:sz w:val="19"/>
              </w:rPr>
              <w:t>Nasal polyps (in CRSwNP)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Pale, glistening, oedematous polyps in the middle meatus on rhinoscopy/endoscopy.</w:t>
            </w:r>
          </w:p>
        </w:tc>
      </w:tr>
      <w:tr>
        <w:trPr>
          <w:cantSplit/>
        </w:trPr>
        <w:tc>
          <w:tcPr>
            <w:tcW w:type="dxa" w:w="3456"/>
            <w:vAlign w:val="top"/>
          </w:tcPr>
          <w:p>
            <w:pPr>
              <w:spacing w:after="40" w:before="0" w:line="259" w:lineRule="auto"/>
            </w:pPr>
            <w:r>
              <w:rPr>
                <w:rFonts w:ascii="Calibri" w:hAnsi="Calibri"/>
                <w:b/>
                <w:i w:val="0"/>
                <w:color w:val="212121"/>
                <w:sz w:val="19"/>
              </w:rPr>
              <w:t>Mucosal oedema / erythema and middle-meatal obstruction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Swollen, inflamed mucosa narrowing the drainage pathway.</w:t>
            </w:r>
          </w:p>
        </w:tc>
      </w:tr>
      <w:tr>
        <w:trPr>
          <w:cantSplit/>
        </w:trPr>
        <w:tc>
          <w:tcPr>
            <w:tcW w:type="dxa" w:w="3456"/>
            <w:vAlign w:val="top"/>
          </w:tcPr>
          <w:p>
            <w:pPr>
              <w:spacing w:after="40" w:before="0" w:line="259" w:lineRule="auto"/>
            </w:pPr>
            <w:r>
              <w:rPr>
                <w:rFonts w:ascii="Calibri" w:hAnsi="Calibri"/>
                <w:b/>
                <w:i w:val="0"/>
                <w:color w:val="212121"/>
                <w:sz w:val="19"/>
              </w:rPr>
              <w:t>Post-nasal mucopurulent drainage in the oropharynx</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mucus tracking down the posterior pharyngeal wall.</w:t>
            </w:r>
          </w:p>
        </w:tc>
      </w:tr>
      <w:tr>
        <w:trPr>
          <w:cantSplit/>
        </w:trPr>
        <w:tc>
          <w:tcPr>
            <w:tcW w:type="dxa" w:w="3456"/>
            <w:vAlign w:val="top"/>
          </w:tcPr>
          <w:p>
            <w:pPr>
              <w:spacing w:after="40" w:before="0" w:line="259" w:lineRule="auto"/>
            </w:pPr>
            <w:r>
              <w:rPr>
                <w:rFonts w:ascii="Calibri" w:hAnsi="Calibri"/>
                <w:b/>
                <w:i w:val="0"/>
                <w:color w:val="212121"/>
                <w:sz w:val="19"/>
              </w:rPr>
              <w:t>Hyposmia / anosmia on smell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Objectively reduced smell identification, especially in polyp disease.</w:t>
            </w:r>
          </w:p>
        </w:tc>
      </w:tr>
      <w:tr>
        <w:trPr>
          <w:cantSplit/>
        </w:trPr>
        <w:tc>
          <w:tcPr>
            <w:tcW w:type="dxa" w:w="3456"/>
            <w:vAlign w:val="top"/>
          </w:tcPr>
          <w:p>
            <w:pPr>
              <w:spacing w:after="40" w:before="0" w:line="259" w:lineRule="auto"/>
            </w:pPr>
            <w:r>
              <w:rPr>
                <w:rFonts w:ascii="Calibri" w:hAnsi="Calibri"/>
                <w:b/>
                <w:i w:val="0"/>
                <w:color w:val="212121"/>
                <w:sz w:val="19"/>
              </w:rPr>
              <w:t>Facial / sinus tenderness on palpation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Tenderness over the maxillary or frontal sinuses, more with acute exacerbation.</w:t>
            </w:r>
          </w:p>
        </w:tc>
      </w:tr>
      <w:tr>
        <w:trPr>
          <w:cantSplit/>
        </w:trPr>
        <w:tc>
          <w:tcPr>
            <w:tcW w:type="dxa" w:w="3456"/>
            <w:vAlign w:val="top"/>
          </w:tcPr>
          <w:p>
            <w:pPr>
              <w:spacing w:after="40" w:before="0" w:line="259" w:lineRule="auto"/>
            </w:pPr>
            <w:r>
              <w:rPr>
                <w:rFonts w:ascii="Calibri" w:hAnsi="Calibri"/>
                <w:b/>
                <w:i w:val="0"/>
                <w:color w:val="212121"/>
                <w:sz w:val="19"/>
              </w:rPr>
              <w:t>Allergic stigmata (allergic shiners, transverse nasal crease)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underlying atopy/allergic rhinitis.</w:t>
            </w:r>
          </w:p>
        </w:tc>
      </w:tr>
      <w:tr>
        <w:trPr>
          <w:cantSplit/>
        </w:trPr>
        <w:tc>
          <w:tcPr>
            <w:tcW w:type="dxa" w:w="3456"/>
            <w:vAlign w:val="top"/>
          </w:tcPr>
          <w:p>
            <w:pPr>
              <w:spacing w:after="40" w:before="0" w:line="259" w:lineRule="auto"/>
            </w:pPr>
            <w:r>
              <w:rPr>
                <w:rFonts w:ascii="Calibri" w:hAnsi="Calibri"/>
                <w:b/>
                <w:i w:val="0"/>
                <w:color w:val="212121"/>
                <w:sz w:val="19"/>
              </w:rPr>
              <w:t>Deviated nasal septum / anatomical narrowing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Structural obstruction of the ostiomeatal complex predisposing to CRS.</w:t>
            </w:r>
          </w:p>
        </w:tc>
      </w:tr>
      <w:tr>
        <w:trPr>
          <w:cantSplit/>
        </w:trPr>
        <w:tc>
          <w:tcPr>
            <w:tcW w:type="dxa" w:w="3456"/>
            <w:vAlign w:val="top"/>
          </w:tcPr>
          <w:p>
            <w:pPr>
              <w:spacing w:after="40" w:before="0" w:line="259" w:lineRule="auto"/>
            </w:pPr>
            <w:r>
              <w:rPr>
                <w:rFonts w:ascii="Calibri" w:hAnsi="Calibri"/>
                <w:b/>
                <w:i w:val="0"/>
                <w:color w:val="212121"/>
                <w:sz w:val="19"/>
              </w:rPr>
              <w:t>Thick eosinophilic (allergic) mucin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peanut-butter-like mucin of allergic fungal rhinosinusitis.</w:t>
            </w:r>
          </w:p>
        </w:tc>
      </w:tr>
      <w:tr>
        <w:trPr>
          <w:cantSplit/>
        </w:trPr>
        <w:tc>
          <w:tcPr>
            <w:tcW w:type="dxa" w:w="3456"/>
            <w:vAlign w:val="top"/>
          </w:tcPr>
          <w:p>
            <w:pPr>
              <w:spacing w:after="40" w:before="0" w:line="259" w:lineRule="auto"/>
            </w:pPr>
            <w:r>
              <w:rPr>
                <w:rFonts w:ascii="Calibri" w:hAnsi="Calibri"/>
                <w:b/>
                <w:i w:val="0"/>
                <w:color w:val="212121"/>
                <w:sz w:val="19"/>
              </w:rPr>
              <w:t>Periorbital swelling, erythema or proptosis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an orbital complication (cellulitis/abscess) requiring emergency care.</w:t>
            </w:r>
          </w:p>
        </w:tc>
      </w:tr>
      <w:tr>
        <w:trPr>
          <w:cantSplit/>
        </w:trPr>
        <w:tc>
          <w:tcPr>
            <w:tcW w:type="dxa" w:w="3456"/>
            <w:vAlign w:val="top"/>
          </w:tcPr>
          <w:p>
            <w:pPr>
              <w:spacing w:after="40" w:before="0" w:line="259" w:lineRule="auto"/>
            </w:pPr>
            <w:r>
              <w:rPr>
                <w:rFonts w:ascii="Calibri" w:hAnsi="Calibri"/>
                <w:b/>
                <w:i w:val="0"/>
                <w:color w:val="212121"/>
                <w:sz w:val="19"/>
              </w:rPr>
              <w:t>Fever, meningism or altered sensorium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an intracranial complication (meningitis, abscess, cavernous sinus thrombosis).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exacerbations of rhinosinusitis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nasal obstruction and persistent 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Nasal polyposis (in CRSwNP)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and obstructive sleep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 impairment of quality of life and productivity</w:t>
            </w:r>
          </w:p>
        </w:tc>
        <w:tc>
          <w:tcPr>
            <w:tcW w:type="dxa" w:w="2980"/>
            <w:vAlign w:val="top"/>
          </w:tcPr>
          <w:p>
            <w:pPr>
              <w:spacing w:after="40" w:before="0" w:line="259" w:lineRule="auto"/>
            </w:pPr>
            <w:r>
              <w:rPr>
                <w:rFonts w:ascii="Calibri" w:hAnsi="Calibri"/>
                <w:b w:val="0"/>
                <w:i w:val="0"/>
                <w:color w:val="212121"/>
                <w:sz w:val="19"/>
              </w:rPr>
              <w:t>Direct persistence and progression of sinonasal inflammation and its day-to-day burden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Orbital complications: preseptal / orbital cellulitis, subperiosteal and orbital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Mucocele / mucopyocele with slow expansion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Osteomyelitis of the frontal bone (Pott's puffy tumour)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Exacerbation or poor control of coexisting asthma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of infection to the lower airway</w:t>
            </w:r>
          </w:p>
        </w:tc>
        <w:tc>
          <w:tcPr>
            <w:tcW w:type="dxa" w:w="2980"/>
            <w:vAlign w:val="top"/>
          </w:tcPr>
          <w:p>
            <w:pPr>
              <w:spacing w:after="40" w:before="0" w:line="259" w:lineRule="auto"/>
            </w:pPr>
            <w:r>
              <w:rPr>
                <w:rFonts w:ascii="Calibri" w:hAnsi="Calibri"/>
                <w:b w:val="0"/>
                <w:i w:val="0"/>
                <w:color w:val="212121"/>
                <w:sz w:val="19"/>
              </w:rPr>
              <w:t>Local and regional spread of infection/inflammation beyond the sinuses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Intracranial: meningitis, epidural / subdural empyema, brain abscess, cavernous sinus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visual loss / blindness from orbital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Invasive fungal rhinosinusitis (e.g., mucormycosis) in uncontrolled diabetes / immunocompromise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Life-threatening sepsis</w:t>
            </w:r>
          </w:p>
        </w:tc>
        <w:tc>
          <w:tcPr>
            <w:tcW w:type="dxa" w:w="2980"/>
            <w:vAlign w:val="top"/>
          </w:tcPr>
          <w:p>
            <w:pPr>
              <w:spacing w:after="40" w:before="0" w:line="259" w:lineRule="auto"/>
            </w:pPr>
            <w:r>
              <w:rPr>
                <w:rFonts w:ascii="Calibri" w:hAnsi="Calibri"/>
                <w:b w:val="0"/>
                <w:i w:val="0"/>
                <w:color w:val="212121"/>
                <w:sz w:val="19"/>
              </w:rPr>
              <w:t>Irreversible, disabling or life-threatening outcomes of untreated or severe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Allergic rhinitis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Highly prevalent in India; chronic allergic mucosal oedema obstructs sinus drainage and strongly predisposes to CRS (the united airway).</w:t>
            </w:r>
          </w:p>
        </w:tc>
      </w:tr>
      <w:tr>
        <w:trPr>
          <w:cantSplit/>
        </w:trPr>
        <w:tc>
          <w:tcPr>
            <w:tcW w:type="dxa" w:w="2232"/>
            <w:vAlign w:val="top"/>
          </w:tcPr>
          <w:p>
            <w:pPr>
              <w:spacing w:after="40" w:before="0" w:line="259" w:lineRule="auto"/>
            </w:pPr>
            <w:r>
              <w:rPr>
                <w:rFonts w:ascii="Calibri" w:hAnsi="Calibri"/>
                <w:b/>
                <w:i w:val="0"/>
                <w:color w:val="212121"/>
                <w:sz w:val="19"/>
              </w:rPr>
              <w:t>Asthma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type-2, united-airway inflammation with CRS; coexisting CRS (especially CRSwNP) makes asthma harder to control and vice versa.</w:t>
            </w:r>
          </w:p>
        </w:tc>
      </w:tr>
      <w:tr>
        <w:trPr>
          <w:cantSplit/>
        </w:trPr>
        <w:tc>
          <w:tcPr>
            <w:tcW w:type="dxa" w:w="2232"/>
            <w:vAlign w:val="top"/>
          </w:tcPr>
          <w:p>
            <w:pPr>
              <w:spacing w:after="40" w:before="0" w:line="259" w:lineRule="auto"/>
            </w:pPr>
            <w:r>
              <w:rPr>
                <w:rFonts w:ascii="Calibri" w:hAnsi="Calibri"/>
                <w:b/>
                <w:i w:val="0"/>
                <w:color w:val="212121"/>
                <w:sz w:val="19"/>
              </w:rPr>
              <w:t>Nasal polyps (CRSwNP)</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Eosinophilic polyp disease with severe smell loss and high post-surgical recurrence, defining a distinct phenotype.</w:t>
            </w:r>
          </w:p>
        </w:tc>
      </w:tr>
      <w:tr>
        <w:trPr>
          <w:cantSplit/>
        </w:trPr>
        <w:tc>
          <w:tcPr>
            <w:tcW w:type="dxa" w:w="2232"/>
            <w:vAlign w:val="top"/>
          </w:tcPr>
          <w:p>
            <w:pPr>
              <w:spacing w:after="40" w:before="0" w:line="259" w:lineRule="auto"/>
            </w:pPr>
            <w:r>
              <w:rPr>
                <w:rFonts w:ascii="Calibri" w:hAnsi="Calibri"/>
                <w:b/>
                <w:i w:val="0"/>
                <w:color w:val="212121"/>
                <w:sz w:val="19"/>
              </w:rPr>
              <w:t>Aspirin-exacerbated respiratory disease (AERD)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Samter's triad of asthma, CRSwNP and NSAID sensitivity, with aggressive, recurrent polyposis.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Nasal obstruction contributes to snoring and OSA, which further degrade sleep and quality of life.</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symptoms, poor sleep and smell loss are bidirectionally linked with mood and anxiety disorders and reduced quality of life.</w:t>
            </w:r>
          </w:p>
        </w:tc>
      </w:tr>
      <w:tr>
        <w:trPr>
          <w:cantSplit/>
        </w:trPr>
        <w:tc>
          <w:tcPr>
            <w:tcW w:type="dxa" w:w="2232"/>
            <w:vAlign w:val="top"/>
          </w:tcPr>
          <w:p>
            <w:pPr>
              <w:spacing w:after="40" w:before="0" w:line="259" w:lineRule="auto"/>
            </w:pPr>
            <w:r>
              <w:rPr>
                <w:rFonts w:ascii="Calibri" w:hAnsi="Calibri"/>
                <w:b/>
                <w:i w:val="0"/>
                <w:color w:val="212121"/>
                <w:sz w:val="19"/>
              </w:rPr>
              <w:t>Otitis media / Eustachian-tube dysfunction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Nasopharyngeal inflammation impairs Eustachian-tube function, causing ear fullness and middle-ear disease.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Adiposity sustains systemic inflammation; an Indian study linked obesity measures with CRS endoscopic outcomes.</w:t>
            </w:r>
          </w:p>
        </w:tc>
      </w:tr>
      <w:tr>
        <w:trPr>
          <w:cantSplit/>
        </w:trPr>
        <w:tc>
          <w:tcPr>
            <w:tcW w:type="dxa" w:w="2232"/>
            <w:vAlign w:val="top"/>
          </w:tcPr>
          <w:p>
            <w:pPr>
              <w:spacing w:after="40" w:before="0" w:line="259" w:lineRule="auto"/>
            </w:pPr>
            <w:r>
              <w:rPr>
                <w:rFonts w:ascii="Calibri" w:hAnsi="Calibri"/>
                <w:b/>
                <w:i w:val="0"/>
                <w:color w:val="212121"/>
                <w:sz w:val="19"/>
              </w:rPr>
              <w:t>Gastro-oesophageal reflux / laryngopharyngeal reflux</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Reflux is associated with, and may aggravate, chronic rhinosinusitis symptoms.</w:t>
            </w:r>
          </w:p>
        </w:tc>
      </w:tr>
      <w:tr>
        <w:trPr>
          <w:cantSplit/>
        </w:trPr>
        <w:tc>
          <w:tcPr>
            <w:tcW w:type="dxa" w:w="2232"/>
            <w:vAlign w:val="top"/>
          </w:tcPr>
          <w:p>
            <w:pPr>
              <w:spacing w:after="40" w:before="0" w:line="259" w:lineRule="auto"/>
            </w:pPr>
            <w:r>
              <w:rPr>
                <w:rFonts w:ascii="Calibri" w:hAnsi="Calibri"/>
                <w:b/>
                <w:i w:val="0"/>
                <w:color w:val="212121"/>
                <w:sz w:val="19"/>
              </w:rPr>
              <w:t>Odontogenic (dental)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Maxillary posterior dental disease can cause and perpetuate unilateral maxillary sinusitis through the shared sinus–tooth interface.</w:t>
            </w:r>
          </w:p>
        </w:tc>
      </w:tr>
      <w:tr>
        <w:trPr>
          <w:cantSplit/>
        </w:trPr>
        <w:tc>
          <w:tcPr>
            <w:tcW w:type="dxa" w:w="2232"/>
            <w:vAlign w:val="top"/>
          </w:tcPr>
          <w:p>
            <w:pPr>
              <w:spacing w:after="40" w:before="0" w:line="259" w:lineRule="auto"/>
            </w:pPr>
            <w:r>
              <w:rPr>
                <w:rFonts w:ascii="Calibri" w:hAnsi="Calibri"/>
                <w:b/>
                <w:i w:val="0"/>
                <w:color w:val="212121"/>
                <w:sz w:val="19"/>
              </w:rPr>
              <w:t>Allergic fungal rhinosinusitis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atopy-driven fungal CRS phenotype that is disproportionately common in India's hot, humid climate.</w:t>
            </w:r>
          </w:p>
        </w:tc>
      </w:tr>
      <w:tr>
        <w:trPr>
          <w:cantSplit/>
        </w:trPr>
        <w:tc>
          <w:tcPr>
            <w:tcW w:type="dxa" w:w="2232"/>
            <w:vAlign w:val="top"/>
          </w:tcPr>
          <w:p>
            <w:pPr>
              <w:spacing w:after="40" w:before="0" w:line="259" w:lineRule="auto"/>
            </w:pPr>
            <w:r>
              <w:rPr>
                <w:rFonts w:ascii="Calibri" w:hAnsi="Calibri"/>
                <w:b/>
                <w:i w:val="0"/>
                <w:color w:val="212121"/>
                <w:sz w:val="19"/>
              </w:rPr>
              <w:t>Uncontrolled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Impairs mucosal defence and greatly raises the risk of invasive fungal rhinosinusitis (including mucormycosis), an emergency in India.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symptoms lasting 12 weeks or more need proper ENT assessment rather than repeated courses of over-the-counter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large-volume isotonic saline nasal irrigation and use it regularly to clear secretions and allergens.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intranasal corticosteroid sprays correctly and consistently, and avoid overusing topical decongestant sprays (which cause rebound congestion / rhinitis medicamentosa).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allergen and pollutant exposure: track pollen/air-quality, use masks on high-pollution days, ventilate and consider indoor air purifiers, and control house-dust mite.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asthma and allergic rhinitis well controlled and stay up to date with influenza and recommended vaccinations to cut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(eye swelling, double vision, severe headache, high fever, neck stiffness) and seek emergency care immediately.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Allergic-rhinitis / asthma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dwellers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recurrent CRS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exercise (≥ 150 minutes/week) to support weight control and general airway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if overweight or obese, given the link between adiposity and airway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indoor or low-pollution times and locations for outdoor exercise on high-PM2.5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saline rinses after dusty or high-pollen outdoor activity to clear irritants.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dwellers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CRS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plant-rich, anti-inflammatory diet with plenty of fruit, vegetables and whole grains (millets, oats).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keep nasal secretions thin and mucociliary clearance effective.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any personal food or additive triggers that reliably worsen nasal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aspirin-exacerbated respiratory disease, avoid aspirin/NSAIDs unless supervised, and discuss salicylate intake with the specialist.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high-salt foods as part of general cardiometabolic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CRS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Atopic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obstruction (saline, intranasal steroids) to improve airflow and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bed to reduce night-time congestion and post-nasal drip.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good sleep hygiene to counter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snoring or obstructive sleep apnoea where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 saline rinse before bed to clear secretions overnight.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CRS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CRSwNP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vaping to restore mucociliary clearance and improve treatment and surgical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tobacco/bidi smoke at home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exposure to biomass-cooking smoke with improved ventilation or clean cooking fuels/stoves.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behavioural support and pharmacotherapy (nicotine replacement) and reinforce cessation at each visit.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women (biomass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Second-hand-smoke-exposed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if it reliably provokes nasal congestion or airway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alcohol commonly triggers upper- and lower-airway reactions in AERD and CRSwNP.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worsens sleep and mucosal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any intake within national low-risk limits.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AERD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CRSwNP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which are common with chronic sinonasal symptoms and smell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 cognitive behavioural approaches and validate the real impact of symptoms and anosmia.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breathing and relaxation techniques to reduce symptom-related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expectations about a chronic, relapsing condition and the value of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mental-health support within multidisciplinary CRS care, especially for refractory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CRS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 recurrent CRS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Anosmic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quality-of-life scores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41934/" TargetMode="External"/><Relationship Id="rId10" Type="http://schemas.openxmlformats.org/officeDocument/2006/relationships/hyperlink" Target="https://doi.org/10.1007/s00405-025-09709-x" TargetMode="External"/><Relationship Id="rId11" Type="http://schemas.openxmlformats.org/officeDocument/2006/relationships/hyperlink" Target="https://doi.org/10.6026/973206300213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