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Tonsillitis</w:t>
      </w:r>
    </w:p>
    <w:p>
      <w:pPr>
        <w:spacing w:before="0" w:after="160"/>
      </w:pPr>
      <w:r>
        <w:rPr>
          <w:rFonts w:ascii="Calibri" w:hAnsi="Calibri"/>
          <w:b/>
          <w:i w:val="0"/>
          <w:color w:val="212121"/>
          <w:sz w:val="22"/>
        </w:rPr>
        <w:t xml:space="preserve">AKA </w:t>
      </w:r>
      <w:r>
        <w:rPr>
          <w:rFonts w:ascii="Calibri" w:hAnsi="Calibri"/>
          <w:b w:val="0"/>
          <w:i w:val="0"/>
          <w:color w:val="212121"/>
          <w:sz w:val="22"/>
        </w:rPr>
        <w:t>i.e., Tonsil infection, Sore throat, Acute/chronic tonsillitis, Streptococcal tonsillitis (‘strep throat’ when caused by group A streptococcus), Tonsillopharyngitis; quinsy refers to its peritonsillar-abscess complication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Tonsillitis is acute or chronic inflammation of the palatine tonsils, usually caused by viral or bacterial infection and presenting with sore throat, painful swallowing (odynophagia), fever and red, enlarged or exudate-covered tonsils with tender neck glands. Most cases are viral and self-limiting, but group A β-haemolytic streptococcus (Streptococcus pyogenes) is the important treatable bacterial cause because it can trigger suppurative and immune-mediated complications. When episodes recur frequently or inflammation persists it is termed recurrent or chronic tonsillitis, which is a leading reason for ENT out-patient visits and tonsillectomy.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Tonsillitis and acute sore throat are among the commonest reasons for primary-care and ENT out-patient visits, accounting for roughly 1.3% of outpatient encounters globally and peaking in winter and early spring. Group A streptococcal pharyngo-tonsillitis is overwhelmingly a disease of children: its incidence is highest at ages 3–9 years (about 93.2 cases per 1,000 person-years), falling to 40.9 per 1,000 in those 10–19 years and only about 8 per 1,000 in adults aged 20–39. In India, chronic and recurrent tonsillitis is one of the most frequent ENT diagnoses and tonsillectomy remains among the commonest ENT operations; the country also carries a large share of the global rheumatic-heart-disease burden (part of the estimated 55 million cases and ~360,000 deaths a year concentrated in low- and middle-income countries of central and south Asia), a preventable sequel of untreated streptococcal throat infection.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Tonsillitis is a clinical diagnosis based on history and oropharyngeal examination, supported by clinical prediction scores and, where group A streptococcus is suspected, by microbiological confirmation: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history of sudden sore throat, odynophagia and fever, with examination showing erythematous, enlarged tonsils, with or without white/yellow exudate, and tender anterior cervical lymph nodes;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modified Centor (McIsaac) score to estimate the probability of group A streptococcus — one point each for temperature &gt; 38°C, tonsillar exudate or swelling, tender anterior cervical lymphadenopathy and absence of cough, +1 for age 3–14 years and −1 for age ≥ 45 years; higher scores justify testing or empirical treatment;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rapid antigen detection test (RADT) on a throat swab to confirm group A streptococcus, with throat culture as the gold standard — especially to confirm a negative RADT in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investigations where indicated: complete blood count, CRP/ESR, anti-streptolysin O (ASO) titre for recent streptococcal infection or rheumatic-fever work-up, and EBV heterophile (Monospot)/serology when infectious mononucleosis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recurrent and chronic tonsillitis are diagnosed clinically from documented episode frequency (Paradise criteria) and persistent tonsillar symptoms and signs (halitosis, tonsilloliths, recurrent sore throat);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contrast-enhanced CT of the neck when a peritonsillar or deep-neck-space abscess is suspected (trismus, muffled voice, uvular deviation or unilateral peritonsillar swelling).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Tonsillitis is classified by the time-course of inflammation and, in classical ENT teaching, by the morphology of the tonsillar changes:</w:t>
      </w:r>
    </w:p>
    <w:p>
      <w:pPr>
        <w:spacing w:before="0" w:after="80"/>
      </w:pPr>
      <w:r>
        <w:rPr>
          <w:rFonts w:ascii="Calibri" w:hAnsi="Calibri"/>
          <w:b w:val="0"/>
          <w:i w:val="0"/>
          <w:color w:val="212121"/>
          <w:sz w:val="21"/>
        </w:rPr>
        <w:t>(1) Acute tonsillitis – sudden-onset infective inflammation; morphological subtypes described in Indian ENT teaching (Dhingra) include acute catarrhal/superficial (part of a generalised pharyngitis), acute follicular (exudate at the crypt openings), acute parenchymatous (uniformly enlarged, red, swollen tonsils) and acute membranous (coalesced exudate forming a membrane);</w:t>
      </w:r>
    </w:p>
    <w:p>
      <w:pPr>
        <w:spacing w:before="0" w:after="80"/>
      </w:pPr>
      <w:r>
        <w:rPr>
          <w:rFonts w:ascii="Calibri" w:hAnsi="Calibri"/>
          <w:b w:val="0"/>
          <w:i w:val="0"/>
          <w:color w:val="212121"/>
          <w:sz w:val="21"/>
        </w:rPr>
        <w:t>(2) Recurrent (recurrent acute) tonsillitis – repeated discrete acute episodes; the Paradise thresholds used to justify tonsillectomy are ≥ 7 episodes in 1 year, ≥ 5 episodes per year for 2 consecutive years, or ≥ 3 episodes per year for 3 consecutive years;</w:t>
      </w:r>
    </w:p>
    <w:p>
      <w:pPr>
        <w:spacing w:before="0" w:after="80"/>
      </w:pPr>
      <w:r>
        <w:rPr>
          <w:rFonts w:ascii="Calibri" w:hAnsi="Calibri"/>
          <w:b w:val="0"/>
          <w:i w:val="0"/>
          <w:color w:val="212121"/>
          <w:sz w:val="21"/>
        </w:rPr>
        <w:t>(3) Chronic tonsillitis – persistent low-grade tonsillar inflammation with recurrent sore throat, halitosis, tonsilloliths and crypt debris; subtypes include chronic follicular, chronic parenchymatous (hyperplastic/enlarged) and chronic fibroid (small, fibrosed) tonsils;</w:t>
      </w:r>
    </w:p>
    <w:p>
      <w:pPr>
        <w:spacing w:before="0" w:after="80"/>
      </w:pPr>
      <w:r>
        <w:rPr>
          <w:rFonts w:ascii="Calibri" w:hAnsi="Calibri"/>
          <w:b w:val="0"/>
          <w:i w:val="0"/>
          <w:color w:val="212121"/>
          <w:sz w:val="21"/>
        </w:rPr>
        <w:t>(4) Complicated / associated forms – principally peritonsillar abscess (quinsy) and other deep-neck infections, while a persistent unilateral tonsillar enlargement or ulcer must raise suspicion of malignancy (squamous-cell carcinoma or lymphoma). Aetiologically, cases are further divided into viral (the majority) and bacterial — chiefly group A streptococcal — tonsillitis, which guides treatment.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Viral infection (most common): rhinovirus, adenovirus, influenza and parainfluenza, coronavirus, enterovirus and Epstein–Barr virus cause 70–95% of cases and are usually self-limiting.</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Group A β-haemolytic streptococcus (Streptococcus pyogenes): the principal bacterial cause and the one that risks rheumatic fever and post-streptococcal glomerulonephritis; group C/G streptococci, Fusobacterium, Mycoplasma and — in under-vaccinated pockets — diphtheria are less common bacterial causes.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Close contact and overcrowding: droplet spread in schools, hostels and crowded low-income households, common in India, drives transmission, outbreaks and recurrence.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Environmental irritants: passive and active tobacco smoke and indoor/outdoor air pollution (including biomass-cooking smoke) inflame the pharyngeal mucosa and predispose to chronic and recurrent tonsillitis.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Impaired host/local defence: young age, frequent upper-respiratory infections, allergic rhinitis, mouth-breathing, poor oral and dental hygiene and immunodeficiency (uncontrolled diabetes, HIV) favour infection.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Chronic crypt colonisation and biofilm: persistent polymicrobial biofilm within the tonsillar crypts underlies chronic tonsillitis, tonsilloliths and recurrent flares.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Laryngopharyngeal/gastro-oesophageal reflux: acid and pepsin exposure irritates the oropharynx and is associated with chronic tonsillar inflammation.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(5–15 years)</w:t>
            </w:r>
          </w:p>
        </w:tc>
        <w:tc>
          <w:tcPr>
            <w:tcW w:type="dxa" w:w="4276"/>
            <w:vAlign w:val="top"/>
          </w:tcPr>
          <w:p>
            <w:pPr>
              <w:spacing w:after="60" w:line="259" w:lineRule="auto"/>
            </w:pPr>
            <w:r>
              <w:rPr>
                <w:rFonts w:ascii="Calibri" w:hAnsi="Calibri"/>
                <w:b w:val="0"/>
                <w:i w:val="0"/>
                <w:color w:val="212121"/>
                <w:sz w:val="19"/>
              </w:rPr>
              <w:t>School-age children are the classic hosts for group A streptococcal tonsillitis because of immature immunity, dense classroom contact and high tonsillar lymphoid activity; this is also the age at greatest risk of rheumatic fever after untreated streptococcal throat infection.</w:t>
            </w:r>
          </w:p>
          <w:p>
            <w:pPr>
              <w:spacing w:after="40" w:before="60" w:line="259" w:lineRule="auto"/>
            </w:pPr>
            <w:r>
              <w:rPr>
                <w:rFonts w:ascii="Calibri" w:hAnsi="Calibri"/>
                <w:b w:val="0"/>
                <w:i w:val="0"/>
                <w:color w:val="212121"/>
                <w:sz w:val="19"/>
              </w:rPr>
              <w:t>Streptococcal pharyngitis incidence peaks at ages 3–9 years at about 93.2 cases per 1,000 person-years, far higher than in adults.</w:t>
            </w:r>
          </w:p>
          <w:p>
            <w:pPr>
              <w:spacing w:after="40" w:line="252" w:lineRule="auto"/>
            </w:pPr>
            <w:hyperlink r:id="rId9">
              <w:r>
                <w:rPr>
                  <w:rFonts w:ascii="Calibri" w:hAnsi="Calibri" w:cs="Calibri"/>
                  <w:sz w:val="18"/>
                  <w:color w:val="1155CC"/>
                  <w:u w:val="single"/>
                </w:rPr>
                <w:t xml:space="preserve">ncbi.nlm.nih.gov/books/NBK525997 — StatPearls, Streptococcal Pharyngitis</w:t>
              </w:r>
            </w:hyperlink>
          </w:p>
          <w:p>
            <w:pPr>
              <w:spacing w:before="60" w:after="40"/>
            </w:pPr>
            <w:r>
              <w:rPr>
                <w:rFonts w:ascii="Calibri" w:hAnsi="Calibri"/>
                <w:b w:val="0"/>
                <w:i w:val="0"/>
                <w:color w:val="5A5A5A"/>
                <w:sz w:val="18"/>
              </w:rPr>
              <w:t>#tonsillitis  #strepthroat  #schoolchildren  #GAS  #rheumaticfever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 (15–35 years)</w:t>
            </w:r>
          </w:p>
        </w:tc>
        <w:tc>
          <w:tcPr>
            <w:tcW w:type="dxa" w:w="4276"/>
            <w:vAlign w:val="top"/>
          </w:tcPr>
          <w:p>
            <w:pPr>
              <w:spacing w:after="60" w:line="259" w:lineRule="auto"/>
            </w:pPr>
            <w:r>
              <w:rPr>
                <w:rFonts w:ascii="Calibri" w:hAnsi="Calibri"/>
                <w:b w:val="0"/>
                <w:i w:val="0"/>
                <w:color w:val="212121"/>
                <w:sz w:val="19"/>
              </w:rPr>
              <w:t>This group has the highest rate of peritonsillar abscess and of EBV infectious mononucleosis, both of which present as severe exudative tonsillitis with marked tonsillar enlargement.</w:t>
            </w:r>
          </w:p>
          <w:p>
            <w:pPr>
              <w:spacing w:after="40" w:before="60" w:line="259" w:lineRule="auto"/>
            </w:pPr>
            <w:r>
              <w:rPr>
                <w:rFonts w:ascii="Calibri" w:hAnsi="Calibri"/>
                <w:b w:val="0"/>
                <w:i w:val="0"/>
                <w:color w:val="212121"/>
                <w:sz w:val="19"/>
              </w:rPr>
              <w:t>Peritonsillar abscess peaks at 15–35 years; adolescents may reach up to ~167 cases per 100,000 per year, and it is the commonest deep-neck-space infection in this age band.</w:t>
            </w:r>
          </w:p>
          <w:p>
            <w:pPr>
              <w:spacing w:after="40" w:line="252" w:lineRule="auto"/>
            </w:pPr>
            <w:hyperlink r:id="rId10">
              <w:r>
                <w:rPr>
                  <w:rFonts w:ascii="Calibri" w:hAnsi="Calibri" w:cs="Calibri"/>
                  <w:sz w:val="18"/>
                  <w:color w:val="1155CC"/>
                  <w:u w:val="single"/>
                </w:rPr>
                <w:t xml:space="preserve">ncbi.nlm.nih.gov/books/NBK519520 — StatPearls, Peritonsillar Abscess</w:t>
              </w:r>
            </w:hyperlink>
          </w:p>
          <w:p>
            <w:pPr>
              <w:spacing w:before="60" w:after="40"/>
            </w:pPr>
            <w:r>
              <w:rPr>
                <w:rFonts w:ascii="Calibri" w:hAnsi="Calibri"/>
                <w:b w:val="0"/>
                <w:i w:val="0"/>
                <w:color w:val="5A5A5A"/>
                <w:sz w:val="18"/>
              </w:rPr>
              <w:t>#quinsy  #peritonsillarabscess  #mononucleosis  #youngadults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Acute tonsillitis is uncommon in the elderly, so a new, persistent, unilateral tonsillar enlargement, ulcer or asymmetry in an older adult — especially a smoker — must be treated as a red flag for tonsillar carcinoma or lymphoma rather than simple infection.</w:t>
            </w:r>
          </w:p>
          <w:p>
            <w:pPr>
              <w:spacing w:after="40" w:before="60" w:line="259" w:lineRule="auto"/>
            </w:pPr>
            <w:r>
              <w:rPr>
                <w:rFonts w:ascii="Calibri" w:hAnsi="Calibri"/>
                <w:b w:val="0"/>
                <w:i w:val="0"/>
                <w:color w:val="212121"/>
                <w:sz w:val="19"/>
              </w:rPr>
              <w:t>New unilateral tonsillar enlargement or ulceration in older adults warrants urgent evaluation to exclude malignancy.</w:t>
            </w:r>
          </w:p>
          <w:p>
            <w:pPr>
              <w:spacing w:before="60" w:after="40"/>
            </w:pPr>
            <w:r>
              <w:rPr>
                <w:rFonts w:ascii="Calibri" w:hAnsi="Calibri"/>
                <w:b w:val="0"/>
                <w:i w:val="0"/>
                <w:color w:val="5A5A5A"/>
                <w:sz w:val="18"/>
              </w:rPr>
              <w:t>#elderly  #unilateral  #redflag  #malignancy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(adolescents &amp; adults ≥ 14 years)</w:t>
            </w:r>
          </w:p>
        </w:tc>
        <w:tc>
          <w:tcPr>
            <w:tcW w:type="dxa" w:w="4276"/>
            <w:vAlign w:val="top"/>
          </w:tcPr>
          <w:p>
            <w:pPr>
              <w:spacing w:after="60" w:line="259" w:lineRule="auto"/>
            </w:pPr>
            <w:r>
              <w:rPr>
                <w:rFonts w:ascii="Calibri" w:hAnsi="Calibri"/>
                <w:b w:val="0"/>
                <w:i w:val="0"/>
                <w:color w:val="212121"/>
                <w:sz w:val="19"/>
              </w:rPr>
              <w:t>Sex distribution shifts with age: girls predominate among children under 14 years, while males are more frequently affected by peritonsillar abscess and complicated tonsillitis from 14 years onward.</w:t>
            </w:r>
          </w:p>
          <w:p>
            <w:pPr>
              <w:spacing w:after="40" w:before="60" w:line="259" w:lineRule="auto"/>
            </w:pPr>
            <w:r>
              <w:rPr>
                <w:rFonts w:ascii="Calibri" w:hAnsi="Calibri"/>
                <w:b w:val="0"/>
                <w:i w:val="0"/>
                <w:color w:val="212121"/>
                <w:sz w:val="19"/>
              </w:rPr>
              <w:t>In peritonsillar abscess, females predominate under 14 years but males predominate at 14 years and older.</w:t>
            </w:r>
          </w:p>
          <w:p>
            <w:pPr>
              <w:spacing w:after="40" w:line="252" w:lineRule="auto"/>
            </w:pPr>
            <w:hyperlink r:id="rId10">
              <w:r>
                <w:rPr>
                  <w:rFonts w:ascii="Calibri" w:hAnsi="Calibri" w:cs="Calibri"/>
                  <w:sz w:val="18"/>
                  <w:color w:val="1155CC"/>
                  <w:u w:val="single"/>
                </w:rPr>
                <w:t xml:space="preserve">ncbi.nlm.nih.gov/books/NBK519520 — StatPearls, Peritonsillar Abscess</w:t>
              </w:r>
            </w:hyperlink>
          </w:p>
          <w:p>
            <w:pPr>
              <w:spacing w:before="60" w:after="40"/>
            </w:pPr>
            <w:r>
              <w:rPr>
                <w:rFonts w:ascii="Calibri" w:hAnsi="Calibri"/>
                <w:b w:val="0"/>
                <w:i w:val="0"/>
                <w:color w:val="5A5A5A"/>
                <w:sz w:val="18"/>
              </w:rPr>
              <w:t>#sexdifference  #male  #quinsy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overcrowded households</w:t>
            </w:r>
          </w:p>
        </w:tc>
        <w:tc>
          <w:tcPr>
            <w:tcW w:type="dxa" w:w="4276"/>
            <w:vAlign w:val="top"/>
          </w:tcPr>
          <w:p>
            <w:pPr>
              <w:spacing w:after="60" w:line="259" w:lineRule="auto"/>
            </w:pPr>
            <w:r>
              <w:rPr>
                <w:rFonts w:ascii="Calibri" w:hAnsi="Calibri"/>
                <w:b w:val="0"/>
                <w:i w:val="0"/>
                <w:color w:val="212121"/>
                <w:sz w:val="19"/>
              </w:rPr>
              <w:t>Poverty, overcrowding and limited access to timely antibiotics allow streptococcal throat infection to spread and go untreated, which is the pathway to rheumatic fever and rheumatic heart disease.</w:t>
            </w:r>
          </w:p>
          <w:p>
            <w:pPr>
              <w:spacing w:after="40" w:before="60" w:line="259" w:lineRule="auto"/>
            </w:pPr>
            <w:r>
              <w:rPr>
                <w:rFonts w:ascii="Calibri" w:hAnsi="Calibri"/>
                <w:b w:val="0"/>
                <w:i w:val="0"/>
                <w:color w:val="212121"/>
                <w:sz w:val="19"/>
              </w:rPr>
              <w:t>Acute rheumatic fever incidence is about 0.5 per 100,000 in high-income settings but 8–51 per 100,000 in developing countries.</w:t>
            </w:r>
          </w:p>
          <w:p>
            <w:pPr>
              <w:spacing w:after="40" w:line="252" w:lineRule="auto"/>
            </w:pPr>
            <w:hyperlink r:id="rId9">
              <w:r>
                <w:rPr>
                  <w:rFonts w:ascii="Calibri" w:hAnsi="Calibri" w:cs="Calibri"/>
                  <w:sz w:val="18"/>
                  <w:color w:val="1155CC"/>
                  <w:u w:val="single"/>
                </w:rPr>
                <w:t xml:space="preserve">ncbi.nlm.nih.gov/books/NBK525997 — StatPearls, Streptococcal Pharyngitis</w:t>
              </w:r>
            </w:hyperlink>
          </w:p>
          <w:p>
            <w:pPr>
              <w:spacing w:before="60" w:after="40"/>
            </w:pPr>
            <w:r>
              <w:rPr>
                <w:rFonts w:ascii="Calibri" w:hAnsi="Calibri"/>
                <w:b w:val="0"/>
                <w:i w:val="0"/>
                <w:color w:val="5A5A5A"/>
                <w:sz w:val="18"/>
              </w:rPr>
              <w:t>#poverty  #overcrowding  #rheumaticfever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Ethnicity/Region</w:t>
            </w:r>
          </w:p>
        </w:tc>
        <w:tc>
          <w:tcPr>
            <w:tcW w:type="dxa" w:w="2160"/>
            <w:vAlign w:val="top"/>
          </w:tcPr>
          <w:p>
            <w:pPr>
              <w:spacing w:after="40" w:before="0" w:line="259" w:lineRule="auto"/>
            </w:pPr>
            <w:r>
              <w:rPr>
                <w:rFonts w:ascii="Calibri" w:hAnsi="Calibri"/>
                <w:b w:val="0"/>
                <w:i w:val="0"/>
                <w:color w:val="212121"/>
                <w:sz w:val="19"/>
              </w:rPr>
              <w:t>Indian / South Asian</w:t>
            </w:r>
          </w:p>
        </w:tc>
        <w:tc>
          <w:tcPr>
            <w:tcW w:type="dxa" w:w="4276"/>
            <w:vAlign w:val="top"/>
          </w:tcPr>
          <w:p>
            <w:pPr>
              <w:spacing w:after="60" w:line="259" w:lineRule="auto"/>
            </w:pPr>
            <w:r>
              <w:rPr>
                <w:rFonts w:ascii="Calibri" w:hAnsi="Calibri"/>
                <w:b w:val="0"/>
                <w:i w:val="0"/>
                <w:color w:val="212121"/>
                <w:sz w:val="19"/>
              </w:rPr>
              <w:t>Central and south Asia, including India, carry a disproportionate share of the global rheumatic-heart-disease burden that follows untreated streptococcal tonsillitis, reflecting crowding, poverty and gaps in early throat-infection treatment.</w:t>
            </w:r>
          </w:p>
          <w:p>
            <w:pPr>
              <w:spacing w:after="40" w:before="60" w:line="259" w:lineRule="auto"/>
            </w:pPr>
            <w:r>
              <w:rPr>
                <w:rFonts w:ascii="Calibri" w:hAnsi="Calibri"/>
                <w:b w:val="0"/>
                <w:i w:val="0"/>
                <w:color w:val="212121"/>
                <w:sz w:val="19"/>
              </w:rPr>
              <w:t>Rheumatic heart disease affects about 55 million people and causes ~360,000 deaths a year, mostly in low- and middle-income countries of sub-Saharan Africa, the Middle East and central &amp; south Asia; it is the commonest acquired heart disease in people under 25.</w:t>
            </w:r>
          </w:p>
          <w:p>
            <w:pPr>
              <w:spacing w:after="40" w:line="252" w:lineRule="auto"/>
            </w:pPr>
            <w:hyperlink r:id="rId11">
              <w:r>
                <w:rPr>
                  <w:rFonts w:ascii="Calibri" w:hAnsi="Calibri" w:cs="Calibri"/>
                  <w:sz w:val="18"/>
                  <w:color w:val="1155CC"/>
                  <w:u w:val="single"/>
                </w:rPr>
                <w:t xml:space="preserve">who.int — Rheumatic heart disease fact sheet</w:t>
              </w:r>
            </w:hyperlink>
          </w:p>
          <w:p>
            <w:pPr>
              <w:spacing w:before="60" w:after="40"/>
            </w:pPr>
            <w:r>
              <w:rPr>
                <w:rFonts w:ascii="Calibri" w:hAnsi="Calibri"/>
                <w:b w:val="0"/>
                <w:i w:val="0"/>
                <w:color w:val="5A5A5A"/>
                <w:sz w:val="18"/>
              </w:rPr>
              <w:t>#india  #southasia  #RHD  #streptococcus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Living environment</w:t>
            </w:r>
          </w:p>
        </w:tc>
        <w:tc>
          <w:tcPr>
            <w:tcW w:type="dxa" w:w="2160"/>
            <w:vAlign w:val="top"/>
          </w:tcPr>
          <w:p>
            <w:pPr>
              <w:spacing w:after="40" w:before="0" w:line="259" w:lineRule="auto"/>
            </w:pPr>
            <w:r>
              <w:rPr>
                <w:rFonts w:ascii="Calibri" w:hAnsi="Calibri"/>
                <w:b w:val="0"/>
                <w:i w:val="0"/>
                <w:color w:val="212121"/>
                <w:sz w:val="19"/>
              </w:rPr>
              <w:t>Crowded settings (slums, hostels, boarding schools, camps)</w:t>
            </w:r>
          </w:p>
        </w:tc>
        <w:tc>
          <w:tcPr>
            <w:tcW w:type="dxa" w:w="4276"/>
            <w:vAlign w:val="top"/>
          </w:tcPr>
          <w:p>
            <w:pPr>
              <w:spacing w:after="60" w:line="259" w:lineRule="auto"/>
            </w:pPr>
            <w:r>
              <w:rPr>
                <w:rFonts w:ascii="Calibri" w:hAnsi="Calibri"/>
                <w:b w:val="0"/>
                <w:i w:val="0"/>
                <w:color w:val="212121"/>
                <w:sz w:val="19"/>
              </w:rPr>
              <w:t>Any setting with dense, prolonged close contact — urban slums, school hostels, boarding schools and army or labour camps — favours droplet spread of streptococci and clustered outbreaks of acute tonsillitis.</w:t>
            </w:r>
          </w:p>
          <w:p>
            <w:pPr>
              <w:spacing w:after="40" w:before="60" w:line="259" w:lineRule="auto"/>
            </w:pPr>
            <w:r>
              <w:rPr>
                <w:rFonts w:ascii="Calibri" w:hAnsi="Calibri"/>
                <w:b w:val="0"/>
                <w:i w:val="0"/>
                <w:color w:val="212121"/>
                <w:sz w:val="19"/>
              </w:rPr>
              <w:t>Close-contact institutional living is a recognised amplifier of streptococcal transmission and recurrence.</w:t>
            </w:r>
          </w:p>
          <w:p>
            <w:pPr>
              <w:spacing w:before="60" w:after="40"/>
            </w:pPr>
            <w:r>
              <w:rPr>
                <w:rFonts w:ascii="Calibri" w:hAnsi="Calibri"/>
                <w:b w:val="0"/>
                <w:i w:val="0"/>
                <w:color w:val="5A5A5A"/>
                <w:sz w:val="18"/>
              </w:rPr>
              <w:t>#overcrowding  #outbreak  #hostels  #dropletspread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Season</w:t>
            </w:r>
          </w:p>
        </w:tc>
        <w:tc>
          <w:tcPr>
            <w:tcW w:type="dxa" w:w="2160"/>
            <w:vAlign w:val="top"/>
          </w:tcPr>
          <w:p>
            <w:pPr>
              <w:spacing w:after="40" w:before="0" w:line="259" w:lineRule="auto"/>
            </w:pPr>
            <w:r>
              <w:rPr>
                <w:rFonts w:ascii="Calibri" w:hAnsi="Calibri"/>
                <w:b w:val="0"/>
                <w:i w:val="0"/>
                <w:color w:val="212121"/>
                <w:sz w:val="19"/>
              </w:rPr>
              <w:t>Winter &amp; early-spring exposure</w:t>
            </w:r>
          </w:p>
        </w:tc>
        <w:tc>
          <w:tcPr>
            <w:tcW w:type="dxa" w:w="4276"/>
            <w:vAlign w:val="top"/>
          </w:tcPr>
          <w:p>
            <w:pPr>
              <w:spacing w:after="60" w:line="259" w:lineRule="auto"/>
            </w:pPr>
            <w:r>
              <w:rPr>
                <w:rFonts w:ascii="Calibri" w:hAnsi="Calibri"/>
                <w:b w:val="0"/>
                <w:i w:val="0"/>
                <w:color w:val="212121"/>
                <w:sz w:val="19"/>
              </w:rPr>
              <w:t>More time spent indoors in close contact during cold months, together with peak circulation of respiratory viruses and streptococci, produces a seasonal rise in tonsillitis.</w:t>
            </w:r>
          </w:p>
          <w:p>
            <w:pPr>
              <w:spacing w:after="40" w:before="60" w:line="259" w:lineRule="auto"/>
            </w:pPr>
            <w:r>
              <w:rPr>
                <w:rFonts w:ascii="Calibri" w:hAnsi="Calibri"/>
                <w:b w:val="0"/>
                <w:i w:val="0"/>
                <w:color w:val="212121"/>
                <w:sz w:val="19"/>
              </w:rPr>
              <w:t>Tonsillitis incidence peaks during winter and early spring.</w:t>
            </w:r>
          </w:p>
          <w:p>
            <w:pPr>
              <w:spacing w:after="40" w:line="252" w:lineRule="auto"/>
            </w:pPr>
            <w:hyperlink r:id="rId12">
              <w:r>
                <w:rPr>
                  <w:rFonts w:ascii="Calibri" w:hAnsi="Calibri" w:cs="Calibri"/>
                  <w:sz w:val="18"/>
                  <w:color w:val="1155CC"/>
                  <w:u w:val="single"/>
                </w:rPr>
                <w:t xml:space="preserve">ncbi.nlm.nih.gov/books/NBK544342 — StatPearls, Tonsillitis</w:t>
              </w:r>
            </w:hyperlink>
          </w:p>
          <w:p>
            <w:pPr>
              <w:spacing w:before="60" w:after="40"/>
            </w:pPr>
            <w:r>
              <w:rPr>
                <w:rFonts w:ascii="Calibri" w:hAnsi="Calibri"/>
                <w:b w:val="0"/>
                <w:i w:val="0"/>
                <w:color w:val="5A5A5A"/>
                <w:sz w:val="18"/>
              </w:rPr>
              <w:t>#winter  #seasonality  #respiratoryviruses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Passive smoking</w:t>
            </w:r>
          </w:p>
        </w:tc>
        <w:tc>
          <w:tcPr>
            <w:tcW w:type="dxa" w:w="2160"/>
            <w:vAlign w:val="top"/>
          </w:tcPr>
          <w:p>
            <w:pPr>
              <w:spacing w:after="40" w:before="0" w:line="259" w:lineRule="auto"/>
            </w:pPr>
            <w:r>
              <w:rPr>
                <w:rFonts w:ascii="Calibri" w:hAnsi="Calibri"/>
                <w:b w:val="0"/>
                <w:i w:val="0"/>
                <w:color w:val="212121"/>
                <w:sz w:val="19"/>
              </w:rPr>
              <w:t>Children in households with smokers</w:t>
            </w:r>
          </w:p>
        </w:tc>
        <w:tc>
          <w:tcPr>
            <w:tcW w:type="dxa" w:w="4276"/>
            <w:vAlign w:val="top"/>
          </w:tcPr>
          <w:p>
            <w:pPr>
              <w:spacing w:after="60" w:line="259" w:lineRule="auto"/>
            </w:pPr>
            <w:r>
              <w:rPr>
                <w:rFonts w:ascii="Calibri" w:hAnsi="Calibri"/>
                <w:b w:val="0"/>
                <w:i w:val="0"/>
                <w:color w:val="212121"/>
                <w:sz w:val="19"/>
              </w:rPr>
              <w:t>Second-hand tobacco smoke chronically irritates the pharyngeal mucosa and impairs mucociliary defence, increasing the frequency of sore throats and recurrent tonsillitis in exposed children.</w:t>
            </w:r>
          </w:p>
          <w:p>
            <w:pPr>
              <w:spacing w:after="40" w:before="60" w:line="259" w:lineRule="auto"/>
            </w:pPr>
            <w:r>
              <w:rPr>
                <w:rFonts w:ascii="Calibri" w:hAnsi="Calibri"/>
                <w:b w:val="0"/>
                <w:i w:val="0"/>
                <w:color w:val="212121"/>
                <w:sz w:val="19"/>
              </w:rPr>
              <w:t>Household tobacco-smoke exposure is a modifiable driver of recurrent paediatric throat infections.</w:t>
            </w:r>
          </w:p>
          <w:p>
            <w:pPr>
              <w:spacing w:before="60" w:after="40"/>
            </w:pPr>
            <w:r>
              <w:rPr>
                <w:rFonts w:ascii="Calibri" w:hAnsi="Calibri"/>
                <w:b w:val="0"/>
                <w:i w:val="0"/>
                <w:color w:val="5A5A5A"/>
                <w:sz w:val="18"/>
              </w:rPr>
              <w:t>#passivesmoking  #secondhandsmoke  #children  #recurrent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Alcohol</w:t>
            </w:r>
          </w:p>
        </w:tc>
        <w:tc>
          <w:tcPr>
            <w:tcW w:type="dxa" w:w="2160"/>
            <w:vAlign w:val="top"/>
          </w:tcPr>
          <w:p>
            <w:pPr>
              <w:spacing w:after="40" w:before="0" w:line="259" w:lineRule="auto"/>
            </w:pPr>
            <w:r>
              <w:rPr>
                <w:rFonts w:ascii="Calibri" w:hAnsi="Calibri"/>
                <w:b w:val="0"/>
                <w:i w:val="0"/>
                <w:color w:val="212121"/>
                <w:sz w:val="19"/>
              </w:rPr>
              <w:t>Adult smokers and heavy drinkers</w:t>
            </w:r>
          </w:p>
        </w:tc>
        <w:tc>
          <w:tcPr>
            <w:tcW w:type="dxa" w:w="4276"/>
            <w:vAlign w:val="top"/>
          </w:tcPr>
          <w:p>
            <w:pPr>
              <w:spacing w:after="60" w:line="259" w:lineRule="auto"/>
            </w:pPr>
            <w:r>
              <w:rPr>
                <w:rFonts w:ascii="Calibri" w:hAnsi="Calibri"/>
                <w:b w:val="0"/>
                <w:i w:val="0"/>
                <w:color w:val="212121"/>
                <w:sz w:val="19"/>
              </w:rPr>
              <w:t>Active smoking and alcohol irritate and dry the oropharyngeal mucosa and impair local immunity, favouring chronic tonsillitis and pharyngitis; combined heavy smoking and drinking are also the main risk factors for tonsillar squamous-cell carcinoma, an important differential for a persistent tonsillar mass.</w:t>
            </w:r>
          </w:p>
          <w:p>
            <w:pPr>
              <w:spacing w:after="40" w:before="60" w:line="259" w:lineRule="auto"/>
            </w:pPr>
            <w:r>
              <w:rPr>
                <w:rFonts w:ascii="Calibri" w:hAnsi="Calibri"/>
                <w:b w:val="0"/>
                <w:i w:val="0"/>
                <w:color w:val="212121"/>
                <w:sz w:val="19"/>
              </w:rPr>
              <w:t>Tobacco and alcohol are the principal shared risk factors for chronic pharyngo-tonsillar disease and for oropharyngeal cancer.</w:t>
            </w:r>
          </w:p>
          <w:p>
            <w:pPr>
              <w:spacing w:before="60" w:after="40"/>
            </w:pPr>
            <w:r>
              <w:rPr>
                <w:rFonts w:ascii="Calibri" w:hAnsi="Calibri"/>
                <w:b w:val="0"/>
                <w:i w:val="0"/>
                <w:color w:val="5A5A5A"/>
                <w:sz w:val="18"/>
              </w:rPr>
              <w:t>#smoking  #alcohol  #chronictonsillitis  #oropharyngealcancer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Children &amp; adults with adenotonsillar hypertrophy</w:t>
            </w:r>
          </w:p>
        </w:tc>
        <w:tc>
          <w:tcPr>
            <w:tcW w:type="dxa" w:w="4276"/>
            <w:vAlign w:val="top"/>
          </w:tcPr>
          <w:p>
            <w:pPr>
              <w:spacing w:after="60" w:line="259" w:lineRule="auto"/>
            </w:pPr>
            <w:r>
              <w:rPr>
                <w:rFonts w:ascii="Calibri" w:hAnsi="Calibri"/>
                <w:b w:val="0"/>
                <w:i w:val="0"/>
                <w:color w:val="212121"/>
                <w:sz w:val="19"/>
              </w:rPr>
              <w:t>Enlarged tonsils and adenoids, often compounded by obesity, narrow the upper airway and cause obstructive sleep-disordered breathing; adenotonsillar hypertrophy with sleep-disordered breathing is a leading indication for tonsillectomy.</w:t>
            </w:r>
          </w:p>
          <w:p>
            <w:pPr>
              <w:spacing w:after="40" w:before="60" w:line="259" w:lineRule="auto"/>
            </w:pPr>
            <w:r>
              <w:rPr>
                <w:rFonts w:ascii="Calibri" w:hAnsi="Calibri"/>
                <w:b w:val="0"/>
                <w:i w:val="0"/>
                <w:color w:val="212121"/>
                <w:sz w:val="19"/>
              </w:rPr>
              <w:t>Over 500,000 tonsillectomies are performed each year in US children under 15, most now for obstructive sleep-disordered breathing rather than infection.</w:t>
            </w:r>
          </w:p>
          <w:p>
            <w:pPr>
              <w:spacing w:after="40" w:line="252" w:lineRule="auto"/>
            </w:pPr>
            <w:hyperlink r:id="rId13">
              <w:r>
                <w:rPr>
                  <w:rFonts w:ascii="Calibri" w:hAnsi="Calibri" w:cs="Calibri"/>
                  <w:sz w:val="18"/>
                  <w:color w:val="1155CC"/>
                  <w:u w:val="single"/>
                </w:rPr>
                <w:t xml:space="preserve">ncbi.nlm.nih.gov/books/NBK536942 — StatPearls, Tonsillectomy</w:t>
              </w:r>
            </w:hyperlink>
          </w:p>
          <w:p>
            <w:pPr>
              <w:spacing w:before="60" w:after="40"/>
            </w:pPr>
            <w:r>
              <w:rPr>
                <w:rFonts w:ascii="Calibri" w:hAnsi="Calibri"/>
                <w:b w:val="0"/>
                <w:i w:val="0"/>
                <w:color w:val="5A5A5A"/>
                <w:sz w:val="18"/>
              </w:rPr>
              <w:t>#OSA  #adenotonsillarhypertrophy  #obesity  #tonsillectomy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habits / hygiene of intake</w:t>
            </w:r>
          </w:p>
        </w:tc>
        <w:tc>
          <w:tcPr>
            <w:tcW w:type="dxa" w:w="2160"/>
            <w:vAlign w:val="top"/>
          </w:tcPr>
          <w:p>
            <w:pPr>
              <w:spacing w:after="40" w:before="0" w:line="259" w:lineRule="auto"/>
            </w:pPr>
            <w:r>
              <w:rPr>
                <w:rFonts w:ascii="Calibri" w:hAnsi="Calibri"/>
                <w:b w:val="0"/>
                <w:i w:val="0"/>
                <w:color w:val="212121"/>
                <w:sz w:val="19"/>
              </w:rPr>
              <w:t>Shared utensils, street food, poor nutrition</w:t>
            </w:r>
          </w:p>
        </w:tc>
        <w:tc>
          <w:tcPr>
            <w:tcW w:type="dxa" w:w="4276"/>
            <w:vAlign w:val="top"/>
          </w:tcPr>
          <w:p>
            <w:pPr>
              <w:spacing w:after="60" w:line="259" w:lineRule="auto"/>
            </w:pPr>
            <w:r>
              <w:rPr>
                <w:rFonts w:ascii="Calibri" w:hAnsi="Calibri"/>
                <w:b w:val="0"/>
                <w:i w:val="0"/>
                <w:color w:val="212121"/>
                <w:sz w:val="19"/>
              </w:rPr>
              <w:t>Sharing drinking vessels and utensils and consuming contaminated street food spread respiratory and enteric organisms, while cereal-dominant, protein- and micronutrient-poor diets (vitamin D, iron, zinc) weaken immunity and increase susceptibility to recurrent tonsillitis.</w:t>
            </w:r>
          </w:p>
          <w:p>
            <w:pPr>
              <w:spacing w:after="40" w:before="60" w:line="259" w:lineRule="auto"/>
            </w:pPr>
            <w:r>
              <w:rPr>
                <w:rFonts w:ascii="Calibri" w:hAnsi="Calibri"/>
                <w:b w:val="0"/>
                <w:i w:val="0"/>
                <w:color w:val="212121"/>
                <w:sz w:val="19"/>
              </w:rPr>
              <w:t>Under-nutrition and shared eating practices are recognised contributors to recurrent childhood infections in low-resource settings.</w:t>
            </w:r>
          </w:p>
          <w:p>
            <w:pPr>
              <w:spacing w:before="60" w:after="40"/>
            </w:pPr>
            <w:r>
              <w:rPr>
                <w:rFonts w:ascii="Calibri" w:hAnsi="Calibri"/>
                <w:b w:val="0"/>
                <w:i w:val="0"/>
                <w:color w:val="5A5A5A"/>
                <w:sz w:val="18"/>
              </w:rPr>
              <w:t>#nutrition  #sharedutensils  #streetfood  #micronutrients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recurrent tonsillitis &amp; rheumatic-fever susceptibility</w:t>
            </w:r>
          </w:p>
        </w:tc>
        <w:tc>
          <w:tcPr>
            <w:tcW w:type="dxa" w:w="4276"/>
            <w:vAlign w:val="top"/>
          </w:tcPr>
          <w:p>
            <w:pPr>
              <w:spacing w:after="60" w:line="259" w:lineRule="auto"/>
            </w:pPr>
            <w:r>
              <w:rPr>
                <w:rFonts w:ascii="Calibri" w:hAnsi="Calibri"/>
                <w:b w:val="0"/>
                <w:i w:val="0"/>
                <w:color w:val="212121"/>
                <w:sz w:val="19"/>
              </w:rPr>
              <w:t>Recurrent tonsillitis clusters in families and twins, and host susceptibility to rheumatic fever after streptococcal infection is partly HLA-linked, so a strong family history raises an individual’s risk.</w:t>
            </w:r>
          </w:p>
          <w:p>
            <w:pPr>
              <w:spacing w:after="40" w:before="60" w:line="259" w:lineRule="auto"/>
            </w:pPr>
            <w:r>
              <w:rPr>
                <w:rFonts w:ascii="Calibri" w:hAnsi="Calibri"/>
                <w:b w:val="0"/>
                <w:i w:val="0"/>
                <w:color w:val="212121"/>
                <w:sz w:val="19"/>
              </w:rPr>
              <w:t>Familial clustering of recurrent tonsillitis and inherited susceptibility to rheumatic fever are well described.</w:t>
            </w:r>
          </w:p>
          <w:p>
            <w:pPr>
              <w:spacing w:before="60" w:after="40"/>
            </w:pPr>
            <w:r>
              <w:rPr>
                <w:rFonts w:ascii="Calibri" w:hAnsi="Calibri"/>
                <w:b w:val="0"/>
                <w:i w:val="0"/>
                <w:color w:val="5A5A5A"/>
                <w:sz w:val="18"/>
              </w:rPr>
              <w:t>#familyhistory  #HLA  #hostsusceptibility  #recurrent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Allergic rhinitis / atopy</w:t>
            </w:r>
          </w:p>
        </w:tc>
        <w:tc>
          <w:tcPr>
            <w:tcW w:type="dxa" w:w="2160"/>
            <w:vAlign w:val="top"/>
          </w:tcPr>
          <w:p>
            <w:pPr>
              <w:spacing w:after="40" w:before="0" w:line="259" w:lineRule="auto"/>
            </w:pPr>
            <w:r>
              <w:rPr>
                <w:rFonts w:ascii="Calibri" w:hAnsi="Calibri"/>
                <w:b w:val="0"/>
                <w:i w:val="0"/>
                <w:color w:val="212121"/>
                <w:sz w:val="19"/>
              </w:rPr>
              <w:t>Atopic children</w:t>
            </w:r>
          </w:p>
        </w:tc>
        <w:tc>
          <w:tcPr>
            <w:tcW w:type="dxa" w:w="4276"/>
            <w:vAlign w:val="top"/>
          </w:tcPr>
          <w:p>
            <w:pPr>
              <w:spacing w:after="60" w:line="259" w:lineRule="auto"/>
            </w:pPr>
            <w:r>
              <w:rPr>
                <w:rFonts w:ascii="Calibri" w:hAnsi="Calibri"/>
                <w:b w:val="0"/>
                <w:i w:val="0"/>
                <w:color w:val="212121"/>
                <w:sz w:val="19"/>
              </w:rPr>
              <w:t>Chronic allergic upper-airway inflammation and nasal obstruction promote mouth-breathing and adenotonsillar hypertrophy, predisposing to recurrent and chronic tonsillitis.</w:t>
            </w:r>
          </w:p>
          <w:p>
            <w:pPr>
              <w:spacing w:after="40" w:before="60" w:line="259" w:lineRule="auto"/>
            </w:pPr>
            <w:r>
              <w:rPr>
                <w:rFonts w:ascii="Calibri" w:hAnsi="Calibri"/>
                <w:b w:val="0"/>
                <w:i w:val="0"/>
                <w:color w:val="212121"/>
                <w:sz w:val="19"/>
              </w:rPr>
              <w:t>Allergic rhinitis and atopy commonly coexist with, and aggravate, recurrent tonsillar disease in children.</w:t>
            </w:r>
          </w:p>
          <w:p>
            <w:pPr>
              <w:spacing w:before="60" w:after="40"/>
            </w:pPr>
            <w:r>
              <w:rPr>
                <w:rFonts w:ascii="Calibri" w:hAnsi="Calibri"/>
                <w:b w:val="0"/>
                <w:i w:val="0"/>
                <w:color w:val="5A5A5A"/>
                <w:sz w:val="18"/>
              </w:rPr>
              <w:t>#allergicrhinitis  #atopy  #mouthbreathing  #adenotonsillar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GERD / laryngopharyngeal reflux</w:t>
            </w:r>
          </w:p>
        </w:tc>
        <w:tc>
          <w:tcPr>
            <w:tcW w:type="dxa" w:w="2160"/>
            <w:vAlign w:val="top"/>
          </w:tcPr>
          <w:p>
            <w:pPr>
              <w:spacing w:after="40" w:before="0" w:line="259" w:lineRule="auto"/>
            </w:pPr>
            <w:r>
              <w:rPr>
                <w:rFonts w:ascii="Calibri" w:hAnsi="Calibri"/>
                <w:b w:val="0"/>
                <w:i w:val="0"/>
                <w:color w:val="212121"/>
                <w:sz w:val="19"/>
              </w:rPr>
              <w:t>Patients with chronic reflux</w:t>
            </w:r>
          </w:p>
        </w:tc>
        <w:tc>
          <w:tcPr>
            <w:tcW w:type="dxa" w:w="4276"/>
            <w:vAlign w:val="top"/>
          </w:tcPr>
          <w:p>
            <w:pPr>
              <w:spacing w:after="60" w:line="259" w:lineRule="auto"/>
            </w:pPr>
            <w:r>
              <w:rPr>
                <w:rFonts w:ascii="Calibri" w:hAnsi="Calibri"/>
                <w:b w:val="0"/>
                <w:i w:val="0"/>
                <w:color w:val="212121"/>
                <w:sz w:val="19"/>
              </w:rPr>
              <w:t>Retrograde acid and pepsin exposure irritates the tonsillar and pharyngeal mucosa, sustaining chronic tonsillitis and throat symptoms that persist despite treatment of infection.</w:t>
            </w:r>
          </w:p>
          <w:p>
            <w:pPr>
              <w:spacing w:after="40" w:before="60" w:line="259" w:lineRule="auto"/>
            </w:pPr>
            <w:r>
              <w:rPr>
                <w:rFonts w:ascii="Calibri" w:hAnsi="Calibri"/>
                <w:b w:val="0"/>
                <w:i w:val="0"/>
                <w:color w:val="212121"/>
                <w:sz w:val="19"/>
              </w:rPr>
              <w:t>Laryngopharyngeal reflux is associated with chronic tonsillar and pharyngeal inflammation.</w:t>
            </w:r>
          </w:p>
          <w:p>
            <w:pPr>
              <w:spacing w:before="60" w:after="40"/>
            </w:pPr>
            <w:r>
              <w:rPr>
                <w:rFonts w:ascii="Calibri" w:hAnsi="Calibri"/>
                <w:b w:val="0"/>
                <w:i w:val="0"/>
                <w:color w:val="5A5A5A"/>
                <w:sz w:val="18"/>
              </w:rPr>
              <w:t>#GERD  #LPR  #reflux  #chronictonsillitis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Immunodeficiency</w:t>
            </w:r>
          </w:p>
        </w:tc>
        <w:tc>
          <w:tcPr>
            <w:tcW w:type="dxa" w:w="2160"/>
            <w:vAlign w:val="top"/>
          </w:tcPr>
          <w:p>
            <w:pPr>
              <w:spacing w:after="40" w:before="0" w:line="259" w:lineRule="auto"/>
            </w:pPr>
            <w:r>
              <w:rPr>
                <w:rFonts w:ascii="Calibri" w:hAnsi="Calibri"/>
                <w:b w:val="0"/>
                <w:i w:val="0"/>
                <w:color w:val="212121"/>
                <w:sz w:val="19"/>
              </w:rPr>
              <w:t>Uncontrolled diabetes, HIV, immunosuppression</w:t>
            </w:r>
          </w:p>
        </w:tc>
        <w:tc>
          <w:tcPr>
            <w:tcW w:type="dxa" w:w="4276"/>
            <w:vAlign w:val="top"/>
          </w:tcPr>
          <w:p>
            <w:pPr>
              <w:spacing w:after="60" w:line="259" w:lineRule="auto"/>
            </w:pPr>
            <w:r>
              <w:rPr>
                <w:rFonts w:ascii="Calibri" w:hAnsi="Calibri"/>
                <w:b w:val="0"/>
                <w:i w:val="0"/>
                <w:color w:val="212121"/>
                <w:sz w:val="19"/>
              </w:rPr>
              <w:t>Impaired immunity from poorly controlled diabetes, HIV or immunosuppressive therapy leads to more frequent, more severe and sometimes atypical tonsillar infections and a higher risk of deep-neck complications.</w:t>
            </w:r>
          </w:p>
          <w:p>
            <w:pPr>
              <w:spacing w:after="40" w:before="60" w:line="259" w:lineRule="auto"/>
            </w:pPr>
            <w:r>
              <w:rPr>
                <w:rFonts w:ascii="Calibri" w:hAnsi="Calibri"/>
                <w:b w:val="0"/>
                <w:i w:val="0"/>
                <w:color w:val="212121"/>
                <w:sz w:val="19"/>
              </w:rPr>
              <w:t>Immunocompromised patients experience more severe and recurrent throat infections and complications.</w:t>
            </w:r>
          </w:p>
          <w:p>
            <w:pPr>
              <w:spacing w:before="60" w:after="40"/>
            </w:pPr>
            <w:r>
              <w:rPr>
                <w:rFonts w:ascii="Calibri" w:hAnsi="Calibri"/>
                <w:b w:val="0"/>
                <w:i w:val="0"/>
                <w:color w:val="5A5A5A"/>
                <w:sz w:val="18"/>
              </w:rPr>
              <w:t>#immunodeficiency  #diabetes  #HIV  #immunosuppression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Adenoid hypertrophy / recurrent URTI</w:t>
            </w:r>
          </w:p>
        </w:tc>
        <w:tc>
          <w:tcPr>
            <w:tcW w:type="dxa" w:w="2160"/>
            <w:vAlign w:val="top"/>
          </w:tcPr>
          <w:p>
            <w:pPr>
              <w:spacing w:after="40" w:before="0" w:line="259" w:lineRule="auto"/>
            </w:pPr>
            <w:r>
              <w:rPr>
                <w:rFonts w:ascii="Calibri" w:hAnsi="Calibri"/>
                <w:b w:val="0"/>
                <w:i w:val="0"/>
                <w:color w:val="212121"/>
                <w:sz w:val="19"/>
              </w:rPr>
              <w:t>Children with adenotonsillar disease</w:t>
            </w:r>
          </w:p>
        </w:tc>
        <w:tc>
          <w:tcPr>
            <w:tcW w:type="dxa" w:w="4276"/>
            <w:vAlign w:val="top"/>
          </w:tcPr>
          <w:p>
            <w:pPr>
              <w:spacing w:after="60" w:line="259" w:lineRule="auto"/>
            </w:pPr>
            <w:r>
              <w:rPr>
                <w:rFonts w:ascii="Calibri" w:hAnsi="Calibri"/>
                <w:b w:val="0"/>
                <w:i w:val="0"/>
                <w:color w:val="212121"/>
                <w:sz w:val="19"/>
              </w:rPr>
              <w:t>Adenoid hypertrophy and frequent upper-respiratory infections share the same lymphoid tissue and environment as the tonsils, so the two commonly coexist, reinforcing obstruction, infection and recurrence.</w:t>
            </w:r>
          </w:p>
          <w:p>
            <w:pPr>
              <w:spacing w:after="40" w:before="60" w:line="259" w:lineRule="auto"/>
            </w:pPr>
            <w:r>
              <w:rPr>
                <w:rFonts w:ascii="Calibri" w:hAnsi="Calibri"/>
                <w:b w:val="0"/>
                <w:i w:val="0"/>
                <w:color w:val="212121"/>
                <w:sz w:val="19"/>
              </w:rPr>
              <w:t>Adenotonsillar disease frequently coexists, and combined adenotonsillectomy is often indicated.</w:t>
            </w:r>
          </w:p>
          <w:p>
            <w:pPr>
              <w:spacing w:before="60" w:after="40"/>
            </w:pPr>
            <w:r>
              <w:rPr>
                <w:rFonts w:ascii="Calibri" w:hAnsi="Calibri"/>
                <w:b w:val="0"/>
                <w:i w:val="0"/>
                <w:color w:val="5A5A5A"/>
                <w:sz w:val="18"/>
              </w:rPr>
              <w:t>#adenoids  #URTI  #adenotonsillectomy  #children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fitness supports immune function and recovery, but physical activity has no direct causal role in tonsillitis; vigorous exertion should be paused during acute febrile illness.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protein and micronutrients (vitamin D, iron, zinc) support mucosal immunity, while under-nutrition and shared/contaminated food increase susceptibility to recurrent infection; soft, cool foods ease intake during acute episodes.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sleep weakens immune defence and raises infection risk; conversely, adenotonsillar hypertrophy from chronic tonsillitis fragments sleep and causes obstructive sleep-disordered breathing — a bidirectional link.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tobacco smoke strongly irritate the pharyngeal mucosa, impair mucociliary clearance and are consistently associated with chronic and recurrent tonsillitis; with alcohol they also drive oropharyngeal cancer.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dries and irritates the oropharyngeal mucosa and impairs immunity, aggravating chronic pharyngo-tonsillitis; combined heavy smoking and drinking markedly raise tonsillar-cancer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stress can modestly impair immunity, and recurrent tonsillitis or obstructive sleep-disordered breathing harms children’s sleep, school performance and quality of life, but mental health is not a primary cause.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Good hydration keeps the throat moist and eases swallowing; warm saline or salt-water gargles and adequate fluids relieve symptoms, whereas dehydration worsens odynophagia during acute attacks.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role in tonsillitis; very hot caffeinated drinks may transiently irritate an inflamed throat, so lukewarm fluids are preferred during acute episodes.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respiratory etiquette (covering coughs/sneezes) and not sharing utensils or drinks reduce transmission of streptococci and respiratory viruses, and good oral/dental hygiene lowers chronic tonsillar colonisation.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Close contact with an infected person, crowding, recent viral upper-respiratory infection, cold-weather clustering and seasonal streptococcal circulation reliably provoke acute episodes and recurrences.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does not cause tonsillitis, but the supine position aggravates upper-airway obstruction and apnoea in children with marked adenotonsillar hypertrophy, so sleep position and elevation may be relevant to obstructive symptoms.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 hygiene &amp; respiratory etiquette</w:t>
            </w:r>
          </w:p>
        </w:tc>
        <w:tc>
          <w:tcPr>
            <w:tcW w:type="dxa" w:w="1655"/>
            <w:vAlign w:val="top"/>
          </w:tcPr>
          <w:p>
            <w:pPr>
              <w:spacing w:after="40" w:before="0" w:line="259" w:lineRule="auto"/>
            </w:pPr>
            <w:r>
              <w:rPr>
                <w:rFonts w:ascii="Calibri" w:hAnsi="Calibri"/>
                <w:b w:val="0"/>
                <w:i w:val="0"/>
                <w:color w:val="212121"/>
                <w:sz w:val="19"/>
              </w:rPr>
              <w:t>Household &amp; classroom contacts</w:t>
            </w:r>
          </w:p>
        </w:tc>
        <w:tc>
          <w:tcPr>
            <w:tcW w:type="dxa" w:w="1512"/>
            <w:vAlign w:val="top"/>
          </w:tcPr>
          <w:p>
            <w:pPr>
              <w:spacing w:after="40" w:before="0" w:line="259" w:lineRule="auto"/>
            </w:pPr>
            <w:r>
              <w:rPr>
                <w:rFonts w:ascii="Calibri" w:hAnsi="Calibri"/>
                <w:b w:val="0"/>
                <w:i w:val="0"/>
                <w:color w:val="212121"/>
                <w:sz w:val="19"/>
              </w:rPr>
              <w:t>Regular hand-washing; cover coughs/sneezes; no sharing of utensils/drinks</w:t>
            </w:r>
          </w:p>
        </w:tc>
        <w:tc>
          <w:tcPr>
            <w:tcW w:type="dxa" w:w="1512"/>
            <w:vAlign w:val="top"/>
          </w:tcPr>
          <w:p>
            <w:pPr>
              <w:spacing w:after="40" w:before="0" w:line="259" w:lineRule="auto"/>
            </w:pPr>
            <w:r>
              <w:rPr>
                <w:rFonts w:ascii="Calibri" w:hAnsi="Calibri"/>
                <w:b w:val="0"/>
                <w:i w:val="0"/>
                <w:color w:val="212121"/>
                <w:sz w:val="19"/>
              </w:rPr>
              <w:t>Close unprotected contact with a case; shared utensils</w:t>
            </w:r>
          </w:p>
        </w:tc>
        <w:tc>
          <w:tcPr>
            <w:tcW w:type="dxa" w:w="1468"/>
            <w:vAlign w:val="top"/>
          </w:tcPr>
          <w:p>
            <w:pPr>
              <w:spacing w:after="40" w:before="0" w:line="259" w:lineRule="auto"/>
            </w:pPr>
            <w:r>
              <w:rPr>
                <w:rFonts w:ascii="Calibri" w:hAnsi="Calibri"/>
                <w:b w:val="0"/>
                <w:i w:val="0"/>
                <w:color w:val="212121"/>
                <w:sz w:val="19"/>
              </w:rPr>
              <w:t>Reduces streptococcal and viral transmission and recurrence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Oral &amp; dental hygiene</w:t>
            </w:r>
          </w:p>
        </w:tc>
        <w:tc>
          <w:tcPr>
            <w:tcW w:type="dxa" w:w="1655"/>
            <w:vAlign w:val="top"/>
          </w:tcPr>
          <w:p>
            <w:pPr>
              <w:spacing w:after="40" w:before="0" w:line="259" w:lineRule="auto"/>
            </w:pPr>
            <w:r>
              <w:rPr>
                <w:rFonts w:ascii="Calibri" w:hAnsi="Calibri"/>
                <w:b w:val="0"/>
                <w:i w:val="0"/>
                <w:color w:val="212121"/>
                <w:sz w:val="19"/>
              </w:rPr>
              <w:t>Chronic tonsillitis, tonsillolith formers</w:t>
            </w:r>
          </w:p>
        </w:tc>
        <w:tc>
          <w:tcPr>
            <w:tcW w:type="dxa" w:w="1512"/>
            <w:vAlign w:val="top"/>
          </w:tcPr>
          <w:p>
            <w:pPr>
              <w:spacing w:after="40" w:before="0" w:line="259" w:lineRule="auto"/>
            </w:pPr>
            <w:r>
              <w:rPr>
                <w:rFonts w:ascii="Calibri" w:hAnsi="Calibri"/>
                <w:b w:val="0"/>
                <w:i w:val="0"/>
                <w:color w:val="212121"/>
                <w:sz w:val="19"/>
              </w:rPr>
              <w:t>Twice-daily brushing; dental review; gargles</w:t>
            </w:r>
          </w:p>
        </w:tc>
        <w:tc>
          <w:tcPr>
            <w:tcW w:type="dxa" w:w="1512"/>
            <w:vAlign w:val="top"/>
          </w:tcPr>
          <w:p>
            <w:pPr>
              <w:spacing w:after="40" w:before="0" w:line="259" w:lineRule="auto"/>
            </w:pPr>
            <w:r>
              <w:rPr>
                <w:rFonts w:ascii="Calibri" w:hAnsi="Calibri"/>
                <w:b w:val="0"/>
                <w:i w:val="0"/>
                <w:color w:val="212121"/>
                <w:sz w:val="19"/>
              </w:rPr>
              <w:t>Poor oral hygiene, halitosis, tonsil stones</w:t>
            </w:r>
          </w:p>
        </w:tc>
        <w:tc>
          <w:tcPr>
            <w:tcW w:type="dxa" w:w="1468"/>
            <w:vAlign w:val="top"/>
          </w:tcPr>
          <w:p>
            <w:pPr>
              <w:spacing w:after="40" w:before="0" w:line="259" w:lineRule="auto"/>
            </w:pPr>
            <w:r>
              <w:rPr>
                <w:rFonts w:ascii="Calibri" w:hAnsi="Calibri"/>
                <w:b w:val="0"/>
                <w:i w:val="0"/>
                <w:color w:val="212121"/>
                <w:sz w:val="19"/>
              </w:rPr>
              <w:t>Lowers chronic crypt colonisation and biofilm</w:t>
            </w:r>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Second-hand smoke exposure (children)</w:t>
            </w:r>
          </w:p>
        </w:tc>
        <w:tc>
          <w:tcPr>
            <w:tcW w:type="dxa" w:w="1655"/>
            <w:vAlign w:val="top"/>
          </w:tcPr>
          <w:p>
            <w:pPr>
              <w:spacing w:after="40" w:before="0" w:line="259" w:lineRule="auto"/>
            </w:pPr>
            <w:r>
              <w:rPr>
                <w:rFonts w:ascii="Calibri" w:hAnsi="Calibri"/>
                <w:b w:val="0"/>
                <w:i w:val="0"/>
                <w:color w:val="212121"/>
                <w:sz w:val="19"/>
              </w:rPr>
              <w:t>Children in smoking households</w:t>
            </w:r>
          </w:p>
        </w:tc>
        <w:tc>
          <w:tcPr>
            <w:tcW w:type="dxa" w:w="1512"/>
            <w:vAlign w:val="top"/>
          </w:tcPr>
          <w:p>
            <w:pPr>
              <w:spacing w:after="40" w:before="0" w:line="259" w:lineRule="auto"/>
            </w:pPr>
            <w:r>
              <w:rPr>
                <w:rFonts w:ascii="Calibri" w:hAnsi="Calibri"/>
                <w:b w:val="0"/>
                <w:i w:val="0"/>
                <w:color w:val="212121"/>
                <w:sz w:val="19"/>
              </w:rPr>
              <w:t>Zero household smoke exposure</w:t>
            </w:r>
          </w:p>
        </w:tc>
        <w:tc>
          <w:tcPr>
            <w:tcW w:type="dxa" w:w="1512"/>
            <w:vAlign w:val="top"/>
          </w:tcPr>
          <w:p>
            <w:pPr>
              <w:spacing w:after="40" w:before="0" w:line="259" w:lineRule="auto"/>
            </w:pPr>
            <w:r>
              <w:rPr>
                <w:rFonts w:ascii="Calibri" w:hAnsi="Calibri"/>
                <w:b w:val="0"/>
                <w:i w:val="0"/>
                <w:color w:val="212121"/>
                <w:sz w:val="19"/>
              </w:rPr>
              <w:t>Any indoor tobacco/biomass smoke</w:t>
            </w:r>
          </w:p>
        </w:tc>
        <w:tc>
          <w:tcPr>
            <w:tcW w:type="dxa" w:w="1468"/>
            <w:vAlign w:val="top"/>
          </w:tcPr>
          <w:p>
            <w:pPr>
              <w:spacing w:after="40" w:before="0" w:line="259" w:lineRule="auto"/>
            </w:pPr>
            <w:r>
              <w:rPr>
                <w:rFonts w:ascii="Calibri" w:hAnsi="Calibri"/>
                <w:b w:val="0"/>
                <w:i w:val="0"/>
                <w:color w:val="212121"/>
                <w:sz w:val="19"/>
              </w:rPr>
              <w:t>Household smoke increases recurrent tonsillitis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Cigarettes per day (adults)</w:t>
            </w:r>
          </w:p>
        </w:tc>
        <w:tc>
          <w:tcPr>
            <w:tcW w:type="dxa" w:w="1655"/>
            <w:vAlign w:val="top"/>
          </w:tcPr>
          <w:p>
            <w:pPr>
              <w:spacing w:after="40" w:before="0" w:line="259" w:lineRule="auto"/>
            </w:pPr>
            <w:r>
              <w:rPr>
                <w:rFonts w:ascii="Calibri" w:hAnsi="Calibri"/>
                <w:b w:val="0"/>
                <w:i w:val="0"/>
                <w:color w:val="212121"/>
                <w:sz w:val="19"/>
              </w:rPr>
              <w:t>Adult smokers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Any smoking sustains chronic pharyngo-tonsillar irritation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Modified Centor (McIsaac) score</w:t>
            </w:r>
          </w:p>
        </w:tc>
        <w:tc>
          <w:tcPr>
            <w:tcW w:type="dxa" w:w="1655"/>
            <w:vAlign w:val="top"/>
          </w:tcPr>
          <w:p>
            <w:pPr>
              <w:spacing w:after="40" w:before="0" w:line="259" w:lineRule="auto"/>
            </w:pPr>
            <w:r>
              <w:rPr>
                <w:rFonts w:ascii="Calibri" w:hAnsi="Calibri"/>
                <w:b w:val="0"/>
                <w:i w:val="0"/>
                <w:color w:val="212121"/>
                <w:sz w:val="19"/>
              </w:rPr>
              <w:t>Patients with acute sore throat</w:t>
            </w:r>
          </w:p>
        </w:tc>
        <w:tc>
          <w:tcPr>
            <w:tcW w:type="dxa" w:w="1512"/>
            <w:vAlign w:val="top"/>
          </w:tcPr>
          <w:p>
            <w:pPr>
              <w:spacing w:after="40" w:before="0" w:line="259" w:lineRule="auto"/>
            </w:pPr>
            <w:r>
              <w:rPr>
                <w:rFonts w:ascii="Calibri" w:hAnsi="Calibri"/>
                <w:b w:val="0"/>
                <w:i w:val="0"/>
                <w:color w:val="212121"/>
                <w:sz w:val="19"/>
              </w:rPr>
              <w:t>0–1 (low GAS probability)</w:t>
            </w:r>
          </w:p>
        </w:tc>
        <w:tc>
          <w:tcPr>
            <w:tcW w:type="dxa" w:w="1512"/>
            <w:vAlign w:val="top"/>
          </w:tcPr>
          <w:p>
            <w:pPr>
              <w:spacing w:after="40" w:before="0" w:line="259" w:lineRule="auto"/>
            </w:pPr>
            <w:r>
              <w:rPr>
                <w:rFonts w:ascii="Calibri" w:hAnsi="Calibri"/>
                <w:b w:val="0"/>
                <w:i w:val="0"/>
                <w:color w:val="212121"/>
                <w:sz w:val="19"/>
              </w:rPr>
              <w:t>≥ 3 (test for / treat group A streptococcus)</w:t>
            </w:r>
          </w:p>
        </w:tc>
        <w:tc>
          <w:tcPr>
            <w:tcW w:type="dxa" w:w="1468"/>
            <w:vAlign w:val="top"/>
          </w:tcPr>
          <w:p>
            <w:pPr>
              <w:spacing w:after="60" w:line="259" w:lineRule="auto"/>
            </w:pPr>
            <w:r>
              <w:rPr>
                <w:rFonts w:ascii="Calibri" w:hAnsi="Calibri"/>
                <w:b w:val="0"/>
                <w:i w:val="0"/>
                <w:color w:val="212121"/>
                <w:sz w:val="19"/>
              </w:rPr>
              <w:t>Guides swab testing and antibiotic decisions</w:t>
            </w:r>
          </w:p>
          <w:p>
            <w:pPr>
              <w:spacing w:after="40" w:line="252" w:lineRule="auto"/>
            </w:pPr>
            <w:hyperlink r:id="rId12">
              <w:r>
                <w:rPr>
                  <w:rFonts w:ascii="Calibri" w:hAnsi="Calibri" w:cs="Calibri"/>
                  <w:sz w:val="18"/>
                  <w:color w:val="1155CC"/>
                  <w:u w:val="single"/>
                </w:rPr>
                <w:t xml:space="preserve">https://www.ncbi.nlm.nih.gov/books/NBK544342/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Documented episodes per year (recurrence)</w:t>
            </w:r>
          </w:p>
        </w:tc>
        <w:tc>
          <w:tcPr>
            <w:tcW w:type="dxa" w:w="1655"/>
            <w:vAlign w:val="top"/>
          </w:tcPr>
          <w:p>
            <w:pPr>
              <w:spacing w:after="40" w:before="0" w:line="259" w:lineRule="auto"/>
            </w:pPr>
            <w:r>
              <w:rPr>
                <w:rFonts w:ascii="Calibri" w:hAnsi="Calibri"/>
                <w:b w:val="0"/>
                <w:i w:val="0"/>
                <w:color w:val="212121"/>
                <w:sz w:val="19"/>
              </w:rPr>
              <w:t>Recurrent tonsillitis</w:t>
            </w:r>
          </w:p>
        </w:tc>
        <w:tc>
          <w:tcPr>
            <w:tcW w:type="dxa" w:w="1512"/>
            <w:vAlign w:val="top"/>
          </w:tcPr>
          <w:p>
            <w:pPr>
              <w:spacing w:after="40" w:before="0" w:line="259" w:lineRule="auto"/>
            </w:pPr>
            <w:r>
              <w:rPr>
                <w:rFonts w:ascii="Calibri" w:hAnsi="Calibri"/>
                <w:b w:val="0"/>
                <w:i w:val="0"/>
                <w:color w:val="212121"/>
                <w:sz w:val="19"/>
              </w:rPr>
              <w:t>&lt; 3 well-documented episodes/year</w:t>
            </w:r>
          </w:p>
        </w:tc>
        <w:tc>
          <w:tcPr>
            <w:tcW w:type="dxa" w:w="1512"/>
            <w:vAlign w:val="top"/>
          </w:tcPr>
          <w:p>
            <w:pPr>
              <w:spacing w:after="40" w:before="0" w:line="259" w:lineRule="auto"/>
            </w:pPr>
            <w:r>
              <w:rPr>
                <w:rFonts w:ascii="Calibri" w:hAnsi="Calibri"/>
                <w:b w:val="0"/>
                <w:i w:val="0"/>
                <w:color w:val="212121"/>
                <w:sz w:val="19"/>
              </w:rPr>
              <w:t>≥ 7 in 1 year, ≥ 5/yr for 2 yr, or ≥ 3/yr for 3 yr (Paradise)</w:t>
            </w:r>
          </w:p>
        </w:tc>
        <w:tc>
          <w:tcPr>
            <w:tcW w:type="dxa" w:w="1468"/>
            <w:vAlign w:val="top"/>
          </w:tcPr>
          <w:p>
            <w:pPr>
              <w:spacing w:after="60" w:line="259" w:lineRule="auto"/>
            </w:pPr>
            <w:r>
              <w:rPr>
                <w:rFonts w:ascii="Calibri" w:hAnsi="Calibri"/>
                <w:b w:val="0"/>
                <w:i w:val="0"/>
                <w:color w:val="212121"/>
                <w:sz w:val="19"/>
              </w:rPr>
              <w:t>Meets Paradise threshold for considering tonsillectomy</w:t>
            </w:r>
          </w:p>
          <w:p>
            <w:pPr>
              <w:spacing w:after="40" w:line="252" w:lineRule="auto"/>
            </w:pPr>
            <w:hyperlink r:id="rId13">
              <w:r>
                <w:rPr>
                  <w:rFonts w:ascii="Calibri" w:hAnsi="Calibri" w:cs="Calibri"/>
                  <w:sz w:val="18"/>
                  <w:color w:val="1155CC"/>
                  <w:u w:val="single"/>
                </w:rPr>
                <w:t xml:space="preserve">https://www.ncbi.nlm.nih.gov/books/NBK536942/</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Snoring / witnessed apnoea (OSA screen)</w:t>
            </w:r>
          </w:p>
        </w:tc>
        <w:tc>
          <w:tcPr>
            <w:tcW w:type="dxa" w:w="1655"/>
            <w:vAlign w:val="top"/>
          </w:tcPr>
          <w:p>
            <w:pPr>
              <w:spacing w:after="40" w:before="0" w:line="259" w:lineRule="auto"/>
            </w:pPr>
            <w:r>
              <w:rPr>
                <w:rFonts w:ascii="Calibri" w:hAnsi="Calibri"/>
                <w:b w:val="0"/>
                <w:i w:val="0"/>
                <w:color w:val="212121"/>
                <w:sz w:val="19"/>
              </w:rPr>
              <w:t>Children/adults with tonsillar hypertrophy</w:t>
            </w:r>
          </w:p>
        </w:tc>
        <w:tc>
          <w:tcPr>
            <w:tcW w:type="dxa" w:w="1512"/>
            <w:vAlign w:val="top"/>
          </w:tcPr>
          <w:p>
            <w:pPr>
              <w:spacing w:after="40" w:before="0" w:line="259" w:lineRule="auto"/>
            </w:pPr>
            <w:r>
              <w:rPr>
                <w:rFonts w:ascii="Calibri" w:hAnsi="Calibri"/>
                <w:b w:val="0"/>
                <w:i w:val="0"/>
                <w:color w:val="212121"/>
                <w:sz w:val="19"/>
              </w:rPr>
              <w:t>No habitual snoring or apnoea</w:t>
            </w:r>
          </w:p>
        </w:tc>
        <w:tc>
          <w:tcPr>
            <w:tcW w:type="dxa" w:w="1512"/>
            <w:vAlign w:val="top"/>
          </w:tcPr>
          <w:p>
            <w:pPr>
              <w:spacing w:after="40" w:before="0" w:line="259" w:lineRule="auto"/>
            </w:pPr>
            <w:r>
              <w:rPr>
                <w:rFonts w:ascii="Calibri" w:hAnsi="Calibri"/>
                <w:b w:val="0"/>
                <w:i w:val="0"/>
                <w:color w:val="212121"/>
                <w:sz w:val="19"/>
              </w:rPr>
              <w:t>Habitual snoring, witnessed apnoea, mouth-breathing</w:t>
            </w:r>
          </w:p>
        </w:tc>
        <w:tc>
          <w:tcPr>
            <w:tcW w:type="dxa" w:w="1468"/>
            <w:vAlign w:val="top"/>
          </w:tcPr>
          <w:p>
            <w:pPr>
              <w:spacing w:after="60" w:line="259" w:lineRule="auto"/>
            </w:pPr>
            <w:r>
              <w:rPr>
                <w:rFonts w:ascii="Calibri" w:hAnsi="Calibri"/>
                <w:b w:val="0"/>
                <w:i w:val="0"/>
                <w:color w:val="212121"/>
                <w:sz w:val="19"/>
              </w:rPr>
              <w:t>Adenotonsillar hypertrophy is a leading cause of paediatric OSA</w:t>
            </w:r>
          </w:p>
          <w:p>
            <w:pPr>
              <w:spacing w:after="40" w:line="252" w:lineRule="auto"/>
            </w:pPr>
            <w:hyperlink r:id="rId13">
              <w:r>
                <w:rPr>
                  <w:rFonts w:ascii="Calibri" w:hAnsi="Calibri" w:cs="Calibri"/>
                  <w:sz w:val="18"/>
                  <w:color w:val="1155CC"/>
                  <w:u w:val="single"/>
                </w:rPr>
                <w:t xml:space="preserve">https://www.ncbi.nlm.nih.gov/books/NBK536942/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Sleep duration &amp; quality</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9–12 h (children), 7–9 h (adults), unfragmented</w:t>
            </w:r>
          </w:p>
        </w:tc>
        <w:tc>
          <w:tcPr>
            <w:tcW w:type="dxa" w:w="1512"/>
            <w:vAlign w:val="top"/>
          </w:tcPr>
          <w:p>
            <w:pPr>
              <w:spacing w:after="40" w:before="0" w:line="259" w:lineRule="auto"/>
            </w:pPr>
            <w:r>
              <w:rPr>
                <w:rFonts w:ascii="Calibri" w:hAnsi="Calibri"/>
                <w:b w:val="0"/>
                <w:i w:val="0"/>
                <w:color w:val="212121"/>
                <w:sz w:val="19"/>
              </w:rPr>
              <w:t>Fragmented/short sleep, daytime somnolence</w:t>
            </w:r>
          </w:p>
        </w:tc>
        <w:tc>
          <w:tcPr>
            <w:tcW w:type="dxa" w:w="1468"/>
            <w:vAlign w:val="top"/>
          </w:tcPr>
          <w:p>
            <w:pPr>
              <w:spacing w:after="40" w:before="0" w:line="259" w:lineRule="auto"/>
            </w:pPr>
            <w:r>
              <w:rPr>
                <w:rFonts w:ascii="Calibri" w:hAnsi="Calibri"/>
                <w:b w:val="0"/>
                <w:i w:val="0"/>
                <w:color w:val="212121"/>
                <w:sz w:val="19"/>
              </w:rPr>
              <w:t>Poor sleep impairs immunity; obstruction fragments sleep</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Children/adults with sleep-disordered breathing</w:t>
            </w:r>
          </w:p>
        </w:tc>
        <w:tc>
          <w:tcPr>
            <w:tcW w:type="dxa" w:w="1512"/>
            <w:vAlign w:val="top"/>
          </w:tcPr>
          <w:p>
            <w:pPr>
              <w:spacing w:after="40" w:before="0" w:line="259" w:lineRule="auto"/>
            </w:pPr>
            <w:r>
              <w:rPr>
                <w:rFonts w:ascii="Calibri" w:hAnsi="Calibri"/>
                <w:b w:val="0"/>
                <w:i w:val="0"/>
                <w:color w:val="212121"/>
                <w:sz w:val="19"/>
              </w:rPr>
              <w:t>Age-appropriate normal BMI</w:t>
            </w:r>
          </w:p>
        </w:tc>
        <w:tc>
          <w:tcPr>
            <w:tcW w:type="dxa" w:w="1512"/>
            <w:vAlign w:val="top"/>
          </w:tcPr>
          <w:p>
            <w:pPr>
              <w:spacing w:after="40" w:before="0" w:line="259" w:lineRule="auto"/>
            </w:pPr>
            <w:r>
              <w:rPr>
                <w:rFonts w:ascii="Calibri" w:hAnsi="Calibri"/>
                <w:b w:val="0"/>
                <w:i w:val="0"/>
                <w:color w:val="212121"/>
                <w:sz w:val="19"/>
              </w:rPr>
              <w:t>Overweight/obesity compounding airway obstruction</w:t>
            </w:r>
          </w:p>
        </w:tc>
        <w:tc>
          <w:tcPr>
            <w:tcW w:type="dxa" w:w="1468"/>
            <w:vAlign w:val="top"/>
          </w:tcPr>
          <w:p>
            <w:pPr>
              <w:spacing w:after="40" w:before="0" w:line="259" w:lineRule="auto"/>
            </w:pPr>
            <w:r>
              <w:rPr>
                <w:rFonts w:ascii="Calibri" w:hAnsi="Calibri"/>
                <w:b w:val="0"/>
                <w:i w:val="0"/>
                <w:color w:val="212121"/>
                <w:sz w:val="19"/>
              </w:rPr>
              <w:t>Obesity worsens tonsillar OSA and surgical risk</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Fluid intake / gargles</w:t>
            </w:r>
          </w:p>
        </w:tc>
        <w:tc>
          <w:tcPr>
            <w:tcW w:type="dxa" w:w="1655"/>
            <w:vAlign w:val="top"/>
          </w:tcPr>
          <w:p>
            <w:pPr>
              <w:spacing w:after="40" w:before="0" w:line="259" w:lineRule="auto"/>
            </w:pPr>
            <w:r>
              <w:rPr>
                <w:rFonts w:ascii="Calibri" w:hAnsi="Calibri"/>
                <w:b w:val="0"/>
                <w:i w:val="0"/>
                <w:color w:val="212121"/>
                <w:sz w:val="19"/>
              </w:rPr>
              <w:t>Acute tonsillitis</w:t>
            </w:r>
          </w:p>
        </w:tc>
        <w:tc>
          <w:tcPr>
            <w:tcW w:type="dxa" w:w="1512"/>
            <w:vAlign w:val="top"/>
          </w:tcPr>
          <w:p>
            <w:pPr>
              <w:spacing w:after="40" w:before="0" w:line="259" w:lineRule="auto"/>
            </w:pPr>
            <w:r>
              <w:rPr>
                <w:rFonts w:ascii="Calibri" w:hAnsi="Calibri"/>
                <w:b w:val="0"/>
                <w:i w:val="0"/>
                <w:color w:val="212121"/>
                <w:sz w:val="19"/>
              </w:rPr>
              <w:t>Adequate fluids; warm saline gargles</w:t>
            </w:r>
          </w:p>
        </w:tc>
        <w:tc>
          <w:tcPr>
            <w:tcW w:type="dxa" w:w="1512"/>
            <w:vAlign w:val="top"/>
          </w:tcPr>
          <w:p>
            <w:pPr>
              <w:spacing w:after="40" w:before="0" w:line="259" w:lineRule="auto"/>
            </w:pPr>
            <w:r>
              <w:rPr>
                <w:rFonts w:ascii="Calibri" w:hAnsi="Calibri"/>
                <w:b w:val="0"/>
                <w:i w:val="0"/>
                <w:color w:val="212121"/>
                <w:sz w:val="19"/>
              </w:rPr>
              <w:t>Dehydration, reduced intake from odynophagia</w:t>
            </w:r>
          </w:p>
        </w:tc>
        <w:tc>
          <w:tcPr>
            <w:tcW w:type="dxa" w:w="1468"/>
            <w:vAlign w:val="top"/>
          </w:tcPr>
          <w:p>
            <w:pPr>
              <w:spacing w:after="40" w:before="0" w:line="259" w:lineRule="auto"/>
            </w:pPr>
            <w:r>
              <w:rPr>
                <w:rFonts w:ascii="Calibri" w:hAnsi="Calibri"/>
                <w:b w:val="0"/>
                <w:i w:val="0"/>
                <w:color w:val="212121"/>
                <w:sz w:val="19"/>
              </w:rPr>
              <w:t>Hydration and salt-water gargles relieve symptoms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Body temperature (fever)</w:t>
            </w:r>
          </w:p>
        </w:tc>
        <w:tc>
          <w:tcPr>
            <w:tcW w:type="dxa" w:w="1655"/>
            <w:vAlign w:val="top"/>
          </w:tcPr>
          <w:p>
            <w:pPr>
              <w:spacing w:after="40" w:before="0" w:line="259" w:lineRule="auto"/>
            </w:pPr>
            <w:r>
              <w:rPr>
                <w:rFonts w:ascii="Calibri" w:hAnsi="Calibri"/>
                <w:b w:val="0"/>
                <w:i w:val="0"/>
                <w:color w:val="212121"/>
                <w:sz w:val="19"/>
              </w:rPr>
              <w:t>Acute tonsillitis</w:t>
            </w:r>
          </w:p>
        </w:tc>
        <w:tc>
          <w:tcPr>
            <w:tcW w:type="dxa" w:w="1512"/>
            <w:vAlign w:val="top"/>
          </w:tcPr>
          <w:p>
            <w:pPr>
              <w:spacing w:after="40" w:before="0" w:line="259" w:lineRule="auto"/>
            </w:pPr>
            <w:r>
              <w:rPr>
                <w:rFonts w:ascii="Calibri" w:hAnsi="Calibri"/>
                <w:b w:val="0"/>
                <w:i w:val="0"/>
                <w:color w:val="212121"/>
                <w:sz w:val="19"/>
              </w:rPr>
              <w:t>&lt; 38°C</w:t>
            </w:r>
          </w:p>
        </w:tc>
        <w:tc>
          <w:tcPr>
            <w:tcW w:type="dxa" w:w="1512"/>
            <w:vAlign w:val="top"/>
          </w:tcPr>
          <w:p>
            <w:pPr>
              <w:spacing w:after="40" w:before="0" w:line="259" w:lineRule="auto"/>
            </w:pPr>
            <w:r>
              <w:rPr>
                <w:rFonts w:ascii="Calibri" w:hAnsi="Calibri"/>
                <w:b w:val="0"/>
                <w:i w:val="0"/>
                <w:color w:val="212121"/>
                <w:sz w:val="19"/>
              </w:rPr>
              <w:t>≥ 38°C (a Centor criterion)</w:t>
            </w:r>
          </w:p>
        </w:tc>
        <w:tc>
          <w:tcPr>
            <w:tcW w:type="dxa" w:w="1468"/>
            <w:vAlign w:val="top"/>
          </w:tcPr>
          <w:p>
            <w:pPr>
              <w:spacing w:after="40" w:before="0" w:line="259" w:lineRule="auto"/>
            </w:pPr>
            <w:r>
              <w:rPr>
                <w:rFonts w:ascii="Calibri" w:hAnsi="Calibri"/>
                <w:b w:val="0"/>
                <w:i w:val="0"/>
                <w:color w:val="212121"/>
                <w:sz w:val="19"/>
              </w:rPr>
              <w:t>Fever supports bacterial aetiology and scoring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Symptom duration</w:t>
            </w:r>
          </w:p>
        </w:tc>
        <w:tc>
          <w:tcPr>
            <w:tcW w:type="dxa" w:w="1655"/>
            <w:vAlign w:val="top"/>
          </w:tcPr>
          <w:p>
            <w:pPr>
              <w:spacing w:after="40" w:before="0" w:line="259" w:lineRule="auto"/>
            </w:pPr>
            <w:r>
              <w:rPr>
                <w:rFonts w:ascii="Calibri" w:hAnsi="Calibri"/>
                <w:b w:val="0"/>
                <w:i w:val="0"/>
                <w:color w:val="212121"/>
                <w:sz w:val="19"/>
              </w:rPr>
              <w:t>Acute tonsillitis</w:t>
            </w:r>
          </w:p>
        </w:tc>
        <w:tc>
          <w:tcPr>
            <w:tcW w:type="dxa" w:w="1512"/>
            <w:vAlign w:val="top"/>
          </w:tcPr>
          <w:p>
            <w:pPr>
              <w:spacing w:after="40" w:before="0" w:line="259" w:lineRule="auto"/>
            </w:pPr>
            <w:r>
              <w:rPr>
                <w:rFonts w:ascii="Calibri" w:hAnsi="Calibri"/>
                <w:b w:val="0"/>
                <w:i w:val="0"/>
                <w:color w:val="212121"/>
                <w:sz w:val="19"/>
              </w:rPr>
              <w:t>Viral cases settle within ~1 week</w:t>
            </w:r>
          </w:p>
        </w:tc>
        <w:tc>
          <w:tcPr>
            <w:tcW w:type="dxa" w:w="1512"/>
            <w:vAlign w:val="top"/>
          </w:tcPr>
          <w:p>
            <w:pPr>
              <w:spacing w:after="40" w:before="0" w:line="259" w:lineRule="auto"/>
            </w:pPr>
            <w:r>
              <w:rPr>
                <w:rFonts w:ascii="Calibri" w:hAnsi="Calibri"/>
                <w:b w:val="0"/>
                <w:i w:val="0"/>
                <w:color w:val="212121"/>
                <w:sz w:val="19"/>
              </w:rPr>
              <w:t>&gt; 1 week, worsening, or unilateral swelling</w:t>
            </w:r>
          </w:p>
        </w:tc>
        <w:tc>
          <w:tcPr>
            <w:tcW w:type="dxa" w:w="1468"/>
            <w:vAlign w:val="top"/>
          </w:tcPr>
          <w:p>
            <w:pPr>
              <w:spacing w:after="40" w:before="0" w:line="259" w:lineRule="auto"/>
            </w:pPr>
            <w:r>
              <w:rPr>
                <w:rFonts w:ascii="Calibri" w:hAnsi="Calibri"/>
                <w:b w:val="0"/>
                <w:i w:val="0"/>
                <w:color w:val="212121"/>
                <w:sz w:val="19"/>
              </w:rPr>
              <w:t>Prolonged/worsening course suggests bacterial cause or abscess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Rapid antigen detection test (RADT), throat swab</w:t>
            </w:r>
          </w:p>
        </w:tc>
        <w:tc>
          <w:tcPr>
            <w:tcW w:type="dxa" w:w="892"/>
            <w:vAlign w:val="top"/>
          </w:tcPr>
          <w:p>
            <w:pPr>
              <w:spacing w:after="40" w:before="0" w:line="259" w:lineRule="auto"/>
            </w:pPr>
            <w:r>
              <w:rPr>
                <w:rFonts w:ascii="Calibri" w:hAnsi="Calibri"/>
                <w:b w:val="0"/>
                <w:i w:val="0"/>
                <w:color w:val="212121"/>
                <w:sz w:val="16"/>
              </w:rPr>
              <w:t>Throat swab</w:t>
            </w:r>
          </w:p>
        </w:tc>
        <w:tc>
          <w:tcPr>
            <w:tcW w:type="dxa" w:w="950"/>
            <w:vAlign w:val="top"/>
          </w:tcPr>
          <w:p>
            <w:pPr>
              <w:spacing w:after="40" w:before="0" w:line="259" w:lineRule="auto"/>
            </w:pPr>
            <w:r>
              <w:rPr>
                <w:rFonts w:ascii="Calibri" w:hAnsi="Calibri"/>
                <w:b w:val="0"/>
                <w:i w:val="0"/>
                <w:color w:val="212121"/>
                <w:sz w:val="16"/>
              </w:rPr>
              <w:t>Negative for group A streptococcus</w:t>
            </w:r>
          </w:p>
        </w:tc>
        <w:tc>
          <w:tcPr>
            <w:tcW w:type="dxa" w:w="950"/>
            <w:vAlign w:val="top"/>
          </w:tcPr>
          <w:p>
            <w:pPr>
              <w:spacing w:after="40" w:before="0" w:line="259" w:lineRule="auto"/>
            </w:pPr>
            <w:r>
              <w:rPr>
                <w:rFonts w:ascii="Calibri" w:hAnsi="Calibri"/>
                <w:b w:val="0"/>
                <w:i w:val="0"/>
                <w:color w:val="212121"/>
                <w:sz w:val="16"/>
              </w:rPr>
              <w:t>Positive for group A streptococcus</w:t>
            </w:r>
          </w:p>
        </w:tc>
        <w:tc>
          <w:tcPr>
            <w:tcW w:type="dxa" w:w="1036"/>
            <w:vAlign w:val="top"/>
          </w:tcPr>
          <w:p>
            <w:pPr>
              <w:spacing w:after="40" w:before="0" w:line="259" w:lineRule="auto"/>
            </w:pPr>
            <w:r>
              <w:rPr>
                <w:rFonts w:ascii="Calibri" w:hAnsi="Calibri"/>
                <w:b w:val="0"/>
                <w:i w:val="0"/>
                <w:color w:val="212121"/>
                <w:sz w:val="16"/>
              </w:rPr>
              <w:t>Confirms streptococcal tonsillitis and the need for antibiotics</w:t>
            </w:r>
          </w:p>
        </w:tc>
        <w:tc>
          <w:tcPr>
            <w:tcW w:type="dxa" w:w="1036"/>
            <w:vAlign w:val="top"/>
          </w:tcPr>
          <w:p>
            <w:pPr>
              <w:spacing w:after="40" w:before="0" w:line="259" w:lineRule="auto"/>
            </w:pPr>
            <w:r>
              <w:rPr>
                <w:rFonts w:ascii="Calibri" w:hAnsi="Calibri"/>
                <w:b w:val="0"/>
                <w:i w:val="0"/>
                <w:color w:val="212121"/>
                <w:sz w:val="16"/>
              </w:rPr>
              <w:t>Children/adults with Centor ≥ 3</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First-line confirmatory</w:t>
            </w:r>
          </w:p>
        </w:tc>
        <w:tc>
          <w:tcPr>
            <w:tcW w:type="dxa" w:w="720"/>
            <w:vAlign w:val="top"/>
          </w:tcPr>
          <w:p>
            <w:pPr>
              <w:spacing w:after="40" w:before="0" w:line="259" w:lineRule="auto"/>
            </w:pPr>
            <w:r>
              <w:rPr>
                <w:rFonts w:ascii="Calibri" w:hAnsi="Calibri"/>
                <w:b w:val="0"/>
                <w:i w:val="0"/>
                <w:color w:val="212121"/>
                <w:sz w:val="16"/>
              </w:rPr>
              <w:t>High specificity; confirm a negative test with culture in children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Throat culture (Group A streptococcus)</w:t>
            </w:r>
          </w:p>
        </w:tc>
        <w:tc>
          <w:tcPr>
            <w:tcW w:type="dxa" w:w="892"/>
            <w:vAlign w:val="top"/>
          </w:tcPr>
          <w:p>
            <w:pPr>
              <w:spacing w:after="40" w:before="0" w:line="259" w:lineRule="auto"/>
            </w:pPr>
            <w:r>
              <w:rPr>
                <w:rFonts w:ascii="Calibri" w:hAnsi="Calibri"/>
                <w:b w:val="0"/>
                <w:i w:val="0"/>
                <w:color w:val="212121"/>
                <w:sz w:val="16"/>
              </w:rPr>
              <w:t>Throat swab culture</w:t>
            </w:r>
          </w:p>
        </w:tc>
        <w:tc>
          <w:tcPr>
            <w:tcW w:type="dxa" w:w="950"/>
            <w:vAlign w:val="top"/>
          </w:tcPr>
          <w:p>
            <w:pPr>
              <w:spacing w:after="40" w:before="0" w:line="259" w:lineRule="auto"/>
            </w:pPr>
            <w:r>
              <w:rPr>
                <w:rFonts w:ascii="Calibri" w:hAnsi="Calibri"/>
                <w:b w:val="0"/>
                <w:i w:val="0"/>
                <w:color w:val="212121"/>
                <w:sz w:val="16"/>
              </w:rPr>
              <w:t>No group A streptococcus grown</w:t>
            </w:r>
          </w:p>
        </w:tc>
        <w:tc>
          <w:tcPr>
            <w:tcW w:type="dxa" w:w="950"/>
            <w:vAlign w:val="top"/>
          </w:tcPr>
          <w:p>
            <w:pPr>
              <w:spacing w:after="40" w:before="0" w:line="259" w:lineRule="auto"/>
            </w:pPr>
            <w:r>
              <w:rPr>
                <w:rFonts w:ascii="Calibri" w:hAnsi="Calibri"/>
                <w:b w:val="0"/>
                <w:i w:val="0"/>
                <w:color w:val="212121"/>
                <w:sz w:val="16"/>
              </w:rPr>
              <w:t>Group A streptococcus isolated</w:t>
            </w:r>
          </w:p>
        </w:tc>
        <w:tc>
          <w:tcPr>
            <w:tcW w:type="dxa" w:w="1036"/>
            <w:vAlign w:val="top"/>
          </w:tcPr>
          <w:p>
            <w:pPr>
              <w:spacing w:after="40" w:before="0" w:line="259" w:lineRule="auto"/>
            </w:pPr>
            <w:r>
              <w:rPr>
                <w:rFonts w:ascii="Calibri" w:hAnsi="Calibri"/>
                <w:b w:val="0"/>
                <w:i w:val="0"/>
                <w:color w:val="212121"/>
                <w:sz w:val="16"/>
              </w:rPr>
              <w:t>Gold-standard confirmation of streptococcal infection</w:t>
            </w:r>
          </w:p>
        </w:tc>
        <w:tc>
          <w:tcPr>
            <w:tcW w:type="dxa" w:w="1036"/>
            <w:vAlign w:val="top"/>
          </w:tcPr>
          <w:p>
            <w:pPr>
              <w:spacing w:after="40" w:before="0" w:line="259" w:lineRule="auto"/>
            </w:pPr>
            <w:r>
              <w:rPr>
                <w:rFonts w:ascii="Calibri" w:hAnsi="Calibri"/>
                <w:b w:val="0"/>
                <w:i w:val="0"/>
                <w:color w:val="212121"/>
                <w:sz w:val="16"/>
              </w:rPr>
              <w:t>RADT-negative children, recurrent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Takes 24–48 h; guides targeted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Anti-streptolysin O (ASO) titre</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Age-appropriate reference (e.g. adults &lt; 200 IU/mL)</w:t>
            </w:r>
          </w:p>
        </w:tc>
        <w:tc>
          <w:tcPr>
            <w:tcW w:type="dxa" w:w="950"/>
            <w:vAlign w:val="top"/>
          </w:tcPr>
          <w:p>
            <w:pPr>
              <w:spacing w:after="40" w:before="0" w:line="259" w:lineRule="auto"/>
            </w:pPr>
            <w:r>
              <w:rPr>
                <w:rFonts w:ascii="Calibri" w:hAnsi="Calibri"/>
                <w:b w:val="0"/>
                <w:i w:val="0"/>
                <w:color w:val="212121"/>
                <w:sz w:val="16"/>
              </w:rPr>
              <w:t>Elevated or rising titre</w:t>
            </w:r>
          </w:p>
        </w:tc>
        <w:tc>
          <w:tcPr>
            <w:tcW w:type="dxa" w:w="1036"/>
            <w:vAlign w:val="top"/>
          </w:tcPr>
          <w:p>
            <w:pPr>
              <w:spacing w:after="40" w:before="0" w:line="259" w:lineRule="auto"/>
            </w:pPr>
            <w:r>
              <w:rPr>
                <w:rFonts w:ascii="Calibri" w:hAnsi="Calibri"/>
                <w:b w:val="0"/>
                <w:i w:val="0"/>
                <w:color w:val="212121"/>
                <w:sz w:val="16"/>
              </w:rPr>
              <w:t>Evidence of recent streptococcal infection; part of rheumatic-fever work-up</w:t>
            </w:r>
          </w:p>
        </w:tc>
        <w:tc>
          <w:tcPr>
            <w:tcW w:type="dxa" w:w="1036"/>
            <w:vAlign w:val="top"/>
          </w:tcPr>
          <w:p>
            <w:pPr>
              <w:spacing w:after="40" w:before="0" w:line="259" w:lineRule="auto"/>
            </w:pPr>
            <w:r>
              <w:rPr>
                <w:rFonts w:ascii="Calibri" w:hAnsi="Calibri"/>
                <w:b w:val="0"/>
                <w:i w:val="0"/>
                <w:color w:val="212121"/>
                <w:sz w:val="16"/>
              </w:rPr>
              <w:t>Suspected rheumatic fever/PSGN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Reflects recent, not acute,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with differential</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Normal counts</w:t>
            </w:r>
          </w:p>
        </w:tc>
        <w:tc>
          <w:tcPr>
            <w:tcW w:type="dxa" w:w="950"/>
            <w:vAlign w:val="top"/>
          </w:tcPr>
          <w:p>
            <w:pPr>
              <w:spacing w:after="40" w:before="0" w:line="259" w:lineRule="auto"/>
            </w:pPr>
            <w:r>
              <w:rPr>
                <w:rFonts w:ascii="Calibri" w:hAnsi="Calibri"/>
                <w:b w:val="0"/>
                <w:i w:val="0"/>
                <w:color w:val="212121"/>
                <w:sz w:val="16"/>
              </w:rPr>
              <w:t>Neutrophilic leucocytosis (bacterial) or atypical lymphocytosis (EBV)</w:t>
            </w:r>
          </w:p>
        </w:tc>
        <w:tc>
          <w:tcPr>
            <w:tcW w:type="dxa" w:w="1036"/>
            <w:vAlign w:val="top"/>
          </w:tcPr>
          <w:p>
            <w:pPr>
              <w:spacing w:after="40" w:before="0" w:line="259" w:lineRule="auto"/>
            </w:pPr>
            <w:r>
              <w:rPr>
                <w:rFonts w:ascii="Calibri" w:hAnsi="Calibri"/>
                <w:b w:val="0"/>
                <w:i w:val="0"/>
                <w:color w:val="212121"/>
                <w:sz w:val="16"/>
              </w:rPr>
              <w:t>Helps distinguish bacterial from viral/EBV tonsillitis</w:t>
            </w:r>
          </w:p>
        </w:tc>
        <w:tc>
          <w:tcPr>
            <w:tcW w:type="dxa" w:w="1036"/>
            <w:vAlign w:val="top"/>
          </w:tcPr>
          <w:p>
            <w:pPr>
              <w:spacing w:after="40" w:before="0" w:line="259" w:lineRule="auto"/>
            </w:pPr>
            <w:r>
              <w:rPr>
                <w:rFonts w:ascii="Calibri" w:hAnsi="Calibri"/>
                <w:b w:val="0"/>
                <w:i w:val="0"/>
                <w:color w:val="212121"/>
                <w:sz w:val="16"/>
              </w:rPr>
              <w:t>Severe or atypical tonsillitis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Atypical lymphocytes suggest infectious mononucleosis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EBV heterophile (Monospot)/EBV serology</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heterophile / EBV IgM</w:t>
            </w:r>
          </w:p>
        </w:tc>
        <w:tc>
          <w:tcPr>
            <w:tcW w:type="dxa" w:w="1036"/>
            <w:vAlign w:val="top"/>
          </w:tcPr>
          <w:p>
            <w:pPr>
              <w:spacing w:after="40" w:before="0" w:line="259" w:lineRule="auto"/>
            </w:pPr>
            <w:r>
              <w:rPr>
                <w:rFonts w:ascii="Calibri" w:hAnsi="Calibri"/>
                <w:b w:val="0"/>
                <w:i w:val="0"/>
                <w:color w:val="212121"/>
                <w:sz w:val="16"/>
              </w:rPr>
              <w:t>Confirms infectious mononucleosis as the cause of exudative tonsillitis</w:t>
            </w:r>
          </w:p>
        </w:tc>
        <w:tc>
          <w:tcPr>
            <w:tcW w:type="dxa" w:w="1036"/>
            <w:vAlign w:val="top"/>
          </w:tcPr>
          <w:p>
            <w:pPr>
              <w:spacing w:after="40" w:before="0" w:line="259" w:lineRule="auto"/>
            </w:pPr>
            <w:r>
              <w:rPr>
                <w:rFonts w:ascii="Calibri" w:hAnsi="Calibri"/>
                <w:b w:val="0"/>
                <w:i w:val="0"/>
                <w:color w:val="212121"/>
                <w:sz w:val="16"/>
              </w:rPr>
              <w:t>Adolescents/young adults, prolonged tonsillitis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Avoid amoxicillin/ampicillin — causes a rash in EBV</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CRP / ESR</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CRP &lt; 5 mg/L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Non-specific markers of bacterial inflammation and severity</w:t>
            </w:r>
          </w:p>
        </w:tc>
        <w:tc>
          <w:tcPr>
            <w:tcW w:type="dxa" w:w="1036"/>
            <w:vAlign w:val="top"/>
          </w:tcPr>
          <w:p>
            <w:pPr>
              <w:spacing w:after="40" w:before="0" w:line="259" w:lineRule="auto"/>
            </w:pPr>
            <w:r>
              <w:rPr>
                <w:rFonts w:ascii="Calibri" w:hAnsi="Calibri"/>
                <w:b w:val="0"/>
                <w:i w:val="0"/>
                <w:color w:val="212121"/>
                <w:sz w:val="16"/>
              </w:rPr>
              <w:t>Severe/complicated tonsillitis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the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Contrast-enhanced CT neck</w:t>
            </w:r>
          </w:p>
        </w:tc>
        <w:tc>
          <w:tcPr>
            <w:tcW w:type="dxa" w:w="892"/>
            <w:vAlign w:val="top"/>
          </w:tcPr>
          <w:p>
            <w:pPr>
              <w:spacing w:after="40" w:before="0" w:line="259" w:lineRule="auto"/>
            </w:pPr>
            <w:r>
              <w:rPr>
                <w:rFonts w:ascii="Calibri" w:hAnsi="Calibri"/>
                <w:b w:val="0"/>
                <w:i w:val="0"/>
                <w:color w:val="212121"/>
                <w:sz w:val="16"/>
              </w:rPr>
              <w:t>Imaging</w:t>
            </w:r>
          </w:p>
        </w:tc>
        <w:tc>
          <w:tcPr>
            <w:tcW w:type="dxa" w:w="950"/>
            <w:vAlign w:val="top"/>
          </w:tcPr>
          <w:p>
            <w:pPr>
              <w:spacing w:after="40" w:before="0" w:line="259" w:lineRule="auto"/>
            </w:pPr>
            <w:r>
              <w:rPr>
                <w:rFonts w:ascii="Calibri" w:hAnsi="Calibri"/>
                <w:b w:val="0"/>
                <w:i w:val="0"/>
                <w:color w:val="212121"/>
                <w:sz w:val="16"/>
              </w:rPr>
              <w:t>No collection</w:t>
            </w:r>
          </w:p>
        </w:tc>
        <w:tc>
          <w:tcPr>
            <w:tcW w:type="dxa" w:w="950"/>
            <w:vAlign w:val="top"/>
          </w:tcPr>
          <w:p>
            <w:pPr>
              <w:spacing w:after="40" w:before="0" w:line="259" w:lineRule="auto"/>
            </w:pPr>
            <w:r>
              <w:rPr>
                <w:rFonts w:ascii="Calibri" w:hAnsi="Calibri"/>
                <w:b w:val="0"/>
                <w:i w:val="0"/>
                <w:color w:val="212121"/>
                <w:sz w:val="16"/>
              </w:rPr>
              <w:t>Rim-enhancing peritonsillar/deep-neck collection</w:t>
            </w:r>
          </w:p>
        </w:tc>
        <w:tc>
          <w:tcPr>
            <w:tcW w:type="dxa" w:w="1036"/>
            <w:vAlign w:val="top"/>
          </w:tcPr>
          <w:p>
            <w:pPr>
              <w:spacing w:after="40" w:before="0" w:line="259" w:lineRule="auto"/>
            </w:pPr>
            <w:r>
              <w:rPr>
                <w:rFonts w:ascii="Calibri" w:hAnsi="Calibri"/>
                <w:b w:val="0"/>
                <w:i w:val="0"/>
                <w:color w:val="212121"/>
                <w:sz w:val="16"/>
              </w:rPr>
              <w:t>Confirms and localises abscess and deep-neck spread</w:t>
            </w:r>
          </w:p>
        </w:tc>
        <w:tc>
          <w:tcPr>
            <w:tcW w:type="dxa" w:w="1036"/>
            <w:vAlign w:val="top"/>
          </w:tcPr>
          <w:p>
            <w:pPr>
              <w:spacing w:after="40" w:before="0" w:line="259" w:lineRule="auto"/>
            </w:pPr>
            <w:r>
              <w:rPr>
                <w:rFonts w:ascii="Calibri" w:hAnsi="Calibri"/>
                <w:b w:val="0"/>
                <w:i w:val="0"/>
                <w:color w:val="212121"/>
                <w:sz w:val="16"/>
              </w:rPr>
              <w:t>Suspected quinsy/deep-neck infection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for complications</w:t>
            </w:r>
          </w:p>
        </w:tc>
        <w:tc>
          <w:tcPr>
            <w:tcW w:type="dxa" w:w="720"/>
            <w:vAlign w:val="top"/>
          </w:tcPr>
          <w:p>
            <w:pPr>
              <w:spacing w:after="40" w:before="0" w:line="259" w:lineRule="auto"/>
            </w:pPr>
            <w:r>
              <w:rPr>
                <w:rFonts w:ascii="Calibri" w:hAnsi="Calibri"/>
                <w:b w:val="0"/>
                <w:i w:val="0"/>
                <w:color w:val="212121"/>
                <w:sz w:val="16"/>
              </w:rPr>
              <w:t>Reserve for trismus, unilateral swelling or toxic patient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Sore throat, odynophagia, fever, dysphagia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Cardinal symptoms of tonsillitis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Absence of cough favours bacterial aetiology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Recurrence &amp; episode frequency</w:t>
            </w:r>
          </w:p>
        </w:tc>
        <w:tc>
          <w:tcPr>
            <w:tcW w:type="dxa" w:w="979"/>
            <w:vAlign w:val="top"/>
          </w:tcPr>
          <w:p>
            <w:pPr>
              <w:spacing w:after="40" w:before="0" w:line="259" w:lineRule="auto"/>
            </w:pPr>
            <w:r>
              <w:rPr>
                <w:rFonts w:ascii="Calibri" w:hAnsi="Calibri"/>
                <w:b w:val="0"/>
                <w:i w:val="0"/>
                <w:color w:val="212121"/>
                <w:sz w:val="16"/>
              </w:rPr>
              <w:t>Documented episodes per year</w:t>
            </w:r>
          </w:p>
        </w:tc>
        <w:tc>
          <w:tcPr>
            <w:tcW w:type="dxa" w:w="950"/>
            <w:vAlign w:val="top"/>
          </w:tcPr>
          <w:p>
            <w:pPr>
              <w:spacing w:after="40" w:before="0" w:line="259" w:lineRule="auto"/>
            </w:pPr>
            <w:r>
              <w:rPr>
                <w:rFonts w:ascii="Calibri" w:hAnsi="Calibri"/>
                <w:b w:val="0"/>
                <w:i w:val="0"/>
                <w:color w:val="212121"/>
                <w:sz w:val="16"/>
              </w:rPr>
              <w:t>Infrequent, self-limiting episodes</w:t>
            </w:r>
          </w:p>
        </w:tc>
        <w:tc>
          <w:tcPr>
            <w:tcW w:type="dxa" w:w="950"/>
            <w:vAlign w:val="top"/>
          </w:tcPr>
          <w:p>
            <w:pPr>
              <w:spacing w:after="40" w:before="0" w:line="259" w:lineRule="auto"/>
            </w:pPr>
            <w:r>
              <w:rPr>
                <w:rFonts w:ascii="Calibri" w:hAnsi="Calibri"/>
                <w:b w:val="0"/>
                <w:i w:val="0"/>
                <w:color w:val="212121"/>
                <w:sz w:val="16"/>
              </w:rPr>
              <w:t>Meets Paradise thresholds</w:t>
            </w:r>
          </w:p>
        </w:tc>
        <w:tc>
          <w:tcPr>
            <w:tcW w:type="dxa" w:w="1036"/>
            <w:vAlign w:val="top"/>
          </w:tcPr>
          <w:p>
            <w:pPr>
              <w:spacing w:after="40" w:before="0" w:line="259" w:lineRule="auto"/>
            </w:pPr>
            <w:r>
              <w:rPr>
                <w:rFonts w:ascii="Calibri" w:hAnsi="Calibri"/>
                <w:b w:val="0"/>
                <w:i w:val="0"/>
                <w:color w:val="212121"/>
                <w:sz w:val="16"/>
              </w:rPr>
              <w:t>Defines recurrent tonsillitis and tonsillectomy candidacy</w:t>
            </w:r>
          </w:p>
        </w:tc>
        <w:tc>
          <w:tcPr>
            <w:tcW w:type="dxa" w:w="1036"/>
            <w:vAlign w:val="top"/>
          </w:tcPr>
          <w:p>
            <w:pPr>
              <w:spacing w:after="40" w:before="0" w:line="259" w:lineRule="auto"/>
            </w:pPr>
            <w:r>
              <w:rPr>
                <w:rFonts w:ascii="Calibri" w:hAnsi="Calibri"/>
                <w:b w:val="0"/>
                <w:i w:val="0"/>
                <w:color w:val="212121"/>
                <w:sz w:val="16"/>
              </w:rPr>
              <w:t>Recurrent tonsillitis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Management-defining</w:t>
            </w:r>
          </w:p>
        </w:tc>
        <w:tc>
          <w:tcPr>
            <w:tcW w:type="dxa" w:w="720"/>
            <w:vAlign w:val="top"/>
          </w:tcPr>
          <w:p>
            <w:pPr>
              <w:spacing w:after="40" w:before="0" w:line="259" w:lineRule="auto"/>
            </w:pPr>
            <w:r>
              <w:rPr>
                <w:rFonts w:ascii="Calibri" w:hAnsi="Calibri"/>
                <w:b w:val="0"/>
                <w:i w:val="0"/>
                <w:color w:val="212121"/>
                <w:sz w:val="16"/>
              </w:rPr>
              <w:t>Require well-documented, treated episodes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&amp; risk history</w:t>
            </w:r>
          </w:p>
        </w:tc>
        <w:tc>
          <w:tcPr>
            <w:tcW w:type="dxa" w:w="979"/>
            <w:vAlign w:val="top"/>
          </w:tcPr>
          <w:p>
            <w:pPr>
              <w:spacing w:after="40" w:before="0" w:line="259" w:lineRule="auto"/>
            </w:pPr>
            <w:r>
              <w:rPr>
                <w:rFonts w:ascii="Calibri" w:hAnsi="Calibri"/>
                <w:b w:val="0"/>
                <w:i w:val="0"/>
                <w:color w:val="212121"/>
                <w:sz w:val="16"/>
              </w:rPr>
              <w:t>Contacts, crowding, smoke exposure, season</w:t>
            </w:r>
          </w:p>
        </w:tc>
        <w:tc>
          <w:tcPr>
            <w:tcW w:type="dxa" w:w="950"/>
            <w:vAlign w:val="top"/>
          </w:tcPr>
          <w:p>
            <w:pPr>
              <w:spacing w:after="40" w:before="0" w:line="259" w:lineRule="auto"/>
            </w:pPr>
            <w:r>
              <w:rPr>
                <w:rFonts w:ascii="Calibri" w:hAnsi="Calibri"/>
                <w:b w:val="0"/>
                <w:i w:val="0"/>
                <w:color w:val="212121"/>
                <w:sz w:val="16"/>
              </w:rPr>
              <w:t>No significant exposure</w:t>
            </w:r>
          </w:p>
        </w:tc>
        <w:tc>
          <w:tcPr>
            <w:tcW w:type="dxa" w:w="950"/>
            <w:vAlign w:val="top"/>
          </w:tcPr>
          <w:p>
            <w:pPr>
              <w:spacing w:after="40" w:before="0" w:line="259" w:lineRule="auto"/>
            </w:pPr>
            <w:r>
              <w:rPr>
                <w:rFonts w:ascii="Calibri" w:hAnsi="Calibri"/>
                <w:b w:val="0"/>
                <w:i w:val="0"/>
                <w:color w:val="212121"/>
                <w:sz w:val="16"/>
              </w:rPr>
              <w:t>Sick contact, crowding, household smoke</w:t>
            </w:r>
          </w:p>
        </w:tc>
        <w:tc>
          <w:tcPr>
            <w:tcW w:type="dxa" w:w="1036"/>
            <w:vAlign w:val="top"/>
          </w:tcPr>
          <w:p>
            <w:pPr>
              <w:spacing w:after="40" w:before="0" w:line="259" w:lineRule="auto"/>
            </w:pPr>
            <w:r>
              <w:rPr>
                <w:rFonts w:ascii="Calibri" w:hAnsi="Calibri"/>
                <w:b w:val="0"/>
                <w:i w:val="0"/>
                <w:color w:val="212121"/>
                <w:sz w:val="16"/>
              </w:rPr>
              <w:t>Identifies provoking and modifiable factors</w:t>
            </w:r>
          </w:p>
        </w:tc>
        <w:tc>
          <w:tcPr>
            <w:tcW w:type="dxa" w:w="1036"/>
            <w:vAlign w:val="top"/>
          </w:tcPr>
          <w:p>
            <w:pPr>
              <w:spacing w:after="40" w:before="0" w:line="259" w:lineRule="auto"/>
            </w:pPr>
            <w:r>
              <w:rPr>
                <w:rFonts w:ascii="Calibri" w:hAnsi="Calibri"/>
                <w:b w:val="0"/>
                <w:i w:val="0"/>
                <w:color w:val="212121"/>
                <w:sz w:val="16"/>
              </w:rPr>
              <w:t>Children, institutional residents</w:t>
            </w:r>
          </w:p>
        </w:tc>
        <w:tc>
          <w:tcPr>
            <w:tcW w:type="dxa" w:w="720"/>
            <w:vAlign w:val="top"/>
          </w:tcPr>
          <w:p>
            <w:pPr>
              <w:spacing w:after="40" w:before="0" w:line="259" w:lineRule="auto"/>
            </w:pPr>
            <w:r>
              <w:rPr>
                <w:rFonts w:ascii="Calibri" w:hAnsi="Calibri"/>
                <w:b w:val="0"/>
                <w:i w:val="0"/>
                <w:color w:val="212121"/>
                <w:sz w:val="16"/>
              </w:rPr>
              <w:t>Hygiene; Smoking; Provoking factors</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Guides hygiene and cessation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Oropharyngeal examination</w:t>
            </w:r>
          </w:p>
        </w:tc>
        <w:tc>
          <w:tcPr>
            <w:tcW w:type="dxa" w:w="979"/>
            <w:vAlign w:val="top"/>
          </w:tcPr>
          <w:p>
            <w:pPr>
              <w:spacing w:after="40" w:before="0" w:line="259" w:lineRule="auto"/>
            </w:pPr>
            <w:r>
              <w:rPr>
                <w:rFonts w:ascii="Calibri" w:hAnsi="Calibri"/>
                <w:b w:val="0"/>
                <w:i w:val="0"/>
                <w:color w:val="212121"/>
                <w:sz w:val="16"/>
              </w:rPr>
              <w:t>Tonsillar erythema, exudate, size (Brodsky grade)</w:t>
            </w:r>
          </w:p>
        </w:tc>
        <w:tc>
          <w:tcPr>
            <w:tcW w:type="dxa" w:w="950"/>
            <w:vAlign w:val="top"/>
          </w:tcPr>
          <w:p>
            <w:pPr>
              <w:spacing w:after="40" w:before="0" w:line="259" w:lineRule="auto"/>
            </w:pPr>
            <w:r>
              <w:rPr>
                <w:rFonts w:ascii="Calibri" w:hAnsi="Calibri"/>
                <w:b w:val="0"/>
                <w:i w:val="0"/>
                <w:color w:val="212121"/>
                <w:sz w:val="16"/>
              </w:rPr>
              <w:t>Small, non-inflamed tonsils</w:t>
            </w:r>
          </w:p>
        </w:tc>
        <w:tc>
          <w:tcPr>
            <w:tcW w:type="dxa" w:w="950"/>
            <w:vAlign w:val="top"/>
          </w:tcPr>
          <w:p>
            <w:pPr>
              <w:spacing w:after="40" w:before="0" w:line="259" w:lineRule="auto"/>
            </w:pPr>
            <w:r>
              <w:rPr>
                <w:rFonts w:ascii="Calibri" w:hAnsi="Calibri"/>
                <w:b w:val="0"/>
                <w:i w:val="0"/>
                <w:color w:val="212121"/>
                <w:sz w:val="16"/>
              </w:rPr>
              <w:t>Red, enlarged or exudate-covered tonsils; grade 3–4</w:t>
            </w:r>
          </w:p>
        </w:tc>
        <w:tc>
          <w:tcPr>
            <w:tcW w:type="dxa" w:w="1036"/>
            <w:vAlign w:val="top"/>
          </w:tcPr>
          <w:p>
            <w:pPr>
              <w:spacing w:after="40" w:before="0" w:line="259" w:lineRule="auto"/>
            </w:pPr>
            <w:r>
              <w:rPr>
                <w:rFonts w:ascii="Calibri" w:hAnsi="Calibri"/>
                <w:b w:val="0"/>
                <w:i w:val="0"/>
                <w:color w:val="212121"/>
                <w:sz w:val="16"/>
              </w:rPr>
              <w:t>Confirms tonsillar inflammation and obstruction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Grade 4 (‘kissing tonsils’) implies airway compromise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Cervical lymph-node palpation</w:t>
            </w:r>
          </w:p>
        </w:tc>
        <w:tc>
          <w:tcPr>
            <w:tcW w:type="dxa" w:w="979"/>
            <w:vAlign w:val="top"/>
          </w:tcPr>
          <w:p>
            <w:pPr>
              <w:spacing w:after="40" w:before="0" w:line="259" w:lineRule="auto"/>
            </w:pPr>
            <w:r>
              <w:rPr>
                <w:rFonts w:ascii="Calibri" w:hAnsi="Calibri"/>
                <w:b w:val="0"/>
                <w:i w:val="0"/>
                <w:color w:val="212121"/>
                <w:sz w:val="16"/>
              </w:rPr>
              <w:t>Tender anterior cervical nodes</w:t>
            </w:r>
          </w:p>
        </w:tc>
        <w:tc>
          <w:tcPr>
            <w:tcW w:type="dxa" w:w="950"/>
            <w:vAlign w:val="top"/>
          </w:tcPr>
          <w:p>
            <w:pPr>
              <w:spacing w:after="40" w:before="0" w:line="259" w:lineRule="auto"/>
            </w:pPr>
            <w:r>
              <w:rPr>
                <w:rFonts w:ascii="Calibri" w:hAnsi="Calibri"/>
                <w:b w:val="0"/>
                <w:i w:val="0"/>
                <w:color w:val="212121"/>
                <w:sz w:val="16"/>
              </w:rPr>
              <w:t>No tender adenopathy</w:t>
            </w:r>
          </w:p>
        </w:tc>
        <w:tc>
          <w:tcPr>
            <w:tcW w:type="dxa" w:w="950"/>
            <w:vAlign w:val="top"/>
          </w:tcPr>
          <w:p>
            <w:pPr>
              <w:spacing w:after="40" w:before="0" w:line="259" w:lineRule="auto"/>
            </w:pPr>
            <w:r>
              <w:rPr>
                <w:rFonts w:ascii="Calibri" w:hAnsi="Calibri"/>
                <w:b w:val="0"/>
                <w:i w:val="0"/>
                <w:color w:val="212121"/>
                <w:sz w:val="16"/>
              </w:rPr>
              <w:t>Tender, enlarged anterior cervical nodes</w:t>
            </w:r>
          </w:p>
        </w:tc>
        <w:tc>
          <w:tcPr>
            <w:tcW w:type="dxa" w:w="1036"/>
            <w:vAlign w:val="top"/>
          </w:tcPr>
          <w:p>
            <w:pPr>
              <w:spacing w:after="40" w:before="0" w:line="259" w:lineRule="auto"/>
            </w:pPr>
            <w:r>
              <w:rPr>
                <w:rFonts w:ascii="Calibri" w:hAnsi="Calibri"/>
                <w:b w:val="0"/>
                <w:i w:val="0"/>
                <w:color w:val="212121"/>
                <w:sz w:val="16"/>
              </w:rPr>
              <w:t>A Centor criterion supporting bacterial infection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Generalised/posterior nodes suggest mononucleosis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Scoring</w:t>
            </w:r>
          </w:p>
        </w:tc>
        <w:tc>
          <w:tcPr>
            <w:tcW w:type="dxa" w:w="950"/>
            <w:vAlign w:val="top"/>
          </w:tcPr>
          <w:p>
            <w:pPr>
              <w:spacing w:after="40" w:before="0" w:line="259" w:lineRule="auto"/>
            </w:pPr>
            <w:r>
              <w:rPr>
                <w:rFonts w:ascii="Calibri" w:hAnsi="Calibri"/>
                <w:b w:val="0"/>
                <w:i w:val="0"/>
                <w:color w:val="212121"/>
                <w:sz w:val="16"/>
              </w:rPr>
              <w:t>Modified Centor (McIsaac) scoring</w:t>
            </w:r>
          </w:p>
        </w:tc>
        <w:tc>
          <w:tcPr>
            <w:tcW w:type="dxa" w:w="979"/>
            <w:vAlign w:val="top"/>
          </w:tcPr>
          <w:p>
            <w:pPr>
              <w:spacing w:after="40" w:before="0" w:line="259" w:lineRule="auto"/>
            </w:pPr>
            <w:r>
              <w:rPr>
                <w:rFonts w:ascii="Calibri" w:hAnsi="Calibri"/>
                <w:b w:val="0"/>
                <w:i w:val="0"/>
                <w:color w:val="212121"/>
                <w:sz w:val="16"/>
              </w:rPr>
              <w:t>Fever, exudate, tender nodes, no cough, age</w:t>
            </w:r>
          </w:p>
        </w:tc>
        <w:tc>
          <w:tcPr>
            <w:tcW w:type="dxa" w:w="950"/>
            <w:vAlign w:val="top"/>
          </w:tcPr>
          <w:p>
            <w:pPr>
              <w:spacing w:after="40" w:before="0" w:line="259" w:lineRule="auto"/>
            </w:pPr>
            <w:r>
              <w:rPr>
                <w:rFonts w:ascii="Calibri" w:hAnsi="Calibri"/>
                <w:b w:val="0"/>
                <w:i w:val="0"/>
                <w:color w:val="212121"/>
                <w:sz w:val="16"/>
              </w:rPr>
              <w:t>Score 0–1</w:t>
            </w:r>
          </w:p>
        </w:tc>
        <w:tc>
          <w:tcPr>
            <w:tcW w:type="dxa" w:w="950"/>
            <w:vAlign w:val="top"/>
          </w:tcPr>
          <w:p>
            <w:pPr>
              <w:spacing w:after="40" w:before="0" w:line="259" w:lineRule="auto"/>
            </w:pPr>
            <w:r>
              <w:rPr>
                <w:rFonts w:ascii="Calibri" w:hAnsi="Calibri"/>
                <w:b w:val="0"/>
                <w:i w:val="0"/>
                <w:color w:val="212121"/>
                <w:sz w:val="16"/>
              </w:rPr>
              <w:t>Score ≥ 3</w:t>
            </w:r>
          </w:p>
        </w:tc>
        <w:tc>
          <w:tcPr>
            <w:tcW w:type="dxa" w:w="1036"/>
            <w:vAlign w:val="top"/>
          </w:tcPr>
          <w:p>
            <w:pPr>
              <w:spacing w:after="40" w:before="0" w:line="259" w:lineRule="auto"/>
            </w:pPr>
            <w:r>
              <w:rPr>
                <w:rFonts w:ascii="Calibri" w:hAnsi="Calibri"/>
                <w:b w:val="0"/>
                <w:i w:val="0"/>
                <w:color w:val="212121"/>
                <w:sz w:val="16"/>
              </w:rPr>
              <w:t>Estimates group A streptococcal probability</w:t>
            </w:r>
          </w:p>
        </w:tc>
        <w:tc>
          <w:tcPr>
            <w:tcW w:type="dxa" w:w="1036"/>
            <w:vAlign w:val="top"/>
          </w:tcPr>
          <w:p>
            <w:pPr>
              <w:spacing w:after="40" w:before="0" w:line="259" w:lineRule="auto"/>
            </w:pPr>
            <w:r>
              <w:rPr>
                <w:rFonts w:ascii="Calibri" w:hAnsi="Calibri"/>
                <w:b w:val="0"/>
                <w:i w:val="0"/>
                <w:color w:val="212121"/>
                <w:sz w:val="16"/>
              </w:rPr>
              <w:t>Acute sore throat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Decision aid</w:t>
            </w:r>
          </w:p>
        </w:tc>
        <w:tc>
          <w:tcPr>
            <w:tcW w:type="dxa" w:w="720"/>
            <w:vAlign w:val="top"/>
          </w:tcPr>
          <w:p>
            <w:pPr>
              <w:spacing w:after="40" w:before="0" w:line="259" w:lineRule="auto"/>
            </w:pPr>
            <w:r>
              <w:rPr>
                <w:rFonts w:ascii="Calibri" w:hAnsi="Calibri"/>
                <w:b w:val="0"/>
                <w:i w:val="0"/>
                <w:color w:val="212121"/>
                <w:sz w:val="16"/>
              </w:rPr>
              <w:t>Directs testing and antibiotic 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Red-flag assessment (abscess/airway)</w:t>
            </w:r>
          </w:p>
        </w:tc>
        <w:tc>
          <w:tcPr>
            <w:tcW w:type="dxa" w:w="979"/>
            <w:vAlign w:val="top"/>
          </w:tcPr>
          <w:p>
            <w:pPr>
              <w:spacing w:after="40" w:before="0" w:line="259" w:lineRule="auto"/>
            </w:pPr>
            <w:r>
              <w:rPr>
                <w:rFonts w:ascii="Calibri" w:hAnsi="Calibri"/>
                <w:b w:val="0"/>
                <w:i w:val="0"/>
                <w:color w:val="212121"/>
                <w:sz w:val="16"/>
              </w:rPr>
              <w:t>Trismus, uvular deviation, muffled voice, drooling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Signals peritonsillar/deep-neck abscess or airway threat</w:t>
            </w:r>
          </w:p>
        </w:tc>
        <w:tc>
          <w:tcPr>
            <w:tcW w:type="dxa" w:w="1036"/>
            <w:vAlign w:val="top"/>
          </w:tcPr>
          <w:p>
            <w:pPr>
              <w:spacing w:after="40" w:before="0" w:line="259" w:lineRule="auto"/>
            </w:pPr>
            <w:r>
              <w:rPr>
                <w:rFonts w:ascii="Calibri" w:hAnsi="Calibri"/>
                <w:b w:val="0"/>
                <w:i w:val="0"/>
                <w:color w:val="212121"/>
                <w:sz w:val="16"/>
              </w:rPr>
              <w:t>Severe/complicated tonsillitis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Emergency triage</w:t>
            </w:r>
          </w:p>
        </w:tc>
        <w:tc>
          <w:tcPr>
            <w:tcW w:type="dxa" w:w="720"/>
            <w:vAlign w:val="top"/>
          </w:tcPr>
          <w:p>
            <w:pPr>
              <w:spacing w:after="40" w:before="0" w:line="259" w:lineRule="auto"/>
            </w:pPr>
            <w:r>
              <w:rPr>
                <w:rFonts w:ascii="Calibri" w:hAnsi="Calibri"/>
                <w:b w:val="0"/>
                <w:i w:val="0"/>
                <w:color w:val="212121"/>
                <w:sz w:val="16"/>
              </w:rPr>
              <w:t>Requires urgent ENT referral and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Systemic examination (mononucleosis)</w:t>
            </w:r>
          </w:p>
        </w:tc>
        <w:tc>
          <w:tcPr>
            <w:tcW w:type="dxa" w:w="979"/>
            <w:vAlign w:val="top"/>
          </w:tcPr>
          <w:p>
            <w:pPr>
              <w:spacing w:after="40" w:before="0" w:line="259" w:lineRule="auto"/>
            </w:pPr>
            <w:r>
              <w:rPr>
                <w:rFonts w:ascii="Calibri" w:hAnsi="Calibri"/>
                <w:b w:val="0"/>
                <w:i w:val="0"/>
                <w:color w:val="212121"/>
                <w:sz w:val="16"/>
              </w:rPr>
              <w:t>Hepatosplenomegaly, generalised lymphadenopathy, palatal petechiae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Points to EBV infectious mononucleosis</w:t>
            </w:r>
          </w:p>
        </w:tc>
        <w:tc>
          <w:tcPr>
            <w:tcW w:type="dxa" w:w="1036"/>
            <w:vAlign w:val="top"/>
          </w:tcPr>
          <w:p>
            <w:pPr>
              <w:spacing w:after="40" w:before="0" w:line="259" w:lineRule="auto"/>
            </w:pPr>
            <w:r>
              <w:rPr>
                <w:rFonts w:ascii="Calibri" w:hAnsi="Calibri"/>
                <w:b w:val="0"/>
                <w:i w:val="0"/>
                <w:color w:val="212121"/>
                <w:sz w:val="16"/>
              </w:rPr>
              <w:t>Adolescents/young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Advise against contact sport if splenomegaly present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Sore throat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 scratchy, raw or painful throat, often of sudden onset.</w:t>
            </w:r>
          </w:p>
        </w:tc>
      </w:tr>
      <w:tr>
        <w:trPr>
          <w:cantSplit/>
        </w:trPr>
        <w:tc>
          <w:tcPr>
            <w:tcW w:type="dxa" w:w="2304"/>
            <w:vAlign w:val="top"/>
          </w:tcPr>
          <w:p>
            <w:pPr>
              <w:spacing w:after="40" w:before="0" w:line="259" w:lineRule="auto"/>
            </w:pPr>
            <w:r>
              <w:rPr>
                <w:rFonts w:ascii="Calibri" w:hAnsi="Calibri"/>
                <w:b/>
                <w:i w:val="0"/>
                <w:color w:val="212121"/>
                <w:sz w:val="19"/>
              </w:rPr>
              <w:t>Odynophagia (painful swallowing)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on swallowing that can limit eating and drinking, worst with solids.</w:t>
            </w:r>
          </w:p>
        </w:tc>
      </w:tr>
      <w:tr>
        <w:trPr>
          <w:cantSplit/>
        </w:trPr>
        <w:tc>
          <w:tcPr>
            <w:tcW w:type="dxa" w:w="2304"/>
            <w:vAlign w:val="top"/>
          </w:tcPr>
          <w:p>
            <w:pPr>
              <w:spacing w:after="40" w:before="0" w:line="259" w:lineRule="auto"/>
            </w:pPr>
            <w:r>
              <w:rPr>
                <w:rFonts w:ascii="Calibri" w:hAnsi="Calibri"/>
                <w:b/>
                <w:i w:val="0"/>
                <w:color w:val="212121"/>
                <w:sz w:val="19"/>
              </w:rPr>
              <w:t>Fever and chills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Temperature ≥ 38°C, more marked in bacterial (streptococcal) tonsillitis.</w:t>
            </w:r>
          </w:p>
        </w:tc>
      </w:tr>
      <w:tr>
        <w:trPr>
          <w:cantSplit/>
        </w:trPr>
        <w:tc>
          <w:tcPr>
            <w:tcW w:type="dxa" w:w="2304"/>
            <w:vAlign w:val="top"/>
          </w:tcPr>
          <w:p>
            <w:pPr>
              <w:spacing w:after="40" w:before="0" w:line="259" w:lineRule="auto"/>
            </w:pPr>
            <w:r>
              <w:rPr>
                <w:rFonts w:ascii="Calibri" w:hAnsi="Calibri"/>
                <w:b/>
                <w:i w:val="0"/>
                <w:color w:val="212121"/>
                <w:sz w:val="19"/>
              </w:rPr>
              <w:t>Dysphagia (difficulty swallowing)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swallowing from swollen, inflamed tonsils narrowing the throat.</w:t>
            </w:r>
          </w:p>
        </w:tc>
      </w:tr>
      <w:tr>
        <w:trPr>
          <w:cantSplit/>
        </w:trPr>
        <w:tc>
          <w:tcPr>
            <w:tcW w:type="dxa" w:w="2304"/>
            <w:vAlign w:val="top"/>
          </w:tcPr>
          <w:p>
            <w:pPr>
              <w:spacing w:after="40" w:before="0" w:line="259" w:lineRule="auto"/>
            </w:pPr>
            <w:r>
              <w:rPr>
                <w:rFonts w:ascii="Calibri" w:hAnsi="Calibri"/>
                <w:b/>
                <w:i w:val="0"/>
                <w:color w:val="212121"/>
                <w:sz w:val="19"/>
              </w:rPr>
              <w:t>Tender, swollen neck glands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Enlarged, tender anterior cervical lymph nodes felt in the neck.</w:t>
            </w:r>
          </w:p>
        </w:tc>
      </w:tr>
      <w:tr>
        <w:trPr>
          <w:cantSplit/>
        </w:trPr>
        <w:tc>
          <w:tcPr>
            <w:tcW w:type="dxa" w:w="2304"/>
            <w:vAlign w:val="top"/>
          </w:tcPr>
          <w:p>
            <w:pPr>
              <w:spacing w:after="40" w:before="0" w:line="259" w:lineRule="auto"/>
            </w:pPr>
            <w:r>
              <w:rPr>
                <w:rFonts w:ascii="Calibri" w:hAnsi="Calibri"/>
                <w:b/>
                <w:i w:val="0"/>
                <w:color w:val="212121"/>
                <w:sz w:val="19"/>
              </w:rPr>
              <w:t>Headache &amp;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Generalised aching, tiredness and headache accompanying the infection.</w:t>
            </w:r>
          </w:p>
        </w:tc>
      </w:tr>
      <w:tr>
        <w:trPr>
          <w:cantSplit/>
        </w:trPr>
        <w:tc>
          <w:tcPr>
            <w:tcW w:type="dxa" w:w="2304"/>
            <w:vAlign w:val="top"/>
          </w:tcPr>
          <w:p>
            <w:pPr>
              <w:spacing w:after="40" w:before="0" w:line="259" w:lineRule="auto"/>
            </w:pPr>
            <w:r>
              <w:rPr>
                <w:rFonts w:ascii="Calibri" w:hAnsi="Calibri"/>
                <w:b/>
                <w:i w:val="0"/>
                <w:color w:val="212121"/>
                <w:sz w:val="19"/>
              </w:rPr>
              <w:t>Halitosis (bad breath)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Foul breath from bacterial debris and tonsilloliths, prominent in chronic tonsillitis.</w:t>
            </w:r>
          </w:p>
        </w:tc>
      </w:tr>
      <w:tr>
        <w:trPr>
          <w:cantSplit/>
        </w:trPr>
        <w:tc>
          <w:tcPr>
            <w:tcW w:type="dxa" w:w="2304"/>
            <w:vAlign w:val="top"/>
          </w:tcPr>
          <w:p>
            <w:pPr>
              <w:spacing w:after="40" w:before="0" w:line="259" w:lineRule="auto"/>
            </w:pPr>
            <w:r>
              <w:rPr>
                <w:rFonts w:ascii="Calibri" w:hAnsi="Calibri"/>
                <w:b/>
                <w:i w:val="0"/>
                <w:color w:val="212121"/>
                <w:sz w:val="19"/>
              </w:rPr>
              <w:t>Referred earache (otalgia)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referred to the ear via the glossopharyngeal nerve without ear infection.</w:t>
            </w:r>
          </w:p>
        </w:tc>
      </w:tr>
      <w:tr>
        <w:trPr>
          <w:cantSplit/>
        </w:trPr>
        <w:tc>
          <w:tcPr>
            <w:tcW w:type="dxa" w:w="2304"/>
            <w:vAlign w:val="top"/>
          </w:tcPr>
          <w:p>
            <w:pPr>
              <w:spacing w:after="40" w:before="0" w:line="259" w:lineRule="auto"/>
            </w:pPr>
            <w:r>
              <w:rPr>
                <w:rFonts w:ascii="Calibri" w:hAnsi="Calibri"/>
                <w:b/>
                <w:i w:val="0"/>
                <w:color w:val="212121"/>
                <w:sz w:val="19"/>
              </w:rPr>
              <w:t>Loss of appetite / poor feeding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intake, especially in young children who refuse food and drink.</w:t>
            </w:r>
          </w:p>
        </w:tc>
      </w:tr>
      <w:tr>
        <w:trPr>
          <w:cantSplit/>
        </w:trPr>
        <w:tc>
          <w:tcPr>
            <w:tcW w:type="dxa" w:w="2304"/>
            <w:vAlign w:val="top"/>
          </w:tcPr>
          <w:p>
            <w:pPr>
              <w:spacing w:after="40" w:before="0" w:line="259" w:lineRule="auto"/>
            </w:pPr>
            <w:r>
              <w:rPr>
                <w:rFonts w:ascii="Calibri" w:hAnsi="Calibri"/>
                <w:b/>
                <w:i w:val="0"/>
                <w:color w:val="212121"/>
                <w:sz w:val="19"/>
              </w:rPr>
              <w:t>Abdominal pain, nausea or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Particularly in young children with streptococcal infection.</w:t>
            </w:r>
          </w:p>
        </w:tc>
      </w:tr>
      <w:tr>
        <w:trPr>
          <w:cantSplit/>
        </w:trPr>
        <w:tc>
          <w:tcPr>
            <w:tcW w:type="dxa" w:w="2304"/>
            <w:vAlign w:val="top"/>
          </w:tcPr>
          <w:p>
            <w:pPr>
              <w:spacing w:after="40" w:before="0" w:line="259" w:lineRule="auto"/>
            </w:pPr>
            <w:r>
              <w:rPr>
                <w:rFonts w:ascii="Calibri" w:hAnsi="Calibri"/>
                <w:b/>
                <w:i w:val="0"/>
                <w:color w:val="212121"/>
                <w:sz w:val="19"/>
              </w:rPr>
              <w:t>Muffled ‘hot-potato’ voice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thick, muffled voice suggesting marked swelling or peritonsillar abscess.</w:t>
            </w:r>
          </w:p>
        </w:tc>
      </w:tr>
      <w:tr>
        <w:trPr>
          <w:cantSplit/>
        </w:trPr>
        <w:tc>
          <w:tcPr>
            <w:tcW w:type="dxa" w:w="2304"/>
            <w:vAlign w:val="top"/>
          </w:tcPr>
          <w:p>
            <w:pPr>
              <w:spacing w:after="40" w:before="0" w:line="259" w:lineRule="auto"/>
            </w:pPr>
            <w:r>
              <w:rPr>
                <w:rFonts w:ascii="Calibri" w:hAnsi="Calibri"/>
                <w:b/>
                <w:i w:val="0"/>
                <w:color w:val="212121"/>
                <w:sz w:val="19"/>
              </w:rPr>
              <w:t>Snoring, mouth-breathing &amp; disturbed sleep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chronic tonsillar hypertrophy causing obstructive sleep-disordered breathing.</w:t>
            </w:r>
          </w:p>
        </w:tc>
      </w:tr>
      <w:tr>
        <w:trPr>
          <w:cantSplit/>
        </w:trPr>
        <w:tc>
          <w:tcPr>
            <w:tcW w:type="dxa" w:w="2304"/>
            <w:vAlign w:val="top"/>
          </w:tcPr>
          <w:p>
            <w:pPr>
              <w:spacing w:after="40" w:before="0" w:line="259" w:lineRule="auto"/>
            </w:pPr>
            <w:r>
              <w:rPr>
                <w:rFonts w:ascii="Calibri" w:hAnsi="Calibri"/>
                <w:b/>
                <w:i w:val="0"/>
                <w:color w:val="212121"/>
                <w:sz w:val="19"/>
              </w:rPr>
              <w:t>Trismus (difficulty opening the mouth)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Painful limitation of mouth opening, a warning sign of peritonsillar abscess.</w:t>
            </w:r>
          </w:p>
        </w:tc>
      </w:tr>
      <w:tr>
        <w:trPr>
          <w:cantSplit/>
        </w:trPr>
        <w:tc>
          <w:tcPr>
            <w:tcW w:type="dxa" w:w="2304"/>
            <w:vAlign w:val="top"/>
          </w:tcPr>
          <w:p>
            <w:pPr>
              <w:spacing w:after="40" w:before="0" w:line="259" w:lineRule="auto"/>
            </w:pPr>
            <w:r>
              <w:rPr>
                <w:rFonts w:ascii="Calibri" w:hAnsi="Calibri"/>
                <w:b/>
                <w:i w:val="0"/>
                <w:color w:val="212121"/>
                <w:sz w:val="19"/>
              </w:rPr>
              <w:t>Drooling / inability to swallow saliva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Signals severe obstruction, abscess or airway compromise needing urgent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Erythematous, enlarged tonsils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 swollen palatine tonsils, the hallmark examination finding.</w:t>
            </w:r>
          </w:p>
        </w:tc>
      </w:tr>
      <w:tr>
        <w:trPr>
          <w:cantSplit/>
        </w:trPr>
        <w:tc>
          <w:tcPr>
            <w:tcW w:type="dxa" w:w="3456"/>
            <w:vAlign w:val="top"/>
          </w:tcPr>
          <w:p>
            <w:pPr>
              <w:spacing w:after="40" w:before="0" w:line="259" w:lineRule="auto"/>
            </w:pPr>
            <w:r>
              <w:rPr>
                <w:rFonts w:ascii="Calibri" w:hAnsi="Calibri"/>
                <w:b/>
                <w:i w:val="0"/>
                <w:color w:val="212121"/>
                <w:sz w:val="19"/>
              </w:rPr>
              <w:t>Tonsillar exudate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White, yellow or grey patches or coating over the tonsillar surface and crypts.</w:t>
            </w:r>
          </w:p>
        </w:tc>
      </w:tr>
      <w:tr>
        <w:trPr>
          <w:cantSplit/>
        </w:trPr>
        <w:tc>
          <w:tcPr>
            <w:tcW w:type="dxa" w:w="3456"/>
            <w:vAlign w:val="top"/>
          </w:tcPr>
          <w:p>
            <w:pPr>
              <w:spacing w:after="40" w:before="0" w:line="259" w:lineRule="auto"/>
            </w:pPr>
            <w:r>
              <w:rPr>
                <w:rFonts w:ascii="Calibri" w:hAnsi="Calibri"/>
                <w:b/>
                <w:i w:val="0"/>
                <w:color w:val="212121"/>
                <w:sz w:val="19"/>
              </w:rPr>
              <w:t>Tender anterior cervical 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tender nodes at the angle of the jaw and along the anterior neck.</w:t>
            </w:r>
          </w:p>
        </w:tc>
      </w:tr>
      <w:tr>
        <w:trPr>
          <w:cantSplit/>
        </w:trPr>
        <w:tc>
          <w:tcPr>
            <w:tcW w:type="dxa" w:w="3456"/>
            <w:vAlign w:val="top"/>
          </w:tcPr>
          <w:p>
            <w:pPr>
              <w:spacing w:after="40" w:before="0" w:line="259" w:lineRule="auto"/>
            </w:pPr>
            <w:r>
              <w:rPr>
                <w:rFonts w:ascii="Calibri" w:hAnsi="Calibri"/>
                <w:b/>
                <w:i w:val="0"/>
                <w:color w:val="212121"/>
                <w:sz w:val="19"/>
              </w:rPr>
              <w:t>Fever &gt; 38°C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pyrexia, one of the Centor criteria.</w:t>
            </w:r>
          </w:p>
        </w:tc>
      </w:tr>
      <w:tr>
        <w:trPr>
          <w:cantSplit/>
        </w:trPr>
        <w:tc>
          <w:tcPr>
            <w:tcW w:type="dxa" w:w="3456"/>
            <w:vAlign w:val="top"/>
          </w:tcPr>
          <w:p>
            <w:pPr>
              <w:spacing w:after="40" w:before="0" w:line="259" w:lineRule="auto"/>
            </w:pPr>
            <w:r>
              <w:rPr>
                <w:rFonts w:ascii="Calibri" w:hAnsi="Calibri"/>
                <w:b/>
                <w:i w:val="0"/>
                <w:color w:val="212121"/>
                <w:sz w:val="19"/>
              </w:rPr>
              <w:t>Tonsillar enlargement graded (Brodsky/Friedman)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Graded tonsillar hypertrophy; grade 3–4 (‘kissing tonsils’) narrows the airway.</w:t>
            </w:r>
          </w:p>
        </w:tc>
      </w:tr>
      <w:tr>
        <w:trPr>
          <w:cantSplit/>
        </w:trPr>
        <w:tc>
          <w:tcPr>
            <w:tcW w:type="dxa" w:w="3456"/>
            <w:vAlign w:val="top"/>
          </w:tcPr>
          <w:p>
            <w:pPr>
              <w:spacing w:after="40" w:before="0" w:line="259" w:lineRule="auto"/>
            </w:pPr>
            <w:r>
              <w:rPr>
                <w:rFonts w:ascii="Calibri" w:hAnsi="Calibri"/>
                <w:b/>
                <w:i w:val="0"/>
                <w:color w:val="212121"/>
                <w:sz w:val="19"/>
              </w:rPr>
              <w:t>Absence of cough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clinical pointer that favours bacterial over viral aetiology in scoring.</w:t>
            </w:r>
          </w:p>
        </w:tc>
      </w:tr>
      <w:tr>
        <w:trPr>
          <w:cantSplit/>
        </w:trPr>
        <w:tc>
          <w:tcPr>
            <w:tcW w:type="dxa" w:w="3456"/>
            <w:vAlign w:val="top"/>
          </w:tcPr>
          <w:p>
            <w:pPr>
              <w:spacing w:after="40" w:before="0" w:line="259" w:lineRule="auto"/>
            </w:pPr>
            <w:r>
              <w:rPr>
                <w:rFonts w:ascii="Calibri" w:hAnsi="Calibri"/>
                <w:b/>
                <w:i w:val="0"/>
                <w:color w:val="212121"/>
                <w:sz w:val="19"/>
              </w:rPr>
              <w:t>Tonsillar crypt debris / tonsilloliths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Cheesy, malodorous concretions in the crypts, typical of chronic tonsillitis.</w:t>
            </w:r>
          </w:p>
        </w:tc>
      </w:tr>
      <w:tr>
        <w:trPr>
          <w:cantSplit/>
        </w:trPr>
        <w:tc>
          <w:tcPr>
            <w:tcW w:type="dxa" w:w="3456"/>
            <w:vAlign w:val="top"/>
          </w:tcPr>
          <w:p>
            <w:pPr>
              <w:spacing w:after="40" w:before="0" w:line="259" w:lineRule="auto"/>
            </w:pPr>
            <w:r>
              <w:rPr>
                <w:rFonts w:ascii="Calibri" w:hAnsi="Calibri"/>
                <w:b/>
                <w:i w:val="0"/>
                <w:color w:val="212121"/>
                <w:sz w:val="19"/>
              </w:rPr>
              <w:t>Palatal petechiae / strawberry tongue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 streptococcal infection or scarlet fever.</w:t>
            </w:r>
          </w:p>
        </w:tc>
      </w:tr>
      <w:tr>
        <w:trPr>
          <w:cantSplit/>
        </w:trPr>
        <w:tc>
          <w:tcPr>
            <w:tcW w:type="dxa" w:w="3456"/>
            <w:vAlign w:val="top"/>
          </w:tcPr>
          <w:p>
            <w:pPr>
              <w:spacing w:after="40" w:before="0" w:line="259" w:lineRule="auto"/>
            </w:pPr>
            <w:r>
              <w:rPr>
                <w:rFonts w:ascii="Calibri" w:hAnsi="Calibri"/>
                <w:b/>
                <w:i w:val="0"/>
                <w:color w:val="212121"/>
                <w:sz w:val="19"/>
              </w:rPr>
              <w:t>Trismus with uvular deviation &amp; peritonsillar bulge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Unilateral swelling pushing the uvula across the midline — peritonsillar abscess.</w:t>
            </w:r>
          </w:p>
        </w:tc>
      </w:tr>
      <w:tr>
        <w:trPr>
          <w:cantSplit/>
        </w:trPr>
        <w:tc>
          <w:tcPr>
            <w:tcW w:type="dxa" w:w="3456"/>
            <w:vAlign w:val="top"/>
          </w:tcPr>
          <w:p>
            <w:pPr>
              <w:spacing w:after="40" w:before="0" w:line="259" w:lineRule="auto"/>
            </w:pPr>
            <w:r>
              <w:rPr>
                <w:rFonts w:ascii="Calibri" w:hAnsi="Calibri"/>
                <w:b/>
                <w:i w:val="0"/>
                <w:color w:val="212121"/>
                <w:sz w:val="19"/>
              </w:rPr>
              <w:t>Hepatosplenomegaly &amp; posterior cervical nodes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Systemic signs pointing to EBV infectious mononucleosis.</w:t>
            </w:r>
          </w:p>
        </w:tc>
      </w:tr>
      <w:tr>
        <w:trPr>
          <w:cantSplit/>
        </w:trPr>
        <w:tc>
          <w:tcPr>
            <w:tcW w:type="dxa" w:w="3456"/>
            <w:vAlign w:val="top"/>
          </w:tcPr>
          <w:p>
            <w:pPr>
              <w:spacing w:after="40" w:before="0" w:line="259" w:lineRule="auto"/>
            </w:pPr>
            <w:r>
              <w:rPr>
                <w:rFonts w:ascii="Calibri" w:hAnsi="Calibri"/>
                <w:b/>
                <w:i w:val="0"/>
                <w:color w:val="212121"/>
                <w:sz w:val="19"/>
              </w:rPr>
              <w:t>Grey pseudomembrane that bleeds on removal</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Adherent membrane raising concern for diphtheria in under-vaccinated individuals.</w:t>
            </w:r>
          </w:p>
        </w:tc>
      </w:tr>
      <w:tr>
        <w:trPr>
          <w:cantSplit/>
        </w:trPr>
        <w:tc>
          <w:tcPr>
            <w:tcW w:type="dxa" w:w="3456"/>
            <w:vAlign w:val="top"/>
          </w:tcPr>
          <w:p>
            <w:pPr>
              <w:spacing w:after="40" w:before="0" w:line="259" w:lineRule="auto"/>
            </w:pPr>
            <w:r>
              <w:rPr>
                <w:rFonts w:ascii="Calibri" w:hAnsi="Calibri"/>
                <w:b/>
                <w:i w:val="0"/>
                <w:color w:val="212121"/>
                <w:sz w:val="19"/>
              </w:rPr>
              <w:t>Persistent unilateral tonsillar enlargement/ulceration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An asymmetric mass or ulcer that is a red flag for malignancy.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Peritonsillar abscess (quinsy)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Parapharyngeal and retropharyngeal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upper-airway obstruction (marked tonsillar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otitis media and sinusitis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from reduced oral intake</w:t>
            </w:r>
          </w:p>
        </w:tc>
        <w:tc>
          <w:tcPr>
            <w:tcW w:type="dxa" w:w="2980"/>
            <w:vAlign w:val="top"/>
          </w:tcPr>
          <w:p>
            <w:pPr>
              <w:spacing w:after="40" w:before="0" w:line="259" w:lineRule="auto"/>
            </w:pPr>
            <w:r>
              <w:rPr>
                <w:rFonts w:ascii="Calibri" w:hAnsi="Calibri"/>
                <w:b w:val="0"/>
                <w:i w:val="0"/>
                <w:color w:val="212121"/>
                <w:sz w:val="19"/>
              </w:rPr>
              <w:t>Direct local and suppurative extensions of acute tonsillar infection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Deep-neck-space infection and descending mediastinitis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Lemierre syndrome (Fusobacterium septic internal-jugular thrombophlebitis)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Scarlet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rheumatic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Post-streptococcal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PANDAS (paediatric autoimmune neuropsychiatric disorder)</w:t>
            </w:r>
          </w:p>
        </w:tc>
        <w:tc>
          <w:tcPr>
            <w:tcW w:type="dxa" w:w="2980"/>
            <w:vAlign w:val="top"/>
          </w:tcPr>
          <w:p>
            <w:pPr>
              <w:spacing w:after="40" w:before="0" w:line="259" w:lineRule="auto"/>
            </w:pPr>
            <w:r>
              <w:rPr>
                <w:rFonts w:ascii="Calibri" w:hAnsi="Calibri"/>
                <w:b w:val="0"/>
                <w:i w:val="0"/>
                <w:color w:val="212121"/>
                <w:sz w:val="19"/>
              </w:rPr>
              <w:t>Regional spread and immune-mediated sequelae of streptococcal infection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Rheumatic heart disease with valvular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after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tonsillitis with recurrent infection and tonsilloliths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sleep apnoea → pulmonary hypertension / cor pulmonale and, in children, growth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 mediastinitis or death from uncontrolled deep-neck infection</w:t>
            </w:r>
          </w:p>
        </w:tc>
        <w:tc>
          <w:tcPr>
            <w:tcW w:type="dxa" w:w="2980"/>
            <w:vAlign w:val="top"/>
          </w:tcPr>
          <w:p>
            <w:pPr>
              <w:spacing w:after="40" w:before="0" w:line="259" w:lineRule="auto"/>
            </w:pPr>
            <w:r>
              <w:rPr>
                <w:rFonts w:ascii="Calibri" w:hAnsi="Calibri"/>
                <w:b w:val="0"/>
                <w:i w:val="0"/>
                <w:color w:val="212121"/>
                <w:sz w:val="19"/>
              </w:rPr>
              <w:t>Irreversible or long-term outcomes of untreated or repeated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Acute rheumatic fever &amp; rheumatic heart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Immune-mediated sequel of untreated group A streptococcal tonsillitis; incidence 8–51/100,000 in developing countries and a major cause of acquired heart disease in the young in India.</w:t>
            </w:r>
          </w:p>
          <w:p>
            <w:pPr>
              <w:spacing w:after="40" w:before="0" w:line="259" w:lineRule="auto"/>
            </w:pPr>
            <w:r>
              <w:rPr>
                <w:rFonts w:ascii="Calibri" w:hAnsi="Calibri"/>
                <w:b/>
                <w:i w:val="0"/>
                <w:color w:val="212121"/>
                <w:sz w:val="19"/>
              </w:rPr>
              <w:t>8–51 per 100,000 (developing countries)</w:t>
            </w:r>
          </w:p>
        </w:tc>
      </w:tr>
      <w:tr>
        <w:trPr>
          <w:cantSplit/>
        </w:trPr>
        <w:tc>
          <w:tcPr>
            <w:tcW w:type="dxa" w:w="2232"/>
            <w:vAlign w:val="top"/>
          </w:tcPr>
          <w:p>
            <w:pPr>
              <w:spacing w:after="40" w:before="0" w:line="259" w:lineRule="auto"/>
            </w:pPr>
            <w:r>
              <w:rPr>
                <w:rFonts w:ascii="Calibri" w:hAnsi="Calibri"/>
                <w:b/>
                <w:i w:val="0"/>
                <w:color w:val="212121"/>
                <w:sz w:val="19"/>
              </w:rPr>
              <w:t>Peritonsillar abscess (quinsy)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Commonest suppurative complication, developing 3–5 days after acute tonsillitis/pharyngitis; suppurative complications occur in roughly 1% of streptococcal cases.</w:t>
            </w:r>
          </w:p>
          <w:p>
            <w:pPr>
              <w:spacing w:after="40" w:before="0" w:line="259" w:lineRule="auto"/>
            </w:pPr>
            <w:r>
              <w:rPr>
                <w:rFonts w:ascii="Calibri" w:hAnsi="Calibri"/>
                <w:b/>
                <w:i w:val="0"/>
                <w:color w:val="212121"/>
                <w:sz w:val="19"/>
              </w:rPr>
              <w:t>~1% (suppurative complications)</w:t>
            </w:r>
          </w:p>
        </w:tc>
      </w:tr>
      <w:tr>
        <w:trPr>
          <w:cantSplit/>
        </w:trPr>
        <w:tc>
          <w:tcPr>
            <w:tcW w:type="dxa" w:w="2232"/>
            <w:vAlign w:val="top"/>
          </w:tcPr>
          <w:p>
            <w:pPr>
              <w:spacing w:after="40" w:before="0" w:line="259" w:lineRule="auto"/>
            </w:pPr>
            <w:r>
              <w:rPr>
                <w:rFonts w:ascii="Calibri" w:hAnsi="Calibri"/>
                <w:b/>
                <w:i w:val="0"/>
                <w:color w:val="212121"/>
                <w:sz w:val="19"/>
              </w:rPr>
              <w:t>Post-streptococcal glomerulonephritis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Immune-complex kidney injury following streptococcal throat (or skin) infection, presenting with haematuria, oedema and hypertension.</w:t>
            </w:r>
          </w:p>
        </w:tc>
      </w:tr>
      <w:tr>
        <w:trPr>
          <w:cantSplit/>
        </w:trPr>
        <w:tc>
          <w:tcPr>
            <w:tcW w:type="dxa" w:w="2232"/>
            <w:vAlign w:val="top"/>
          </w:tcPr>
          <w:p>
            <w:pPr>
              <w:spacing w:after="40" w:before="0" w:line="259" w:lineRule="auto"/>
            </w:pPr>
            <w:r>
              <w:rPr>
                <w:rFonts w:ascii="Calibri" w:hAnsi="Calibri"/>
                <w:b/>
                <w:i w:val="0"/>
                <w:color w:val="212121"/>
                <w:sz w:val="19"/>
              </w:rPr>
              <w:t>Scarlet fever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Erythrogenic-toxin-mediated rash with strawberry tongue accompanying streptococcal tonsillo-pharyngitis.</w:t>
            </w:r>
          </w:p>
        </w:tc>
      </w:tr>
      <w:tr>
        <w:trPr>
          <w:cantSplit/>
        </w:trPr>
        <w:tc>
          <w:tcPr>
            <w:tcW w:type="dxa" w:w="2232"/>
            <w:vAlign w:val="top"/>
          </w:tcPr>
          <w:p>
            <w:pPr>
              <w:spacing w:after="40" w:before="0" w:line="259" w:lineRule="auto"/>
            </w:pPr>
            <w:r>
              <w:rPr>
                <w:rFonts w:ascii="Calibri" w:hAnsi="Calibri"/>
                <w:b/>
                <w:i w:val="0"/>
                <w:color w:val="212121"/>
                <w:sz w:val="19"/>
              </w:rPr>
              <w:t>Obstructive sleep apnoea (adenotonsillar hypertrophy)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Enlarged tonsils and adenoids obstruct the upper airway; adenotonsillar hypertrophy is a leading cause of paediatric OSA and a major tonsillectomy indication.</w:t>
            </w:r>
          </w:p>
        </w:tc>
      </w:tr>
      <w:tr>
        <w:trPr>
          <w:cantSplit/>
        </w:trPr>
        <w:tc>
          <w:tcPr>
            <w:tcW w:type="dxa" w:w="2232"/>
            <w:vAlign w:val="top"/>
          </w:tcPr>
          <w:p>
            <w:pPr>
              <w:spacing w:after="40" w:before="0" w:line="259" w:lineRule="auto"/>
            </w:pPr>
            <w:r>
              <w:rPr>
                <w:rFonts w:ascii="Calibri" w:hAnsi="Calibri"/>
                <w:b/>
                <w:i w:val="0"/>
                <w:color w:val="212121"/>
                <w:sz w:val="19"/>
              </w:rPr>
              <w:t>Infectious mononucleosis (EBV)</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EBV causes severe exudative tonsillitis with hypertrophy; recognising it avoids amoxicillin/ampicillin, which provokes a rash.</w:t>
            </w:r>
          </w:p>
        </w:tc>
      </w:tr>
      <w:tr>
        <w:trPr>
          <w:cantSplit/>
        </w:trPr>
        <w:tc>
          <w:tcPr>
            <w:tcW w:type="dxa" w:w="2232"/>
            <w:vAlign w:val="top"/>
          </w:tcPr>
          <w:p>
            <w:pPr>
              <w:spacing w:after="40" w:before="0" w:line="259" w:lineRule="auto"/>
            </w:pPr>
            <w:r>
              <w:rPr>
                <w:rFonts w:ascii="Calibri" w:hAnsi="Calibri"/>
                <w:b/>
                <w:i w:val="0"/>
                <w:color w:val="212121"/>
                <w:sz w:val="19"/>
              </w:rPr>
              <w:t>Allergic rhinitis / atopy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upper-airway inflammation and mouth-breathing predispose to, and coexist with, recurrent tonsillitis.</w:t>
            </w:r>
          </w:p>
        </w:tc>
      </w:tr>
      <w:tr>
        <w:trPr>
          <w:cantSplit/>
        </w:trPr>
        <w:tc>
          <w:tcPr>
            <w:tcW w:type="dxa" w:w="2232"/>
            <w:vAlign w:val="top"/>
          </w:tcPr>
          <w:p>
            <w:pPr>
              <w:spacing w:after="40" w:before="0" w:line="259" w:lineRule="auto"/>
            </w:pPr>
            <w:r>
              <w:rPr>
                <w:rFonts w:ascii="Calibri" w:hAnsi="Calibri"/>
                <w:b/>
                <w:i w:val="0"/>
                <w:color w:val="212121"/>
                <w:sz w:val="19"/>
              </w:rPr>
              <w:t>Gastro-oesophageal / laryngopharyngeal reflux</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Acid and pepsin exposure irritates the oropharynx and sustains chronic tonsillar inflammation.</w:t>
            </w:r>
          </w:p>
        </w:tc>
      </w:tr>
      <w:tr>
        <w:trPr>
          <w:cantSplit/>
        </w:trPr>
        <w:tc>
          <w:tcPr>
            <w:tcW w:type="dxa" w:w="2232"/>
            <w:vAlign w:val="top"/>
          </w:tcPr>
          <w:p>
            <w:pPr>
              <w:spacing w:after="40" w:before="0" w:line="259" w:lineRule="auto"/>
            </w:pPr>
            <w:r>
              <w:rPr>
                <w:rFonts w:ascii="Calibri" w:hAnsi="Calibri"/>
                <w:b/>
                <w:i w:val="0"/>
                <w:color w:val="212121"/>
                <w:sz w:val="19"/>
              </w:rPr>
              <w:t>Adenoid hypertrophy / recurrent URTI</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same lymphoid tissue and environment as the tonsils, so the two commonly coexist and are often treated together.</w:t>
            </w:r>
          </w:p>
        </w:tc>
      </w:tr>
      <w:tr>
        <w:trPr>
          <w:cantSplit/>
        </w:trPr>
        <w:tc>
          <w:tcPr>
            <w:tcW w:type="dxa" w:w="2232"/>
            <w:vAlign w:val="top"/>
          </w:tcPr>
          <w:p>
            <w:pPr>
              <w:spacing w:after="40" w:before="0" w:line="259" w:lineRule="auto"/>
            </w:pPr>
            <w:r>
              <w:rPr>
                <w:rFonts w:ascii="Calibri" w:hAnsi="Calibri"/>
                <w:b/>
                <w:i w:val="0"/>
                <w:color w:val="212121"/>
                <w:sz w:val="19"/>
              </w:rPr>
              <w:t>Deep-neck-space infection / Lemierre syndrome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Spread of infection into the neck spaces or septic internal-jugular thrombophlebitis (Fusobacterium) is a dangerous extension of tonsillitis.</w:t>
            </w:r>
          </w:p>
        </w:tc>
      </w:tr>
      <w:tr>
        <w:trPr>
          <w:cantSplit/>
        </w:trPr>
        <w:tc>
          <w:tcPr>
            <w:tcW w:type="dxa" w:w="2232"/>
            <w:vAlign w:val="top"/>
          </w:tcPr>
          <w:p>
            <w:pPr>
              <w:spacing w:after="40" w:before="0" w:line="259" w:lineRule="auto"/>
            </w:pPr>
            <w:r>
              <w:rPr>
                <w:rFonts w:ascii="Calibri" w:hAnsi="Calibri"/>
                <w:b/>
                <w:i w:val="0"/>
                <w:color w:val="212121"/>
                <w:sz w:val="19"/>
              </w:rPr>
              <w:t>PANDAS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Paediatric autoimmune neuropsychiatric disorder with abrupt OCD/tics temporally linked to streptococcal throat infection.</w:t>
            </w:r>
          </w:p>
        </w:tc>
      </w:tr>
      <w:tr>
        <w:trPr>
          <w:cantSplit/>
        </w:trPr>
        <w:tc>
          <w:tcPr>
            <w:tcW w:type="dxa" w:w="2232"/>
            <w:vAlign w:val="top"/>
          </w:tcPr>
          <w:p>
            <w:pPr>
              <w:spacing w:after="40" w:before="0" w:line="259" w:lineRule="auto"/>
            </w:pPr>
            <w:r>
              <w:rPr>
                <w:rFonts w:ascii="Calibri" w:hAnsi="Calibri"/>
                <w:b/>
                <w:i w:val="0"/>
                <w:color w:val="212121"/>
                <w:sz w:val="19"/>
              </w:rPr>
              <w:t>Tonsillar carcinoma / lymphoma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Not caused by infection, but a persistent unilateral tonsillar mass/ulcer must be distinguished from tonsillitis, altering work-up and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a full course of prescribed antibiotics for confirmed streptococcal tonsillitis to prevent rheumatic fever and kidney complications, even after symptoms improve.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 difficulty breathing or swallowing saliva, drooling, trismus, muffled voice, one-sided severe swelling or high unremitting fever — and seek urgent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acute sore throats are viral and settle within about a week without antibiotics, avoiding unnecessary antibiotic use and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routine immunisations (including diphtheria) up to date, especially where coverage is 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review for frequent recurrences so that episode frequency can be documented against tonsillectomy criteria.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Institutional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High-recurrence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Under-served communities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activity and general fitness to support overall immunity between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and avoid strenuous exertion during acute febrile tonsillitis; return to activity gradually as symptoms settle.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confirmed infectious mononucleosis with splenomegaly, avoid contact sports and heavy exertion for the advised period to prevent splenic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children with obstructive sleep-disordered breathing are assessed, as treatment often restores normal activity and daytime energy.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Mononucleosis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OSA/adenotonsillar-hypertrophy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acute episodes take soft, cool or lukewarm, easy-to-swallow foods and plenty of fluids to maintain nutrition and 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warm salt-water (saline) gargles and adequate fluids to soothe the throat and loosen debris.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with adequate protein and micronutrients (vitamin D, iron, zinc), correcting deficiencies common in cereal-dominant Indian diets, to strengthen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sharing drinking vessels, utensils and food, and be cautious with contaminated street food, to reduce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very hot, spicy or acidic foods and drinks that irritate an inflamed throat.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tonsillitis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Recurrent-tonsillitis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children with large tonsils for snoring, mouth-breathing and witnessed apnoea, and refer for assessment of obstructive sleep-disordered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age-appropriate sleep duration (9–12 h in children, 7–9 h in adults) and good sleep hygiene to support immune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head-of-bed elevation and side-sleeping to ease obstructive symptoms in marked adenotonsillar hypertrophy.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adenotonsillectomy frequently resolves obstructive sleep-disordered breathing when tonsillar hypertrophy is the cause.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tonsillar hypertrophy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Chronic-tonsillitis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active smoking to reduce chronic pharyngo-tonsillar irritation and the long-term risk of oropharyngeal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second-hand smoke exposure for children, a modifiable cause of recurrent tonsillitis.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indoor air pollution by improving cooking ventilation and avoiding biomass-smoke exposure, common in Indian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behavioural support and nicotine-replacement or pharmacotherapy to help adults quit, and reinforce cessation at every visit.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Biomass-smoke-exposed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Chronic-tonsillitis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dries and irritates the throat mucosa and impairs immunity, aggravating chronic pharyngo-tonsillitis.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combined heavy smoking and drinking markedly increase the risk of tonsillar cancer and warrant evaluation of any persistent tonsillar mass.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unwell and while taking medication that may interact with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where alcohol use is heavy or being used to cope.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smokers who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Chronic-tonsillitis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 persistent tonsillar lesion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impact of recurrent tonsillitis and disturbed sleep on children’s mood, behaviour, school performance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families through decision-making about recurrent infections and tonsillectomy, providing clear information and reassurance.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and maintain good sleep, which support immune function between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support any abrupt behavioural or obsessive-compulsive changes after streptococcal infection (PANDAS) with specialist referral.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recurrent tonsillitis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OSA-affected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Suspected PANDAS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25997/" TargetMode="External"/><Relationship Id="rId10" Type="http://schemas.openxmlformats.org/officeDocument/2006/relationships/hyperlink" Target="https://www.ncbi.nlm.nih.gov/books/NBK519520/" TargetMode="External"/><Relationship Id="rId11" Type="http://schemas.openxmlformats.org/officeDocument/2006/relationships/hyperlink" Target="https://www.who.int/news-room/fact-sheets/detail/rheumatic-heart-disease" TargetMode="External"/><Relationship Id="rId12" Type="http://schemas.openxmlformats.org/officeDocument/2006/relationships/hyperlink" Target="https://www.ncbi.nlm.nih.gov/books/NBK544342/" TargetMode="External"/><Relationship Id="rId13" Type="http://schemas.openxmlformats.org/officeDocument/2006/relationships/hyperlink" Target="https://www.ncbi.nlm.nih.gov/books/NBK5369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