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Allergic Bronchopulmonary Aspergillosis</w:t>
      </w:r>
    </w:p>
    <w:p>
      <w:pPr>
        <w:spacing w:before="0" w:after="160"/>
      </w:pPr>
      <w:r>
        <w:rPr>
          <w:rFonts w:ascii="Calibri" w:hAnsi="Calibri"/>
          <w:b/>
          <w:i w:val="0"/>
          <w:color w:val="212121"/>
          <w:sz w:val="22"/>
        </w:rPr>
        <w:t xml:space="preserve">AKA </w:t>
      </w:r>
      <w:r>
        <w:rPr>
          <w:rFonts w:ascii="Calibri" w:hAnsi="Calibri"/>
          <w:b w:val="0"/>
          <w:i w:val="0"/>
          <w:color w:val="212121"/>
          <w:sz w:val="22"/>
        </w:rPr>
        <w:t>i.e., ABPA; Allergic bronchopulmonary aspergillosis/mycosis (ABPM); Aspergillus hypersensitivity in asthma</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Allergic bronchopulmonary aspergillosis (ABPA) is a chronic hypersensitivity lung disease caused by an exaggerated immune response — predominantly T-helper-2 (Th2) mediated — to Aspergillus fumigatus that colonises the airways, occurring almost exclusively in people with bronchial asthma or cystic fibrosis. It is characterised by poorly controlled asthma, recurrent transient pulmonary infiltrates, expectoration of thick mucus plugs, very high total serum IgE and blood eosinophilia. If unrecognised or untreated it progresses to central (proximal) bronchiectasis and, ultimately, pulmonary fibrosis and chronic respiratory failure.</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ABPA is common in India, which carries a disproportionately large share of the global burden. It is estimated to complicate roughly 5–20% of adult asthmatics in India, against a background of about 27.6 million adults with asthma, giving a modelled national burden of approximately 1.38 million cases. Globally, ABPA is estimated to affect about 4.8 million adults with asthma (around 2.5% of asthmatics), and it complicates close to 9% of patients with cystic fibrosis. In India the diagnosis is frequently delayed because ABPA is mislabelled and treated as smear-negative pulmonary tuberculosis.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ABPA is diagnosed in a predisposed patient (bronchial asthma or cystic fibrosis) using the ISHAM working-group criteria — both obligatory criteria plus at least two of the three other criteria: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Predisposing condition: bronchial asthma or cystic fibrosis;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Obligatory — Type I Aspergillus hypersensitivity: a positive Aspergillus fumigatus skin-prick test OR elevated A. fumigatus–specific IgE (≥ 0.35 kUA/L);</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Obligatory — elevated total serum IgE, usually &gt; 1000 IU/mL (a lower value is acceptable if all other criteria are met);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Other criterion (≥ 2 of 3): raised A. fumigatus–specific IgG or positive serum precipitins to Aspergillus;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Other criterion (≥ 2 of 3): radiographic pulmonary opacities consistent with ABPA (fleeting infiltrates, mucoid impaction, central bronchiectasis or high-attenuation mucus);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Other criterion (≥ 2 of 3): peripheral blood eosinophil count &gt; 500 cells/µL in steroid-naïve patients (may be historical).</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ABPA is described both by clinical stage and by radiological/serological subtype:</w:t>
      </w:r>
    </w:p>
    <w:p>
      <w:pPr>
        <w:spacing w:before="0" w:after="80"/>
      </w:pPr>
      <w:r>
        <w:rPr>
          <w:rFonts w:ascii="Calibri" w:hAnsi="Calibri"/>
          <w:b w:val="0"/>
          <w:i w:val="0"/>
          <w:color w:val="212121"/>
          <w:sz w:val="21"/>
        </w:rPr>
        <w:t>(1) Clinical stages (Agarwal/ISHAM): Stage 0 asymptomatic; Stage 1 acute (1a with, 1b without mucoid impaction); Stage 2 response; Stage 3 exacerbation; Stage 4 remission (≥ 6 months off steroids); Stage 5 treatment-dependent ABPA (glucocorticoid-dependent asthma or glucocorticoid-dependent ABPA); Stage 6 advanced ABPA with extensive bronchiectasis and/or fibrosis, type II respiratory failure or cor pulmonale;</w:t>
      </w:r>
    </w:p>
    <w:p>
      <w:pPr>
        <w:spacing w:before="0" w:after="80"/>
      </w:pPr>
      <w:r>
        <w:rPr>
          <w:rFonts w:ascii="Calibri" w:hAnsi="Calibri"/>
          <w:b w:val="0"/>
          <w:i w:val="0"/>
          <w:color w:val="212121"/>
          <w:sz w:val="21"/>
        </w:rPr>
        <w:t>(2) Serological ABPA (ABPA-S): positive immunological criteria without bronchiectasis on HRCT — the earliest, mildest form;</w:t>
      </w:r>
    </w:p>
    <w:p>
      <w:pPr>
        <w:spacing w:before="0" w:after="80"/>
      </w:pPr>
      <w:r>
        <w:rPr>
          <w:rFonts w:ascii="Calibri" w:hAnsi="Calibri"/>
          <w:b w:val="0"/>
          <w:i w:val="0"/>
          <w:color w:val="212121"/>
          <w:sz w:val="21"/>
        </w:rPr>
        <w:t>(3) ABPA with bronchiectasis (ABPA-B / ABPA-CB): central/proximal, upper- and mid-zone bronchiectasis on HRCT;</w:t>
      </w:r>
    </w:p>
    <w:p>
      <w:pPr>
        <w:spacing w:before="0" w:after="80"/>
      </w:pPr>
      <w:r>
        <w:rPr>
          <w:rFonts w:ascii="Calibri" w:hAnsi="Calibri"/>
          <w:b w:val="0"/>
          <w:i w:val="0"/>
          <w:color w:val="212121"/>
          <w:sz w:val="21"/>
        </w:rPr>
        <w:t>(4) ABPA with high-attenuation mucus (ABPA-HAM): visually dense (hyperdense) mucus plugs on CT — pathognomonic of ABPA and associated with a higher risk of relapse;</w:t>
      </w:r>
    </w:p>
    <w:p>
      <w:pPr>
        <w:spacing w:before="0" w:after="80"/>
      </w:pPr>
      <w:r>
        <w:rPr>
          <w:rFonts w:ascii="Calibri" w:hAnsi="Calibri"/>
          <w:b w:val="0"/>
          <w:i w:val="0"/>
          <w:color w:val="212121"/>
          <w:sz w:val="21"/>
        </w:rPr>
        <w:t>(5) ABPA with chronic pleuropulmonary fibrosis (ABPA-CPF): extensive fibrosis — the most advanced radiological form;</w:t>
      </w:r>
    </w:p>
    <w:p>
      <w:pPr>
        <w:spacing w:before="0" w:after="80"/>
      </w:pPr>
      <w:r>
        <w:rPr>
          <w:rFonts w:ascii="Calibri" w:hAnsi="Calibri"/>
          <w:b w:val="0"/>
          <w:i w:val="0"/>
          <w:color w:val="212121"/>
          <w:sz w:val="21"/>
        </w:rPr>
        <w:t>A closely related entity, allergic bronchopulmonary mycosis (ABPM), is produced by non-fumigatus fungi (e.g., Candida albicans, Bipolaris, Schizophyllum commune) and is diagnosed on the same principles.</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Aspergillus fumigatus sensitisation: Inhaled conidia (2–3 µm) reach the distal airways, germinate in airway mucus and, in predisposed atopic hosts, trigger an exaggerated Th2 immune response.</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Predisposing airway disease: Bronchial asthma and cystic fibrosis provide the mucus-laden, structurally altered airways that allow persistent fungal colonisation.</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Combined hypersensitivity: Coexisting Gell–Coombs type I (IgE-mediated) and type III (immune-complex) reactions, with eosinophilic inflammation, damage the bronchial wall and cause bronchiectasis.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Immunogenetic susceptibility: HLA-DR2/DR5 restriction, gain-of-function IL-4 receptor-α polymorphisms, surfactant protein variants and CFTR mutations predispose to the exaggerated response.</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Environmental exposure: High airborne Aspergillus spore loads — from warm, humid climates, damp housing and decaying organic matter — increase the antigenic burden on sensitised airways.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Impaired mucociliary clearance: Thick secretions and defective clearance favour fungal persistence and continued antigen release, perpetuating inflammation.</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with long-standing asthma</w:t>
            </w:r>
          </w:p>
        </w:tc>
        <w:tc>
          <w:tcPr>
            <w:tcW w:type="dxa" w:w="4276"/>
            <w:vAlign w:val="top"/>
          </w:tcPr>
          <w:p>
            <w:pPr>
              <w:spacing w:after="60" w:line="259" w:lineRule="auto"/>
            </w:pPr>
            <w:r>
              <w:rPr>
                <w:rFonts w:ascii="Calibri" w:hAnsi="Calibri"/>
                <w:b w:val="0"/>
                <w:i w:val="0"/>
                <w:color w:val="212121"/>
                <w:sz w:val="19"/>
              </w:rPr>
              <w:t>ABPA classically presents in the 2nd–5th decades in patients with long-standing bronchial asthma; years of atopic airway inflammation and mucus allow A. fumigatus colonisation and sensitisation to accumulate.</w:t>
            </w:r>
          </w:p>
          <w:p>
            <w:pPr>
              <w:spacing w:after="40" w:before="60" w:line="259" w:lineRule="auto"/>
            </w:pPr>
            <w:r>
              <w:rPr>
                <w:rFonts w:ascii="Calibri" w:hAnsi="Calibri"/>
                <w:b w:val="0"/>
                <w:i w:val="0"/>
                <w:color w:val="212121"/>
                <w:sz w:val="19"/>
              </w:rPr>
              <w:t>In India ABPA is estimated to complicate 5–20% of adult asthmatics, with a modelled national burden of approximately 1.38 million cases.</w:t>
            </w:r>
          </w:p>
          <w:p>
            <w:pPr>
              <w:spacing w:after="40" w:line="252" w:lineRule="auto"/>
            </w:pPr>
            <w:hyperlink r:id="rId9">
              <w:r>
                <w:rPr>
                  <w:rFonts w:ascii="Calibri" w:hAnsi="Calibri" w:cs="Calibri"/>
                  <w:sz w:val="18"/>
                  <w:color w:val="1155CC"/>
                  <w:u w:val="single"/>
                </w:rPr>
                <w:t xml:space="preserve">journals.plos.org — burden of ABPA/CPA in India (PLoS ONE 2014)</w:t>
              </w:r>
            </w:hyperlink>
          </w:p>
          <w:p>
            <w:pPr>
              <w:spacing w:before="60" w:after="40"/>
            </w:pPr>
            <w:r>
              <w:rPr>
                <w:rFonts w:ascii="Calibri" w:hAnsi="Calibri"/>
                <w:b w:val="0"/>
                <w:i w:val="0"/>
                <w:color w:val="5A5A5A"/>
                <w:sz w:val="18"/>
              </w:rPr>
              <w:t>#asthma  #atopy  #adults  #IgE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Children &amp; adolescents (chiefly cystic fibrosis)</w:t>
            </w:r>
          </w:p>
        </w:tc>
        <w:tc>
          <w:tcPr>
            <w:tcW w:type="dxa" w:w="4276"/>
            <w:vAlign w:val="top"/>
          </w:tcPr>
          <w:p>
            <w:pPr>
              <w:spacing w:after="60" w:line="259" w:lineRule="auto"/>
            </w:pPr>
            <w:r>
              <w:rPr>
                <w:rFonts w:ascii="Calibri" w:hAnsi="Calibri"/>
                <w:b w:val="0"/>
                <w:i w:val="0"/>
                <w:color w:val="212121"/>
                <w:sz w:val="19"/>
              </w:rPr>
              <w:t>In children ABPA occurs mainly in those with cystic fibrosis or early-onset severe atopic asthma, where chronic thick airway mucus favours Aspergillus persistence and hypersensitivity.</w:t>
            </w:r>
          </w:p>
          <w:p>
            <w:pPr>
              <w:spacing w:after="40" w:before="60" w:line="259" w:lineRule="auto"/>
            </w:pPr>
            <w:r>
              <w:rPr>
                <w:rFonts w:ascii="Calibri" w:hAnsi="Calibri"/>
                <w:b w:val="0"/>
                <w:i w:val="0"/>
                <w:color w:val="212121"/>
                <w:sz w:val="19"/>
              </w:rPr>
              <w:t>ABPA complicates approximately 9% of cystic fibrosis patients (reported range 1–15%).</w:t>
            </w:r>
          </w:p>
          <w:p>
            <w:pPr>
              <w:spacing w:after="40" w:line="252" w:lineRule="auto"/>
            </w:pPr>
            <w:hyperlink r:id="rId10">
              <w:r>
                <w:rPr>
                  <w:rFonts w:ascii="Calibri" w:hAnsi="Calibri" w:cs="Calibri"/>
                  <w:sz w:val="18"/>
                  <w:color w:val="1155CC"/>
                  <w:u w:val="single"/>
                </w:rPr>
                <w:t xml:space="preserve">ncbi.nlm.nih.gov/books — ABPA (StatPearls)</w:t>
              </w:r>
            </w:hyperlink>
          </w:p>
          <w:p>
            <w:pPr>
              <w:spacing w:before="60" w:after="40"/>
            </w:pPr>
            <w:r>
              <w:rPr>
                <w:rFonts w:ascii="Calibri" w:hAnsi="Calibri"/>
                <w:b w:val="0"/>
                <w:i w:val="0"/>
                <w:color w:val="5A5A5A"/>
                <w:sz w:val="18"/>
              </w:rPr>
              <w:t>#cysticfibrosis  #paediatric  #colonisation</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Older adults (delayed / fibrocavitary disease)</w:t>
            </w:r>
          </w:p>
        </w:tc>
        <w:tc>
          <w:tcPr>
            <w:tcW w:type="dxa" w:w="4276"/>
            <w:vAlign w:val="top"/>
          </w:tcPr>
          <w:p>
            <w:pPr>
              <w:spacing w:after="60" w:line="259" w:lineRule="auto"/>
            </w:pPr>
            <w:r>
              <w:rPr>
                <w:rFonts w:ascii="Calibri" w:hAnsi="Calibri"/>
                <w:b w:val="0"/>
                <w:i w:val="0"/>
                <w:color w:val="212121"/>
                <w:sz w:val="19"/>
              </w:rPr>
              <w:t>In older adults long-standing ABPA may be recognised late as fibrocavitary disease; Aspergillus also colonises COPD airways and post-tubercular cavities, blurring the clinical picture and delaying diagnosis.</w:t>
            </w:r>
          </w:p>
          <w:p>
            <w:pPr>
              <w:spacing w:after="40" w:before="60" w:line="259" w:lineRule="auto"/>
            </w:pPr>
            <w:r>
              <w:rPr>
                <w:rFonts w:ascii="Calibri" w:hAnsi="Calibri"/>
                <w:b w:val="0"/>
                <w:i w:val="0"/>
                <w:color w:val="212121"/>
                <w:sz w:val="19"/>
              </w:rPr>
              <w:t>Beyond asthma and cystic fibrosis, Aspergillus colonises COPD, non-CF bronchiectasis and post-tuberculosis structural lung disease.</w:t>
            </w:r>
          </w:p>
          <w:p>
            <w:pPr>
              <w:spacing w:after="40" w:line="252" w:lineRule="auto"/>
            </w:pPr>
            <w:hyperlink r:id="rId10">
              <w:r>
                <w:rPr>
                  <w:rFonts w:ascii="Calibri" w:hAnsi="Calibri" w:cs="Calibri"/>
                  <w:sz w:val="18"/>
                  <w:color w:val="1155CC"/>
                  <w:u w:val="single"/>
                </w:rPr>
                <w:t xml:space="preserve">ncbi.nlm.nih.gov/books — ABPA (StatPearls)</w:t>
              </w:r>
            </w:hyperlink>
          </w:p>
          <w:p>
            <w:pPr>
              <w:spacing w:before="60" w:after="40"/>
            </w:pPr>
            <w:r>
              <w:rPr>
                <w:rFonts w:ascii="Calibri" w:hAnsi="Calibri"/>
                <w:b w:val="0"/>
                <w:i w:val="0"/>
                <w:color w:val="5A5A5A"/>
                <w:sz w:val="18"/>
              </w:rPr>
              <w:t>#fibrocavitary  #postTB  #COPD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Both sexes (no strong predilection)</w:t>
            </w:r>
          </w:p>
        </w:tc>
        <w:tc>
          <w:tcPr>
            <w:tcW w:type="dxa" w:w="4276"/>
            <w:vAlign w:val="top"/>
          </w:tcPr>
          <w:p>
            <w:pPr>
              <w:spacing w:after="60" w:line="259" w:lineRule="auto"/>
            </w:pPr>
            <w:r>
              <w:rPr>
                <w:rFonts w:ascii="Calibri" w:hAnsi="Calibri"/>
                <w:b w:val="0"/>
                <w:i w:val="0"/>
                <w:color w:val="212121"/>
                <w:sz w:val="19"/>
              </w:rPr>
              <w:t>ABPA affects men and women with no consistent strong sex predilection; disease is driven by the degree of atopy and asthma severity rather than by sex.</w:t>
            </w:r>
          </w:p>
          <w:p>
            <w:pPr>
              <w:spacing w:after="40" w:before="60" w:line="259" w:lineRule="auto"/>
            </w:pPr>
            <w:r>
              <w:rPr>
                <w:rFonts w:ascii="Calibri" w:hAnsi="Calibri"/>
                <w:b w:val="0"/>
                <w:i w:val="0"/>
                <w:color w:val="212121"/>
                <w:sz w:val="19"/>
              </w:rPr>
              <w:t>Disease expression tracks atopic asthma severity and A. fumigatus sensitisation rather than sex.</w:t>
            </w:r>
          </w:p>
          <w:p>
            <w:pPr>
              <w:spacing w:before="60" w:after="40"/>
            </w:pPr>
            <w:r>
              <w:rPr>
                <w:rFonts w:ascii="Calibri" w:hAnsi="Calibri"/>
                <w:b w:val="0"/>
                <w:i w:val="0"/>
                <w:color w:val="5A5A5A"/>
                <w:sz w:val="18"/>
              </w:rPr>
              <w:t>#atopy  #nosexpredilection</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Residents of tropical / humid India</w:t>
            </w:r>
          </w:p>
        </w:tc>
        <w:tc>
          <w:tcPr>
            <w:tcW w:type="dxa" w:w="4276"/>
            <w:vAlign w:val="top"/>
          </w:tcPr>
          <w:p>
            <w:pPr>
              <w:spacing w:after="60" w:line="259" w:lineRule="auto"/>
            </w:pPr>
            <w:r>
              <w:rPr>
                <w:rFonts w:ascii="Calibri" w:hAnsi="Calibri"/>
                <w:b w:val="0"/>
                <w:i w:val="0"/>
                <w:color w:val="212121"/>
                <w:sz w:val="19"/>
              </w:rPr>
              <w:t>Warm, humid tropical and subtropical climates across much of India sustain high airborne A. fumigatus spore loads year-round (peaking in the monsoon and post-monsoon months), increasing sensitisation among asthmatics.</w:t>
            </w:r>
          </w:p>
          <w:p>
            <w:pPr>
              <w:spacing w:after="40" w:before="60" w:line="259" w:lineRule="auto"/>
            </w:pPr>
            <w:r>
              <w:rPr>
                <w:rFonts w:ascii="Calibri" w:hAnsi="Calibri"/>
                <w:b w:val="0"/>
                <w:i w:val="0"/>
                <w:color w:val="212121"/>
                <w:sz w:val="19"/>
              </w:rPr>
              <w:t>India carries a disproportionately large share of the global ABPA burden, with a modelled national total of about 1.38 million cases.</w:t>
            </w:r>
          </w:p>
          <w:p>
            <w:pPr>
              <w:spacing w:after="40" w:line="252" w:lineRule="auto"/>
            </w:pPr>
            <w:hyperlink r:id="rId9">
              <w:r>
                <w:rPr>
                  <w:rFonts w:ascii="Calibri" w:hAnsi="Calibri" w:cs="Calibri"/>
                  <w:sz w:val="18"/>
                  <w:color w:val="1155CC"/>
                  <w:u w:val="single"/>
                </w:rPr>
                <w:t xml:space="preserve">journals.plos.org — burden of ABPA/CPA in India (PLoS ONE 2014)</w:t>
              </w:r>
            </w:hyperlink>
          </w:p>
          <w:p>
            <w:pPr>
              <w:spacing w:before="60" w:after="40"/>
            </w:pPr>
            <w:r>
              <w:rPr>
                <w:rFonts w:ascii="Calibri" w:hAnsi="Calibri"/>
                <w:b w:val="0"/>
                <w:i w:val="0"/>
                <w:color w:val="5A5A5A"/>
                <w:sz w:val="18"/>
              </w:rPr>
              <w:t>#tropical  #humidity  #monsoon  #spores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Large asthmatic populations (global context)</w:t>
            </w:r>
          </w:p>
        </w:tc>
        <w:tc>
          <w:tcPr>
            <w:tcW w:type="dxa" w:w="4276"/>
            <w:vAlign w:val="top"/>
          </w:tcPr>
          <w:p>
            <w:pPr>
              <w:spacing w:after="60" w:line="259" w:lineRule="auto"/>
            </w:pPr>
            <w:r>
              <w:rPr>
                <w:rFonts w:ascii="Calibri" w:hAnsi="Calibri"/>
                <w:b w:val="0"/>
                <w:i w:val="0"/>
                <w:color w:val="212121"/>
                <w:sz w:val="19"/>
              </w:rPr>
              <w:t>ABPA prevalence tracks the size of the underlying asthma population; India's very large pool of adult asthmatics makes it a major global contributor to ABPA.</w:t>
            </w:r>
          </w:p>
          <w:p>
            <w:pPr>
              <w:spacing w:after="40" w:before="60" w:line="259" w:lineRule="auto"/>
            </w:pPr>
            <w:r>
              <w:rPr>
                <w:rFonts w:ascii="Calibri" w:hAnsi="Calibri"/>
                <w:b w:val="0"/>
                <w:i w:val="0"/>
                <w:color w:val="212121"/>
                <w:sz w:val="19"/>
              </w:rPr>
              <w:t>Globally ABPA is estimated to affect about 4.8 million adults with asthma (around 2.5% of asthmatics).</w:t>
            </w:r>
          </w:p>
          <w:p>
            <w:pPr>
              <w:spacing w:after="40" w:line="252" w:lineRule="auto"/>
            </w:pPr>
            <w:hyperlink r:id="rId11">
              <w:r>
                <w:rPr>
                  <w:rFonts w:ascii="Calibri" w:hAnsi="Calibri" w:cs="Calibri"/>
                  <w:sz w:val="18"/>
                  <w:color w:val="1155CC"/>
                  <w:u w:val="single"/>
                </w:rPr>
                <w:t xml:space="preserve">doi.org/10.3109/13693786.2012.738312 — global ABPA burden (Med Mycol 2013)</w:t>
              </w:r>
            </w:hyperlink>
          </w:p>
          <w:p>
            <w:pPr>
              <w:spacing w:before="60" w:after="40"/>
            </w:pPr>
            <w:r>
              <w:rPr>
                <w:rFonts w:ascii="Calibri" w:hAnsi="Calibri"/>
                <w:b w:val="0"/>
                <w:i w:val="0"/>
                <w:color w:val="5A5A5A"/>
                <w:sz w:val="18"/>
              </w:rPr>
              <w:t>#globalburden  #asthma  #epidemiology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Rural / agricultural exposure</w:t>
            </w:r>
          </w:p>
        </w:tc>
        <w:tc>
          <w:tcPr>
            <w:tcW w:type="dxa" w:w="2160"/>
            <w:vAlign w:val="top"/>
          </w:tcPr>
          <w:p>
            <w:pPr>
              <w:spacing w:after="40" w:before="0" w:line="259" w:lineRule="auto"/>
            </w:pPr>
            <w:r>
              <w:rPr>
                <w:rFonts w:ascii="Calibri" w:hAnsi="Calibri"/>
                <w:b w:val="0"/>
                <w:i w:val="0"/>
                <w:color w:val="212121"/>
                <w:sz w:val="19"/>
              </w:rPr>
              <w:t>Farmers, grain &amp; compost handlers</w:t>
            </w:r>
          </w:p>
        </w:tc>
        <w:tc>
          <w:tcPr>
            <w:tcW w:type="dxa" w:w="4276"/>
            <w:vAlign w:val="top"/>
          </w:tcPr>
          <w:p>
            <w:pPr>
              <w:spacing w:after="60" w:line="259" w:lineRule="auto"/>
            </w:pPr>
            <w:r>
              <w:rPr>
                <w:rFonts w:ascii="Calibri" w:hAnsi="Calibri"/>
                <w:b w:val="0"/>
                <w:i w:val="0"/>
                <w:color w:val="212121"/>
                <w:sz w:val="19"/>
              </w:rPr>
              <w:t>Agricultural work — threshing, and handling hay, grain, mulch and compost or decaying vegetation — generates intense inhalational exposure to Aspergillus conidia in sensitised individuals.</w:t>
            </w:r>
          </w:p>
          <w:p>
            <w:pPr>
              <w:spacing w:after="40" w:before="60" w:line="259" w:lineRule="auto"/>
            </w:pPr>
            <w:r>
              <w:rPr>
                <w:rFonts w:ascii="Calibri" w:hAnsi="Calibri"/>
                <w:b w:val="0"/>
                <w:i w:val="0"/>
                <w:color w:val="212121"/>
                <w:sz w:val="19"/>
              </w:rPr>
              <w:t>Aspergillus thrives in soil, decaying organic matter and damp environments, and its spores are essentially unavoidable in such settings.</w:t>
            </w:r>
          </w:p>
          <w:p>
            <w:pPr>
              <w:spacing w:after="40" w:line="252" w:lineRule="auto"/>
            </w:pPr>
            <w:hyperlink r:id="rId12">
              <w:r>
                <w:rPr>
                  <w:rFonts w:ascii="Calibri" w:hAnsi="Calibri" w:cs="Calibri"/>
                  <w:sz w:val="18"/>
                  <w:color w:val="1155CC"/>
                  <w:u w:val="single"/>
                </w:rPr>
                <w:t xml:space="preserve">cdc.gov — aspergillosis</w:t>
              </w:r>
            </w:hyperlink>
          </w:p>
          <w:p>
            <w:pPr>
              <w:spacing w:before="60" w:after="40"/>
            </w:pPr>
            <w:r>
              <w:rPr>
                <w:rFonts w:ascii="Calibri" w:hAnsi="Calibri"/>
                <w:b w:val="0"/>
                <w:i w:val="0"/>
                <w:color w:val="5A5A5A"/>
                <w:sz w:val="18"/>
              </w:rPr>
              <w:t>#farming  #compost  #occupational</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Environmental mould exposure</w:t>
            </w:r>
          </w:p>
        </w:tc>
        <w:tc>
          <w:tcPr>
            <w:tcW w:type="dxa" w:w="2160"/>
            <w:vAlign w:val="top"/>
          </w:tcPr>
          <w:p>
            <w:pPr>
              <w:spacing w:after="40" w:before="0" w:line="259" w:lineRule="auto"/>
            </w:pPr>
            <w:r>
              <w:rPr>
                <w:rFonts w:ascii="Calibri" w:hAnsi="Calibri"/>
                <w:b w:val="0"/>
                <w:i w:val="0"/>
                <w:color w:val="212121"/>
                <w:sz w:val="19"/>
              </w:rPr>
              <w:t>Occupants of damp, poorly ventilated homes</w:t>
            </w:r>
          </w:p>
        </w:tc>
        <w:tc>
          <w:tcPr>
            <w:tcW w:type="dxa" w:w="4276"/>
            <w:vAlign w:val="top"/>
          </w:tcPr>
          <w:p>
            <w:pPr>
              <w:spacing w:after="60" w:line="259" w:lineRule="auto"/>
            </w:pPr>
            <w:r>
              <w:rPr>
                <w:rFonts w:ascii="Calibri" w:hAnsi="Calibri"/>
                <w:b w:val="0"/>
                <w:i w:val="0"/>
                <w:color w:val="212121"/>
                <w:sz w:val="19"/>
              </w:rPr>
              <w:t>Indoor dampness, water-damaged walls, poor ventilation and stored organic material foster indoor mould, raising A. fumigatus exposure in sensitised asthmatic airways.</w:t>
            </w:r>
          </w:p>
          <w:p>
            <w:pPr>
              <w:spacing w:after="40" w:before="60" w:line="259" w:lineRule="auto"/>
            </w:pPr>
            <w:r>
              <w:rPr>
                <w:rFonts w:ascii="Calibri" w:hAnsi="Calibri"/>
                <w:b w:val="0"/>
                <w:i w:val="0"/>
                <w:color w:val="212121"/>
                <w:sz w:val="19"/>
              </w:rPr>
              <w:t>A. fumigatus conidia are small (2–3 µm), allowing them to bypass upper-airway defences and deposit in the distal airways.</w:t>
            </w:r>
          </w:p>
          <w:p>
            <w:pPr>
              <w:spacing w:after="40" w:line="252" w:lineRule="auto"/>
            </w:pPr>
            <w:hyperlink r:id="rId10">
              <w:r>
                <w:rPr>
                  <w:rFonts w:ascii="Calibri" w:hAnsi="Calibri" w:cs="Calibri"/>
                  <w:sz w:val="18"/>
                  <w:color w:val="1155CC"/>
                  <w:u w:val="single"/>
                </w:rPr>
                <w:t xml:space="preserve">ncbi.nlm.nih.gov/books — ABPA (StatPearls)</w:t>
              </w:r>
            </w:hyperlink>
          </w:p>
          <w:p>
            <w:pPr>
              <w:spacing w:before="60" w:after="40"/>
            </w:pPr>
            <w:r>
              <w:rPr>
                <w:rFonts w:ascii="Calibri" w:hAnsi="Calibri"/>
                <w:b w:val="0"/>
                <w:i w:val="0"/>
                <w:color w:val="5A5A5A"/>
                <w:sz w:val="18"/>
              </w:rPr>
              <w:t>#damphousing  #indoormould  #ventilation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 / indoor smoke</w:t>
            </w:r>
          </w:p>
        </w:tc>
        <w:tc>
          <w:tcPr>
            <w:tcW w:type="dxa" w:w="2160"/>
            <w:vAlign w:val="top"/>
          </w:tcPr>
          <w:p>
            <w:pPr>
              <w:spacing w:after="40" w:before="0" w:line="259" w:lineRule="auto"/>
            </w:pPr>
            <w:r>
              <w:rPr>
                <w:rFonts w:ascii="Calibri" w:hAnsi="Calibri"/>
                <w:b w:val="0"/>
                <w:i w:val="0"/>
                <w:color w:val="212121"/>
                <w:sz w:val="19"/>
              </w:rPr>
              <w:t>Smokers &amp; biomass-fuel users with asthma</w:t>
            </w:r>
          </w:p>
        </w:tc>
        <w:tc>
          <w:tcPr>
            <w:tcW w:type="dxa" w:w="4276"/>
            <w:vAlign w:val="top"/>
          </w:tcPr>
          <w:p>
            <w:pPr>
              <w:spacing w:after="60" w:line="259" w:lineRule="auto"/>
            </w:pPr>
            <w:r>
              <w:rPr>
                <w:rFonts w:ascii="Calibri" w:hAnsi="Calibri"/>
                <w:b w:val="0"/>
                <w:i w:val="0"/>
                <w:color w:val="212121"/>
                <w:sz w:val="19"/>
              </w:rPr>
              <w:t>Tobacco smoke and household biomass-fuel smoke impair mucociliary clearance and the epithelial barrier and worsen airway inflammation and asthma control — the substrate on which ABPA develops — although ABPA also occurs in never-smokers.</w:t>
            </w:r>
          </w:p>
          <w:p>
            <w:pPr>
              <w:spacing w:after="40" w:before="60" w:line="259" w:lineRule="auto"/>
            </w:pPr>
            <w:r>
              <w:rPr>
                <w:rFonts w:ascii="Calibri" w:hAnsi="Calibri"/>
                <w:b w:val="0"/>
                <w:i w:val="0"/>
                <w:color w:val="212121"/>
                <w:sz w:val="19"/>
              </w:rPr>
              <w:t>Impaired clearance and ongoing airway inflammation favour Aspergillus persistence and antigen release.</w:t>
            </w:r>
          </w:p>
          <w:p>
            <w:pPr>
              <w:spacing w:before="60" w:after="40"/>
            </w:pPr>
            <w:r>
              <w:rPr>
                <w:rFonts w:ascii="Calibri" w:hAnsi="Calibri"/>
                <w:b w:val="0"/>
                <w:i w:val="0"/>
                <w:color w:val="5A5A5A"/>
                <w:sz w:val="18"/>
              </w:rPr>
              <w:t>#smoking  #biomass  #mucociliary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Sedentary</w:t>
            </w:r>
          </w:p>
        </w:tc>
        <w:tc>
          <w:tcPr>
            <w:tcW w:type="dxa" w:w="2160"/>
            <w:vAlign w:val="top"/>
          </w:tcPr>
          <w:p>
            <w:pPr>
              <w:spacing w:after="40" w:before="0" w:line="259" w:lineRule="auto"/>
            </w:pPr>
            <w:r>
              <w:rPr>
                <w:rFonts w:ascii="Calibri" w:hAnsi="Calibri"/>
                <w:b w:val="0"/>
                <w:i w:val="0"/>
                <w:color w:val="212121"/>
                <w:sz w:val="19"/>
              </w:rPr>
              <w:t>Deconditioned asthmatics</w:t>
            </w:r>
          </w:p>
        </w:tc>
        <w:tc>
          <w:tcPr>
            <w:tcW w:type="dxa" w:w="4276"/>
            <w:vAlign w:val="top"/>
          </w:tcPr>
          <w:p>
            <w:pPr>
              <w:spacing w:after="60" w:line="259" w:lineRule="auto"/>
            </w:pPr>
            <w:r>
              <w:rPr>
                <w:rFonts w:ascii="Calibri" w:hAnsi="Calibri"/>
                <w:b w:val="0"/>
                <w:i w:val="0"/>
                <w:color w:val="212121"/>
                <w:sz w:val="19"/>
              </w:rPr>
              <w:t>Physical inactivity and deconditioning are not causes of ABPA but worsen dyspnoea, exercise tolerance and overall asthma control, compounding the respiratory limitation ABPA produces.</w:t>
            </w:r>
          </w:p>
          <w:p>
            <w:pPr>
              <w:spacing w:after="40" w:before="60" w:line="259" w:lineRule="auto"/>
            </w:pPr>
            <w:r>
              <w:rPr>
                <w:rFonts w:ascii="Calibri" w:hAnsi="Calibri"/>
                <w:b w:val="0"/>
                <w:i w:val="0"/>
                <w:color w:val="212121"/>
                <w:sz w:val="19"/>
              </w:rPr>
              <w:t>Deconditioning amplifies breathlessness and reduces the reserve available during exacerbations.</w:t>
            </w:r>
          </w:p>
          <w:p>
            <w:pPr>
              <w:spacing w:before="60" w:after="40"/>
            </w:pPr>
            <w:r>
              <w:rPr>
                <w:rFonts w:ascii="Calibri" w:hAnsi="Calibri"/>
                <w:b w:val="0"/>
                <w:i w:val="0"/>
                <w:color w:val="5A5A5A"/>
                <w:sz w:val="18"/>
              </w:rPr>
              <w:t>#deconditioning  #asthmacontrol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drinkers</w:t>
            </w:r>
          </w:p>
        </w:tc>
        <w:tc>
          <w:tcPr>
            <w:tcW w:type="dxa" w:w="4276"/>
            <w:vAlign w:val="top"/>
          </w:tcPr>
          <w:p>
            <w:pPr>
              <w:spacing w:after="60" w:line="259" w:lineRule="auto"/>
            </w:pPr>
            <w:r>
              <w:rPr>
                <w:rFonts w:ascii="Calibri" w:hAnsi="Calibri"/>
                <w:b w:val="0"/>
                <w:i w:val="0"/>
                <w:color w:val="212121"/>
                <w:sz w:val="19"/>
              </w:rPr>
              <w:t>There is no established direct causal link between alcohol and ABPA; heavy use may impair immunity and medication adherence, worsen reflux and asthma control, and interacts with azole antifungals used to treat ABPA.</w:t>
            </w:r>
          </w:p>
          <w:p>
            <w:pPr>
              <w:spacing w:after="40" w:before="60" w:line="259" w:lineRule="auto"/>
            </w:pPr>
            <w:r>
              <w:rPr>
                <w:rFonts w:ascii="Calibri" w:hAnsi="Calibri"/>
                <w:b w:val="0"/>
                <w:i w:val="0"/>
                <w:color w:val="212121"/>
                <w:sz w:val="19"/>
              </w:rPr>
              <w:t>Alcohol's relevance is indirect — via adherence, immunity and interaction with itraconazole/voriconazole.</w:t>
            </w:r>
          </w:p>
          <w:p>
            <w:pPr>
              <w:spacing w:before="60" w:after="40"/>
            </w:pPr>
            <w:r>
              <w:rPr>
                <w:rFonts w:ascii="Calibri" w:hAnsi="Calibri"/>
                <w:b w:val="0"/>
                <w:i w:val="0"/>
                <w:color w:val="5A5A5A"/>
                <w:sz w:val="18"/>
              </w:rPr>
              <w:t>#indirect  #adherence  #azoleinteraction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Overweight / Obese</w:t>
            </w:r>
          </w:p>
        </w:tc>
        <w:tc>
          <w:tcPr>
            <w:tcW w:type="dxa" w:w="2160"/>
            <w:vAlign w:val="top"/>
          </w:tcPr>
          <w:p>
            <w:pPr>
              <w:spacing w:after="40" w:before="0" w:line="259" w:lineRule="auto"/>
            </w:pPr>
            <w:r>
              <w:rPr>
                <w:rFonts w:ascii="Calibri" w:hAnsi="Calibri"/>
                <w:b w:val="0"/>
                <w:i w:val="0"/>
                <w:color w:val="212121"/>
                <w:sz w:val="19"/>
              </w:rPr>
              <w:t>Obese asthmatics</w:t>
            </w:r>
          </w:p>
        </w:tc>
        <w:tc>
          <w:tcPr>
            <w:tcW w:type="dxa" w:w="4276"/>
            <w:vAlign w:val="top"/>
          </w:tcPr>
          <w:p>
            <w:pPr>
              <w:spacing w:after="60" w:line="259" w:lineRule="auto"/>
            </w:pPr>
            <w:r>
              <w:rPr>
                <w:rFonts w:ascii="Calibri" w:hAnsi="Calibri"/>
                <w:b w:val="0"/>
                <w:i w:val="0"/>
                <w:color w:val="212121"/>
                <w:sz w:val="19"/>
              </w:rPr>
              <w:t>Obesity is associated with a more severe, harder-to-control asthma phenotype; poor asthma control is the setting in which ABPA arises. Direct dietary or adiposity causation of ABPA itself is not established.</w:t>
            </w:r>
          </w:p>
          <w:p>
            <w:pPr>
              <w:spacing w:after="40" w:before="60" w:line="259" w:lineRule="auto"/>
            </w:pPr>
            <w:r>
              <w:rPr>
                <w:rFonts w:ascii="Calibri" w:hAnsi="Calibri"/>
                <w:b w:val="0"/>
                <w:i w:val="0"/>
                <w:color w:val="212121"/>
                <w:sz w:val="19"/>
              </w:rPr>
              <w:t>Obesity-related severe, poorly controlled asthma provides the airway milieu that predisposes to ABPA.</w:t>
            </w:r>
          </w:p>
          <w:p>
            <w:pPr>
              <w:spacing w:before="60" w:after="40"/>
            </w:pPr>
            <w:r>
              <w:rPr>
                <w:rFonts w:ascii="Calibri" w:hAnsi="Calibri"/>
                <w:b w:val="0"/>
                <w:i w:val="0"/>
                <w:color w:val="5A5A5A"/>
                <w:sz w:val="18"/>
              </w:rPr>
              <w:t>#obesity  #severeasthma  #asthmacontrol</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Micronutrient status</w:t>
            </w:r>
          </w:p>
        </w:tc>
        <w:tc>
          <w:tcPr>
            <w:tcW w:type="dxa" w:w="2160"/>
            <w:vAlign w:val="top"/>
          </w:tcPr>
          <w:p>
            <w:pPr>
              <w:spacing w:after="40" w:before="0" w:line="259" w:lineRule="auto"/>
            </w:pPr>
            <w:r>
              <w:rPr>
                <w:rFonts w:ascii="Calibri" w:hAnsi="Calibri"/>
                <w:b w:val="0"/>
                <w:i w:val="0"/>
                <w:color w:val="212121"/>
                <w:sz w:val="19"/>
              </w:rPr>
              <w:t>Vitamin D–deficient individuals</w:t>
            </w:r>
          </w:p>
        </w:tc>
        <w:tc>
          <w:tcPr>
            <w:tcW w:type="dxa" w:w="4276"/>
            <w:vAlign w:val="top"/>
          </w:tcPr>
          <w:p>
            <w:pPr>
              <w:spacing w:after="60" w:line="259" w:lineRule="auto"/>
            </w:pPr>
            <w:r>
              <w:rPr>
                <w:rFonts w:ascii="Calibri" w:hAnsi="Calibri"/>
                <w:b w:val="0"/>
                <w:i w:val="0"/>
                <w:color w:val="212121"/>
                <w:sz w:val="19"/>
              </w:rPr>
              <w:t>Vitamin D deficiency — highly prevalent in India — may enhance Th2 responses to A. fumigatus; low vitamin D has been linked with ABPA in cystic fibrosis, though the evidence is still evolving. A general antioxidant-rich diet supports airway health rather than treating ABPA directly.</w:t>
            </w:r>
          </w:p>
          <w:p>
            <w:pPr>
              <w:spacing w:after="40" w:before="60" w:line="259" w:lineRule="auto"/>
            </w:pPr>
            <w:r>
              <w:rPr>
                <w:rFonts w:ascii="Calibri" w:hAnsi="Calibri"/>
                <w:b w:val="0"/>
                <w:i w:val="0"/>
                <w:color w:val="212121"/>
                <w:sz w:val="19"/>
              </w:rPr>
              <w:t>ABPA is driven by a Th2 hypersensitivity response (IL-4, IL-5, IL-13) with high IgE and eosinophilia that vitamin D may modulate.</w:t>
            </w:r>
          </w:p>
          <w:p>
            <w:pPr>
              <w:spacing w:after="40" w:line="252" w:lineRule="auto"/>
            </w:pPr>
            <w:hyperlink r:id="rId10">
              <w:r>
                <w:rPr>
                  <w:rFonts w:ascii="Calibri" w:hAnsi="Calibri" w:cs="Calibri"/>
                  <w:sz w:val="18"/>
                  <w:color w:val="1155CC"/>
                  <w:u w:val="single"/>
                </w:rPr>
                <w:t xml:space="preserve">ncbi.nlm.nih.gov/books — ABPA (StatPearls)</w:t>
              </w:r>
            </w:hyperlink>
          </w:p>
          <w:p>
            <w:pPr>
              <w:spacing w:before="60" w:after="40"/>
            </w:pPr>
            <w:r>
              <w:rPr>
                <w:rFonts w:ascii="Calibri" w:hAnsi="Calibri"/>
                <w:b w:val="0"/>
                <w:i w:val="0"/>
                <w:color w:val="5A5A5A"/>
                <w:sz w:val="18"/>
              </w:rPr>
              <w:t>#vitaminD  #Th2  #antioxidants</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Strong personal/family history of atopy &amp; asthma</w:t>
            </w:r>
          </w:p>
        </w:tc>
        <w:tc>
          <w:tcPr>
            <w:tcW w:type="dxa" w:w="4276"/>
            <w:vAlign w:val="top"/>
          </w:tcPr>
          <w:p>
            <w:pPr>
              <w:spacing w:after="60" w:line="259" w:lineRule="auto"/>
            </w:pPr>
            <w:r>
              <w:rPr>
                <w:rFonts w:ascii="Calibri" w:hAnsi="Calibri"/>
                <w:b w:val="0"/>
                <w:i w:val="0"/>
                <w:color w:val="212121"/>
                <w:sz w:val="19"/>
              </w:rPr>
              <w:t>A strong atopic background predisposes to the exaggerated Th2/IgE response that is central to ABPA, so heavily atopic asthmatics are at greater risk.</w:t>
            </w:r>
          </w:p>
          <w:p>
            <w:pPr>
              <w:spacing w:after="40" w:before="60" w:line="259" w:lineRule="auto"/>
            </w:pPr>
            <w:r>
              <w:rPr>
                <w:rFonts w:ascii="Calibri" w:hAnsi="Calibri"/>
                <w:b w:val="0"/>
                <w:i w:val="0"/>
                <w:color w:val="212121"/>
                <w:sz w:val="19"/>
              </w:rPr>
              <w:t>ABPA reflects a Th2 hypersensitivity response with elevated IgE, eosinophilia and mucus hypersecretion.</w:t>
            </w:r>
          </w:p>
          <w:p>
            <w:pPr>
              <w:spacing w:after="40" w:line="252" w:lineRule="auto"/>
            </w:pPr>
            <w:hyperlink r:id="rId10">
              <w:r>
                <w:rPr>
                  <w:rFonts w:ascii="Calibri" w:hAnsi="Calibri" w:cs="Calibri"/>
                  <w:sz w:val="18"/>
                  <w:color w:val="1155CC"/>
                  <w:u w:val="single"/>
                </w:rPr>
                <w:t xml:space="preserve">ncbi.nlm.nih.gov/books — ABPA (StatPearls)</w:t>
              </w:r>
            </w:hyperlink>
          </w:p>
          <w:p>
            <w:pPr>
              <w:spacing w:before="60" w:after="40"/>
            </w:pPr>
            <w:r>
              <w:rPr>
                <w:rFonts w:ascii="Calibri" w:hAnsi="Calibri"/>
                <w:b w:val="0"/>
                <w:i w:val="0"/>
                <w:color w:val="5A5A5A"/>
                <w:sz w:val="18"/>
              </w:rPr>
              <w:t>#atopy  #familyhistory  #Th2</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Immunogenetic variants</w:t>
            </w:r>
          </w:p>
        </w:tc>
        <w:tc>
          <w:tcPr>
            <w:tcW w:type="dxa" w:w="2160"/>
            <w:vAlign w:val="top"/>
          </w:tcPr>
          <w:p>
            <w:pPr>
              <w:spacing w:after="40" w:before="0" w:line="259" w:lineRule="auto"/>
            </w:pPr>
            <w:r>
              <w:rPr>
                <w:rFonts w:ascii="Calibri" w:hAnsi="Calibri"/>
                <w:b w:val="0"/>
                <w:i w:val="0"/>
                <w:color w:val="212121"/>
                <w:sz w:val="19"/>
              </w:rPr>
              <w:t>HLA-DR2/DR5, IL-4Rα, CFTR carriers</w:t>
            </w:r>
          </w:p>
        </w:tc>
        <w:tc>
          <w:tcPr>
            <w:tcW w:type="dxa" w:w="4276"/>
            <w:vAlign w:val="top"/>
          </w:tcPr>
          <w:p>
            <w:pPr>
              <w:spacing w:after="60" w:line="259" w:lineRule="auto"/>
            </w:pPr>
            <w:r>
              <w:rPr>
                <w:rFonts w:ascii="Calibri" w:hAnsi="Calibri"/>
                <w:b w:val="0"/>
                <w:i w:val="0"/>
                <w:color w:val="212121"/>
                <w:sz w:val="19"/>
              </w:rPr>
              <w:t>HLA-DR2/DR5 restriction, gain-of-function IL-4 receptor-α polymorphisms, surfactant protein variants and CFTR mutations (including heterozygous carriers) increase susceptibility to ABPA.</w:t>
            </w:r>
          </w:p>
          <w:p>
            <w:pPr>
              <w:spacing w:after="40" w:before="60" w:line="259" w:lineRule="auto"/>
            </w:pPr>
            <w:r>
              <w:rPr>
                <w:rFonts w:ascii="Calibri" w:hAnsi="Calibri"/>
                <w:b w:val="0"/>
                <w:i w:val="0"/>
                <w:color w:val="212121"/>
                <w:sz w:val="19"/>
              </w:rPr>
              <w:t>Host immunogenetic susceptibility explains why only a minority of exposed, sensitised asthmatics develop ABPA.</w:t>
            </w:r>
          </w:p>
          <w:p>
            <w:pPr>
              <w:spacing w:before="60" w:after="40"/>
            </w:pPr>
            <w:r>
              <w:rPr>
                <w:rFonts w:ascii="Calibri" w:hAnsi="Calibri"/>
                <w:b w:val="0"/>
                <w:i w:val="0"/>
                <w:color w:val="5A5A5A"/>
                <w:sz w:val="18"/>
              </w:rPr>
              <w:t>#HLADR2  #IL4R  #CFTR</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Bronchial asthma</w:t>
            </w:r>
          </w:p>
        </w:tc>
        <w:tc>
          <w:tcPr>
            <w:tcW w:type="dxa" w:w="2160"/>
            <w:vAlign w:val="top"/>
          </w:tcPr>
          <w:p>
            <w:pPr>
              <w:spacing w:after="40" w:before="0" w:line="259" w:lineRule="auto"/>
            </w:pPr>
            <w:r>
              <w:rPr>
                <w:rFonts w:ascii="Calibri" w:hAnsi="Calibri"/>
                <w:b w:val="0"/>
                <w:i w:val="0"/>
                <w:color w:val="212121"/>
                <w:sz w:val="19"/>
              </w:rPr>
              <w:t>Long-standing, poorly controlled asthma</w:t>
            </w:r>
          </w:p>
        </w:tc>
        <w:tc>
          <w:tcPr>
            <w:tcW w:type="dxa" w:w="4276"/>
            <w:vAlign w:val="top"/>
          </w:tcPr>
          <w:p>
            <w:pPr>
              <w:spacing w:after="60" w:line="259" w:lineRule="auto"/>
            </w:pPr>
            <w:r>
              <w:rPr>
                <w:rFonts w:ascii="Calibri" w:hAnsi="Calibri"/>
                <w:b w:val="0"/>
                <w:i w:val="0"/>
                <w:color w:val="212121"/>
                <w:sz w:val="19"/>
              </w:rPr>
              <w:t>Poorly controlled, long-standing asthma with airway mucus is the dominant substrate for Aspergillus colonisation and the development of ABPA.</w:t>
            </w:r>
          </w:p>
          <w:p>
            <w:pPr>
              <w:spacing w:after="40" w:before="60" w:line="259" w:lineRule="auto"/>
            </w:pPr>
            <w:r>
              <w:rPr>
                <w:rFonts w:ascii="Calibri" w:hAnsi="Calibri"/>
                <w:b w:val="0"/>
                <w:i w:val="0"/>
                <w:color w:val="212121"/>
                <w:sz w:val="19"/>
              </w:rPr>
              <w:t>ABPA complicates about 2.5% of asthma globally and an estimated 5–20% of asthmatics in India.</w:t>
            </w:r>
          </w:p>
          <w:p>
            <w:pPr>
              <w:spacing w:after="40" w:line="252" w:lineRule="auto"/>
            </w:pPr>
            <w:hyperlink r:id="rId9">
              <w:r>
                <w:rPr>
                  <w:rFonts w:ascii="Calibri" w:hAnsi="Calibri" w:cs="Calibri"/>
                  <w:sz w:val="18"/>
                  <w:color w:val="1155CC"/>
                  <w:u w:val="single"/>
                </w:rPr>
                <w:t xml:space="preserve">journals.plos.org — burden of ABPA/CPA in India (PLoS ONE 2014)</w:t>
              </w:r>
            </w:hyperlink>
          </w:p>
          <w:p>
            <w:pPr>
              <w:spacing w:before="60" w:after="40"/>
            </w:pPr>
            <w:r>
              <w:rPr>
                <w:rFonts w:ascii="Calibri" w:hAnsi="Calibri"/>
                <w:b w:val="0"/>
                <w:i w:val="0"/>
                <w:color w:val="5A5A5A"/>
                <w:sz w:val="18"/>
              </w:rPr>
              <w:t>#asthma  #substrate  #IgE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Cystic fibrosis</w:t>
            </w:r>
          </w:p>
        </w:tc>
        <w:tc>
          <w:tcPr>
            <w:tcW w:type="dxa" w:w="2160"/>
            <w:vAlign w:val="top"/>
          </w:tcPr>
          <w:p>
            <w:pPr>
              <w:spacing w:after="40" w:before="0" w:line="259" w:lineRule="auto"/>
            </w:pPr>
            <w:r>
              <w:rPr>
                <w:rFonts w:ascii="Calibri" w:hAnsi="Calibri"/>
                <w:b w:val="0"/>
                <w:i w:val="0"/>
                <w:color w:val="212121"/>
                <w:sz w:val="19"/>
              </w:rPr>
              <w:t>Patients with cystic fibrosis</w:t>
            </w:r>
          </w:p>
        </w:tc>
        <w:tc>
          <w:tcPr>
            <w:tcW w:type="dxa" w:w="4276"/>
            <w:vAlign w:val="top"/>
          </w:tcPr>
          <w:p>
            <w:pPr>
              <w:spacing w:after="60" w:line="259" w:lineRule="auto"/>
            </w:pPr>
            <w:r>
              <w:rPr>
                <w:rFonts w:ascii="Calibri" w:hAnsi="Calibri"/>
                <w:b w:val="0"/>
                <w:i w:val="0"/>
                <w:color w:val="212121"/>
                <w:sz w:val="19"/>
              </w:rPr>
              <w:t>Thick, tenacious airway secretions and chronic infection in cystic fibrosis favour Aspergillus persistence and the development of ABPA, often in childhood or adolescence.</w:t>
            </w:r>
          </w:p>
          <w:p>
            <w:pPr>
              <w:spacing w:after="40" w:before="60" w:line="259" w:lineRule="auto"/>
            </w:pPr>
            <w:r>
              <w:rPr>
                <w:rFonts w:ascii="Calibri" w:hAnsi="Calibri"/>
                <w:b w:val="0"/>
                <w:i w:val="0"/>
                <w:color w:val="212121"/>
                <w:sz w:val="19"/>
              </w:rPr>
              <w:t>ABPA occurs in approximately 9% of cystic fibrosis patients (range 1–15%).</w:t>
            </w:r>
          </w:p>
          <w:p>
            <w:pPr>
              <w:spacing w:after="40" w:line="252" w:lineRule="auto"/>
            </w:pPr>
            <w:hyperlink r:id="rId10">
              <w:r>
                <w:rPr>
                  <w:rFonts w:ascii="Calibri" w:hAnsi="Calibri" w:cs="Calibri"/>
                  <w:sz w:val="18"/>
                  <w:color w:val="1155CC"/>
                  <w:u w:val="single"/>
                </w:rPr>
                <w:t xml:space="preserve">ncbi.nlm.nih.gov/books — ABPA (StatPearls)</w:t>
              </w:r>
            </w:hyperlink>
          </w:p>
          <w:p>
            <w:pPr>
              <w:spacing w:before="60" w:after="40"/>
            </w:pPr>
            <w:r>
              <w:rPr>
                <w:rFonts w:ascii="Calibri" w:hAnsi="Calibri"/>
                <w:b w:val="0"/>
                <w:i w:val="0"/>
                <w:color w:val="5A5A5A"/>
                <w:sz w:val="18"/>
              </w:rPr>
              <w:t>#cysticfibrosis  #mucus  #colonisation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Post-tubercular / bronchiectatic lung</w:t>
            </w:r>
          </w:p>
        </w:tc>
        <w:tc>
          <w:tcPr>
            <w:tcW w:type="dxa" w:w="2160"/>
            <w:vAlign w:val="top"/>
          </w:tcPr>
          <w:p>
            <w:pPr>
              <w:spacing w:after="40" w:before="0" w:line="259" w:lineRule="auto"/>
            </w:pPr>
            <w:r>
              <w:rPr>
                <w:rFonts w:ascii="Calibri" w:hAnsi="Calibri"/>
                <w:b w:val="0"/>
                <w:i w:val="0"/>
                <w:color w:val="212121"/>
                <w:sz w:val="19"/>
              </w:rPr>
              <w:t>Post-TB &amp; non-CF bronchiectasis</w:t>
            </w:r>
          </w:p>
        </w:tc>
        <w:tc>
          <w:tcPr>
            <w:tcW w:type="dxa" w:w="4276"/>
            <w:vAlign w:val="top"/>
          </w:tcPr>
          <w:p>
            <w:pPr>
              <w:spacing w:after="60" w:line="259" w:lineRule="auto"/>
            </w:pPr>
            <w:r>
              <w:rPr>
                <w:rFonts w:ascii="Calibri" w:hAnsi="Calibri"/>
                <w:b w:val="0"/>
                <w:i w:val="0"/>
                <w:color w:val="212121"/>
                <w:sz w:val="19"/>
              </w:rPr>
              <w:t>Post-tubercular bronchiectasis and cavities are readily colonised by Aspergillus; in India ABPA is frequently misdiagnosed and treated as smear-negative pulmonary tuberculosis, delaying appropriate therapy.</w:t>
            </w:r>
          </w:p>
          <w:p>
            <w:pPr>
              <w:spacing w:after="40" w:before="60" w:line="259" w:lineRule="auto"/>
            </w:pPr>
            <w:r>
              <w:rPr>
                <w:rFonts w:ascii="Calibri" w:hAnsi="Calibri"/>
                <w:b w:val="0"/>
                <w:i w:val="0"/>
                <w:color w:val="212121"/>
                <w:sz w:val="19"/>
              </w:rPr>
              <w:t>A substantial proportion of Indian ABPA patients are initially diagnosed and treated as pulmonary tuberculosis before ABPA is recognised.</w:t>
            </w:r>
          </w:p>
          <w:p>
            <w:pPr>
              <w:spacing w:after="40" w:line="252" w:lineRule="auto"/>
            </w:pPr>
            <w:hyperlink r:id="rId13">
              <w:r>
                <w:rPr>
                  <w:rFonts w:ascii="Calibri" w:hAnsi="Calibri" w:cs="Calibri"/>
                  <w:sz w:val="18"/>
                  <w:color w:val="1155CC"/>
                  <w:u w:val="single"/>
                </w:rPr>
                <w:t xml:space="preserve">doi.org/10.1378/chest.130.2.442 — ABPA in north India (Chest 2006)</w:t>
              </w:r>
            </w:hyperlink>
          </w:p>
          <w:p>
            <w:pPr>
              <w:spacing w:before="60" w:after="40"/>
            </w:pPr>
            <w:r>
              <w:rPr>
                <w:rFonts w:ascii="Calibri" w:hAnsi="Calibri"/>
                <w:b w:val="0"/>
                <w:i w:val="0"/>
                <w:color w:val="5A5A5A"/>
                <w:sz w:val="18"/>
              </w:rPr>
              <w:t>#tuberculosis  #misdiagnosis  #bronchiectasis</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Inactivity does not cause ABPA, but deconditioning and poor asthma control worsen dyspnoea and exercise tolerance; graded activity, pulmonary rehabilitation and airway-clearance techniques aid recovery and expectoration of mucus plugs.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direct dietary cause is established; an antioxidant-rich diet, a healthy body weight and correction of vitamin D deficiency (common in India) may support asthma control and modulate the Th2 response.</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Poor sleep worsens asthma symptom control indirectly, and a damp bedroom adds to indoor mould exposure; nocturnal symptoms often reflect suboptimal underlying asthma/ABPA control.</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Tobacco and biomass smoke impair mucociliary clearance and the epithelial barrier and aggravate airway inflammation and asthma control, favouring Aspergillus persistence — though ABPA also occurs in never-smokers.</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established causal link; heavy use may impair immunity and medication adherence and interacts with azole antifungals (itraconazole, voriconazole) used to treat ABPA.</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Anxiety and depression arising from chronic breathlessness and repeated exacerbations reduce adherence to corticosteroids/azoles and to IgE and imaging monitoring.</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keeps airway secretions less viscous and assists expectoration of the characteristic mucus plugs; direct effect on disease course is minor.</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Methylxanthines have a mild bronchodilatory effect but play a negligible direct role in ABPA pathogenesis or control.</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Environmental/home mould hygiene matters: damp, water-damaged, poorly ventilated homes and mould on walls, coolers and AC filters raise A. fumigatus exposure in sensitised airways.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Inhalation of Aspergillus conidia from damp indoor environments, decaying vegetation, compost, mulch and hay/grain handling, construction/demolition dust and monsoon humidity provokes sensitisation and precipitates exacerbations.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Environmental Aspergillus exposure</w:t>
            </w:r>
          </w:p>
        </w:tc>
        <w:tc>
          <w:tcPr>
            <w:tcW w:type="dxa" w:w="1655"/>
            <w:vAlign w:val="top"/>
          </w:tcPr>
          <w:p>
            <w:pPr>
              <w:spacing w:after="40" w:before="0" w:line="259" w:lineRule="auto"/>
            </w:pPr>
            <w:r>
              <w:rPr>
                <w:rFonts w:ascii="Calibri" w:hAnsi="Calibri"/>
                <w:b w:val="0"/>
                <w:i w:val="0"/>
                <w:color w:val="212121"/>
                <w:sz w:val="19"/>
              </w:rPr>
              <w:t>Sensitised asthmatics, farmers, damp-home residents</w:t>
            </w:r>
          </w:p>
        </w:tc>
        <w:tc>
          <w:tcPr>
            <w:tcW w:type="dxa" w:w="1512"/>
            <w:vAlign w:val="top"/>
          </w:tcPr>
          <w:p>
            <w:pPr>
              <w:spacing w:after="40" w:before="0" w:line="259" w:lineRule="auto"/>
            </w:pPr>
            <w:r>
              <w:rPr>
                <w:rFonts w:ascii="Calibri" w:hAnsi="Calibri"/>
                <w:b w:val="0"/>
                <w:i w:val="0"/>
                <w:color w:val="212121"/>
                <w:sz w:val="19"/>
              </w:rPr>
              <w:t>Minimal; avoid compost/hay/mould</w:t>
            </w:r>
          </w:p>
        </w:tc>
        <w:tc>
          <w:tcPr>
            <w:tcW w:type="dxa" w:w="1512"/>
            <w:vAlign w:val="top"/>
          </w:tcPr>
          <w:p>
            <w:pPr>
              <w:spacing w:after="40" w:before="0" w:line="259" w:lineRule="auto"/>
            </w:pPr>
            <w:r>
              <w:rPr>
                <w:rFonts w:ascii="Calibri" w:hAnsi="Calibri"/>
                <w:b w:val="0"/>
                <w:i w:val="0"/>
                <w:color w:val="212121"/>
                <w:sz w:val="19"/>
              </w:rPr>
              <w:t>Regular contact with decaying vegetation, compost, mould or water-damaged buildings</w:t>
            </w:r>
          </w:p>
        </w:tc>
        <w:tc>
          <w:tcPr>
            <w:tcW w:type="dxa" w:w="1468"/>
            <w:vAlign w:val="top"/>
          </w:tcPr>
          <w:p>
            <w:pPr>
              <w:spacing w:after="60" w:line="259" w:lineRule="auto"/>
            </w:pPr>
            <w:r>
              <w:rPr>
                <w:rFonts w:ascii="Calibri" w:hAnsi="Calibri"/>
                <w:b w:val="0"/>
                <w:i w:val="0"/>
                <w:color w:val="212121"/>
                <w:sz w:val="19"/>
              </w:rPr>
              <w:t>Aspergillus is ubiquitous in soil and decaying organic matter; heavy exposure drives sensitisation and flares</w:t>
            </w:r>
          </w:p>
          <w:p>
            <w:pPr>
              <w:spacing w:after="40" w:line="252" w:lineRule="auto"/>
            </w:pPr>
            <w:hyperlink r:id="rId12">
              <w:r>
                <w:rPr>
                  <w:rFonts w:ascii="Calibri" w:hAnsi="Calibri" w:cs="Calibri"/>
                  <w:sz w:val="18"/>
                  <w:color w:val="1155CC"/>
                  <w:u w:val="single"/>
                </w:rPr>
                <w:t xml:space="preserve">https://www.cdc.gov/aspergillosis/about/index.html</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Indoor relative humidity (%)</w:t>
            </w:r>
          </w:p>
        </w:tc>
        <w:tc>
          <w:tcPr>
            <w:tcW w:type="dxa" w:w="1655"/>
            <w:vAlign w:val="top"/>
          </w:tcPr>
          <w:p>
            <w:pPr>
              <w:spacing w:after="40" w:before="0" w:line="259" w:lineRule="auto"/>
            </w:pPr>
            <w:r>
              <w:rPr>
                <w:rFonts w:ascii="Calibri" w:hAnsi="Calibri"/>
                <w:b w:val="0"/>
                <w:i w:val="0"/>
                <w:color w:val="212121"/>
                <w:sz w:val="19"/>
              </w:rPr>
              <w:t>Households in humid/monsoon regions</w:t>
            </w:r>
          </w:p>
        </w:tc>
        <w:tc>
          <w:tcPr>
            <w:tcW w:type="dxa" w:w="1512"/>
            <w:vAlign w:val="top"/>
          </w:tcPr>
          <w:p>
            <w:pPr>
              <w:spacing w:after="40" w:before="0" w:line="259" w:lineRule="auto"/>
            </w:pPr>
            <w:r>
              <w:rPr>
                <w:rFonts w:ascii="Calibri" w:hAnsi="Calibri"/>
                <w:b w:val="0"/>
                <w:i w:val="0"/>
                <w:color w:val="212121"/>
                <w:sz w:val="19"/>
              </w:rPr>
              <w:t>&lt; 50%</w:t>
            </w:r>
          </w:p>
        </w:tc>
        <w:tc>
          <w:tcPr>
            <w:tcW w:type="dxa" w:w="1512"/>
            <w:vAlign w:val="top"/>
          </w:tcPr>
          <w:p>
            <w:pPr>
              <w:spacing w:after="40" w:before="0" w:line="259" w:lineRule="auto"/>
            </w:pPr>
            <w:r>
              <w:rPr>
                <w:rFonts w:ascii="Calibri" w:hAnsi="Calibri"/>
                <w:b w:val="0"/>
                <w:i w:val="0"/>
                <w:color w:val="212121"/>
                <w:sz w:val="19"/>
              </w:rPr>
              <w:t>&gt; 60% (favours indoor mould growth)</w:t>
            </w:r>
          </w:p>
        </w:tc>
        <w:tc>
          <w:tcPr>
            <w:tcW w:type="dxa" w:w="1468"/>
            <w:vAlign w:val="top"/>
          </w:tcPr>
          <w:p>
            <w:pPr>
              <w:spacing w:after="40" w:before="0" w:line="259" w:lineRule="auto"/>
            </w:pPr>
            <w:r>
              <w:rPr>
                <w:rFonts w:ascii="Calibri" w:hAnsi="Calibri"/>
                <w:b w:val="0"/>
                <w:i w:val="0"/>
                <w:color w:val="212121"/>
                <w:sz w:val="19"/>
              </w:rPr>
              <w:t>Damp, humid indoor air promotes Aspergillus and other mould proliferation</w:t>
            </w:r>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Visible indoor mould / damp</w:t>
            </w:r>
          </w:p>
        </w:tc>
        <w:tc>
          <w:tcPr>
            <w:tcW w:type="dxa" w:w="1655"/>
            <w:vAlign w:val="top"/>
          </w:tcPr>
          <w:p>
            <w:pPr>
              <w:spacing w:after="40" w:before="0" w:line="259" w:lineRule="auto"/>
            </w:pPr>
            <w:r>
              <w:rPr>
                <w:rFonts w:ascii="Calibri" w:hAnsi="Calibri"/>
                <w:b w:val="0"/>
                <w:i w:val="0"/>
                <w:color w:val="212121"/>
                <w:sz w:val="19"/>
              </w:rPr>
              <w:t>Occupants of damp housing</w:t>
            </w:r>
          </w:p>
        </w:tc>
        <w:tc>
          <w:tcPr>
            <w:tcW w:type="dxa" w:w="1512"/>
            <w:vAlign w:val="top"/>
          </w:tcPr>
          <w:p>
            <w:pPr>
              <w:spacing w:after="40" w:before="0" w:line="259" w:lineRule="auto"/>
            </w:pPr>
            <w:r>
              <w:rPr>
                <w:rFonts w:ascii="Calibri" w:hAnsi="Calibri"/>
                <w:b w:val="0"/>
                <w:i w:val="0"/>
                <w:color w:val="212121"/>
                <w:sz w:val="19"/>
              </w:rPr>
              <w:t>None; dry, well-ventilated, sunlit rooms</w:t>
            </w:r>
          </w:p>
        </w:tc>
        <w:tc>
          <w:tcPr>
            <w:tcW w:type="dxa" w:w="1512"/>
            <w:vAlign w:val="top"/>
          </w:tcPr>
          <w:p>
            <w:pPr>
              <w:spacing w:after="40" w:before="0" w:line="259" w:lineRule="auto"/>
            </w:pPr>
            <w:r>
              <w:rPr>
                <w:rFonts w:ascii="Calibri" w:hAnsi="Calibri"/>
                <w:b w:val="0"/>
                <w:i w:val="0"/>
                <w:color w:val="212121"/>
                <w:sz w:val="19"/>
              </w:rPr>
              <w:t>Visible mould, water-damaged walls, mouldy coolers/AC filters</w:t>
            </w:r>
          </w:p>
        </w:tc>
        <w:tc>
          <w:tcPr>
            <w:tcW w:type="dxa" w:w="1468"/>
            <w:vAlign w:val="top"/>
          </w:tcPr>
          <w:p>
            <w:pPr>
              <w:spacing w:after="40" w:before="0" w:line="259" w:lineRule="auto"/>
            </w:pPr>
            <w:r>
              <w:rPr>
                <w:rFonts w:ascii="Calibri" w:hAnsi="Calibri"/>
                <w:b w:val="0"/>
                <w:i w:val="0"/>
                <w:color w:val="212121"/>
                <w:sz w:val="19"/>
              </w:rPr>
              <w:t>Source control (fix leaks, ventilate, clean filters) reduces conidial load</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 biomass smoke exposure per day</w:t>
            </w:r>
          </w:p>
        </w:tc>
        <w:tc>
          <w:tcPr>
            <w:tcW w:type="dxa" w:w="1655"/>
            <w:vAlign w:val="top"/>
          </w:tcPr>
          <w:p>
            <w:pPr>
              <w:spacing w:after="40" w:before="0" w:line="259" w:lineRule="auto"/>
            </w:pPr>
            <w:r>
              <w:rPr>
                <w:rFonts w:ascii="Calibri" w:hAnsi="Calibri"/>
                <w:b w:val="0"/>
                <w:i w:val="0"/>
                <w:color w:val="212121"/>
                <w:sz w:val="19"/>
              </w:rPr>
              <w:t>Smokers, biomass-fuel users</w:t>
            </w:r>
          </w:p>
        </w:tc>
        <w:tc>
          <w:tcPr>
            <w:tcW w:type="dxa" w:w="1512"/>
            <w:vAlign w:val="top"/>
          </w:tcPr>
          <w:p>
            <w:pPr>
              <w:spacing w:after="40" w:before="0" w:line="259" w:lineRule="auto"/>
            </w:pPr>
            <w:r>
              <w:rPr>
                <w:rFonts w:ascii="Calibri" w:hAnsi="Calibri"/>
                <w:b w:val="0"/>
                <w:i w:val="0"/>
                <w:color w:val="212121"/>
                <w:sz w:val="19"/>
              </w:rPr>
              <w:t>0 (smoke-free)</w:t>
            </w:r>
          </w:p>
        </w:tc>
        <w:tc>
          <w:tcPr>
            <w:tcW w:type="dxa" w:w="1512"/>
            <w:vAlign w:val="top"/>
          </w:tcPr>
          <w:p>
            <w:pPr>
              <w:spacing w:after="40" w:before="0" w:line="259" w:lineRule="auto"/>
            </w:pPr>
            <w:r>
              <w:rPr>
                <w:rFonts w:ascii="Calibri" w:hAnsi="Calibri"/>
                <w:b w:val="0"/>
                <w:i w:val="0"/>
                <w:color w:val="212121"/>
                <w:sz w:val="19"/>
              </w:rPr>
              <w:t>Any active smoking or daily biomass-smoke exposure</w:t>
            </w:r>
          </w:p>
        </w:tc>
        <w:tc>
          <w:tcPr>
            <w:tcW w:type="dxa" w:w="1468"/>
            <w:vAlign w:val="top"/>
          </w:tcPr>
          <w:p>
            <w:pPr>
              <w:spacing w:after="40" w:before="0" w:line="259" w:lineRule="auto"/>
            </w:pPr>
            <w:r>
              <w:rPr>
                <w:rFonts w:ascii="Calibri" w:hAnsi="Calibri"/>
                <w:b w:val="0"/>
                <w:i w:val="0"/>
                <w:color w:val="212121"/>
                <w:sz w:val="19"/>
              </w:rPr>
              <w:t>Smoke impairs mucociliary clearance and worsens asthma control</w:t>
            </w:r>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Moderate-vigorous activity (min/week)</w:t>
            </w:r>
          </w:p>
        </w:tc>
        <w:tc>
          <w:tcPr>
            <w:tcW w:type="dxa" w:w="1655"/>
            <w:vAlign w:val="top"/>
          </w:tcPr>
          <w:p>
            <w:pPr>
              <w:spacing w:after="40" w:before="0" w:line="259" w:lineRule="auto"/>
            </w:pPr>
            <w:r>
              <w:rPr>
                <w:rFonts w:ascii="Calibri" w:hAnsi="Calibri"/>
                <w:b w:val="0"/>
                <w:i w:val="0"/>
                <w:color w:val="212121"/>
                <w:sz w:val="19"/>
              </w:rPr>
              <w:t>Adults with asthma/ABPA</w:t>
            </w:r>
          </w:p>
        </w:tc>
        <w:tc>
          <w:tcPr>
            <w:tcW w:type="dxa" w:w="1512"/>
            <w:vAlign w:val="top"/>
          </w:tcPr>
          <w:p>
            <w:pPr>
              <w:spacing w:after="40" w:before="0" w:line="259" w:lineRule="auto"/>
            </w:pPr>
            <w:r>
              <w:rPr>
                <w:rFonts w:ascii="Calibri" w:hAnsi="Calibri"/>
                <w:b w:val="0"/>
                <w:i w:val="0"/>
                <w:color w:val="212121"/>
                <w:sz w:val="19"/>
              </w:rPr>
              <w:t>≥ 150 min/week</w:t>
            </w:r>
          </w:p>
        </w:tc>
        <w:tc>
          <w:tcPr>
            <w:tcW w:type="dxa" w:w="1512"/>
            <w:vAlign w:val="top"/>
          </w:tcPr>
          <w:p>
            <w:pPr>
              <w:spacing w:after="40" w:before="0" w:line="259" w:lineRule="auto"/>
            </w:pPr>
            <w:r>
              <w:rPr>
                <w:rFonts w:ascii="Calibri" w:hAnsi="Calibri"/>
                <w:b w:val="0"/>
                <w:i w:val="0"/>
                <w:color w:val="212121"/>
                <w:sz w:val="19"/>
              </w:rPr>
              <w:t>&lt; 150 min/week (deconditioning)</w:t>
            </w:r>
          </w:p>
        </w:tc>
        <w:tc>
          <w:tcPr>
            <w:tcW w:type="dxa" w:w="1468"/>
            <w:vAlign w:val="top"/>
          </w:tcPr>
          <w:p>
            <w:pPr>
              <w:spacing w:after="40" w:before="0" w:line="259" w:lineRule="auto"/>
            </w:pPr>
            <w:r>
              <w:rPr>
                <w:rFonts w:ascii="Calibri" w:hAnsi="Calibri"/>
                <w:b w:val="0"/>
                <w:i w:val="0"/>
                <w:color w:val="212121"/>
                <w:sz w:val="19"/>
              </w:rPr>
              <w:t>Activity and pulmonary rehabilitation improve tolerance; avoid high-mould/high-pollution days</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Body Mass Index (kg/m²)</w:t>
            </w:r>
          </w:p>
        </w:tc>
        <w:tc>
          <w:tcPr>
            <w:tcW w:type="dxa" w:w="1655"/>
            <w:vAlign w:val="top"/>
          </w:tcPr>
          <w:p>
            <w:pPr>
              <w:spacing w:after="40" w:before="0" w:line="259" w:lineRule="auto"/>
            </w:pPr>
            <w:r>
              <w:rPr>
                <w:rFonts w:ascii="Calibri" w:hAnsi="Calibri"/>
                <w:b w:val="0"/>
                <w:i w:val="0"/>
                <w:color w:val="212121"/>
                <w:sz w:val="19"/>
              </w:rPr>
              <w:t>Overweight/obese asthmatics</w:t>
            </w:r>
          </w:p>
        </w:tc>
        <w:tc>
          <w:tcPr>
            <w:tcW w:type="dxa" w:w="1512"/>
            <w:vAlign w:val="top"/>
          </w:tcPr>
          <w:p>
            <w:pPr>
              <w:spacing w:after="40" w:before="0" w:line="259" w:lineRule="auto"/>
            </w:pPr>
            <w:r>
              <w:rPr>
                <w:rFonts w:ascii="Calibri" w:hAnsi="Calibri"/>
                <w:b w:val="0"/>
                <w:i w:val="0"/>
                <w:color w:val="212121"/>
                <w:sz w:val="19"/>
              </w:rPr>
              <w:t>18.5–24.9 kg/m²</w:t>
            </w:r>
          </w:p>
        </w:tc>
        <w:tc>
          <w:tcPr>
            <w:tcW w:type="dxa" w:w="1512"/>
            <w:vAlign w:val="top"/>
          </w:tcPr>
          <w:p>
            <w:pPr>
              <w:spacing w:after="40" w:before="0" w:line="259" w:lineRule="auto"/>
            </w:pPr>
            <w:r>
              <w:rPr>
                <w:rFonts w:ascii="Calibri" w:hAnsi="Calibri"/>
                <w:b w:val="0"/>
                <w:i w:val="0"/>
                <w:color w:val="212121"/>
                <w:sz w:val="19"/>
              </w:rPr>
              <w:t>≥ 25 (overweight); ≥ 30 (obese)</w:t>
            </w:r>
          </w:p>
        </w:tc>
        <w:tc>
          <w:tcPr>
            <w:tcW w:type="dxa" w:w="1468"/>
            <w:vAlign w:val="top"/>
          </w:tcPr>
          <w:p>
            <w:pPr>
              <w:spacing w:after="40" w:before="0" w:line="259" w:lineRule="auto"/>
            </w:pPr>
            <w:r>
              <w:rPr>
                <w:rFonts w:ascii="Calibri" w:hAnsi="Calibri"/>
                <w:b w:val="0"/>
                <w:i w:val="0"/>
                <w:color w:val="212121"/>
                <w:sz w:val="19"/>
              </w:rPr>
              <w:t>Obesity is linked to a severe, poorly controlled asthma phenotype that predisposes to ABPA</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(hours/night)</w:t>
            </w:r>
          </w:p>
        </w:tc>
        <w:tc>
          <w:tcPr>
            <w:tcW w:type="dxa" w:w="1655"/>
            <w:vAlign w:val="top"/>
          </w:tcPr>
          <w:p>
            <w:pPr>
              <w:spacing w:after="40" w:before="0" w:line="259" w:lineRule="auto"/>
            </w:pPr>
            <w:r>
              <w:rPr>
                <w:rFonts w:ascii="Calibri" w:hAnsi="Calibri"/>
                <w:b w:val="0"/>
                <w:i w:val="0"/>
                <w:color w:val="212121"/>
                <w:sz w:val="19"/>
              </w:rPr>
              <w:t>Adults with asthma/ABPA</w:t>
            </w:r>
          </w:p>
        </w:tc>
        <w:tc>
          <w:tcPr>
            <w:tcW w:type="dxa" w:w="1512"/>
            <w:vAlign w:val="top"/>
          </w:tcPr>
          <w:p>
            <w:pPr>
              <w:spacing w:after="40" w:before="0" w:line="259" w:lineRule="auto"/>
            </w:pPr>
            <w:r>
              <w:rPr>
                <w:rFonts w:ascii="Calibri" w:hAnsi="Calibri"/>
                <w:b w:val="0"/>
                <w:i w:val="0"/>
                <w:color w:val="212121"/>
                <w:sz w:val="19"/>
              </w:rPr>
              <w:t>7–9 hours/night</w:t>
            </w:r>
          </w:p>
        </w:tc>
        <w:tc>
          <w:tcPr>
            <w:tcW w:type="dxa" w:w="1512"/>
            <w:vAlign w:val="top"/>
          </w:tcPr>
          <w:p>
            <w:pPr>
              <w:spacing w:after="40" w:before="0" w:line="259" w:lineRule="auto"/>
            </w:pPr>
            <w:r>
              <w:rPr>
                <w:rFonts w:ascii="Calibri" w:hAnsi="Calibri"/>
                <w:b w:val="0"/>
                <w:i w:val="0"/>
                <w:color w:val="212121"/>
                <w:sz w:val="19"/>
              </w:rPr>
              <w:t>&lt; 6 hours/night or frequent nocturnal symptoms</w:t>
            </w:r>
          </w:p>
        </w:tc>
        <w:tc>
          <w:tcPr>
            <w:tcW w:type="dxa" w:w="1468"/>
            <w:vAlign w:val="top"/>
          </w:tcPr>
          <w:p>
            <w:pPr>
              <w:spacing w:after="40" w:before="0" w:line="259" w:lineRule="auto"/>
            </w:pPr>
            <w:r>
              <w:rPr>
                <w:rFonts w:ascii="Calibri" w:hAnsi="Calibri"/>
                <w:b w:val="0"/>
                <w:i w:val="0"/>
                <w:color w:val="212121"/>
                <w:sz w:val="19"/>
              </w:rPr>
              <w:t>Nocturnal symptoms often signal suboptimal underlying control</w:t>
            </w:r>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Daily fluid intake (litres/day)</w:t>
            </w:r>
          </w:p>
        </w:tc>
        <w:tc>
          <w:tcPr>
            <w:tcW w:type="dxa" w:w="1655"/>
            <w:vAlign w:val="top"/>
          </w:tcPr>
          <w:p>
            <w:pPr>
              <w:spacing w:after="40" w:before="0" w:line="259" w:lineRule="auto"/>
            </w:pPr>
            <w:r>
              <w:rPr>
                <w:rFonts w:ascii="Calibri" w:hAnsi="Calibri"/>
                <w:b w:val="0"/>
                <w:i w:val="0"/>
                <w:color w:val="212121"/>
                <w:sz w:val="19"/>
              </w:rPr>
              <w:t>Patients expectorating mucus plugs</w:t>
            </w:r>
          </w:p>
        </w:tc>
        <w:tc>
          <w:tcPr>
            <w:tcW w:type="dxa" w:w="1512"/>
            <w:vAlign w:val="top"/>
          </w:tcPr>
          <w:p>
            <w:pPr>
              <w:spacing w:after="40" w:before="0" w:line="259" w:lineRule="auto"/>
            </w:pPr>
            <w:r>
              <w:rPr>
                <w:rFonts w:ascii="Calibri" w:hAnsi="Calibri"/>
                <w:b w:val="0"/>
                <w:i w:val="0"/>
                <w:color w:val="212121"/>
                <w:sz w:val="19"/>
              </w:rPr>
              <w:t>~2–3 L/day (as tolerated)</w:t>
            </w:r>
          </w:p>
        </w:tc>
        <w:tc>
          <w:tcPr>
            <w:tcW w:type="dxa" w:w="1512"/>
            <w:vAlign w:val="top"/>
          </w:tcPr>
          <w:p>
            <w:pPr>
              <w:spacing w:after="40" w:before="0" w:line="259" w:lineRule="auto"/>
            </w:pPr>
            <w:r>
              <w:rPr>
                <w:rFonts w:ascii="Calibri" w:hAnsi="Calibri"/>
                <w:b w:val="0"/>
                <w:i w:val="0"/>
                <w:color w:val="212121"/>
                <w:sz w:val="19"/>
              </w:rPr>
              <w:t>Inadequate intake with thick, tenacious sputum</w:t>
            </w:r>
          </w:p>
        </w:tc>
        <w:tc>
          <w:tcPr>
            <w:tcW w:type="dxa" w:w="1468"/>
            <w:vAlign w:val="top"/>
          </w:tcPr>
          <w:p>
            <w:pPr>
              <w:spacing w:after="40" w:before="0" w:line="259" w:lineRule="auto"/>
            </w:pPr>
            <w:r>
              <w:rPr>
                <w:rFonts w:ascii="Calibri" w:hAnsi="Calibri"/>
                <w:b w:val="0"/>
                <w:i w:val="0"/>
                <w:color w:val="212121"/>
                <w:sz w:val="19"/>
              </w:rPr>
              <w:t>Adequate hydration helps thin secretions and aids clearance of mucus plugs</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Anxiety/depression screen (e.g., PHQ/GAD)</w:t>
            </w:r>
          </w:p>
        </w:tc>
        <w:tc>
          <w:tcPr>
            <w:tcW w:type="dxa" w:w="1655"/>
            <w:vAlign w:val="top"/>
          </w:tcPr>
          <w:p>
            <w:pPr>
              <w:spacing w:after="40" w:before="0" w:line="259" w:lineRule="auto"/>
            </w:pPr>
            <w:r>
              <w:rPr>
                <w:rFonts w:ascii="Calibri" w:hAnsi="Calibri"/>
                <w:b w:val="0"/>
                <w:i w:val="0"/>
                <w:color w:val="212121"/>
                <w:sz w:val="19"/>
              </w:rPr>
              <w:t>Recurrent exacerbations, steroid-dependent ABPA</w:t>
            </w:r>
          </w:p>
        </w:tc>
        <w:tc>
          <w:tcPr>
            <w:tcW w:type="dxa" w:w="1512"/>
            <w:vAlign w:val="top"/>
          </w:tcPr>
          <w:p>
            <w:pPr>
              <w:spacing w:after="40" w:before="0" w:line="259" w:lineRule="auto"/>
            </w:pPr>
            <w:r>
              <w:rPr>
                <w:rFonts w:ascii="Calibri" w:hAnsi="Calibri"/>
                <w:b w:val="0"/>
                <w:i w:val="0"/>
                <w:color w:val="212121"/>
                <w:sz w:val="19"/>
              </w:rPr>
              <w:t>Low symptom burden; good adherence</w:t>
            </w:r>
          </w:p>
        </w:tc>
        <w:tc>
          <w:tcPr>
            <w:tcW w:type="dxa" w:w="1512"/>
            <w:vAlign w:val="top"/>
          </w:tcPr>
          <w:p>
            <w:pPr>
              <w:spacing w:after="40" w:before="0" w:line="259" w:lineRule="auto"/>
            </w:pPr>
            <w:r>
              <w:rPr>
                <w:rFonts w:ascii="Calibri" w:hAnsi="Calibri"/>
                <w:b w:val="0"/>
                <w:i w:val="0"/>
                <w:color w:val="212121"/>
                <w:sz w:val="19"/>
              </w:rPr>
              <w:t>Significant anxiety/depression reducing adherence</w:t>
            </w:r>
          </w:p>
        </w:tc>
        <w:tc>
          <w:tcPr>
            <w:tcW w:type="dxa" w:w="1468"/>
            <w:vAlign w:val="top"/>
          </w:tcPr>
          <w:p>
            <w:pPr>
              <w:spacing w:after="40" w:before="0" w:line="259" w:lineRule="auto"/>
            </w:pPr>
            <w:r>
              <w:rPr>
                <w:rFonts w:ascii="Calibri" w:hAnsi="Calibri"/>
                <w:b w:val="0"/>
                <w:i w:val="0"/>
                <w:color w:val="212121"/>
                <w:sz w:val="19"/>
              </w:rPr>
              <w:t>Untreated distress undermines adherence to steroids, azoles and monitoring</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Immunology</w:t>
            </w:r>
          </w:p>
        </w:tc>
        <w:tc>
          <w:tcPr>
            <w:tcW w:type="dxa" w:w="1036"/>
            <w:vAlign w:val="top"/>
          </w:tcPr>
          <w:p>
            <w:pPr>
              <w:spacing w:after="40" w:before="0" w:line="259" w:lineRule="auto"/>
            </w:pPr>
            <w:r>
              <w:rPr>
                <w:rFonts w:ascii="Calibri" w:hAnsi="Calibri"/>
                <w:b w:val="0"/>
                <w:i w:val="0"/>
                <w:color w:val="212121"/>
                <w:sz w:val="16"/>
              </w:rPr>
              <w:t>Total serum IgE</w:t>
            </w:r>
          </w:p>
        </w:tc>
        <w:tc>
          <w:tcPr>
            <w:tcW w:type="dxa" w:w="892"/>
            <w:vAlign w:val="top"/>
          </w:tcPr>
          <w:p>
            <w:pPr>
              <w:spacing w:after="40" w:before="0" w:line="259" w:lineRule="auto"/>
            </w:pPr>
            <w:r>
              <w:rPr>
                <w:rFonts w:ascii="Calibri" w:hAnsi="Calibri"/>
                <w:b w:val="0"/>
                <w:i w:val="0"/>
                <w:color w:val="212121"/>
                <w:sz w:val="16"/>
              </w:rPr>
              <w:t>Serum immunoglobulin E</w:t>
            </w:r>
          </w:p>
        </w:tc>
        <w:tc>
          <w:tcPr>
            <w:tcW w:type="dxa" w:w="950"/>
            <w:vAlign w:val="top"/>
          </w:tcPr>
          <w:p>
            <w:pPr>
              <w:spacing w:after="40" w:before="0" w:line="259" w:lineRule="auto"/>
            </w:pPr>
            <w:r>
              <w:rPr>
                <w:rFonts w:ascii="Calibri" w:hAnsi="Calibri"/>
                <w:b w:val="0"/>
                <w:i w:val="0"/>
                <w:color w:val="212121"/>
                <w:sz w:val="16"/>
              </w:rPr>
              <w:t>&lt; 100–150 IU/mL (population reference)</w:t>
            </w:r>
          </w:p>
        </w:tc>
        <w:tc>
          <w:tcPr>
            <w:tcW w:type="dxa" w:w="950"/>
            <w:vAlign w:val="top"/>
          </w:tcPr>
          <w:p>
            <w:pPr>
              <w:spacing w:after="40" w:before="0" w:line="259" w:lineRule="auto"/>
            </w:pPr>
            <w:r>
              <w:rPr>
                <w:rFonts w:ascii="Calibri" w:hAnsi="Calibri"/>
                <w:b w:val="0"/>
                <w:i w:val="0"/>
                <w:color w:val="212121"/>
                <w:sz w:val="16"/>
              </w:rPr>
              <w:t>Usually &gt; 1000 IU/mL</w:t>
            </w:r>
          </w:p>
        </w:tc>
        <w:tc>
          <w:tcPr>
            <w:tcW w:type="dxa" w:w="1036"/>
            <w:vAlign w:val="top"/>
          </w:tcPr>
          <w:p>
            <w:pPr>
              <w:spacing w:after="40" w:before="0" w:line="259" w:lineRule="auto"/>
            </w:pPr>
            <w:r>
              <w:rPr>
                <w:rFonts w:ascii="Calibri" w:hAnsi="Calibri"/>
                <w:b w:val="0"/>
                <w:i w:val="0"/>
                <w:color w:val="212121"/>
                <w:sz w:val="16"/>
              </w:rPr>
              <w:t>Cornerstone for diagnosis and monitoring; a 35–50% rise from the patient's baseline signals an exacerbation</w:t>
            </w:r>
          </w:p>
        </w:tc>
        <w:tc>
          <w:tcPr>
            <w:tcW w:type="dxa" w:w="1036"/>
            <w:vAlign w:val="top"/>
          </w:tcPr>
          <w:p>
            <w:pPr>
              <w:spacing w:after="40" w:before="0" w:line="259" w:lineRule="auto"/>
            </w:pPr>
            <w:r>
              <w:rPr>
                <w:rFonts w:ascii="Calibri" w:hAnsi="Calibri"/>
                <w:b w:val="0"/>
                <w:i w:val="0"/>
                <w:color w:val="212121"/>
                <w:sz w:val="16"/>
              </w:rPr>
              <w:t>Asthmatics with suspected ABPA, cystic fibrosis, follow-up of known ABPA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&amp; monitoring — gold standard</w:t>
            </w:r>
          </w:p>
        </w:tc>
        <w:tc>
          <w:tcPr>
            <w:tcW w:type="dxa" w:w="720"/>
            <w:vAlign w:val="top"/>
          </w:tcPr>
          <w:p>
            <w:pPr>
              <w:spacing w:after="40" w:before="0" w:line="259" w:lineRule="auto"/>
            </w:pPr>
            <w:r>
              <w:rPr>
                <w:rFonts w:ascii="Calibri" w:hAnsi="Calibri"/>
                <w:b w:val="0"/>
                <w:i w:val="0"/>
                <w:color w:val="212121"/>
                <w:sz w:val="16"/>
              </w:rPr>
              <w:t>Track serial values against each patient's own baseline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Immunology</w:t>
            </w:r>
          </w:p>
        </w:tc>
        <w:tc>
          <w:tcPr>
            <w:tcW w:type="dxa" w:w="1036"/>
            <w:vAlign w:val="top"/>
          </w:tcPr>
          <w:p>
            <w:pPr>
              <w:spacing w:after="40" w:before="0" w:line="259" w:lineRule="auto"/>
            </w:pPr>
            <w:r>
              <w:rPr>
                <w:rFonts w:ascii="Calibri" w:hAnsi="Calibri"/>
                <w:b w:val="0"/>
                <w:i w:val="0"/>
                <w:color w:val="212121"/>
                <w:sz w:val="16"/>
              </w:rPr>
              <w:t>A. fumigatus–specific IgE</w:t>
            </w:r>
          </w:p>
        </w:tc>
        <w:tc>
          <w:tcPr>
            <w:tcW w:type="dxa" w:w="892"/>
            <w:vAlign w:val="top"/>
          </w:tcPr>
          <w:p>
            <w:pPr>
              <w:spacing w:after="40" w:before="0" w:line="259" w:lineRule="auto"/>
            </w:pPr>
            <w:r>
              <w:rPr>
                <w:rFonts w:ascii="Calibri" w:hAnsi="Calibri"/>
                <w:b w:val="0"/>
                <w:i w:val="0"/>
                <w:color w:val="212121"/>
                <w:sz w:val="16"/>
              </w:rPr>
              <w:t>Aspergillus-specific IgE (ImmunoCAP)</w:t>
            </w:r>
          </w:p>
        </w:tc>
        <w:tc>
          <w:tcPr>
            <w:tcW w:type="dxa" w:w="950"/>
            <w:vAlign w:val="top"/>
          </w:tcPr>
          <w:p>
            <w:pPr>
              <w:spacing w:after="40" w:before="0" w:line="259" w:lineRule="auto"/>
            </w:pPr>
            <w:r>
              <w:rPr>
                <w:rFonts w:ascii="Calibri" w:hAnsi="Calibri"/>
                <w:b w:val="0"/>
                <w:i w:val="0"/>
                <w:color w:val="212121"/>
                <w:sz w:val="16"/>
              </w:rPr>
              <w:t>&lt; 0.35 kUA/L</w:t>
            </w:r>
          </w:p>
        </w:tc>
        <w:tc>
          <w:tcPr>
            <w:tcW w:type="dxa" w:w="950"/>
            <w:vAlign w:val="top"/>
          </w:tcPr>
          <w:p>
            <w:pPr>
              <w:spacing w:after="40" w:before="0" w:line="259" w:lineRule="auto"/>
            </w:pPr>
            <w:r>
              <w:rPr>
                <w:rFonts w:ascii="Calibri" w:hAnsi="Calibri"/>
                <w:b w:val="0"/>
                <w:i w:val="0"/>
                <w:color w:val="212121"/>
                <w:sz w:val="16"/>
              </w:rPr>
              <w:t>≥ 0.35 kUA/L</w:t>
            </w:r>
          </w:p>
        </w:tc>
        <w:tc>
          <w:tcPr>
            <w:tcW w:type="dxa" w:w="1036"/>
            <w:vAlign w:val="top"/>
          </w:tcPr>
          <w:p>
            <w:pPr>
              <w:spacing w:after="40" w:before="0" w:line="259" w:lineRule="auto"/>
            </w:pPr>
            <w:r>
              <w:rPr>
                <w:rFonts w:ascii="Calibri" w:hAnsi="Calibri"/>
                <w:b w:val="0"/>
                <w:i w:val="0"/>
                <w:color w:val="212121"/>
                <w:sz w:val="16"/>
              </w:rPr>
              <w:t>Obligatory criterion; the most sensitive marker of Aspergillus sensitisation</w:t>
            </w:r>
          </w:p>
        </w:tc>
        <w:tc>
          <w:tcPr>
            <w:tcW w:type="dxa" w:w="1036"/>
            <w:vAlign w:val="top"/>
          </w:tcPr>
          <w:p>
            <w:pPr>
              <w:spacing w:after="40" w:before="0" w:line="259" w:lineRule="auto"/>
            </w:pPr>
            <w:r>
              <w:rPr>
                <w:rFonts w:ascii="Calibri" w:hAnsi="Calibri"/>
                <w:b w:val="0"/>
                <w:i w:val="0"/>
                <w:color w:val="212121"/>
                <w:sz w:val="16"/>
              </w:rPr>
              <w:t>All suspected ABPA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Obligatory diagnostic criterion</w:t>
            </w:r>
          </w:p>
        </w:tc>
        <w:tc>
          <w:tcPr>
            <w:tcW w:type="dxa" w:w="720"/>
            <w:vAlign w:val="top"/>
          </w:tcPr>
          <w:p>
            <w:pPr>
              <w:spacing w:after="40" w:before="0" w:line="259" w:lineRule="auto"/>
            </w:pPr>
            <w:r>
              <w:rPr>
                <w:rFonts w:ascii="Calibri" w:hAnsi="Calibri"/>
                <w:b w:val="0"/>
                <w:i w:val="0"/>
                <w:color w:val="212121"/>
                <w:sz w:val="16"/>
              </w:rPr>
              <w:t>More sensitive than the skin-prick test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Immunology</w:t>
            </w:r>
          </w:p>
        </w:tc>
        <w:tc>
          <w:tcPr>
            <w:tcW w:type="dxa" w:w="1036"/>
            <w:vAlign w:val="top"/>
          </w:tcPr>
          <w:p>
            <w:pPr>
              <w:spacing w:after="40" w:before="0" w:line="259" w:lineRule="auto"/>
            </w:pPr>
            <w:r>
              <w:rPr>
                <w:rFonts w:ascii="Calibri" w:hAnsi="Calibri"/>
                <w:b w:val="0"/>
                <w:i w:val="0"/>
                <w:color w:val="212121"/>
                <w:sz w:val="16"/>
              </w:rPr>
              <w:t>A. fumigatus–specific IgG / precipitins</w:t>
            </w:r>
          </w:p>
        </w:tc>
        <w:tc>
          <w:tcPr>
            <w:tcW w:type="dxa" w:w="892"/>
            <w:vAlign w:val="top"/>
          </w:tcPr>
          <w:p>
            <w:pPr>
              <w:spacing w:after="40" w:before="0" w:line="259" w:lineRule="auto"/>
            </w:pPr>
            <w:r>
              <w:rPr>
                <w:rFonts w:ascii="Calibri" w:hAnsi="Calibri"/>
                <w:b w:val="0"/>
                <w:i w:val="0"/>
                <w:color w:val="212121"/>
                <w:sz w:val="16"/>
              </w:rPr>
              <w:t>Aspergillus-specific IgG</w:t>
            </w:r>
          </w:p>
        </w:tc>
        <w:tc>
          <w:tcPr>
            <w:tcW w:type="dxa" w:w="950"/>
            <w:vAlign w:val="top"/>
          </w:tcPr>
          <w:p>
            <w:pPr>
              <w:spacing w:after="40" w:before="0" w:line="259" w:lineRule="auto"/>
            </w:pPr>
            <w:r>
              <w:rPr>
                <w:rFonts w:ascii="Calibri" w:hAnsi="Calibri"/>
                <w:b w:val="0"/>
                <w:i w:val="0"/>
                <w:color w:val="212121"/>
                <w:sz w:val="16"/>
              </w:rPr>
              <w:t>&lt; 27 mgA/L; precipitins absent</w:t>
            </w:r>
          </w:p>
        </w:tc>
        <w:tc>
          <w:tcPr>
            <w:tcW w:type="dxa" w:w="950"/>
            <w:vAlign w:val="top"/>
          </w:tcPr>
          <w:p>
            <w:pPr>
              <w:spacing w:after="40" w:before="0" w:line="259" w:lineRule="auto"/>
            </w:pPr>
            <w:r>
              <w:rPr>
                <w:rFonts w:ascii="Calibri" w:hAnsi="Calibri"/>
                <w:b w:val="0"/>
                <w:i w:val="0"/>
                <w:color w:val="212121"/>
                <w:sz w:val="16"/>
              </w:rPr>
              <w:t>≥ 27 mgA/L or precipitins positive</w:t>
            </w:r>
          </w:p>
        </w:tc>
        <w:tc>
          <w:tcPr>
            <w:tcW w:type="dxa" w:w="1036"/>
            <w:vAlign w:val="top"/>
          </w:tcPr>
          <w:p>
            <w:pPr>
              <w:spacing w:after="40" w:before="0" w:line="259" w:lineRule="auto"/>
            </w:pPr>
            <w:r>
              <w:rPr>
                <w:rFonts w:ascii="Calibri" w:hAnsi="Calibri"/>
                <w:b w:val="0"/>
                <w:i w:val="0"/>
                <w:color w:val="212121"/>
                <w:sz w:val="16"/>
              </w:rPr>
              <w:t>Supports diagnosis (one of the three 'other' criteria); reflects immune-complex response</w:t>
            </w:r>
          </w:p>
        </w:tc>
        <w:tc>
          <w:tcPr>
            <w:tcW w:type="dxa" w:w="1036"/>
            <w:vAlign w:val="top"/>
          </w:tcPr>
          <w:p>
            <w:pPr>
              <w:spacing w:after="40" w:before="0" w:line="259" w:lineRule="auto"/>
            </w:pPr>
            <w:r>
              <w:rPr>
                <w:rFonts w:ascii="Calibri" w:hAnsi="Calibri"/>
                <w:b w:val="0"/>
                <w:i w:val="0"/>
                <w:color w:val="212121"/>
                <w:sz w:val="16"/>
              </w:rPr>
              <w:t>Suspected ABPA, ABPA vs simple sensitisation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 diagnostic criterion</w:t>
            </w:r>
          </w:p>
        </w:tc>
        <w:tc>
          <w:tcPr>
            <w:tcW w:type="dxa" w:w="720"/>
            <w:vAlign w:val="top"/>
          </w:tcPr>
          <w:p>
            <w:pPr>
              <w:spacing w:after="40" w:before="0" w:line="259" w:lineRule="auto"/>
            </w:pPr>
            <w:r>
              <w:rPr>
                <w:rFonts w:ascii="Calibri" w:hAnsi="Calibri"/>
                <w:b w:val="0"/>
                <w:i w:val="0"/>
                <w:color w:val="212121"/>
                <w:sz w:val="16"/>
              </w:rPr>
              <w:t>Precipitins are less sensitive than quantitative specific IgG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Absolute eosinophil count</w:t>
            </w:r>
          </w:p>
        </w:tc>
        <w:tc>
          <w:tcPr>
            <w:tcW w:type="dxa" w:w="892"/>
            <w:vAlign w:val="top"/>
          </w:tcPr>
          <w:p>
            <w:pPr>
              <w:spacing w:after="40" w:before="0" w:line="259" w:lineRule="auto"/>
            </w:pPr>
            <w:r>
              <w:rPr>
                <w:rFonts w:ascii="Calibri" w:hAnsi="Calibri"/>
                <w:b w:val="0"/>
                <w:i w:val="0"/>
                <w:color w:val="212121"/>
                <w:sz w:val="16"/>
              </w:rPr>
              <w:t>Complete blood count with differential</w:t>
            </w:r>
          </w:p>
        </w:tc>
        <w:tc>
          <w:tcPr>
            <w:tcW w:type="dxa" w:w="950"/>
            <w:vAlign w:val="top"/>
          </w:tcPr>
          <w:p>
            <w:pPr>
              <w:spacing w:after="40" w:before="0" w:line="259" w:lineRule="auto"/>
            </w:pPr>
            <w:r>
              <w:rPr>
                <w:rFonts w:ascii="Calibri" w:hAnsi="Calibri"/>
                <w:b w:val="0"/>
                <w:i w:val="0"/>
                <w:color w:val="212121"/>
                <w:sz w:val="16"/>
              </w:rPr>
              <w:t>&lt; 500 cells/µL</w:t>
            </w:r>
          </w:p>
        </w:tc>
        <w:tc>
          <w:tcPr>
            <w:tcW w:type="dxa" w:w="950"/>
            <w:vAlign w:val="top"/>
          </w:tcPr>
          <w:p>
            <w:pPr>
              <w:spacing w:after="40" w:before="0" w:line="259" w:lineRule="auto"/>
            </w:pPr>
            <w:r>
              <w:rPr>
                <w:rFonts w:ascii="Calibri" w:hAnsi="Calibri"/>
                <w:b w:val="0"/>
                <w:i w:val="0"/>
                <w:color w:val="212121"/>
                <w:sz w:val="16"/>
              </w:rPr>
              <w:t>&gt; 500 cells/µL (steroid-naïve)</w:t>
            </w:r>
          </w:p>
        </w:tc>
        <w:tc>
          <w:tcPr>
            <w:tcW w:type="dxa" w:w="1036"/>
            <w:vAlign w:val="top"/>
          </w:tcPr>
          <w:p>
            <w:pPr>
              <w:spacing w:after="40" w:before="0" w:line="259" w:lineRule="auto"/>
            </w:pPr>
            <w:r>
              <w:rPr>
                <w:rFonts w:ascii="Calibri" w:hAnsi="Calibri"/>
                <w:b w:val="0"/>
                <w:i w:val="0"/>
                <w:color w:val="212121"/>
                <w:sz w:val="16"/>
              </w:rPr>
              <w:t>Eosinophilia supports the diagnosis; may be suppressed by corticosteroids</w:t>
            </w:r>
          </w:p>
        </w:tc>
        <w:tc>
          <w:tcPr>
            <w:tcW w:type="dxa" w:w="1036"/>
            <w:vAlign w:val="top"/>
          </w:tcPr>
          <w:p>
            <w:pPr>
              <w:spacing w:after="40" w:before="0" w:line="259" w:lineRule="auto"/>
            </w:pPr>
            <w:r>
              <w:rPr>
                <w:rFonts w:ascii="Calibri" w:hAnsi="Calibri"/>
                <w:b w:val="0"/>
                <w:i w:val="0"/>
                <w:color w:val="212121"/>
                <w:sz w:val="16"/>
              </w:rPr>
              <w:t>Steroid-naïve suspected ABPA</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 criterion</w:t>
            </w:r>
          </w:p>
        </w:tc>
        <w:tc>
          <w:tcPr>
            <w:tcW w:type="dxa" w:w="720"/>
            <w:vAlign w:val="top"/>
          </w:tcPr>
          <w:p>
            <w:pPr>
              <w:spacing w:after="40" w:before="0" w:line="259" w:lineRule="auto"/>
            </w:pPr>
            <w:r>
              <w:rPr>
                <w:rFonts w:ascii="Calibri" w:hAnsi="Calibri"/>
                <w:b w:val="0"/>
                <w:i w:val="0"/>
                <w:color w:val="212121"/>
                <w:sz w:val="16"/>
              </w:rPr>
              <w:t>A normal count on steroids does not exclude ABPA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Sputum for Aspergillus (KOH / culture)</w:t>
            </w:r>
          </w:p>
        </w:tc>
        <w:tc>
          <w:tcPr>
            <w:tcW w:type="dxa" w:w="892"/>
            <w:vAlign w:val="top"/>
          </w:tcPr>
          <w:p>
            <w:pPr>
              <w:spacing w:after="40" w:before="0" w:line="259" w:lineRule="auto"/>
            </w:pPr>
            <w:r>
              <w:rPr>
                <w:rFonts w:ascii="Calibri" w:hAnsi="Calibri"/>
                <w:b w:val="0"/>
                <w:i w:val="0"/>
                <w:color w:val="212121"/>
                <w:sz w:val="16"/>
              </w:rPr>
              <w:t>Sputum fungal smear &amp; culture</w:t>
            </w:r>
          </w:p>
        </w:tc>
        <w:tc>
          <w:tcPr>
            <w:tcW w:type="dxa" w:w="950"/>
            <w:vAlign w:val="top"/>
          </w:tcPr>
          <w:p>
            <w:pPr>
              <w:spacing w:after="40" w:before="0" w:line="259" w:lineRule="auto"/>
            </w:pPr>
            <w:r>
              <w:rPr>
                <w:rFonts w:ascii="Calibri" w:hAnsi="Calibri"/>
                <w:b w:val="0"/>
                <w:i w:val="0"/>
                <w:color w:val="212121"/>
                <w:sz w:val="16"/>
              </w:rPr>
              <w:t>No fungal elements; no growth</w:t>
            </w:r>
          </w:p>
        </w:tc>
        <w:tc>
          <w:tcPr>
            <w:tcW w:type="dxa" w:w="950"/>
            <w:vAlign w:val="top"/>
          </w:tcPr>
          <w:p>
            <w:pPr>
              <w:spacing w:after="40" w:before="0" w:line="259" w:lineRule="auto"/>
            </w:pPr>
            <w:r>
              <w:rPr>
                <w:rFonts w:ascii="Calibri" w:hAnsi="Calibri"/>
                <w:b w:val="0"/>
                <w:i w:val="0"/>
                <w:color w:val="212121"/>
                <w:sz w:val="16"/>
              </w:rPr>
              <w:t>Septate hyphae seen / A. fumigatus isolated</w:t>
            </w:r>
          </w:p>
        </w:tc>
        <w:tc>
          <w:tcPr>
            <w:tcW w:type="dxa" w:w="1036"/>
            <w:vAlign w:val="top"/>
          </w:tcPr>
          <w:p>
            <w:pPr>
              <w:spacing w:after="40" w:before="0" w:line="259" w:lineRule="auto"/>
            </w:pPr>
            <w:r>
              <w:rPr>
                <w:rFonts w:ascii="Calibri" w:hAnsi="Calibri"/>
                <w:b w:val="0"/>
                <w:i w:val="0"/>
                <w:color w:val="212121"/>
                <w:sz w:val="16"/>
              </w:rPr>
              <w:t>Supports airway colonisation; not required for diagnosis and may be negative</w:t>
            </w:r>
          </w:p>
        </w:tc>
        <w:tc>
          <w:tcPr>
            <w:tcW w:type="dxa" w:w="1036"/>
            <w:vAlign w:val="top"/>
          </w:tcPr>
          <w:p>
            <w:pPr>
              <w:spacing w:after="40" w:before="0" w:line="259" w:lineRule="auto"/>
            </w:pPr>
            <w:r>
              <w:rPr>
                <w:rFonts w:ascii="Calibri" w:hAnsi="Calibri"/>
                <w:b w:val="0"/>
                <w:i w:val="0"/>
                <w:color w:val="212121"/>
                <w:sz w:val="16"/>
              </w:rPr>
              <w:t>Patients expectorating mucus plugs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Examine expectorated brown mucus plugs where available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Radiology</w:t>
            </w:r>
          </w:p>
        </w:tc>
        <w:tc>
          <w:tcPr>
            <w:tcW w:type="dxa" w:w="1036"/>
            <w:vAlign w:val="top"/>
          </w:tcPr>
          <w:p>
            <w:pPr>
              <w:spacing w:after="40" w:before="0" w:line="259" w:lineRule="auto"/>
            </w:pPr>
            <w:r>
              <w:rPr>
                <w:rFonts w:ascii="Calibri" w:hAnsi="Calibri"/>
                <w:b w:val="0"/>
                <w:i w:val="0"/>
                <w:color w:val="212121"/>
                <w:sz w:val="16"/>
              </w:rPr>
              <w:t>HRCT chest</w:t>
            </w:r>
          </w:p>
        </w:tc>
        <w:tc>
          <w:tcPr>
            <w:tcW w:type="dxa" w:w="892"/>
            <w:vAlign w:val="top"/>
          </w:tcPr>
          <w:p>
            <w:pPr>
              <w:spacing w:after="40" w:before="0" w:line="259" w:lineRule="auto"/>
            </w:pPr>
            <w:r>
              <w:rPr>
                <w:rFonts w:ascii="Calibri" w:hAnsi="Calibri"/>
                <w:b w:val="0"/>
                <w:i w:val="0"/>
                <w:color w:val="212121"/>
                <w:sz w:val="16"/>
              </w:rPr>
              <w:t>High-resolution CT thorax</w:t>
            </w:r>
          </w:p>
        </w:tc>
        <w:tc>
          <w:tcPr>
            <w:tcW w:type="dxa" w:w="950"/>
            <w:vAlign w:val="top"/>
          </w:tcPr>
          <w:p>
            <w:pPr>
              <w:spacing w:after="40" w:before="0" w:line="259" w:lineRule="auto"/>
            </w:pPr>
            <w:r>
              <w:rPr>
                <w:rFonts w:ascii="Calibri" w:hAnsi="Calibri"/>
                <w:b w:val="0"/>
                <w:i w:val="0"/>
                <w:color w:val="212121"/>
                <w:sz w:val="16"/>
              </w:rPr>
              <w:t>No bronchiectasis or mucoid impaction</w:t>
            </w:r>
          </w:p>
        </w:tc>
        <w:tc>
          <w:tcPr>
            <w:tcW w:type="dxa" w:w="950"/>
            <w:vAlign w:val="top"/>
          </w:tcPr>
          <w:p>
            <w:pPr>
              <w:spacing w:after="40" w:before="0" w:line="259" w:lineRule="auto"/>
            </w:pPr>
            <w:r>
              <w:rPr>
                <w:rFonts w:ascii="Calibri" w:hAnsi="Calibri"/>
                <w:b w:val="0"/>
                <w:i w:val="0"/>
                <w:color w:val="212121"/>
                <w:sz w:val="16"/>
              </w:rPr>
              <w:t>Central/proximal bronchiectasis, mucoid impaction (finger-in-glove), high-attenuation mucus</w:t>
            </w:r>
          </w:p>
        </w:tc>
        <w:tc>
          <w:tcPr>
            <w:tcW w:type="dxa" w:w="1036"/>
            <w:vAlign w:val="top"/>
          </w:tcPr>
          <w:p>
            <w:pPr>
              <w:spacing w:after="40" w:before="0" w:line="259" w:lineRule="auto"/>
            </w:pPr>
            <w:r>
              <w:rPr>
                <w:rFonts w:ascii="Calibri" w:hAnsi="Calibri"/>
                <w:b w:val="0"/>
                <w:i w:val="0"/>
                <w:color w:val="212121"/>
                <w:sz w:val="16"/>
              </w:rPr>
              <w:t>Defines radiological subtype (ABPA-S / ABPA-CB / ABPA-HAM / ABPA-CPF); high-attenuation mucus is pathognomonic</w:t>
            </w:r>
          </w:p>
        </w:tc>
        <w:tc>
          <w:tcPr>
            <w:tcW w:type="dxa" w:w="1036"/>
            <w:vAlign w:val="top"/>
          </w:tcPr>
          <w:p>
            <w:pPr>
              <w:spacing w:after="40" w:before="0" w:line="259" w:lineRule="auto"/>
            </w:pPr>
            <w:r>
              <w:rPr>
                <w:rFonts w:ascii="Calibri" w:hAnsi="Calibri"/>
                <w:b w:val="0"/>
                <w:i w:val="0"/>
                <w:color w:val="212121"/>
                <w:sz w:val="16"/>
              </w:rPr>
              <w:t>Confirmed/suspected ABPA for staging</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&amp; classification</w:t>
            </w:r>
          </w:p>
        </w:tc>
        <w:tc>
          <w:tcPr>
            <w:tcW w:type="dxa" w:w="720"/>
            <w:vAlign w:val="top"/>
          </w:tcPr>
          <w:p>
            <w:pPr>
              <w:spacing w:after="40" w:before="0" w:line="259" w:lineRule="auto"/>
            </w:pPr>
            <w:r>
              <w:rPr>
                <w:rFonts w:ascii="Calibri" w:hAnsi="Calibri"/>
                <w:b w:val="0"/>
                <w:i w:val="0"/>
                <w:color w:val="212121"/>
                <w:sz w:val="16"/>
              </w:rPr>
              <w:t>Upper- and mid-zone predominance is typical</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Radiology</w:t>
            </w:r>
          </w:p>
        </w:tc>
        <w:tc>
          <w:tcPr>
            <w:tcW w:type="dxa" w:w="1036"/>
            <w:vAlign w:val="top"/>
          </w:tcPr>
          <w:p>
            <w:pPr>
              <w:spacing w:after="40" w:before="0" w:line="259" w:lineRule="auto"/>
            </w:pPr>
            <w:r>
              <w:rPr>
                <w:rFonts w:ascii="Calibri" w:hAnsi="Calibri"/>
                <w:b w:val="0"/>
                <w:i w:val="0"/>
                <w:color w:val="212121"/>
                <w:sz w:val="16"/>
              </w:rPr>
              <w:t>Chest radiograph</w:t>
            </w:r>
          </w:p>
        </w:tc>
        <w:tc>
          <w:tcPr>
            <w:tcW w:type="dxa" w:w="892"/>
            <w:vAlign w:val="top"/>
          </w:tcPr>
          <w:p>
            <w:pPr>
              <w:spacing w:after="40" w:before="0" w:line="259" w:lineRule="auto"/>
            </w:pPr>
            <w:r>
              <w:rPr>
                <w:rFonts w:ascii="Calibri" w:hAnsi="Calibri"/>
                <w:b w:val="0"/>
                <w:i w:val="0"/>
                <w:color w:val="212121"/>
                <w:sz w:val="16"/>
              </w:rPr>
              <w:t>Chest X-ray</w:t>
            </w:r>
          </w:p>
        </w:tc>
        <w:tc>
          <w:tcPr>
            <w:tcW w:type="dxa" w:w="950"/>
            <w:vAlign w:val="top"/>
          </w:tcPr>
          <w:p>
            <w:pPr>
              <w:spacing w:after="40" w:before="0" w:line="259" w:lineRule="auto"/>
            </w:pPr>
            <w:r>
              <w:rPr>
                <w:rFonts w:ascii="Calibri" w:hAnsi="Calibri"/>
                <w:b w:val="0"/>
                <w:i w:val="0"/>
                <w:color w:val="212121"/>
                <w:sz w:val="16"/>
              </w:rPr>
              <w:t>Clear lung fields</w:t>
            </w:r>
          </w:p>
        </w:tc>
        <w:tc>
          <w:tcPr>
            <w:tcW w:type="dxa" w:w="950"/>
            <w:vAlign w:val="top"/>
          </w:tcPr>
          <w:p>
            <w:pPr>
              <w:spacing w:after="40" w:before="0" w:line="259" w:lineRule="auto"/>
            </w:pPr>
            <w:r>
              <w:rPr>
                <w:rFonts w:ascii="Calibri" w:hAnsi="Calibri"/>
                <w:b w:val="0"/>
                <w:i w:val="0"/>
                <w:color w:val="212121"/>
                <w:sz w:val="16"/>
              </w:rPr>
              <w:t>Fleeting/transient infiltrates, tramline &amp; ring shadows, gloved-finger opacities, lobar collapse</w:t>
            </w:r>
          </w:p>
        </w:tc>
        <w:tc>
          <w:tcPr>
            <w:tcW w:type="dxa" w:w="1036"/>
            <w:vAlign w:val="top"/>
          </w:tcPr>
          <w:p>
            <w:pPr>
              <w:spacing w:after="40" w:before="0" w:line="259" w:lineRule="auto"/>
            </w:pPr>
            <w:r>
              <w:rPr>
                <w:rFonts w:ascii="Calibri" w:hAnsi="Calibri"/>
                <w:b w:val="0"/>
                <w:i w:val="0"/>
                <w:color w:val="212121"/>
                <w:sz w:val="16"/>
              </w:rPr>
              <w:t>First-line imaging; transient infiltrates are characteristic but non-specific</w:t>
            </w:r>
          </w:p>
        </w:tc>
        <w:tc>
          <w:tcPr>
            <w:tcW w:type="dxa" w:w="1036"/>
            <w:vAlign w:val="top"/>
          </w:tcPr>
          <w:p>
            <w:pPr>
              <w:spacing w:after="40" w:before="0" w:line="259" w:lineRule="auto"/>
            </w:pPr>
            <w:r>
              <w:rPr>
                <w:rFonts w:ascii="Calibri" w:hAnsi="Calibri"/>
                <w:b w:val="0"/>
                <w:i w:val="0"/>
                <w:color w:val="212121"/>
                <w:sz w:val="16"/>
              </w:rPr>
              <w:t>Initial assessment, exacerbations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 / first-line</w:t>
            </w:r>
          </w:p>
        </w:tc>
        <w:tc>
          <w:tcPr>
            <w:tcW w:type="dxa" w:w="720"/>
            <w:vAlign w:val="top"/>
          </w:tcPr>
          <w:p>
            <w:pPr>
              <w:spacing w:after="40" w:before="0" w:line="259" w:lineRule="auto"/>
            </w:pPr>
            <w:r>
              <w:rPr>
                <w:rFonts w:ascii="Calibri" w:hAnsi="Calibri"/>
                <w:b w:val="0"/>
                <w:i w:val="0"/>
                <w:color w:val="212121"/>
                <w:sz w:val="16"/>
              </w:rPr>
              <w:t>Frequently mislabelled as tuberculosis in India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Physiology</w:t>
            </w:r>
          </w:p>
        </w:tc>
        <w:tc>
          <w:tcPr>
            <w:tcW w:type="dxa" w:w="1036"/>
            <w:vAlign w:val="top"/>
          </w:tcPr>
          <w:p>
            <w:pPr>
              <w:spacing w:after="40" w:before="0" w:line="259" w:lineRule="auto"/>
            </w:pPr>
            <w:r>
              <w:rPr>
                <w:rFonts w:ascii="Calibri" w:hAnsi="Calibri"/>
                <w:b w:val="0"/>
                <w:i w:val="0"/>
                <w:color w:val="212121"/>
                <w:sz w:val="16"/>
              </w:rPr>
              <w:t>Spirometry</w:t>
            </w:r>
          </w:p>
        </w:tc>
        <w:tc>
          <w:tcPr>
            <w:tcW w:type="dxa" w:w="892"/>
            <w:vAlign w:val="top"/>
          </w:tcPr>
          <w:p>
            <w:pPr>
              <w:spacing w:after="40" w:before="0" w:line="259" w:lineRule="auto"/>
            </w:pPr>
            <w:r>
              <w:rPr>
                <w:rFonts w:ascii="Calibri" w:hAnsi="Calibri"/>
                <w:b w:val="0"/>
                <w:i w:val="0"/>
                <w:color w:val="212121"/>
                <w:sz w:val="16"/>
              </w:rPr>
              <w:t>Pulmonary function test</w:t>
            </w:r>
          </w:p>
        </w:tc>
        <w:tc>
          <w:tcPr>
            <w:tcW w:type="dxa" w:w="950"/>
            <w:vAlign w:val="top"/>
          </w:tcPr>
          <w:p>
            <w:pPr>
              <w:spacing w:after="40" w:before="0" w:line="259" w:lineRule="auto"/>
            </w:pPr>
            <w:r>
              <w:rPr>
                <w:rFonts w:ascii="Calibri" w:hAnsi="Calibri"/>
                <w:b w:val="0"/>
                <w:i w:val="0"/>
                <w:color w:val="212121"/>
                <w:sz w:val="16"/>
              </w:rPr>
              <w:t>Normal or reversible obstruction</w:t>
            </w:r>
          </w:p>
        </w:tc>
        <w:tc>
          <w:tcPr>
            <w:tcW w:type="dxa" w:w="950"/>
            <w:vAlign w:val="top"/>
          </w:tcPr>
          <w:p>
            <w:pPr>
              <w:spacing w:after="40" w:before="0" w:line="259" w:lineRule="auto"/>
            </w:pPr>
            <w:r>
              <w:rPr>
                <w:rFonts w:ascii="Calibri" w:hAnsi="Calibri"/>
                <w:b w:val="0"/>
                <w:i w:val="0"/>
                <w:color w:val="212121"/>
                <w:sz w:val="16"/>
              </w:rPr>
              <w:t>Obstructive pattern; fixed obstruction in advanced disease</w:t>
            </w:r>
          </w:p>
        </w:tc>
        <w:tc>
          <w:tcPr>
            <w:tcW w:type="dxa" w:w="1036"/>
            <w:vAlign w:val="top"/>
          </w:tcPr>
          <w:p>
            <w:pPr>
              <w:spacing w:after="40" w:before="0" w:line="259" w:lineRule="auto"/>
            </w:pPr>
            <w:r>
              <w:rPr>
                <w:rFonts w:ascii="Calibri" w:hAnsi="Calibri"/>
                <w:b w:val="0"/>
                <w:i w:val="0"/>
                <w:color w:val="212121"/>
                <w:sz w:val="16"/>
              </w:rPr>
              <w:t>Assesses airflow limitation and monitors progression to fixed obstruction</w:t>
            </w:r>
          </w:p>
        </w:tc>
        <w:tc>
          <w:tcPr>
            <w:tcW w:type="dxa" w:w="1036"/>
            <w:vAlign w:val="top"/>
          </w:tcPr>
          <w:p>
            <w:pPr>
              <w:spacing w:after="40" w:before="0" w:line="259" w:lineRule="auto"/>
            </w:pPr>
            <w:r>
              <w:rPr>
                <w:rFonts w:ascii="Calibri" w:hAnsi="Calibri"/>
                <w:b w:val="0"/>
                <w:i w:val="0"/>
                <w:color w:val="212121"/>
                <w:sz w:val="16"/>
              </w:rPr>
              <w:t>All ABPA at baseline and follow-up</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Declining FEV1 suggests progressive airway damage</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Poorly controlled asthma with cough, wheeze and breathlessness</w:t>
            </w:r>
          </w:p>
        </w:tc>
        <w:tc>
          <w:tcPr>
            <w:tcW w:type="dxa" w:w="950"/>
            <w:vAlign w:val="top"/>
          </w:tcPr>
          <w:p>
            <w:pPr>
              <w:spacing w:after="40" w:before="0" w:line="259" w:lineRule="auto"/>
            </w:pPr>
            <w:r>
              <w:rPr>
                <w:rFonts w:ascii="Calibri" w:hAnsi="Calibri"/>
                <w:b w:val="0"/>
                <w:i w:val="0"/>
                <w:color w:val="212121"/>
                <w:sz w:val="16"/>
              </w:rPr>
              <w:t>Well-controlled asthma</w:t>
            </w:r>
          </w:p>
        </w:tc>
        <w:tc>
          <w:tcPr>
            <w:tcW w:type="dxa" w:w="950"/>
            <w:vAlign w:val="top"/>
          </w:tcPr>
          <w:p>
            <w:pPr>
              <w:spacing w:after="40" w:before="0" w:line="259" w:lineRule="auto"/>
            </w:pPr>
            <w:r>
              <w:rPr>
                <w:rFonts w:ascii="Calibri" w:hAnsi="Calibri"/>
                <w:b w:val="0"/>
                <w:i w:val="0"/>
                <w:color w:val="212121"/>
                <w:sz w:val="16"/>
              </w:rPr>
              <w:t>Frequent exacerbations despite inhaled therapy</w:t>
            </w:r>
          </w:p>
        </w:tc>
        <w:tc>
          <w:tcPr>
            <w:tcW w:type="dxa" w:w="1036"/>
            <w:vAlign w:val="top"/>
          </w:tcPr>
          <w:p>
            <w:pPr>
              <w:spacing w:after="40" w:before="0" w:line="259" w:lineRule="auto"/>
            </w:pPr>
            <w:r>
              <w:rPr>
                <w:rFonts w:ascii="Calibri" w:hAnsi="Calibri"/>
                <w:b w:val="0"/>
                <w:i w:val="0"/>
                <w:color w:val="212121"/>
                <w:sz w:val="16"/>
              </w:rPr>
              <w:t>Difficult-to-control asthma is the usual clinical trigger to test for ABPA</w:t>
            </w:r>
          </w:p>
        </w:tc>
        <w:tc>
          <w:tcPr>
            <w:tcW w:type="dxa" w:w="1036"/>
            <w:vAlign w:val="top"/>
          </w:tcPr>
          <w:p>
            <w:pPr>
              <w:spacing w:after="40" w:before="0" w:line="259" w:lineRule="auto"/>
            </w:pPr>
            <w:r>
              <w:rPr>
                <w:rFonts w:ascii="Calibri" w:hAnsi="Calibri"/>
                <w:b w:val="0"/>
                <w:i w:val="0"/>
                <w:color w:val="212121"/>
                <w:sz w:val="16"/>
              </w:rPr>
              <w:t>Asthmatics not responding to standard therapy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Consider ABPA in any 'refractory' asthmatic</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Characteristic sputum</w:t>
            </w:r>
          </w:p>
        </w:tc>
        <w:tc>
          <w:tcPr>
            <w:tcW w:type="dxa" w:w="979"/>
            <w:vAlign w:val="top"/>
          </w:tcPr>
          <w:p>
            <w:pPr>
              <w:spacing w:after="40" w:before="0" w:line="259" w:lineRule="auto"/>
            </w:pPr>
            <w:r>
              <w:rPr>
                <w:rFonts w:ascii="Calibri" w:hAnsi="Calibri"/>
                <w:b w:val="0"/>
                <w:i w:val="0"/>
                <w:color w:val="212121"/>
                <w:sz w:val="16"/>
              </w:rPr>
              <w:t>Expectoration of thick brownish/blackish mucus plugs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Recurrent brown/black mucus plugs, sometimes with haemoptysis</w:t>
            </w:r>
          </w:p>
        </w:tc>
        <w:tc>
          <w:tcPr>
            <w:tcW w:type="dxa" w:w="1036"/>
            <w:vAlign w:val="top"/>
          </w:tcPr>
          <w:p>
            <w:pPr>
              <w:spacing w:after="40" w:before="0" w:line="259" w:lineRule="auto"/>
            </w:pPr>
            <w:r>
              <w:rPr>
                <w:rFonts w:ascii="Calibri" w:hAnsi="Calibri"/>
                <w:b w:val="0"/>
                <w:i w:val="0"/>
                <w:color w:val="212121"/>
                <w:sz w:val="16"/>
              </w:rPr>
              <w:t>Highly suggestive of mucoid impaction in ABPA</w:t>
            </w:r>
          </w:p>
        </w:tc>
        <w:tc>
          <w:tcPr>
            <w:tcW w:type="dxa" w:w="1036"/>
            <w:vAlign w:val="top"/>
          </w:tcPr>
          <w:p>
            <w:pPr>
              <w:spacing w:after="40" w:before="0" w:line="259" w:lineRule="auto"/>
            </w:pPr>
            <w:r>
              <w:rPr>
                <w:rFonts w:ascii="Calibri" w:hAnsi="Calibri"/>
                <w:b w:val="0"/>
                <w:i w:val="0"/>
                <w:color w:val="212121"/>
                <w:sz w:val="16"/>
              </w:rPr>
              <w:t>ABPA, mucoid impaction</w:t>
            </w:r>
          </w:p>
        </w:tc>
        <w:tc>
          <w:tcPr>
            <w:tcW w:type="dxa" w:w="720"/>
            <w:vAlign w:val="top"/>
          </w:tcPr>
          <w:p>
            <w:pPr>
              <w:spacing w:after="40" w:before="0" w:line="259" w:lineRule="auto"/>
            </w:pPr>
            <w:r>
              <w:rPr>
                <w:rFonts w:ascii="Calibri" w:hAnsi="Calibri"/>
                <w:b w:val="0"/>
                <w:i w:val="0"/>
                <w:color w:val="212121"/>
                <w:sz w:val="16"/>
              </w:rPr>
              <w:t>Water</w:t>
            </w:r>
          </w:p>
        </w:tc>
        <w:tc>
          <w:tcPr>
            <w:tcW w:type="dxa" w:w="720"/>
            <w:vAlign w:val="top"/>
          </w:tcPr>
          <w:p>
            <w:pPr>
              <w:spacing w:after="40" w:before="0" w:line="259" w:lineRule="auto"/>
            </w:pPr>
            <w:r>
              <w:rPr>
                <w:rFonts w:ascii="Calibri" w:hAnsi="Calibri"/>
                <w:b w:val="0"/>
                <w:i w:val="0"/>
                <w:color w:val="212121"/>
                <w:sz w:val="16"/>
              </w:rPr>
              <w:t>Diagnostic clue</w:t>
            </w:r>
          </w:p>
        </w:tc>
        <w:tc>
          <w:tcPr>
            <w:tcW w:type="dxa" w:w="720"/>
            <w:vAlign w:val="top"/>
          </w:tcPr>
          <w:p>
            <w:pPr>
              <w:spacing w:after="40" w:before="0" w:line="259" w:lineRule="auto"/>
            </w:pPr>
            <w:r>
              <w:rPr>
                <w:rFonts w:ascii="Calibri" w:hAnsi="Calibri"/>
                <w:b w:val="0"/>
                <w:i w:val="0"/>
                <w:color w:val="212121"/>
                <w:sz w:val="16"/>
              </w:rPr>
              <w:t>Plugs can be sent for fungal smear/culture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Prior 'TB' / recurrent pneumonia</w:t>
            </w:r>
          </w:p>
        </w:tc>
        <w:tc>
          <w:tcPr>
            <w:tcW w:type="dxa" w:w="979"/>
            <w:vAlign w:val="top"/>
          </w:tcPr>
          <w:p>
            <w:pPr>
              <w:spacing w:after="40" w:before="0" w:line="259" w:lineRule="auto"/>
            </w:pPr>
            <w:r>
              <w:rPr>
                <w:rFonts w:ascii="Calibri" w:hAnsi="Calibri"/>
                <w:b w:val="0"/>
                <w:i w:val="0"/>
                <w:color w:val="212121"/>
                <w:sz w:val="16"/>
              </w:rPr>
              <w:t>Previous anti-tubercular treatment or recurrent fleeting infiltrates</w:t>
            </w:r>
          </w:p>
        </w:tc>
        <w:tc>
          <w:tcPr>
            <w:tcW w:type="dxa" w:w="950"/>
            <w:vAlign w:val="top"/>
          </w:tcPr>
          <w:p>
            <w:pPr>
              <w:spacing w:after="40" w:before="0" w:line="259" w:lineRule="auto"/>
            </w:pPr>
            <w:r>
              <w:rPr>
                <w:rFonts w:ascii="Calibri" w:hAnsi="Calibri"/>
                <w:b w:val="0"/>
                <w:i w:val="0"/>
                <w:color w:val="212121"/>
                <w:sz w:val="16"/>
              </w:rPr>
              <w:t>No such history</w:t>
            </w:r>
          </w:p>
        </w:tc>
        <w:tc>
          <w:tcPr>
            <w:tcW w:type="dxa" w:w="950"/>
            <w:vAlign w:val="top"/>
          </w:tcPr>
          <w:p>
            <w:pPr>
              <w:spacing w:after="40" w:before="0" w:line="259" w:lineRule="auto"/>
            </w:pPr>
            <w:r>
              <w:rPr>
                <w:rFonts w:ascii="Calibri" w:hAnsi="Calibri"/>
                <w:b w:val="0"/>
                <w:i w:val="0"/>
                <w:color w:val="212121"/>
                <w:sz w:val="16"/>
              </w:rPr>
              <w:t>Repeated courses of antibiotics/anti-TB drugs with relapse</w:t>
            </w:r>
          </w:p>
        </w:tc>
        <w:tc>
          <w:tcPr>
            <w:tcW w:type="dxa" w:w="1036"/>
            <w:vAlign w:val="top"/>
          </w:tcPr>
          <w:p>
            <w:pPr>
              <w:spacing w:after="40" w:before="0" w:line="259" w:lineRule="auto"/>
            </w:pPr>
            <w:r>
              <w:rPr>
                <w:rFonts w:ascii="Calibri" w:hAnsi="Calibri"/>
                <w:b w:val="0"/>
                <w:i w:val="0"/>
                <w:color w:val="212121"/>
                <w:sz w:val="16"/>
              </w:rPr>
              <w:t>In India ABPA is frequently mislabelled and treated as smear-negative pulmonary tuberculosis</w:t>
            </w:r>
          </w:p>
        </w:tc>
        <w:tc>
          <w:tcPr>
            <w:tcW w:type="dxa" w:w="1036"/>
            <w:vAlign w:val="top"/>
          </w:tcPr>
          <w:p>
            <w:pPr>
              <w:spacing w:after="40" w:before="0" w:line="259" w:lineRule="auto"/>
            </w:pPr>
            <w:r>
              <w:rPr>
                <w:rFonts w:ascii="Calibri" w:hAnsi="Calibri"/>
                <w:b w:val="0"/>
                <w:i w:val="0"/>
                <w:color w:val="212121"/>
                <w:sz w:val="16"/>
              </w:rPr>
              <w:t>Patients previously treated as TB</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 / avoids misdiagnosis</w:t>
            </w:r>
          </w:p>
        </w:tc>
        <w:tc>
          <w:tcPr>
            <w:tcW w:type="dxa" w:w="720"/>
            <w:vAlign w:val="top"/>
          </w:tcPr>
          <w:p>
            <w:pPr>
              <w:spacing w:after="40" w:before="0" w:line="259" w:lineRule="auto"/>
            </w:pPr>
            <w:r>
              <w:rPr>
                <w:rFonts w:ascii="Calibri" w:hAnsi="Calibri"/>
                <w:b w:val="0"/>
                <w:i w:val="0"/>
                <w:color w:val="212121"/>
                <w:sz w:val="16"/>
              </w:rPr>
              <w:t>Ask specifically about prior ATT in Indian patients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Environmental / occupational exposure</w:t>
            </w:r>
          </w:p>
        </w:tc>
        <w:tc>
          <w:tcPr>
            <w:tcW w:type="dxa" w:w="979"/>
            <w:vAlign w:val="top"/>
          </w:tcPr>
          <w:p>
            <w:pPr>
              <w:spacing w:after="40" w:before="0" w:line="259" w:lineRule="auto"/>
            </w:pPr>
            <w:r>
              <w:rPr>
                <w:rFonts w:ascii="Calibri" w:hAnsi="Calibri"/>
                <w:b w:val="0"/>
                <w:i w:val="0"/>
                <w:color w:val="212121"/>
                <w:sz w:val="16"/>
              </w:rPr>
              <w:t>Damp housing, mould, farming, compost/grain handling</w:t>
            </w:r>
          </w:p>
        </w:tc>
        <w:tc>
          <w:tcPr>
            <w:tcW w:type="dxa" w:w="950"/>
            <w:vAlign w:val="top"/>
          </w:tcPr>
          <w:p>
            <w:pPr>
              <w:spacing w:after="40" w:before="0" w:line="259" w:lineRule="auto"/>
            </w:pPr>
            <w:r>
              <w:rPr>
                <w:rFonts w:ascii="Calibri" w:hAnsi="Calibri"/>
                <w:b w:val="0"/>
                <w:i w:val="0"/>
                <w:color w:val="212121"/>
                <w:sz w:val="16"/>
              </w:rPr>
              <w:t>Low exposure</w:t>
            </w:r>
          </w:p>
        </w:tc>
        <w:tc>
          <w:tcPr>
            <w:tcW w:type="dxa" w:w="950"/>
            <w:vAlign w:val="top"/>
          </w:tcPr>
          <w:p>
            <w:pPr>
              <w:spacing w:after="40" w:before="0" w:line="259" w:lineRule="auto"/>
            </w:pPr>
            <w:r>
              <w:rPr>
                <w:rFonts w:ascii="Calibri" w:hAnsi="Calibri"/>
                <w:b w:val="0"/>
                <w:i w:val="0"/>
                <w:color w:val="212121"/>
                <w:sz w:val="16"/>
              </w:rPr>
              <w:t>Heavy or recurrent mould/agricultural exposure</w:t>
            </w:r>
          </w:p>
        </w:tc>
        <w:tc>
          <w:tcPr>
            <w:tcW w:type="dxa" w:w="1036"/>
            <w:vAlign w:val="top"/>
          </w:tcPr>
          <w:p>
            <w:pPr>
              <w:spacing w:after="40" w:before="0" w:line="259" w:lineRule="auto"/>
            </w:pPr>
            <w:r>
              <w:rPr>
                <w:rFonts w:ascii="Calibri" w:hAnsi="Calibri"/>
                <w:b w:val="0"/>
                <w:i w:val="0"/>
                <w:color w:val="212121"/>
                <w:sz w:val="16"/>
              </w:rPr>
              <w:t>Identifies avoidable antigen sources driving sensitisation and flares</w:t>
            </w:r>
          </w:p>
        </w:tc>
        <w:tc>
          <w:tcPr>
            <w:tcW w:type="dxa" w:w="1036"/>
            <w:vAlign w:val="top"/>
          </w:tcPr>
          <w:p>
            <w:pPr>
              <w:spacing w:after="40" w:before="0" w:line="259" w:lineRule="auto"/>
            </w:pPr>
            <w:r>
              <w:rPr>
                <w:rFonts w:ascii="Calibri" w:hAnsi="Calibri"/>
                <w:b w:val="0"/>
                <w:i w:val="0"/>
                <w:color w:val="212121"/>
                <w:sz w:val="16"/>
              </w:rPr>
              <w:t>Farmers, damp-home residents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Preventive</w:t>
            </w:r>
          </w:p>
        </w:tc>
        <w:tc>
          <w:tcPr>
            <w:tcW w:type="dxa" w:w="720"/>
            <w:vAlign w:val="top"/>
          </w:tcPr>
          <w:p>
            <w:pPr>
              <w:spacing w:after="40" w:before="0" w:line="259" w:lineRule="auto"/>
            </w:pPr>
            <w:r>
              <w:rPr>
                <w:rFonts w:ascii="Calibri" w:hAnsi="Calibri"/>
                <w:b w:val="0"/>
                <w:i w:val="0"/>
                <w:color w:val="212121"/>
                <w:sz w:val="16"/>
              </w:rPr>
              <w:t>Guides source-control advice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Skin test</w:t>
            </w:r>
          </w:p>
        </w:tc>
        <w:tc>
          <w:tcPr>
            <w:tcW w:type="dxa" w:w="950"/>
            <w:vAlign w:val="top"/>
          </w:tcPr>
          <w:p>
            <w:pPr>
              <w:spacing w:after="40" w:before="0" w:line="259" w:lineRule="auto"/>
            </w:pPr>
            <w:r>
              <w:rPr>
                <w:rFonts w:ascii="Calibri" w:hAnsi="Calibri"/>
                <w:b w:val="0"/>
                <w:i w:val="0"/>
                <w:color w:val="212121"/>
                <w:sz w:val="16"/>
              </w:rPr>
              <w:t>Aspergillus skin-prick test</w:t>
            </w:r>
          </w:p>
        </w:tc>
        <w:tc>
          <w:tcPr>
            <w:tcW w:type="dxa" w:w="979"/>
            <w:vAlign w:val="top"/>
          </w:tcPr>
          <w:p>
            <w:pPr>
              <w:spacing w:after="40" w:before="0" w:line="259" w:lineRule="auto"/>
            </w:pPr>
            <w:r>
              <w:rPr>
                <w:rFonts w:ascii="Calibri" w:hAnsi="Calibri"/>
                <w:b w:val="0"/>
                <w:i w:val="0"/>
                <w:color w:val="212121"/>
                <w:sz w:val="16"/>
              </w:rPr>
              <w:t>Immediate (Type I) cutaneous hypersensitivity to A. fumigatus antigen</w:t>
            </w:r>
          </w:p>
        </w:tc>
        <w:tc>
          <w:tcPr>
            <w:tcW w:type="dxa" w:w="950"/>
            <w:vAlign w:val="top"/>
          </w:tcPr>
          <w:p>
            <w:pPr>
              <w:spacing w:after="40" w:before="0" w:line="259" w:lineRule="auto"/>
            </w:pPr>
            <w:r>
              <w:rPr>
                <w:rFonts w:ascii="Calibri" w:hAnsi="Calibri"/>
                <w:b w:val="0"/>
                <w:i w:val="0"/>
                <w:color w:val="212121"/>
                <w:sz w:val="16"/>
              </w:rPr>
              <w:t>No wheal-and-flare</w:t>
            </w:r>
          </w:p>
        </w:tc>
        <w:tc>
          <w:tcPr>
            <w:tcW w:type="dxa" w:w="950"/>
            <w:vAlign w:val="top"/>
          </w:tcPr>
          <w:p>
            <w:pPr>
              <w:spacing w:after="40" w:before="0" w:line="259" w:lineRule="auto"/>
            </w:pPr>
            <w:r>
              <w:rPr>
                <w:rFonts w:ascii="Calibri" w:hAnsi="Calibri"/>
                <w:b w:val="0"/>
                <w:i w:val="0"/>
                <w:color w:val="212121"/>
                <w:sz w:val="16"/>
              </w:rPr>
              <w:t>Immediate wheal-and-flare reaction</w:t>
            </w:r>
          </w:p>
        </w:tc>
        <w:tc>
          <w:tcPr>
            <w:tcW w:type="dxa" w:w="1036"/>
            <w:vAlign w:val="top"/>
          </w:tcPr>
          <w:p>
            <w:pPr>
              <w:spacing w:after="40" w:before="0" w:line="259" w:lineRule="auto"/>
            </w:pPr>
            <w:r>
              <w:rPr>
                <w:rFonts w:ascii="Calibri" w:hAnsi="Calibri"/>
                <w:b w:val="0"/>
                <w:i w:val="0"/>
                <w:color w:val="212121"/>
                <w:sz w:val="16"/>
              </w:rPr>
              <w:t>Demonstrates Type I Aspergillus hypersensitivity (an obligatory criterion, alternative to specific IgE)</w:t>
            </w:r>
          </w:p>
        </w:tc>
        <w:tc>
          <w:tcPr>
            <w:tcW w:type="dxa" w:w="1036"/>
            <w:vAlign w:val="top"/>
          </w:tcPr>
          <w:p>
            <w:pPr>
              <w:spacing w:after="40" w:before="0" w:line="259" w:lineRule="auto"/>
            </w:pPr>
            <w:r>
              <w:rPr>
                <w:rFonts w:ascii="Calibri" w:hAnsi="Calibri"/>
                <w:b w:val="0"/>
                <w:i w:val="0"/>
                <w:color w:val="212121"/>
                <w:sz w:val="16"/>
              </w:rPr>
              <w:t>All suspected ABPA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Obligatory criterion (alternative to specific IgE)</w:t>
            </w:r>
          </w:p>
        </w:tc>
        <w:tc>
          <w:tcPr>
            <w:tcW w:type="dxa" w:w="720"/>
            <w:vAlign w:val="top"/>
          </w:tcPr>
          <w:p>
            <w:pPr>
              <w:spacing w:after="40" w:before="0" w:line="259" w:lineRule="auto"/>
            </w:pPr>
            <w:r>
              <w:rPr>
                <w:rFonts w:ascii="Calibri" w:hAnsi="Calibri"/>
                <w:b w:val="0"/>
                <w:i w:val="0"/>
                <w:color w:val="212121"/>
                <w:sz w:val="16"/>
              </w:rPr>
              <w:t>Withhold antihistamines before testing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Chest auscultation</w:t>
            </w:r>
          </w:p>
        </w:tc>
        <w:tc>
          <w:tcPr>
            <w:tcW w:type="dxa" w:w="979"/>
            <w:vAlign w:val="top"/>
          </w:tcPr>
          <w:p>
            <w:pPr>
              <w:spacing w:after="40" w:before="0" w:line="259" w:lineRule="auto"/>
            </w:pPr>
            <w:r>
              <w:rPr>
                <w:rFonts w:ascii="Calibri" w:hAnsi="Calibri"/>
                <w:b w:val="0"/>
                <w:i w:val="0"/>
                <w:color w:val="212121"/>
                <w:sz w:val="16"/>
              </w:rPr>
              <w:t>Polyphonic wheeze/rhonchi; coarse crackles; signs of collapse</w:t>
            </w:r>
          </w:p>
        </w:tc>
        <w:tc>
          <w:tcPr>
            <w:tcW w:type="dxa" w:w="950"/>
            <w:vAlign w:val="top"/>
          </w:tcPr>
          <w:p>
            <w:pPr>
              <w:spacing w:after="40" w:before="0" w:line="259" w:lineRule="auto"/>
            </w:pPr>
            <w:r>
              <w:rPr>
                <w:rFonts w:ascii="Calibri" w:hAnsi="Calibri"/>
                <w:b w:val="0"/>
                <w:i w:val="0"/>
                <w:color w:val="212121"/>
                <w:sz w:val="16"/>
              </w:rPr>
              <w:t>Clear chest</w:t>
            </w:r>
          </w:p>
        </w:tc>
        <w:tc>
          <w:tcPr>
            <w:tcW w:type="dxa" w:w="950"/>
            <w:vAlign w:val="top"/>
          </w:tcPr>
          <w:p>
            <w:pPr>
              <w:spacing w:after="40" w:before="0" w:line="259" w:lineRule="auto"/>
            </w:pPr>
            <w:r>
              <w:rPr>
                <w:rFonts w:ascii="Calibri" w:hAnsi="Calibri"/>
                <w:b w:val="0"/>
                <w:i w:val="0"/>
                <w:color w:val="212121"/>
                <w:sz w:val="16"/>
              </w:rPr>
              <w:t>Wheeze, crackles or localised reduced breath sounds (mucoid impaction/collapse)</w:t>
            </w:r>
          </w:p>
        </w:tc>
        <w:tc>
          <w:tcPr>
            <w:tcW w:type="dxa" w:w="1036"/>
            <w:vAlign w:val="top"/>
          </w:tcPr>
          <w:p>
            <w:pPr>
              <w:spacing w:after="40" w:before="0" w:line="259" w:lineRule="auto"/>
            </w:pPr>
            <w:r>
              <w:rPr>
                <w:rFonts w:ascii="Calibri" w:hAnsi="Calibri"/>
                <w:b w:val="0"/>
                <w:i w:val="0"/>
                <w:color w:val="212121"/>
                <w:sz w:val="16"/>
              </w:rPr>
              <w:t>Reflects airway inflammation, secretions and mucoid impaction</w:t>
            </w:r>
          </w:p>
        </w:tc>
        <w:tc>
          <w:tcPr>
            <w:tcW w:type="dxa" w:w="1036"/>
            <w:vAlign w:val="top"/>
          </w:tcPr>
          <w:p>
            <w:pPr>
              <w:spacing w:after="40" w:before="0" w:line="259" w:lineRule="auto"/>
            </w:pPr>
            <w:r>
              <w:rPr>
                <w:rFonts w:ascii="Calibri" w:hAnsi="Calibri"/>
                <w:b w:val="0"/>
                <w:i w:val="0"/>
                <w:color w:val="212121"/>
                <w:sz w:val="16"/>
              </w:rPr>
              <w:t>ABPA, exacerbations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Localised findings warrant imaging for impaction/collapse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Signs of chronicity/advanced disease</w:t>
            </w:r>
          </w:p>
        </w:tc>
        <w:tc>
          <w:tcPr>
            <w:tcW w:type="dxa" w:w="979"/>
            <w:vAlign w:val="top"/>
          </w:tcPr>
          <w:p>
            <w:pPr>
              <w:spacing w:after="40" w:before="0" w:line="259" w:lineRule="auto"/>
            </w:pPr>
            <w:r>
              <w:rPr>
                <w:rFonts w:ascii="Calibri" w:hAnsi="Calibri"/>
                <w:b w:val="0"/>
                <w:i w:val="0"/>
                <w:color w:val="212121"/>
                <w:sz w:val="16"/>
              </w:rPr>
              <w:t>Digital clubbing, nasal polyps, cyanosis, raised JVP/pedal oedema</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Present in advanced disease or with allergic fungal rhinosinusitis</w:t>
            </w:r>
          </w:p>
        </w:tc>
        <w:tc>
          <w:tcPr>
            <w:tcW w:type="dxa" w:w="1036"/>
            <w:vAlign w:val="top"/>
          </w:tcPr>
          <w:p>
            <w:pPr>
              <w:spacing w:after="40" w:before="0" w:line="259" w:lineRule="auto"/>
            </w:pPr>
            <w:r>
              <w:rPr>
                <w:rFonts w:ascii="Calibri" w:hAnsi="Calibri"/>
                <w:b w:val="0"/>
                <w:i w:val="0"/>
                <w:color w:val="212121"/>
                <w:sz w:val="16"/>
              </w:rPr>
              <w:t>Indicate long-standing disease, upper-airway involvement or cor pulmonale</w:t>
            </w:r>
          </w:p>
        </w:tc>
        <w:tc>
          <w:tcPr>
            <w:tcW w:type="dxa" w:w="1036"/>
            <w:vAlign w:val="top"/>
          </w:tcPr>
          <w:p>
            <w:pPr>
              <w:spacing w:after="40" w:before="0" w:line="259" w:lineRule="auto"/>
            </w:pPr>
            <w:r>
              <w:rPr>
                <w:rFonts w:ascii="Calibri" w:hAnsi="Calibri"/>
                <w:b w:val="0"/>
                <w:i w:val="0"/>
                <w:color w:val="212121"/>
                <w:sz w:val="16"/>
              </w:rPr>
              <w:t>Advanced/long-standing ABPA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Nasal polyps suggest coexistent allergic fungal rhinosinusitis</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Wheezing / worsening of asthma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Breathlessness and wheeze that are poorly controlled despite standard inhaled therapy.</w:t>
            </w:r>
          </w:p>
        </w:tc>
      </w:tr>
      <w:tr>
        <w:trPr>
          <w:cantSplit/>
        </w:trPr>
        <w:tc>
          <w:tcPr>
            <w:tcW w:type="dxa" w:w="2304"/>
            <w:vAlign w:val="top"/>
          </w:tcPr>
          <w:p>
            <w:pPr>
              <w:spacing w:after="40" w:before="0" w:line="259" w:lineRule="auto"/>
            </w:pPr>
            <w:r>
              <w:rPr>
                <w:rFonts w:ascii="Calibri" w:hAnsi="Calibri"/>
                <w:b/>
                <w:i w:val="0"/>
                <w:color w:val="212121"/>
                <w:sz w:val="19"/>
              </w:rPr>
              <w:t>Chronic cough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Persistent cough, often productive, reflecting airway inflammation and secretions.</w:t>
            </w:r>
          </w:p>
        </w:tc>
      </w:tr>
      <w:tr>
        <w:trPr>
          <w:cantSplit/>
        </w:trPr>
        <w:tc>
          <w:tcPr>
            <w:tcW w:type="dxa" w:w="2304"/>
            <w:vAlign w:val="top"/>
          </w:tcPr>
          <w:p>
            <w:pPr>
              <w:spacing w:after="40" w:before="0" w:line="259" w:lineRule="auto"/>
            </w:pPr>
            <w:r>
              <w:rPr>
                <w:rFonts w:ascii="Calibri" w:hAnsi="Calibri"/>
                <w:b/>
                <w:i w:val="0"/>
                <w:color w:val="212121"/>
                <w:sz w:val="19"/>
              </w:rPr>
              <w:t>Expectoration of thick brown/blackish mucus plugs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Characteristic of mucoid impaction; plugs may be firm and casts of the airways.</w:t>
            </w:r>
          </w:p>
        </w:tc>
      </w:tr>
      <w:tr>
        <w:trPr>
          <w:cantSplit/>
        </w:trPr>
        <w:tc>
          <w:tcPr>
            <w:tcW w:type="dxa" w:w="2304"/>
            <w:vAlign w:val="top"/>
          </w:tcPr>
          <w:p>
            <w:pPr>
              <w:spacing w:after="40" w:before="0" w:line="259" w:lineRule="auto"/>
            </w:pPr>
            <w:r>
              <w:rPr>
                <w:rFonts w:ascii="Calibri" w:hAnsi="Calibri"/>
                <w:b/>
                <w:i w:val="0"/>
                <w:color w:val="212121"/>
                <w:sz w:val="19"/>
              </w:rPr>
              <w:t>Breathlessness / exercise intolerance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Progressive exertional dyspnoea from airflow obstruction and, later, bronchiectasis.</w:t>
            </w:r>
          </w:p>
        </w:tc>
      </w:tr>
      <w:tr>
        <w:trPr>
          <w:cantSplit/>
        </w:trPr>
        <w:tc>
          <w:tcPr>
            <w:tcW w:type="dxa" w:w="2304"/>
            <w:vAlign w:val="top"/>
          </w:tcPr>
          <w:p>
            <w:pPr>
              <w:spacing w:after="40" w:before="0" w:line="259" w:lineRule="auto"/>
            </w:pPr>
            <w:r>
              <w:rPr>
                <w:rFonts w:ascii="Calibri" w:hAnsi="Calibri"/>
                <w:b/>
                <w:i w:val="0"/>
                <w:color w:val="212121"/>
                <w:sz w:val="19"/>
              </w:rPr>
              <w:t>Malaise / fatigue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Constitutional symptoms accompanying active eosinophilic inflammation.</w:t>
            </w:r>
          </w:p>
        </w:tc>
      </w:tr>
      <w:tr>
        <w:trPr>
          <w:cantSplit/>
        </w:trPr>
        <w:tc>
          <w:tcPr>
            <w:tcW w:type="dxa" w:w="2304"/>
            <w:vAlign w:val="top"/>
          </w:tcPr>
          <w:p>
            <w:pPr>
              <w:spacing w:after="40" w:before="0" w:line="259" w:lineRule="auto"/>
            </w:pPr>
            <w:r>
              <w:rPr>
                <w:rFonts w:ascii="Calibri" w:hAnsi="Calibri"/>
                <w:b/>
                <w:i w:val="0"/>
                <w:color w:val="212121"/>
                <w:sz w:val="19"/>
              </w:rPr>
              <w:t>Low-grade fever</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May accompany exacerbations; can mimic infection or tuberculosis.</w:t>
            </w:r>
          </w:p>
        </w:tc>
      </w:tr>
      <w:tr>
        <w:trPr>
          <w:cantSplit/>
        </w:trPr>
        <w:tc>
          <w:tcPr>
            <w:tcW w:type="dxa" w:w="2304"/>
            <w:vAlign w:val="top"/>
          </w:tcPr>
          <w:p>
            <w:pPr>
              <w:spacing w:after="40" w:before="0" w:line="259" w:lineRule="auto"/>
            </w:pPr>
            <w:r>
              <w:rPr>
                <w:rFonts w:ascii="Calibri" w:hAnsi="Calibri"/>
                <w:b/>
                <w:i w:val="0"/>
                <w:color w:val="212121"/>
                <w:sz w:val="19"/>
              </w:rPr>
              <w:t>Haemoptysis (blood-streaked sputum)</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From inflamed, bronchiectatic airways; usually mild but occasionally significant.</w:t>
            </w:r>
          </w:p>
        </w:tc>
      </w:tr>
      <w:tr>
        <w:trPr>
          <w:cantSplit/>
        </w:trPr>
        <w:tc>
          <w:tcPr>
            <w:tcW w:type="dxa" w:w="2304"/>
            <w:vAlign w:val="top"/>
          </w:tcPr>
          <w:p>
            <w:pPr>
              <w:spacing w:after="40" w:before="0" w:line="259" w:lineRule="auto"/>
            </w:pPr>
            <w:r>
              <w:rPr>
                <w:rFonts w:ascii="Calibri" w:hAnsi="Calibri"/>
                <w:b/>
                <w:i w:val="0"/>
                <w:color w:val="212121"/>
                <w:sz w:val="19"/>
              </w:rPr>
              <w:t>Pleuritic chest pain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May occur with infiltrates, mucoid impaction or segmental collapse.</w:t>
            </w:r>
          </w:p>
        </w:tc>
      </w:tr>
      <w:tr>
        <w:trPr>
          <w:cantSplit/>
        </w:trPr>
        <w:tc>
          <w:tcPr>
            <w:tcW w:type="dxa" w:w="2304"/>
            <w:vAlign w:val="top"/>
          </w:tcPr>
          <w:p>
            <w:pPr>
              <w:spacing w:after="40" w:before="0" w:line="259" w:lineRule="auto"/>
            </w:pPr>
            <w:r>
              <w:rPr>
                <w:rFonts w:ascii="Calibri" w:hAnsi="Calibri"/>
                <w:b/>
                <w:i w:val="0"/>
                <w:color w:val="212121"/>
                <w:sz w:val="19"/>
              </w:rPr>
              <w:t>Nasal congestion / postnasal drip</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Suggests coexistent allergic rhinosinusitis / allergic fungal rhinosinusitis.</w:t>
            </w:r>
          </w:p>
        </w:tc>
      </w:tr>
      <w:tr>
        <w:trPr>
          <w:cantSplit/>
        </w:trPr>
        <w:tc>
          <w:tcPr>
            <w:tcW w:type="dxa" w:w="2304"/>
            <w:vAlign w:val="top"/>
          </w:tcPr>
          <w:p>
            <w:pPr>
              <w:spacing w:after="40" w:before="0" w:line="259" w:lineRule="auto"/>
            </w:pPr>
            <w:r>
              <w:rPr>
                <w:rFonts w:ascii="Calibri" w:hAnsi="Calibri"/>
                <w:b/>
                <w:i w:val="0"/>
                <w:color w:val="212121"/>
                <w:sz w:val="19"/>
              </w:rPr>
              <w:t>Weight loss / anorexia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Seen in advanced or long-standing disease.</w:t>
            </w:r>
          </w:p>
        </w:tc>
      </w:tr>
      <w:tr>
        <w:trPr>
          <w:cantSplit/>
        </w:trPr>
        <w:tc>
          <w:tcPr>
            <w:tcW w:type="dxa" w:w="2304"/>
            <w:vAlign w:val="top"/>
          </w:tcPr>
          <w:p>
            <w:pPr>
              <w:spacing w:after="40" w:before="0" w:line="259" w:lineRule="auto"/>
            </w:pPr>
            <w:r>
              <w:rPr>
                <w:rFonts w:ascii="Calibri" w:hAnsi="Calibri"/>
                <w:b/>
                <w:i w:val="0"/>
                <w:color w:val="212121"/>
                <w:sz w:val="19"/>
              </w:rPr>
              <w:t>Night sweats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May mimic pulmonary tuberculosis, contributing to misdiagnosis in India.</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Polyphonic expiratory wheeze / rhonchi</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Reflects diffuse airway narrowing and secretions.</w:t>
            </w:r>
          </w:p>
        </w:tc>
      </w:tr>
      <w:tr>
        <w:trPr>
          <w:cantSplit/>
        </w:trPr>
        <w:tc>
          <w:tcPr>
            <w:tcW w:type="dxa" w:w="3456"/>
            <w:vAlign w:val="top"/>
          </w:tcPr>
          <w:p>
            <w:pPr>
              <w:spacing w:after="40" w:before="0" w:line="259" w:lineRule="auto"/>
            </w:pPr>
            <w:r>
              <w:rPr>
                <w:rFonts w:ascii="Calibri" w:hAnsi="Calibri"/>
                <w:b/>
                <w:i w:val="0"/>
                <w:color w:val="212121"/>
                <w:sz w:val="19"/>
              </w:rPr>
              <w:t>Coarse crackles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From secretions and bronchiectatic airways, often upper/mid zones.</w:t>
            </w:r>
          </w:p>
        </w:tc>
      </w:tr>
      <w:tr>
        <w:trPr>
          <w:cantSplit/>
        </w:trPr>
        <w:tc>
          <w:tcPr>
            <w:tcW w:type="dxa" w:w="3456"/>
            <w:vAlign w:val="top"/>
          </w:tcPr>
          <w:p>
            <w:pPr>
              <w:spacing w:after="40" w:before="0" w:line="259" w:lineRule="auto"/>
            </w:pPr>
            <w:r>
              <w:rPr>
                <w:rFonts w:ascii="Calibri" w:hAnsi="Calibri"/>
                <w:b/>
                <w:i w:val="0"/>
                <w:color w:val="212121"/>
                <w:sz w:val="19"/>
              </w:rPr>
              <w:t>Expectorated brown mucus plugs (observed)</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Visible bronchial casts are a strong bedside clue to mucoid impaction.</w:t>
            </w:r>
          </w:p>
        </w:tc>
      </w:tr>
      <w:tr>
        <w:trPr>
          <w:cantSplit/>
        </w:trPr>
        <w:tc>
          <w:tcPr>
            <w:tcW w:type="dxa" w:w="3456"/>
            <w:vAlign w:val="top"/>
          </w:tcPr>
          <w:p>
            <w:pPr>
              <w:spacing w:after="40" w:before="0" w:line="259" w:lineRule="auto"/>
            </w:pPr>
            <w:r>
              <w:rPr>
                <w:rFonts w:ascii="Calibri" w:hAnsi="Calibri"/>
                <w:b/>
                <w:i w:val="0"/>
                <w:color w:val="212121"/>
                <w:sz w:val="19"/>
              </w:rPr>
              <w:t>Tachypnoea / accessory-muscle use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Marks an acute exacerbation and increased work of breathing.</w:t>
            </w:r>
          </w:p>
        </w:tc>
      </w:tr>
      <w:tr>
        <w:trPr>
          <w:cantSplit/>
        </w:trPr>
        <w:tc>
          <w:tcPr>
            <w:tcW w:type="dxa" w:w="3456"/>
            <w:vAlign w:val="top"/>
          </w:tcPr>
          <w:p>
            <w:pPr>
              <w:spacing w:after="40" w:before="0" w:line="259" w:lineRule="auto"/>
            </w:pPr>
            <w:r>
              <w:rPr>
                <w:rFonts w:ascii="Calibri" w:hAnsi="Calibri"/>
                <w:b/>
                <w:i w:val="0"/>
                <w:color w:val="212121"/>
                <w:sz w:val="19"/>
              </w:rPr>
              <w:t>Localised reduced breath sounds / dullness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Suggests lobar or segmental collapse from mucoid impaction.</w:t>
            </w:r>
          </w:p>
        </w:tc>
      </w:tr>
      <w:tr>
        <w:trPr>
          <w:cantSplit/>
        </w:trPr>
        <w:tc>
          <w:tcPr>
            <w:tcW w:type="dxa" w:w="3456"/>
            <w:vAlign w:val="top"/>
          </w:tcPr>
          <w:p>
            <w:pPr>
              <w:spacing w:after="40" w:before="0" w:line="259" w:lineRule="auto"/>
            </w:pPr>
            <w:r>
              <w:rPr>
                <w:rFonts w:ascii="Calibri" w:hAnsi="Calibri"/>
                <w:b/>
                <w:i w:val="0"/>
                <w:color w:val="212121"/>
                <w:sz w:val="19"/>
              </w:rPr>
              <w:t>Nasal polyps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Indicate coexistent allergic (fungal) rhinosinusitis — the unified airway.</w:t>
            </w:r>
          </w:p>
        </w:tc>
      </w:tr>
      <w:tr>
        <w:trPr>
          <w:cantSplit/>
        </w:trPr>
        <w:tc>
          <w:tcPr>
            <w:tcW w:type="dxa" w:w="3456"/>
            <w:vAlign w:val="top"/>
          </w:tcPr>
          <w:p>
            <w:pPr>
              <w:spacing w:after="40" w:before="0" w:line="259" w:lineRule="auto"/>
            </w:pPr>
            <w:r>
              <w:rPr>
                <w:rFonts w:ascii="Calibri" w:hAnsi="Calibri"/>
                <w:b/>
                <w:i w:val="0"/>
                <w:color w:val="212121"/>
                <w:sz w:val="19"/>
              </w:rPr>
              <w:t>Digital clubbing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Seen with long-standing bronchiectasis/advanced disease.</w:t>
            </w:r>
          </w:p>
        </w:tc>
      </w:tr>
      <w:tr>
        <w:trPr>
          <w:cantSplit/>
        </w:trPr>
        <w:tc>
          <w:tcPr>
            <w:tcW w:type="dxa" w:w="3456"/>
            <w:vAlign w:val="top"/>
          </w:tcPr>
          <w:p>
            <w:pPr>
              <w:spacing w:after="40" w:before="0" w:line="259" w:lineRule="auto"/>
            </w:pPr>
            <w:r>
              <w:rPr>
                <w:rFonts w:ascii="Calibri" w:hAnsi="Calibri"/>
                <w:b/>
                <w:i w:val="0"/>
                <w:color w:val="212121"/>
                <w:sz w:val="19"/>
              </w:rPr>
              <w:t>Central cyanosis, raised JVP, pedal oedema</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Features of cor pulmonale in advanced fibrocavitary ABPA.</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asthma exacerbations / poorly controlled asthma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Mucoid impaction with segmental or lobar collapse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Central (proximal) bronchiectasis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High-attenuation mucus plugging</w:t>
            </w:r>
          </w:p>
        </w:tc>
        <w:tc>
          <w:tcPr>
            <w:tcW w:type="dxa" w:w="2980"/>
            <w:vAlign w:val="top"/>
          </w:tcPr>
          <w:p>
            <w:pPr>
              <w:spacing w:after="40" w:before="0" w:line="259" w:lineRule="auto"/>
            </w:pPr>
            <w:r>
              <w:rPr>
                <w:rFonts w:ascii="Calibri" w:hAnsi="Calibri"/>
                <w:b w:val="0"/>
                <w:i w:val="0"/>
                <w:color w:val="212121"/>
                <w:sz w:val="19"/>
              </w:rPr>
              <w:t>Direct airway consequences of the Aspergillus hypersensitivity response and mucoid impaction.</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pulmonary aspergillosis / aspergilloma developing in damaged airways and cavities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bacterial infective exacerbations of bronchiectasis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Allergic fungal rhinosinusitis (sinobronchial allergic mycosis)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haemoptysis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Fixed airflow obstruction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Progressive pulmonary fibrosis</w:t>
            </w:r>
          </w:p>
        </w:tc>
        <w:tc>
          <w:tcPr>
            <w:tcW w:type="dxa" w:w="2980"/>
            <w:vAlign w:val="top"/>
          </w:tcPr>
          <w:p>
            <w:pPr>
              <w:spacing w:after="40" w:before="0" w:line="259" w:lineRule="auto"/>
            </w:pPr>
            <w:r>
              <w:rPr>
                <w:rFonts w:ascii="Calibri" w:hAnsi="Calibri"/>
                <w:b w:val="0"/>
                <w:i w:val="0"/>
                <w:color w:val="212121"/>
                <w:sz w:val="19"/>
              </w:rPr>
              <w:t>Chronic and recurrent damage from persistent eosinophilic inflammation and airway destruction.</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Type II chronic respiratory failure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Pulmonary hypertension and cor pulmonale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Extensive fibrocavitary lung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Corticosteroid-related morbidity (steroid-induced diabetes, osteoporosis, adrenal suppression, opportunistic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Disability and reduced quality of life</w:t>
            </w:r>
          </w:p>
        </w:tc>
        <w:tc>
          <w:tcPr>
            <w:tcW w:type="dxa" w:w="2980"/>
            <w:vAlign w:val="top"/>
          </w:tcPr>
          <w:p>
            <w:pPr>
              <w:spacing w:after="40" w:before="0" w:line="259" w:lineRule="auto"/>
            </w:pPr>
            <w:r>
              <w:rPr>
                <w:rFonts w:ascii="Calibri" w:hAnsi="Calibri"/>
                <w:b w:val="0"/>
                <w:i w:val="0"/>
                <w:color w:val="212121"/>
                <w:sz w:val="19"/>
              </w:rPr>
              <w:t>Irreversible end-stage outcomes of long-standing disease together with treatment-related harms.</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Bronchial asthma</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dominant predisposing condition; ABPA complicates an estimated 5–20% of asthmatics in India (~2.5% globally) and shares the Th2/IgE mechanism.</w:t>
            </w:r>
          </w:p>
          <w:p>
            <w:pPr>
              <w:spacing w:after="40" w:before="0" w:line="259" w:lineRule="auto"/>
            </w:pPr>
            <w:r>
              <w:rPr>
                <w:rFonts w:ascii="Calibri" w:hAnsi="Calibri"/>
                <w:b/>
                <w:i w:val="0"/>
                <w:color w:val="212121"/>
                <w:sz w:val="19"/>
              </w:rPr>
              <w:t>5–20% of asthmatics (India)</w:t>
            </w:r>
          </w:p>
        </w:tc>
      </w:tr>
      <w:tr>
        <w:trPr>
          <w:cantSplit/>
        </w:trPr>
        <w:tc>
          <w:tcPr>
            <w:tcW w:type="dxa" w:w="2232"/>
            <w:vAlign w:val="top"/>
          </w:tcPr>
          <w:p>
            <w:pPr>
              <w:spacing w:after="40" w:before="0" w:line="259" w:lineRule="auto"/>
            </w:pPr>
            <w:r>
              <w:rPr>
                <w:rFonts w:ascii="Calibri" w:hAnsi="Calibri"/>
                <w:b/>
                <w:i w:val="0"/>
                <w:color w:val="212121"/>
                <w:sz w:val="19"/>
              </w:rPr>
              <w:t>Cystic fibrosis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Chronic thick mucus and infection favour Aspergillus persistence; ABPA is a recognised complication and alters CF management.</w:t>
            </w:r>
          </w:p>
          <w:p>
            <w:pPr>
              <w:spacing w:after="40" w:before="0" w:line="259" w:lineRule="auto"/>
            </w:pPr>
            <w:r>
              <w:rPr>
                <w:rFonts w:ascii="Calibri" w:hAnsi="Calibri"/>
                <w:b/>
                <w:i w:val="0"/>
                <w:color w:val="212121"/>
                <w:sz w:val="19"/>
              </w:rPr>
              <w:t>~9% (range 1–15%)</w:t>
            </w:r>
          </w:p>
        </w:tc>
      </w:tr>
      <w:tr>
        <w:trPr>
          <w:cantSplit/>
        </w:trPr>
        <w:tc>
          <w:tcPr>
            <w:tcW w:type="dxa" w:w="2232"/>
            <w:vAlign w:val="top"/>
          </w:tcPr>
          <w:p>
            <w:pPr>
              <w:spacing w:after="40" w:before="0" w:line="259" w:lineRule="auto"/>
            </w:pPr>
            <w:r>
              <w:rPr>
                <w:rFonts w:ascii="Calibri" w:hAnsi="Calibri"/>
                <w:b/>
                <w:i w:val="0"/>
                <w:color w:val="212121"/>
                <w:sz w:val="19"/>
              </w:rPr>
              <w:t>Allergic fungal rhinosinusitis / CRS with nasal polyps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Upper-airway counterpart of the same fungal hypersensitivity; coexistent sinobronchial allergic mycosis worsens the airway and must be treated together.</w:t>
            </w:r>
          </w:p>
        </w:tc>
      </w:tr>
      <w:tr>
        <w:trPr>
          <w:cantSplit/>
        </w:trPr>
        <w:tc>
          <w:tcPr>
            <w:tcW w:type="dxa" w:w="2232"/>
            <w:vAlign w:val="top"/>
          </w:tcPr>
          <w:p>
            <w:pPr>
              <w:spacing w:after="40" w:before="0" w:line="259" w:lineRule="auto"/>
            </w:pPr>
            <w:r>
              <w:rPr>
                <w:rFonts w:ascii="Calibri" w:hAnsi="Calibri"/>
                <w:b/>
                <w:i w:val="0"/>
                <w:color w:val="212121"/>
                <w:sz w:val="19"/>
              </w:rPr>
              <w:t>Chronic pulmonary aspergillosis / aspergilloma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May develop in the bronchiectatic, cavitated lung left by long-standing ABPA, and shares Aspergillus as the causative organism.</w:t>
            </w:r>
          </w:p>
        </w:tc>
      </w:tr>
      <w:tr>
        <w:trPr>
          <w:cantSplit/>
        </w:trPr>
        <w:tc>
          <w:tcPr>
            <w:tcW w:type="dxa" w:w="2232"/>
            <w:vAlign w:val="top"/>
          </w:tcPr>
          <w:p>
            <w:pPr>
              <w:spacing w:after="40" w:before="0" w:line="259" w:lineRule="auto"/>
            </w:pPr>
            <w:r>
              <w:rPr>
                <w:rFonts w:ascii="Calibri" w:hAnsi="Calibri"/>
                <w:b/>
                <w:i w:val="0"/>
                <w:color w:val="212121"/>
                <w:sz w:val="19"/>
              </w:rPr>
              <w:t>Bronchiectasis (non-CF)</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Central bronchiectasis is a hallmark and a consequence of ABPA, and pre-existing bronchiectasis is itself a colonisation substrate.</w:t>
            </w:r>
          </w:p>
        </w:tc>
      </w:tr>
      <w:tr>
        <w:trPr>
          <w:cantSplit/>
        </w:trPr>
        <w:tc>
          <w:tcPr>
            <w:tcW w:type="dxa" w:w="2232"/>
            <w:vAlign w:val="top"/>
          </w:tcPr>
          <w:p>
            <w:pPr>
              <w:spacing w:after="40" w:before="0" w:line="259" w:lineRule="auto"/>
            </w:pPr>
            <w:r>
              <w:rPr>
                <w:rFonts w:ascii="Calibri" w:hAnsi="Calibri"/>
                <w:b/>
                <w:i w:val="0"/>
                <w:color w:val="212121"/>
                <w:sz w:val="19"/>
              </w:rPr>
              <w:t>Pulmonary tuberculosis / post-TB lung disease</w:t>
            </w:r>
          </w:p>
        </w:tc>
        <w:tc>
          <w:tcPr>
            <w:tcW w:type="dxa" w:w="2520"/>
            <w:vAlign w:val="top"/>
          </w:tcPr>
          <w:p>
            <w:pPr>
              <w:spacing w:after="40" w:before="0" w:line="259" w:lineRule="auto"/>
            </w:pPr>
            <w:r>
              <w:rPr>
                <w:rFonts w:ascii="Calibri" w:hAnsi="Calibri"/>
                <w:b w:val="0"/>
                <w:i w:val="0"/>
                <w:color w:val="212121"/>
                <w:sz w:val="18"/>
              </w:rPr>
              <w:t>• Clinical Management Impact</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Frequent source of misdiagnosis in India, and post-TB cavities are colonised by Aspergillus, influencing recognition and management.</w:t>
            </w:r>
          </w:p>
        </w:tc>
      </w:tr>
      <w:tr>
        <w:trPr>
          <w:cantSplit/>
        </w:trPr>
        <w:tc>
          <w:tcPr>
            <w:tcW w:type="dxa" w:w="2232"/>
            <w:vAlign w:val="top"/>
          </w:tcPr>
          <w:p>
            <w:pPr>
              <w:spacing w:after="40" w:before="0" w:line="259" w:lineRule="auto"/>
            </w:pPr>
            <w:r>
              <w:rPr>
                <w:rFonts w:ascii="Calibri" w:hAnsi="Calibri"/>
                <w:b/>
                <w:i w:val="0"/>
                <w:color w:val="212121"/>
                <w:sz w:val="19"/>
              </w:rPr>
              <w:t>Allergic rhinitis / atopy</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An atopic, Th2-skewed background predisposes to the exaggerated IgE response underlying ABPA.</w:t>
            </w:r>
          </w:p>
        </w:tc>
      </w:tr>
      <w:tr>
        <w:trPr>
          <w:cantSplit/>
        </w:trPr>
        <w:tc>
          <w:tcPr>
            <w:tcW w:type="dxa" w:w="2232"/>
            <w:vAlign w:val="top"/>
          </w:tcPr>
          <w:p>
            <w:pPr>
              <w:spacing w:after="40" w:before="0" w:line="259" w:lineRule="auto"/>
            </w:pPr>
            <w:r>
              <w:rPr>
                <w:rFonts w:ascii="Calibri" w:hAnsi="Calibri"/>
                <w:b/>
                <w:i w:val="0"/>
                <w:color w:val="212121"/>
                <w:sz w:val="19"/>
              </w:rPr>
              <w:t>Severe asthma with fungal sensitisation (SAFS)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Overlapping part of the spectrum of fungal-driven severe asthma; distinguishing it from ABPA affects treatment.</w:t>
            </w:r>
          </w:p>
        </w:tc>
      </w:tr>
      <w:tr>
        <w:trPr>
          <w:cantSplit/>
        </w:trPr>
        <w:tc>
          <w:tcPr>
            <w:tcW w:type="dxa" w:w="2232"/>
            <w:vAlign w:val="top"/>
          </w:tcPr>
          <w:p>
            <w:pPr>
              <w:spacing w:after="40" w:before="0" w:line="259" w:lineRule="auto"/>
            </w:pPr>
            <w:r>
              <w:rPr>
                <w:rFonts w:ascii="Calibri" w:hAnsi="Calibri"/>
                <w:b/>
                <w:i w:val="0"/>
                <w:color w:val="212121"/>
                <w:sz w:val="19"/>
              </w:rPr>
              <w:t>Corticosteroid-induced diabetes &amp; osteoporosis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Prolonged oral corticosteroids used to treat ABPA cause metabolic and bone morbidity, and azole antifungals interact with steroid metabolism.</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to recognise ABPA warning signs — worsening asthma despite inhalers, coughing up thick brown or blackish mucus plugs, low-grade fever, or blood-streaked sputum — and seek a pulmonology review.</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asthma repeatedly labelled as smear-negative tuberculosis, or 'pneumonia' that keeps recurring in different areas of the lung, should be tested for ABPA (total IgE and Aspergillus-specific IgE).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indoor mould: fix dampness and water leaks, ensure cross-ventilation and sunlight, avoid stored decaying vegetation indoors, and regularly clean air-cooler tanks and AC filters.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high-exposure activities during flares — composting, gardening with mulch, handling hay or grain, threshing, and construction or demolition dust; wear an N95 mask if exposure is unavoidable.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asthma well-controlled with regular inhaled corticosteroids and scheduled follow-up.</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Asthmatics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Cystic fibrosis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Farmers / agricultural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Residents of damp housing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previously treated as TB</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Adhere strictly to the prescribed oral corticosteroid course and taper; do not stop abruptly because of relapse and adrenal-insufficiency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antifungal azoles (itraconazole or voriconazole) as steroid-sparing therapy exactly as prescribed, and report side-effects and drug interactions.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scheduled total-IgE and imaging monitoring; a 35–50% rise in total IgE can flag an exacerbation before symptoms worsen.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steroid-risk mitigation — bone protection (calcium/vitamin D), blood-sugar checks, and infection precautions.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coexistent allergic rhinosinusitis is treated and baseline asthma controller therapy is continued.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Steroid-dependent ABPA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azole 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Relapsing ABPA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Advanced ABPA</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Undertake pulmonary rehabilitation and graded aerobic activity (brisk walking, cycling) to counter deconditioning and improve exercise tolerance.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 reliever inhaler before exercise if exercise-induced bronchospasm occurs, and avoid outdoor exertion on high-mould or high-pollution days.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breathing exercises and airway-clearance techniques (huffing, active cycle of breathing) to help bring up mucus plugs.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 activity gradually during remission and avoid strenuous work in dusty or mouldy environments.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Deconditioned asthmatics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Post-exacerbation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ABPA in remission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 balanced, antioxidant-rich diet (fruits, vegetables, whole grains) to support airway health and asthma control.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vitamin D deficiency under medical advice; adequate vitamin D may help modulate the Th2 response.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healthy body weight, as obesity worsens asthma control and adds to steroid-related metabolic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well hydrated to help thin secretions and aid clearance of mucus plugs.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visibly mouldy or spoiled food and do not store damp grains that can harbour fungal spores.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asthmatics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Vitamin D–deficient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Steroid-treated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regular 7–9 hour sleep schedule, as poor sleep worsens asthma symptom control.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the bedroom dry, well-ventilated and free of visible mould and damp bedding.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Optimise night-time asthma control to reduce nocturnal cough and breathlessness.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Asthmatics with nocturnal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in damp housing</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and avoid second-hand smoke; tobacco smoke impairs mucociliary clearance and worsens airway inflammation.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Switch to clean cooking fuels and ensure kitchen ventilation to cut household biomass-smoke exposure.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burning leaves or refuse and other particulate exposures that aggravate asthma.</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 with asthma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Biomass-fuel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ABPA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as heavy use impairs immunity and medication adherence and can worsen reflux and asthma control.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while on azole antifungals (itraconazole/voriconazole) and discuss interactions with your clinician.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azole antifungals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anxiety or depression linked to chronic breathlessness and repeated exacerbations, since poor mental health reduces treatment adherence.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stress-reduction techniques (breathing exercises, counselling) to improve symptom perception and self-management.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Engage with structured education or support for chronic respiratory disease to sustain adherence to steroids, azoles and monitoring.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recurrent exacerbations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Steroid-dependent ABPA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respiratory disease</w:t>
            </w:r>
          </w:p>
        </w:tc>
        <w:tc>
          <w:tcPr>
            <w:tcW w:type="dxa" w:w="1036"/>
            <w:vAlign w:val="top"/>
          </w:tcPr>
          <w:p>
            <w:pPr>
              <w:spacing w:after="40" w:before="0" w:line="259" w:lineRule="auto"/>
            </w:pPr>
            <w:r>
              <w:rPr>
                <w:rFonts w:ascii="Calibri" w:hAnsi="Calibri"/>
                <w:b w:val="0"/>
                <w:i w:val="0"/>
                <w:color w:val="212121"/>
                <w:sz w:val="19"/>
              </w:rPr>
              <w:t>Low</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journals.plos.org/plosone/article?id=10.1371/journal.pone.0114745" TargetMode="External"/><Relationship Id="rId10" Type="http://schemas.openxmlformats.org/officeDocument/2006/relationships/hyperlink" Target="https://www.ncbi.nlm.nih.gov/books/NBK542329/" TargetMode="External"/><Relationship Id="rId11" Type="http://schemas.openxmlformats.org/officeDocument/2006/relationships/hyperlink" Target="https://doi.org/10.3109/13693786.2012.738312" TargetMode="External"/><Relationship Id="rId12" Type="http://schemas.openxmlformats.org/officeDocument/2006/relationships/hyperlink" Target="https://www.cdc.gov/aspergillosis/about/index.html" TargetMode="External"/><Relationship Id="rId13" Type="http://schemas.openxmlformats.org/officeDocument/2006/relationships/hyperlink" Target="https://doi.org/10.1378/chest.130.2.4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