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Biomass Fuel–Related Lung Disease</w:t>
      </w:r>
    </w:p>
    <w:p>
      <w:pPr>
        <w:spacing w:before="0" w:after="160"/>
      </w:pPr>
      <w:r>
        <w:rPr>
          <w:rFonts w:ascii="Calibri" w:hAnsi="Calibri"/>
          <w:b/>
          <w:i w:val="0"/>
          <w:color w:val="212121"/>
          <w:sz w:val="22"/>
        </w:rPr>
        <w:t xml:space="preserve">AKA </w:t>
      </w:r>
      <w:r>
        <w:rPr>
          <w:rFonts w:ascii="Calibri" w:hAnsi="Calibri"/>
          <w:b w:val="0"/>
          <w:i w:val="0"/>
          <w:color w:val="212121"/>
          <w:sz w:val="22"/>
        </w:rPr>
        <w:t>i.e., Household/Indoor Air Pollution Lung Disease, Biomass Smoke–Induced COPD, “Hut Lung” (domestically acquired particulate lung disease), Chulha Lung, Cooking-smoke Lung Disease, Non-smoker’s COPD (biomass phenotype)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Biomass fuel–related lung disease is a spectrum of chronic respiratory disorders caused by long-term inhalation of smoke released when solid biomass fuels (firewood, dung cakes, crop residue, charcoal) and coal are burned indoors on open fires or inefficient stoves (chulhas) for cooking and heating. Chronic exposure to the fine particulate matter, carbon monoxide and toxic gases in this smoke drives airway inflammation, chronic bronchitis, small-airway disease and biomass-related chronic obstructive pulmonary disease (COPD), and is also linked to anthracosis/anthracofibrosis (“hut lung”), recurrent respiratory infections, cor pulmonale and lung cancer. In India it is the single most important cause of COPD in never-smokers, disproportionately affecting rural women who cook and the young children carried near the hearth.</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Household air pollution from solid fuels is one of India’s largest environmental health risks. Per NFHS-5 (2019–21), roughly one-third of Indian households — and nearly half of rural households (~47%) — still cook primarily with firewood and other solid biomass, rising to about two-thirds of Scheduled-Tribe households. The State of Global Air estimates ~61% of India’s population was exposed to solid-fuel cooking smoke in 2019, down from 73% in 2010. The respiratory toll is heavy: pooled COPD prevalence among Indian adults is about 13%, and COPD prevalence is ~8% in biomass-fuel users versus ~1% in clean-fuel (LPG) users. Worldwide, 25–45% of COPD occurs in never-smokers, and in rural India biomass smoke is the dominant driver of this “non-smoker COPD.”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Biomass fuel–related lung disease is a clinical–functional diagnosis that combines a documented solid-fuel exposure history with objective airflow/imaging findings, after excluding tobacco COPD, tuberculosis and other mimics. Supportive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documented chronic exposure to biomass/solid-fuel smoke, usually quantified as cumulative “hour-years” (hours cooking per day × years), in a never-smoker or light smoker;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post-bronchodilator spirometry showing fixed airflow obstruction (FEV₁/FVC &lt; 0.70) confirming biomass-related COPD; early disease may show only small-airway dysfunction or preserved-ratio impaired spirometry (PRISm);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chronic bronchitis — productive cough for ≥ 3 months/year over ≥ 2 consecutive years;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chest imaging (X-ray/HRCT) showing bronchial-wall thickening, mosaic attenuation/air-trapping, centrilobular nodules and anthracofibrosis, typically with far less emphysema than tobacco COPD;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alternative or coexisting diagnoses — pulmonary tuberculosis (high pre-test probability in India, sputum AFB/GeneXpert), bronchiectasis, interstitial lung disease and asthma;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bronchoscopy, when done, may reveal anthracotic mucosal pigmentation with bronchial narrowing (anthracofibrosis), a hallmark of chronic particulate exposure.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Biomass fuel–related lung disease is best understood as a spectrum rather than a single entity, graded by the predominant pathology and functional impairment:</w:t>
      </w:r>
    </w:p>
    <w:p>
      <w:pPr>
        <w:spacing w:before="0" w:after="80"/>
      </w:pPr>
      <w:r>
        <w:rPr>
          <w:rFonts w:ascii="Calibri" w:hAnsi="Calibri"/>
          <w:b w:val="0"/>
          <w:i w:val="0"/>
          <w:color w:val="212121"/>
          <w:sz w:val="21"/>
        </w:rPr>
        <w:t>(1) Biomass-related chronic bronchitis / chronic mucus hypersecretion — the earliest stage, with productive cough and airway inflammation before fixed airflow obstruction develops;</w:t>
      </w:r>
    </w:p>
    <w:p>
      <w:pPr>
        <w:spacing w:before="0" w:after="80"/>
      </w:pPr>
      <w:r>
        <w:rPr>
          <w:rFonts w:ascii="Calibri" w:hAnsi="Calibri"/>
          <w:b w:val="0"/>
          <w:i w:val="0"/>
          <w:color w:val="212121"/>
          <w:sz w:val="21"/>
        </w:rPr>
        <w:t>(2) Biomass-related COPD (fixed airflow obstruction) — an airway-predominant phenotype characterised by prominent bronchial-wall thickening, comparatively mild emphysema, preserved or only mildly reduced diffusing capacity (DLCO), greater bronchial hyper-responsiveness, more asthma–COPD overlap and earlier pulmonary hypertension than tobacco-smoke COPD;</w:t>
      </w:r>
    </w:p>
    <w:p>
      <w:pPr>
        <w:spacing w:before="0" w:after="80"/>
      </w:pPr>
      <w:r>
        <w:rPr>
          <w:rFonts w:ascii="Calibri" w:hAnsi="Calibri"/>
          <w:b w:val="0"/>
          <w:i w:val="0"/>
          <w:color w:val="212121"/>
          <w:sz w:val="21"/>
        </w:rPr>
        <w:t>(3) Anthracosis / anthracofibrosis and “hut lung” (domestically acquired particulate/mixed-dust lung disease) — deposition of carbon and mineral particulates causing black mucosal pigmentation, peribronchial fibrosis and bronchial stenosis;</w:t>
      </w:r>
    </w:p>
    <w:p>
      <w:pPr>
        <w:spacing w:before="0" w:after="80"/>
      </w:pPr>
      <w:r>
        <w:rPr>
          <w:rFonts w:ascii="Calibri" w:hAnsi="Calibri"/>
          <w:b w:val="0"/>
          <w:i w:val="0"/>
          <w:color w:val="212121"/>
          <w:sz w:val="21"/>
        </w:rPr>
        <w:t>(4) Small-airway dysfunction and PRISm — subclinical or early functional impairment detectable on spirometry/oscillometry before diagnostic obstruction;</w:t>
      </w:r>
    </w:p>
    <w:p>
      <w:pPr>
        <w:spacing w:before="0" w:after="80"/>
      </w:pPr>
      <w:r>
        <w:rPr>
          <w:rFonts w:ascii="Calibri" w:hAnsi="Calibri"/>
          <w:b w:val="0"/>
          <w:i w:val="0"/>
          <w:color w:val="212121"/>
          <w:sz w:val="21"/>
        </w:rPr>
        <w:t>(5) Associated and secondary disease — recurrent lower-respiratory infections and childhood pneumonia, bronchiectasis, cor pulmonale/pulmonary hypertension, respiratory failure and an increased risk of lung cancer (particularly with coal smoke).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Solid biomass fuel combustion: incomplete burning of wood, dung cakes, crop residue, charcoal and coal releases respirable PM2.5 and PM10, carbon monoxide, nitrogen and sulphur oxides, formaldehyde, benzene and polycyclic aromatic hydrocarbons (PAHs).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Inefficient stoves and poor ventilation: open chulhas without a flue/chimney in cramped, unventilated kitchens concentrate PM2.5 to extreme levels, with indoor peaks reaching thousands of µg/m³ — orders of magnitude above WHO air-quality guidelines.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Cumulative exposure duration: decades of daily cooking (dose measured in hour-years) produce dose-dependent airway injury and remodelling.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Female sex and the domestic cooking role: women are the primary cooks and receive the highest cumulative dose, while infants and young children carried near the hearth are exposed during critical periods of lung development.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Oxidative stress and chronic inflammation: inhaled particulates and PAHs generate reactive oxygen species, deplete antioxidant defences, cause DNA damage and drive neutrophilic airway inflammation and fibrosis.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Poverty, low socioeconomic status and limited LPG access: cost, supply and behavioural barriers (fuel stacking despite LPG connections) perpetuate solid-fuel use, especially in rural and tribal communities.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Co-factors that amplify risk: concurrent tobacco/bidi/hookah smoke, chronic malnutrition, prior pulmonary tuberculosis and recurrent childhood respiratory infections.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(primary cooks)</w:t>
            </w:r>
          </w:p>
        </w:tc>
        <w:tc>
          <w:tcPr>
            <w:tcW w:type="dxa" w:w="4276"/>
            <w:vAlign w:val="top"/>
          </w:tcPr>
          <w:p>
            <w:pPr>
              <w:spacing w:after="60" w:line="259" w:lineRule="auto"/>
            </w:pPr>
            <w:r>
              <w:rPr>
                <w:rFonts w:ascii="Calibri" w:hAnsi="Calibri"/>
                <w:b w:val="0"/>
                <w:i w:val="0"/>
                <w:color w:val="212121"/>
                <w:sz w:val="19"/>
              </w:rPr>
              <w:t>Women spend hours daily bent over the cooking fire and receive the highest cumulative biomass-smoke dose, making female sex the defining risk profile for this disease in India. This is the principal mechanism behind COPD in never-smoking Indian women.</w:t>
            </w:r>
          </w:p>
          <w:p>
            <w:pPr>
              <w:spacing w:after="40" w:before="60" w:line="259" w:lineRule="auto"/>
            </w:pPr>
            <w:r>
              <w:rPr>
                <w:rFonts w:ascii="Calibri" w:hAnsi="Calibri"/>
                <w:b w:val="0"/>
                <w:i w:val="0"/>
                <w:color w:val="212121"/>
                <w:sz w:val="19"/>
              </w:rPr>
              <w:t>In an Indian tertiary-care series, 69.2% of COPD patients had biomass-fuel exposure, and COPD prevalence among non-smoking symptomatic women over 40 was 15.3%.</w:t>
            </w:r>
          </w:p>
          <w:p>
            <w:pPr>
              <w:spacing w:after="40" w:line="252" w:lineRule="auto"/>
            </w:pPr>
            <w:hyperlink r:id="rId9">
              <w:r>
                <w:rPr>
                  <w:rFonts w:ascii="Calibri" w:hAnsi="Calibri" w:cs="Calibri"/>
                  <w:sz w:val="18"/>
                  <w:color w:val="1155CC"/>
                  <w:u w:val="single"/>
                </w:rPr>
                <w:t xml:space="preserve">healthcare-bulletin.co.uk — COPD &amp; small-airway dysfunction in non-smoking females</w:t>
              </w:r>
            </w:hyperlink>
          </w:p>
          <w:p>
            <w:pPr>
              <w:spacing w:before="60" w:after="40"/>
            </w:pPr>
            <w:r>
              <w:rPr>
                <w:rFonts w:ascii="Calibri" w:hAnsi="Calibri"/>
                <w:b w:val="0"/>
                <w:i w:val="0"/>
                <w:color w:val="5A5A5A"/>
                <w:sz w:val="18"/>
              </w:rPr>
              <w:t>#biomass  #chulha  #nonsmokerCOPD  #ruralwomen  #householdairpollution</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(women 30–60)</w:t>
            </w:r>
          </w:p>
        </w:tc>
        <w:tc>
          <w:tcPr>
            <w:tcW w:type="dxa" w:w="4276"/>
            <w:vAlign w:val="top"/>
          </w:tcPr>
          <w:p>
            <w:pPr>
              <w:spacing w:after="60" w:line="259" w:lineRule="auto"/>
            </w:pPr>
            <w:r>
              <w:rPr>
                <w:rFonts w:ascii="Calibri" w:hAnsi="Calibri"/>
                <w:b w:val="0"/>
                <w:i w:val="0"/>
                <w:color w:val="212121"/>
                <w:sz w:val="19"/>
              </w:rPr>
              <w:t>Cumulative decades of daily cooking exposure lead to progressive small-airway disease and fixed airflow obstruction during mid-adult life, often mislabelled as asthma or recurrent bronchitis.</w:t>
            </w:r>
          </w:p>
          <w:p>
            <w:pPr>
              <w:spacing w:after="40" w:before="60" w:line="259" w:lineRule="auto"/>
            </w:pPr>
            <w:r>
              <w:rPr>
                <w:rFonts w:ascii="Calibri" w:hAnsi="Calibri"/>
                <w:b w:val="0"/>
                <w:i w:val="0"/>
                <w:color w:val="212121"/>
                <w:sz w:val="19"/>
              </w:rPr>
              <w:t>Pooled COPD prevalence among Indian adults is ~13% (95% CI 9–18%), higher in biomass-fuel users (~8%) than clean-fuel users (~1%).</w:t>
            </w:r>
          </w:p>
          <w:p>
            <w:pPr>
              <w:spacing w:after="40" w:line="252" w:lineRule="auto"/>
            </w:pPr>
            <w:hyperlink r:id="rId10">
              <w:r>
                <w:rPr>
                  <w:rFonts w:ascii="Calibri" w:hAnsi="Calibri" w:cs="Calibri"/>
                  <w:sz w:val="18"/>
                  <w:color w:val="1155CC"/>
                  <w:u w:val="single"/>
                </w:rPr>
                <w:t xml:space="preserve">link.springer.com — Burden of COPD among Indian adults (meta-analysis)</w:t>
              </w:r>
            </w:hyperlink>
          </w:p>
          <w:p>
            <w:pPr>
              <w:spacing w:before="60" w:after="40"/>
            </w:pPr>
            <w:r>
              <w:rPr>
                <w:rFonts w:ascii="Calibri" w:hAnsi="Calibri"/>
                <w:b w:val="0"/>
                <w:i w:val="0"/>
                <w:color w:val="5A5A5A"/>
                <w:sz w:val="18"/>
              </w:rPr>
              <w:t>#COPD  #airflowobstruction  #cumulativeexposure  #smallairways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The longest cumulative exposure plus age-related decline in lung elastic recoil and mucociliary clearance yields the highest COPD burden and the most cor pulmonale and respiratory failure.</w:t>
            </w:r>
          </w:p>
          <w:p>
            <w:pPr>
              <w:spacing w:after="40" w:before="60" w:line="259" w:lineRule="auto"/>
            </w:pPr>
            <w:r>
              <w:rPr>
                <w:rFonts w:ascii="Calibri" w:hAnsi="Calibri"/>
                <w:b w:val="0"/>
                <w:i w:val="0"/>
                <w:color w:val="212121"/>
                <w:sz w:val="19"/>
              </w:rPr>
              <w:t>COPD prevalence in Indian adults ≥ 60 years is ~27%, versus ~17% in those 18–59 years.</w:t>
            </w:r>
          </w:p>
          <w:p>
            <w:pPr>
              <w:spacing w:after="40" w:line="252" w:lineRule="auto"/>
            </w:pPr>
            <w:hyperlink r:id="rId10">
              <w:r>
                <w:rPr>
                  <w:rFonts w:ascii="Calibri" w:hAnsi="Calibri" w:cs="Calibri"/>
                  <w:sz w:val="18"/>
                  <w:color w:val="1155CC"/>
                  <w:u w:val="single"/>
                </w:rPr>
                <w:t xml:space="preserve">link.springer.com — Burden of COPD among Indian adults (meta-analysis)</w:t>
              </w:r>
            </w:hyperlink>
          </w:p>
          <w:p>
            <w:pPr>
              <w:spacing w:before="60" w:after="40"/>
            </w:pPr>
            <w:r>
              <w:rPr>
                <w:rFonts w:ascii="Calibri" w:hAnsi="Calibri"/>
                <w:b w:val="0"/>
                <w:i w:val="0"/>
                <w:color w:val="5A5A5A"/>
                <w:sz w:val="18"/>
              </w:rPr>
              <w:t>#elderly  #corpulmonale  #aginglung  #severeCOPD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under 5</w:t>
            </w:r>
          </w:p>
        </w:tc>
        <w:tc>
          <w:tcPr>
            <w:tcW w:type="dxa" w:w="4276"/>
            <w:vAlign w:val="top"/>
          </w:tcPr>
          <w:p>
            <w:pPr>
              <w:spacing w:after="60" w:line="259" w:lineRule="auto"/>
            </w:pPr>
            <w:r>
              <w:rPr>
                <w:rFonts w:ascii="Calibri" w:hAnsi="Calibri"/>
                <w:b w:val="0"/>
                <w:i w:val="0"/>
                <w:color w:val="212121"/>
                <w:sz w:val="19"/>
              </w:rPr>
              <w:t>Infants carried on the mother’s back or playing near the hearth inhale high particulate loads during critical lung growth, driving acute lower-respiratory infections and impaired lung development that predisposes to adult COPD.</w:t>
            </w:r>
          </w:p>
          <w:p>
            <w:pPr>
              <w:spacing w:after="40" w:before="60" w:line="259" w:lineRule="auto"/>
            </w:pPr>
            <w:r>
              <w:rPr>
                <w:rFonts w:ascii="Calibri" w:hAnsi="Calibri"/>
                <w:b w:val="0"/>
                <w:i w:val="0"/>
                <w:color w:val="212121"/>
                <w:sz w:val="19"/>
              </w:rPr>
              <w:t>Globally, household air pollution causes ~44% of pneumonia deaths in children under 5 and about 309,000 under-5 deaths each year.</w:t>
            </w:r>
          </w:p>
          <w:p>
            <w:pPr>
              <w:spacing w:after="40" w:line="252" w:lineRule="auto"/>
            </w:pPr>
            <w:hyperlink r:id="rId11">
              <w:r>
                <w:rPr>
                  <w:rFonts w:ascii="Calibri" w:hAnsi="Calibri" w:cs="Calibri"/>
                  <w:sz w:val="18"/>
                  <w:color w:val="1155CC"/>
                  <w:u w:val="single"/>
                </w:rPr>
                <w:t xml:space="preserve">who.int — Household air pollution and health</w:t>
              </w:r>
            </w:hyperlink>
          </w:p>
          <w:p>
            <w:pPr>
              <w:spacing w:before="60" w:after="40"/>
            </w:pPr>
            <w:r>
              <w:rPr>
                <w:rFonts w:ascii="Calibri" w:hAnsi="Calibri"/>
                <w:b w:val="0"/>
                <w:i w:val="0"/>
                <w:color w:val="5A5A5A"/>
                <w:sz w:val="18"/>
              </w:rPr>
              <w:t>#childpneumonia  #ALRI  #lungdevelopment  #underfive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 below-poverty-line households</w:t>
            </w:r>
          </w:p>
        </w:tc>
        <w:tc>
          <w:tcPr>
            <w:tcW w:type="dxa" w:w="4276"/>
            <w:vAlign w:val="top"/>
          </w:tcPr>
          <w:p>
            <w:pPr>
              <w:spacing w:after="60" w:line="259" w:lineRule="auto"/>
            </w:pPr>
            <w:r>
              <w:rPr>
                <w:rFonts w:ascii="Calibri" w:hAnsi="Calibri"/>
                <w:b w:val="0"/>
                <w:i w:val="0"/>
                <w:color w:val="212121"/>
                <w:sz w:val="19"/>
              </w:rPr>
              <w:t>Cost and unreliable LPG supply keep the poorest families dependent on free or cheap biomass; even with an Ujjwala connection many revert to the chulha (‘fuel stacking’).</w:t>
            </w:r>
          </w:p>
          <w:p>
            <w:pPr>
              <w:spacing w:after="40" w:before="60" w:line="259" w:lineRule="auto"/>
            </w:pPr>
            <w:r>
              <w:rPr>
                <w:rFonts w:ascii="Calibri" w:hAnsi="Calibri"/>
                <w:b w:val="0"/>
                <w:i w:val="0"/>
                <w:color w:val="212121"/>
                <w:sz w:val="19"/>
              </w:rPr>
              <w:t>NFHS-5: only about half of the two poorest income quintiles had LPG, versus 4 in 5 of the richest quintile.</w:t>
            </w:r>
          </w:p>
          <w:p>
            <w:pPr>
              <w:spacing w:after="40" w:line="252" w:lineRule="auto"/>
            </w:pPr>
            <w:hyperlink r:id="rId12">
              <w:r>
                <w:rPr>
                  <w:rFonts w:ascii="Calibri" w:hAnsi="Calibri" w:cs="Calibri"/>
                  <w:sz w:val="18"/>
                  <w:color w:val="1155CC"/>
                  <w:u w:val="single"/>
                </w:rPr>
                <w:t xml:space="preserve">ceda.ashoka.edu.in — Clean cooking fuel usage in India (NFHS-5)</w:t>
              </w:r>
            </w:hyperlink>
          </w:p>
          <w:p>
            <w:pPr>
              <w:spacing w:before="60" w:after="40"/>
            </w:pPr>
            <w:r>
              <w:rPr>
                <w:rFonts w:ascii="Calibri" w:hAnsi="Calibri"/>
                <w:b w:val="0"/>
                <w:i w:val="0"/>
                <w:color w:val="5A5A5A"/>
                <w:sz w:val="18"/>
              </w:rPr>
              <w:t>#poverty  #fuelstacking  #Ujjwala  #energypoverty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residents</w:t>
            </w:r>
          </w:p>
        </w:tc>
        <w:tc>
          <w:tcPr>
            <w:tcW w:type="dxa" w:w="4276"/>
            <w:vAlign w:val="top"/>
          </w:tcPr>
          <w:p>
            <w:pPr>
              <w:spacing w:after="60" w:line="259" w:lineRule="auto"/>
            </w:pPr>
            <w:r>
              <w:rPr>
                <w:rFonts w:ascii="Calibri" w:hAnsi="Calibri"/>
                <w:b w:val="0"/>
                <w:i w:val="0"/>
                <w:color w:val="212121"/>
                <w:sz w:val="19"/>
              </w:rPr>
              <w:t>Rural kitchens overwhelmingly rely on firewood and dung; cold hill regions burn additional biomass for winter heating, compounding exposure.</w:t>
            </w:r>
          </w:p>
          <w:p>
            <w:pPr>
              <w:spacing w:after="40" w:before="60" w:line="259" w:lineRule="auto"/>
            </w:pPr>
            <w:r>
              <w:rPr>
                <w:rFonts w:ascii="Calibri" w:hAnsi="Calibri"/>
                <w:b w:val="0"/>
                <w:i w:val="0"/>
                <w:color w:val="212121"/>
                <w:sz w:val="19"/>
              </w:rPr>
              <w:t>NFHS-5: ~47% of rural households cook with firewood (49.4% use LPG), versus only 6.5% firewood reliance in urban households (89% LPG).</w:t>
            </w:r>
          </w:p>
          <w:p>
            <w:pPr>
              <w:spacing w:after="40" w:line="252" w:lineRule="auto"/>
            </w:pPr>
            <w:hyperlink r:id="rId12">
              <w:r>
                <w:rPr>
                  <w:rFonts w:ascii="Calibri" w:hAnsi="Calibri" w:cs="Calibri"/>
                  <w:sz w:val="18"/>
                  <w:color w:val="1155CC"/>
                  <w:u w:val="single"/>
                </w:rPr>
                <w:t xml:space="preserve">ceda.ashoka.edu.in — Clean cooking fuel usage in India (NFHS-5)</w:t>
              </w:r>
            </w:hyperlink>
          </w:p>
          <w:p>
            <w:pPr>
              <w:spacing w:before="60" w:after="40"/>
            </w:pPr>
            <w:r>
              <w:rPr>
                <w:rFonts w:ascii="Calibri" w:hAnsi="Calibri"/>
                <w:b w:val="0"/>
                <w:i w:val="0"/>
                <w:color w:val="5A5A5A"/>
                <w:sz w:val="18"/>
              </w:rPr>
              <w:t>#ruralIndia  #firewood  #dungcake  #winterheating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community</w:t>
            </w:r>
          </w:p>
        </w:tc>
        <w:tc>
          <w:tcPr>
            <w:tcW w:type="dxa" w:w="2160"/>
            <w:vAlign w:val="top"/>
          </w:tcPr>
          <w:p>
            <w:pPr>
              <w:spacing w:after="40" w:before="0" w:line="259" w:lineRule="auto"/>
            </w:pPr>
            <w:r>
              <w:rPr>
                <w:rFonts w:ascii="Calibri" w:hAnsi="Calibri"/>
                <w:b w:val="0"/>
                <w:i w:val="0"/>
                <w:color w:val="212121"/>
                <w:sz w:val="19"/>
              </w:rPr>
              <w:t>Scheduled-Tribe &amp; marginalised communities</w:t>
            </w:r>
          </w:p>
        </w:tc>
        <w:tc>
          <w:tcPr>
            <w:tcW w:type="dxa" w:w="4276"/>
            <w:vAlign w:val="top"/>
          </w:tcPr>
          <w:p>
            <w:pPr>
              <w:spacing w:after="60" w:line="259" w:lineRule="auto"/>
            </w:pPr>
            <w:r>
              <w:rPr>
                <w:rFonts w:ascii="Calibri" w:hAnsi="Calibri"/>
                <w:b w:val="0"/>
                <w:i w:val="0"/>
                <w:color w:val="212121"/>
                <w:sz w:val="19"/>
              </w:rPr>
              <w:t>Forest-adjacent tribal and marginalised households have the lowest clean-fuel access and highest solid-fuel dependence, concentrating disease in these groups.</w:t>
            </w:r>
          </w:p>
          <w:p>
            <w:pPr>
              <w:spacing w:after="40" w:before="60" w:line="259" w:lineRule="auto"/>
            </w:pPr>
            <w:r>
              <w:rPr>
                <w:rFonts w:ascii="Calibri" w:hAnsi="Calibri"/>
                <w:b w:val="0"/>
                <w:i w:val="0"/>
                <w:color w:val="212121"/>
                <w:sz w:val="19"/>
              </w:rPr>
              <w:t>NFHS-5: only 31.6% of Scheduled-Tribe households used LPG — about two-thirds relied on firewood — versus 75% LPG in dominant-caste households.</w:t>
            </w:r>
          </w:p>
          <w:p>
            <w:pPr>
              <w:spacing w:after="40" w:line="252" w:lineRule="auto"/>
            </w:pPr>
            <w:hyperlink r:id="rId12">
              <w:r>
                <w:rPr>
                  <w:rFonts w:ascii="Calibri" w:hAnsi="Calibri" w:cs="Calibri"/>
                  <w:sz w:val="18"/>
                  <w:color w:val="1155CC"/>
                  <w:u w:val="single"/>
                </w:rPr>
                <w:t xml:space="preserve">ceda.ashoka.edu.in — Clean cooking fuel usage in India (NFHS-5)</w:t>
              </w:r>
            </w:hyperlink>
          </w:p>
          <w:p>
            <w:pPr>
              <w:spacing w:before="60" w:after="40"/>
            </w:pPr>
            <w:r>
              <w:rPr>
                <w:rFonts w:ascii="Calibri" w:hAnsi="Calibri"/>
                <w:b w:val="0"/>
                <w:i w:val="0"/>
                <w:color w:val="5A5A5A"/>
                <w:sz w:val="18"/>
              </w:rPr>
              <w:t>#tribal  #scheduledtribe  #equitygap  #cleanfuelaccess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Cooking practice / indoor time</w:t>
            </w:r>
          </w:p>
        </w:tc>
        <w:tc>
          <w:tcPr>
            <w:tcW w:type="dxa" w:w="2160"/>
            <w:vAlign w:val="top"/>
          </w:tcPr>
          <w:p>
            <w:pPr>
              <w:spacing w:after="40" w:before="0" w:line="259" w:lineRule="auto"/>
            </w:pPr>
            <w:r>
              <w:rPr>
                <w:rFonts w:ascii="Calibri" w:hAnsi="Calibri"/>
                <w:b w:val="0"/>
                <w:i w:val="0"/>
                <w:color w:val="212121"/>
                <w:sz w:val="19"/>
              </w:rPr>
              <w:t>Homemakers using open chulha without a chimney</w:t>
            </w:r>
          </w:p>
        </w:tc>
        <w:tc>
          <w:tcPr>
            <w:tcW w:type="dxa" w:w="4276"/>
            <w:vAlign w:val="top"/>
          </w:tcPr>
          <w:p>
            <w:pPr>
              <w:spacing w:after="60" w:line="259" w:lineRule="auto"/>
            </w:pPr>
            <w:r>
              <w:rPr>
                <w:rFonts w:ascii="Calibri" w:hAnsi="Calibri"/>
                <w:b w:val="0"/>
                <w:i w:val="0"/>
                <w:color w:val="212121"/>
                <w:sz w:val="19"/>
              </w:rPr>
              <w:t>Cooking on an unvented indoor stove places the face directly in the smoke plume for hours; lack of a chimney or cross-ventilation traps particulates in the breathing zone.</w:t>
            </w:r>
          </w:p>
          <w:p>
            <w:pPr>
              <w:spacing w:after="40" w:before="60" w:line="259" w:lineRule="auto"/>
            </w:pPr>
            <w:r>
              <w:rPr>
                <w:rFonts w:ascii="Calibri" w:hAnsi="Calibri"/>
                <w:b w:val="0"/>
                <w:i w:val="0"/>
                <w:color w:val="212121"/>
                <w:sz w:val="19"/>
              </w:rPr>
              <w:t>HAPIN trial personal exposure: biomass cooks were exposed to a mean PM2.5 of 70.7 µg/m³ versus 23.9 µg/m³ after switching to LPG — roughly a three-fold reduction.</w:t>
            </w:r>
          </w:p>
          <w:p>
            <w:pPr>
              <w:spacing w:after="40" w:line="252" w:lineRule="auto"/>
            </w:pPr>
            <w:hyperlink r:id="rId13">
              <w:r>
                <w:rPr>
                  <w:rFonts w:ascii="Calibri" w:hAnsi="Calibri" w:cs="Calibri"/>
                  <w:sz w:val="18"/>
                  <w:color w:val="1155CC"/>
                  <w:u w:val="single"/>
                </w:rPr>
                <w:t xml:space="preserve">stacks.cdc.gov — HAPIN LPG vs biomass cooking (NEJM)</w:t>
              </w:r>
            </w:hyperlink>
          </w:p>
          <w:p>
            <w:pPr>
              <w:spacing w:before="60" w:after="40"/>
            </w:pPr>
            <w:r>
              <w:rPr>
                <w:rFonts w:ascii="Calibri" w:hAnsi="Calibri"/>
                <w:b w:val="0"/>
                <w:i w:val="0"/>
                <w:color w:val="5A5A5A"/>
                <w:sz w:val="18"/>
              </w:rPr>
              <w:t>#openchulha  #noventilation  #PM25  #breathingzone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Biomass-exposed tobacco/bidi smokers</w:t>
            </w:r>
          </w:p>
        </w:tc>
        <w:tc>
          <w:tcPr>
            <w:tcW w:type="dxa" w:w="4276"/>
            <w:vAlign w:val="top"/>
          </w:tcPr>
          <w:p>
            <w:pPr>
              <w:spacing w:after="60" w:line="259" w:lineRule="auto"/>
            </w:pPr>
            <w:r>
              <w:rPr>
                <w:rFonts w:ascii="Calibri" w:hAnsi="Calibri"/>
                <w:b w:val="0"/>
                <w:i w:val="0"/>
                <w:color w:val="212121"/>
                <w:sz w:val="19"/>
              </w:rPr>
              <w:t>Tobacco and biomass smoke act additively/synergistically on the airways; a woman who also smokes bidis or is exposed to second-hand smoke reaches obstruction faster.</w:t>
            </w:r>
          </w:p>
          <w:p>
            <w:pPr>
              <w:spacing w:after="40" w:before="60" w:line="259" w:lineRule="auto"/>
            </w:pPr>
            <w:r>
              <w:rPr>
                <w:rFonts w:ascii="Calibri" w:hAnsi="Calibri"/>
                <w:b w:val="0"/>
                <w:i w:val="0"/>
                <w:color w:val="212121"/>
                <w:sz w:val="19"/>
              </w:rPr>
              <w:t>COPD prevalence among Indian smokers is ~37%, the highest of any exposure subgroup, and biomass adds to this baseline risk.</w:t>
            </w:r>
          </w:p>
          <w:p>
            <w:pPr>
              <w:spacing w:after="40" w:line="252" w:lineRule="auto"/>
            </w:pPr>
            <w:hyperlink r:id="rId10">
              <w:r>
                <w:rPr>
                  <w:rFonts w:ascii="Calibri" w:hAnsi="Calibri" w:cs="Calibri"/>
                  <w:sz w:val="18"/>
                  <w:color w:val="1155CC"/>
                  <w:u w:val="single"/>
                </w:rPr>
                <w:t xml:space="preserve">link.springer.com — Burden of COPD among Indian adults (meta-analysis)</w:t>
              </w:r>
            </w:hyperlink>
          </w:p>
          <w:p>
            <w:pPr>
              <w:spacing w:before="60" w:after="40"/>
            </w:pPr>
            <w:r>
              <w:rPr>
                <w:rFonts w:ascii="Calibri" w:hAnsi="Calibri"/>
                <w:b w:val="0"/>
                <w:i w:val="0"/>
                <w:color w:val="5A5A5A"/>
                <w:sz w:val="18"/>
              </w:rPr>
              <w:t>#bidi  #tobacco  #dualexposure  #synergy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Antioxidant intake / nutrition</w:t>
            </w:r>
          </w:p>
        </w:tc>
        <w:tc>
          <w:tcPr>
            <w:tcW w:type="dxa" w:w="2160"/>
            <w:vAlign w:val="top"/>
          </w:tcPr>
          <w:p>
            <w:pPr>
              <w:spacing w:after="40" w:before="0" w:line="259" w:lineRule="auto"/>
            </w:pPr>
            <w:r>
              <w:rPr>
                <w:rFonts w:ascii="Calibri" w:hAnsi="Calibri"/>
                <w:b w:val="0"/>
                <w:i w:val="0"/>
                <w:color w:val="212121"/>
                <w:sz w:val="19"/>
              </w:rPr>
              <w:t>Malnourished adults with low fruit &amp; vegetable intake</w:t>
            </w:r>
          </w:p>
        </w:tc>
        <w:tc>
          <w:tcPr>
            <w:tcW w:type="dxa" w:w="4276"/>
            <w:vAlign w:val="top"/>
          </w:tcPr>
          <w:p>
            <w:pPr>
              <w:spacing w:after="60" w:line="259" w:lineRule="auto"/>
            </w:pPr>
            <w:r>
              <w:rPr>
                <w:rFonts w:ascii="Calibri" w:hAnsi="Calibri"/>
                <w:b w:val="0"/>
                <w:i w:val="0"/>
                <w:color w:val="212121"/>
                <w:sz w:val="19"/>
              </w:rPr>
              <w:t>Biomass smoke injures the lung through oxidative stress; diets poor in antioxidant vitamins (C, E, carotenoids) and protein leave defences depleted and worsen airway damage and cachexia.</w:t>
            </w:r>
          </w:p>
          <w:p>
            <w:pPr>
              <w:spacing w:after="40" w:before="60" w:line="259" w:lineRule="auto"/>
            </w:pPr>
            <w:r>
              <w:rPr>
                <w:rFonts w:ascii="Calibri" w:hAnsi="Calibri"/>
                <w:b w:val="0"/>
                <w:i w:val="0"/>
                <w:color w:val="212121"/>
                <w:sz w:val="19"/>
              </w:rPr>
              <w:t>Indian studies of biomass-exposed rural women document increased reactive-oxygen-species production and reduced antioxidant-enzyme activity with DNA damage.</w:t>
            </w:r>
          </w:p>
          <w:p>
            <w:pPr>
              <w:spacing w:after="40" w:line="252" w:lineRule="auto"/>
            </w:pPr>
            <w:hyperlink r:id="rId14">
              <w:r>
                <w:rPr>
                  <w:rFonts w:ascii="Calibri" w:hAnsi="Calibri" w:cs="Calibri"/>
                  <w:sz w:val="18"/>
                  <w:color w:val="1155CC"/>
                  <w:u w:val="single"/>
                </w:rPr>
                <w:t xml:space="preserve">oatext.com — COPD in non-smokers: an update</w:t>
              </w:r>
            </w:hyperlink>
          </w:p>
          <w:p>
            <w:pPr>
              <w:spacing w:before="60" w:after="40"/>
            </w:pPr>
            <w:r>
              <w:rPr>
                <w:rFonts w:ascii="Calibri" w:hAnsi="Calibri"/>
                <w:b w:val="0"/>
                <w:i w:val="0"/>
                <w:color w:val="5A5A5A"/>
                <w:sz w:val="18"/>
              </w:rPr>
              <w:t>#oxidativestress  #antioxidants  #malnutrition  #cachexia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Genetic susceptibility</w:t>
            </w:r>
          </w:p>
        </w:tc>
        <w:tc>
          <w:tcPr>
            <w:tcW w:type="dxa" w:w="2160"/>
            <w:vAlign w:val="top"/>
          </w:tcPr>
          <w:p>
            <w:pPr>
              <w:spacing w:after="40" w:before="0" w:line="259" w:lineRule="auto"/>
            </w:pPr>
            <w:r>
              <w:rPr>
                <w:rFonts w:ascii="Calibri" w:hAnsi="Calibri"/>
                <w:b w:val="0"/>
                <w:i w:val="0"/>
                <w:color w:val="212121"/>
                <w:sz w:val="19"/>
              </w:rPr>
              <w:t>Individuals with antioxidant/detoxification gene variants</w:t>
            </w:r>
          </w:p>
        </w:tc>
        <w:tc>
          <w:tcPr>
            <w:tcW w:type="dxa" w:w="4276"/>
            <w:vAlign w:val="top"/>
          </w:tcPr>
          <w:p>
            <w:pPr>
              <w:spacing w:after="60" w:line="259" w:lineRule="auto"/>
            </w:pPr>
            <w:r>
              <w:rPr>
                <w:rFonts w:ascii="Calibri" w:hAnsi="Calibri"/>
                <w:b w:val="0"/>
                <w:i w:val="0"/>
                <w:color w:val="212121"/>
                <w:sz w:val="19"/>
              </w:rPr>
              <w:t>Polymorphisms in glutathione-S-transferase and other detoxification/antioxidant genes modulate the individual response to inhaled particulates, so some heavily exposed people develop disease while others are relatively spared.</w:t>
            </w:r>
          </w:p>
          <w:p>
            <w:pPr>
              <w:spacing w:after="40" w:before="60" w:line="259" w:lineRule="auto"/>
            </w:pPr>
            <w:r>
              <w:rPr>
                <w:rFonts w:ascii="Calibri" w:hAnsi="Calibri"/>
                <w:b w:val="0"/>
                <w:i w:val="0"/>
                <w:color w:val="212121"/>
                <w:sz w:val="19"/>
              </w:rPr>
              <w:t>Only a subset of similarly exposed women develop COPD, consistent with gene–environment interaction in oxidative-stress handling.</w:t>
            </w:r>
          </w:p>
          <w:p>
            <w:pPr>
              <w:spacing w:before="60" w:after="40"/>
            </w:pPr>
            <w:r>
              <w:rPr>
                <w:rFonts w:ascii="Calibri" w:hAnsi="Calibri"/>
                <w:b w:val="0"/>
                <w:i w:val="0"/>
                <w:color w:val="5A5A5A"/>
                <w:sz w:val="18"/>
              </w:rPr>
              <w:t>#GSTgenes  #geneenvironment  #susceptibility  #detoxification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Prior pulmonary tuberculosis</w:t>
            </w:r>
          </w:p>
        </w:tc>
        <w:tc>
          <w:tcPr>
            <w:tcW w:type="dxa" w:w="2160"/>
            <w:vAlign w:val="top"/>
          </w:tcPr>
          <w:p>
            <w:pPr>
              <w:spacing w:after="40" w:before="0" w:line="259" w:lineRule="auto"/>
            </w:pPr>
            <w:r>
              <w:rPr>
                <w:rFonts w:ascii="Calibri" w:hAnsi="Calibri"/>
                <w:b w:val="0"/>
                <w:i w:val="0"/>
                <w:color w:val="212121"/>
                <w:sz w:val="19"/>
              </w:rPr>
              <w:t>Patients with past/latent TB</w:t>
            </w:r>
          </w:p>
        </w:tc>
        <w:tc>
          <w:tcPr>
            <w:tcW w:type="dxa" w:w="4276"/>
            <w:vAlign w:val="top"/>
          </w:tcPr>
          <w:p>
            <w:pPr>
              <w:spacing w:after="60" w:line="259" w:lineRule="auto"/>
            </w:pPr>
            <w:r>
              <w:rPr>
                <w:rFonts w:ascii="Calibri" w:hAnsi="Calibri"/>
                <w:b w:val="0"/>
                <w:i w:val="0"/>
                <w:color w:val="212121"/>
                <w:sz w:val="19"/>
              </w:rPr>
              <w:t>Post-TB airway and parenchymal damage compounds biomass injury; conversely biomass smoke impairs alveolar-macrophage function and raises TB susceptibility, creating a vicious cycle common in India.</w:t>
            </w:r>
          </w:p>
          <w:p>
            <w:pPr>
              <w:spacing w:after="40" w:before="60" w:line="259" w:lineRule="auto"/>
            </w:pPr>
            <w:r>
              <w:rPr>
                <w:rFonts w:ascii="Calibri" w:hAnsi="Calibri"/>
                <w:b w:val="0"/>
                <w:i w:val="0"/>
                <w:color w:val="212121"/>
                <w:sz w:val="19"/>
              </w:rPr>
              <w:t>Biomass cooking-fuel exposure is associated with tuberculosis in Indian women with a pooled odds ratio of about 2.33 (95% CI 1.65–3.28).</w:t>
            </w:r>
          </w:p>
          <w:p>
            <w:pPr>
              <w:spacing w:after="40" w:line="252" w:lineRule="auto"/>
            </w:pPr>
            <w:hyperlink r:id="rId15">
              <w:r>
                <w:rPr>
                  <w:rFonts w:ascii="Calibri" w:hAnsi="Calibri" w:cs="Calibri"/>
                  <w:sz w:val="18"/>
                  <w:color w:val="1155CC"/>
                  <w:u w:val="single"/>
                </w:rPr>
                <w:t xml:space="preserve">doaj.org — Disease burden from biomass HAP among women in India</w:t>
              </w:r>
            </w:hyperlink>
          </w:p>
          <w:p>
            <w:pPr>
              <w:spacing w:before="60" w:after="40"/>
            </w:pPr>
            <w:r>
              <w:rPr>
                <w:rFonts w:ascii="Calibri" w:hAnsi="Calibri"/>
                <w:b w:val="0"/>
                <w:i w:val="0"/>
                <w:color w:val="5A5A5A"/>
                <w:sz w:val="18"/>
              </w:rPr>
              <w:t>#tuberculosis  #postTB  #macrophage  #viciouscycle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Recurrent childhood respiratory infection</w:t>
            </w:r>
          </w:p>
        </w:tc>
        <w:tc>
          <w:tcPr>
            <w:tcW w:type="dxa" w:w="2160"/>
            <w:vAlign w:val="top"/>
          </w:tcPr>
          <w:p>
            <w:pPr>
              <w:spacing w:after="40" w:before="0" w:line="259" w:lineRule="auto"/>
            </w:pPr>
            <w:r>
              <w:rPr>
                <w:rFonts w:ascii="Calibri" w:hAnsi="Calibri"/>
                <w:b w:val="0"/>
                <w:i w:val="0"/>
                <w:color w:val="212121"/>
                <w:sz w:val="19"/>
              </w:rPr>
              <w:t>Adults with early-life LRTI / pneumonia</w:t>
            </w:r>
          </w:p>
        </w:tc>
        <w:tc>
          <w:tcPr>
            <w:tcW w:type="dxa" w:w="4276"/>
            <w:vAlign w:val="top"/>
          </w:tcPr>
          <w:p>
            <w:pPr>
              <w:spacing w:after="60" w:line="259" w:lineRule="auto"/>
            </w:pPr>
            <w:r>
              <w:rPr>
                <w:rFonts w:ascii="Calibri" w:hAnsi="Calibri"/>
                <w:b w:val="0"/>
                <w:i w:val="0"/>
                <w:color w:val="212121"/>
                <w:sz w:val="19"/>
              </w:rPr>
              <w:t>Repeated childhood pneumonia and bronchiolitis from early biomass exposure impair peak lung function attained in adulthood, lowering the threshold for later obstruction.</w:t>
            </w:r>
          </w:p>
          <w:p>
            <w:pPr>
              <w:spacing w:after="40" w:before="60" w:line="259" w:lineRule="auto"/>
            </w:pPr>
            <w:r>
              <w:rPr>
                <w:rFonts w:ascii="Calibri" w:hAnsi="Calibri"/>
                <w:b w:val="0"/>
                <w:i w:val="0"/>
                <w:color w:val="212121"/>
                <w:sz w:val="19"/>
              </w:rPr>
              <w:t>Household air pollution is responsible for ~21% of lower-respiratory-infection deaths worldwide, concentrated in exposed children.</w:t>
            </w:r>
          </w:p>
          <w:p>
            <w:pPr>
              <w:spacing w:after="40" w:line="252" w:lineRule="auto"/>
            </w:pPr>
            <w:hyperlink r:id="rId11">
              <w:r>
                <w:rPr>
                  <w:rFonts w:ascii="Calibri" w:hAnsi="Calibri" w:cs="Calibri"/>
                  <w:sz w:val="18"/>
                  <w:color w:val="1155CC"/>
                  <w:u w:val="single"/>
                </w:rPr>
                <w:t xml:space="preserve">who.int — Household air pollution and health</w:t>
              </w:r>
            </w:hyperlink>
          </w:p>
          <w:p>
            <w:pPr>
              <w:spacing w:before="60" w:after="40"/>
            </w:pPr>
            <w:r>
              <w:rPr>
                <w:rFonts w:ascii="Calibri" w:hAnsi="Calibri"/>
                <w:b w:val="0"/>
                <w:i w:val="0"/>
                <w:color w:val="5A5A5A"/>
                <w:sz w:val="18"/>
              </w:rPr>
              <w:t>#childhoodLRTI  #peaklungfunction  #earlylife  #bronchiolitis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Pre-existing asthma / airway disease</w:t>
            </w:r>
          </w:p>
        </w:tc>
        <w:tc>
          <w:tcPr>
            <w:tcW w:type="dxa" w:w="2160"/>
            <w:vAlign w:val="top"/>
          </w:tcPr>
          <w:p>
            <w:pPr>
              <w:spacing w:after="40" w:before="0" w:line="259" w:lineRule="auto"/>
            </w:pPr>
            <w:r>
              <w:rPr>
                <w:rFonts w:ascii="Calibri" w:hAnsi="Calibri"/>
                <w:b w:val="0"/>
                <w:i w:val="0"/>
                <w:color w:val="212121"/>
                <w:sz w:val="19"/>
              </w:rPr>
              <w:t>Patients with asthma or chronic bronchitis</w:t>
            </w:r>
          </w:p>
        </w:tc>
        <w:tc>
          <w:tcPr>
            <w:tcW w:type="dxa" w:w="4276"/>
            <w:vAlign w:val="top"/>
          </w:tcPr>
          <w:p>
            <w:pPr>
              <w:spacing w:after="60" w:line="259" w:lineRule="auto"/>
            </w:pPr>
            <w:r>
              <w:rPr>
                <w:rFonts w:ascii="Calibri" w:hAnsi="Calibri"/>
                <w:b w:val="0"/>
                <w:i w:val="0"/>
                <w:color w:val="212121"/>
                <w:sz w:val="19"/>
              </w:rPr>
              <w:t>Biomass smoke aggravates airway hyper-responsiveness, promoting the asthma–COPD overlap that is characteristically more common in the biomass phenotype than in tobacco COPD.</w:t>
            </w:r>
          </w:p>
          <w:p>
            <w:pPr>
              <w:spacing w:after="40" w:before="60" w:line="259" w:lineRule="auto"/>
            </w:pPr>
            <w:r>
              <w:rPr>
                <w:rFonts w:ascii="Calibri" w:hAnsi="Calibri"/>
                <w:b w:val="0"/>
                <w:i w:val="0"/>
                <w:color w:val="212121"/>
                <w:sz w:val="19"/>
              </w:rPr>
              <w:t>Biomass exposure raises the risk of chronic bronchitis about 2.9-fold (OR 2.89, 95% CI 2.18–3.82).</w:t>
            </w:r>
          </w:p>
          <w:p>
            <w:pPr>
              <w:spacing w:after="40" w:line="252" w:lineRule="auto"/>
            </w:pPr>
            <w:hyperlink r:id="rId16">
              <w:r>
                <w:rPr>
                  <w:rFonts w:ascii="Calibri" w:hAnsi="Calibri" w:cs="Calibri"/>
                  <w:sz w:val="18"/>
                  <w:color w:val="1155CC"/>
                  <w:u w:val="single"/>
                </w:rPr>
                <w:t xml:space="preserve">intechopen.com — COPD related to wood/biomass smoke</w:t>
              </w:r>
            </w:hyperlink>
          </w:p>
          <w:p>
            <w:pPr>
              <w:spacing w:before="60" w:after="40"/>
            </w:pPr>
            <w:r>
              <w:rPr>
                <w:rFonts w:ascii="Calibri" w:hAnsi="Calibri"/>
                <w:b w:val="0"/>
                <w:i w:val="0"/>
                <w:color w:val="5A5A5A"/>
                <w:sz w:val="18"/>
              </w:rPr>
              <w:t>#asthmaCOPDoverlap  #airwayhyperreactivity  #chronicbronchitis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disease</w:t>
            </w:r>
          </w:p>
        </w:tc>
        <w:tc>
          <w:tcPr>
            <w:tcW w:type="dxa" w:w="2160"/>
            <w:vAlign w:val="top"/>
          </w:tcPr>
          <w:p>
            <w:pPr>
              <w:spacing w:after="40" w:before="0" w:line="259" w:lineRule="auto"/>
            </w:pPr>
            <w:r>
              <w:rPr>
                <w:rFonts w:ascii="Calibri" w:hAnsi="Calibri"/>
                <w:b w:val="0"/>
                <w:i w:val="0"/>
                <w:color w:val="212121"/>
                <w:sz w:val="19"/>
              </w:rPr>
              <w:t>Adults with hypertension / dysglycaemia</w:t>
            </w:r>
          </w:p>
        </w:tc>
        <w:tc>
          <w:tcPr>
            <w:tcW w:type="dxa" w:w="4276"/>
            <w:vAlign w:val="top"/>
          </w:tcPr>
          <w:p>
            <w:pPr>
              <w:spacing w:after="60" w:line="259" w:lineRule="auto"/>
            </w:pPr>
            <w:r>
              <w:rPr>
                <w:rFonts w:ascii="Calibri" w:hAnsi="Calibri"/>
                <w:b w:val="0"/>
                <w:i w:val="0"/>
                <w:color w:val="212121"/>
                <w:sz w:val="19"/>
              </w:rPr>
              <w:t>Chronic particulate inhalation causes systemic inflammation and endothelial dysfunction that raise blood pressure and impair glucose handling, so biomass exposure clusters with cardiometabolic disease.</w:t>
            </w:r>
          </w:p>
          <w:p>
            <w:pPr>
              <w:spacing w:after="40" w:before="60" w:line="259" w:lineRule="auto"/>
            </w:pPr>
            <w:r>
              <w:rPr>
                <w:rFonts w:ascii="Calibri" w:hAnsi="Calibri"/>
                <w:b w:val="0"/>
                <w:i w:val="0"/>
                <w:color w:val="212121"/>
                <w:sz w:val="19"/>
              </w:rPr>
              <w:t>Rural Indian biomass users showed 12% diabetes and 32% prediabetes versus 2% and 6% in LPG users, with markedly higher rates of stage-1/2 hypertension.</w:t>
            </w:r>
          </w:p>
          <w:p>
            <w:pPr>
              <w:spacing w:after="40" w:line="252" w:lineRule="auto"/>
            </w:pPr>
            <w:hyperlink r:id="rId17">
              <w:r>
                <w:rPr>
                  <w:rFonts w:ascii="Calibri" w:hAnsi="Calibri" w:cs="Calibri"/>
                  <w:sz w:val="18"/>
                  <w:color w:val="1155CC"/>
                  <w:u w:val="single"/>
                </w:rPr>
                <w:t xml:space="preserve">link.springer.com — HAP &amp; health burden in biomass-using rural women (India)</w:t>
              </w:r>
            </w:hyperlink>
          </w:p>
          <w:p>
            <w:pPr>
              <w:spacing w:before="60" w:after="40"/>
            </w:pPr>
            <w:r>
              <w:rPr>
                <w:rFonts w:ascii="Calibri" w:hAnsi="Calibri"/>
                <w:b w:val="0"/>
                <w:i w:val="0"/>
                <w:color w:val="5A5A5A"/>
                <w:sz w:val="18"/>
              </w:rPr>
              <w:t>#hypertension  #prediabetes  #systemicinflammation  #cardiometabolic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itself is not causal, but time spent sedentary beside the indoor hearth determines cumulative smoke dose; in established disease, regular activity and pulmonary rehabilitation improve exercise tolerance and reduce breathlessness.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rich in antioxidant vitamins (C, E, carotenoids) and adequate protein buffer the oxidative injury from biomass smoke, whereas malnutrition worsens airway damage and drives cachexia in advanced disease.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 many rural homes the sleeping area adjoins the smouldering hearth, prolonging nocturnal particulate and carbon-monoxide exposure; chronic cough and breathlessness further fragment sleep.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(bidi, cigarette, hookah) and second-hand smoke act additively/synergistically with biomass smoke, accelerating airflow obstruction; combined exposure carries the highest COPD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causal link with biomass lung disease; heavy alcohol use mainly acts as a confounder and worsens nutrition and aspiration/infection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breathlessness, disability and poverty are associated with anxiety and depression, which reduce quality of life and adherence to clean-fuel and rehabilitation measures.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helps loosen airway secretions and aids mucociliary clearance, but has no established role in preventing biomass-related lung injury.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Methylxanthines in coffee/tea have mild bronchodilator effects, but any influence on biomass lung disease is negligible and not a management lever.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‘Kitchen hygiene’ — clean improved cookstoves with a flue/chimney, a separate well-ventilated cooking area and reduced indoor smoke — is the strongest modifiable determinant; poor kitchen ventilation is central to exposure.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cooking sessions, indoor smoke build-up, cold weather, biomass/coal fuel and respiratory infections precipitate symptom flares and acute exacerbations.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Cooking bent low over a floor-level chulha places the face directly in the rising smoke plume; a raised stove and upright cooking posture lift the breathing zone out of the densest smoke.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Indoor kitchen PM2.5 (24-h avg, µg/m³)</w:t>
            </w:r>
          </w:p>
        </w:tc>
        <w:tc>
          <w:tcPr>
            <w:tcW w:type="dxa" w:w="1655"/>
            <w:vAlign w:val="top"/>
          </w:tcPr>
          <w:p>
            <w:pPr>
              <w:spacing w:after="40" w:before="0" w:line="259" w:lineRule="auto"/>
            </w:pPr>
            <w:r>
              <w:rPr>
                <w:rFonts w:ascii="Calibri" w:hAnsi="Calibri"/>
                <w:b w:val="0"/>
                <w:i w:val="0"/>
                <w:color w:val="212121"/>
                <w:sz w:val="19"/>
              </w:rPr>
              <w:t>Rural women cooks, children</w:t>
            </w:r>
          </w:p>
        </w:tc>
        <w:tc>
          <w:tcPr>
            <w:tcW w:type="dxa" w:w="1512"/>
            <w:vAlign w:val="top"/>
          </w:tcPr>
          <w:p>
            <w:pPr>
              <w:spacing w:after="40" w:before="0" w:line="259" w:lineRule="auto"/>
            </w:pPr>
            <w:r>
              <w:rPr>
                <w:rFonts w:ascii="Calibri" w:hAnsi="Calibri"/>
                <w:b w:val="0"/>
                <w:i w:val="0"/>
                <w:color w:val="212121"/>
                <w:sz w:val="19"/>
              </w:rPr>
              <w:t>&lt; 15 µg/m³ (WHO 2021 AQG)</w:t>
            </w:r>
          </w:p>
        </w:tc>
        <w:tc>
          <w:tcPr>
            <w:tcW w:type="dxa" w:w="1512"/>
            <w:vAlign w:val="top"/>
          </w:tcPr>
          <w:p>
            <w:pPr>
              <w:spacing w:after="40" w:before="0" w:line="259" w:lineRule="auto"/>
            </w:pPr>
            <w:r>
              <w:rPr>
                <w:rFonts w:ascii="Calibri" w:hAnsi="Calibri"/>
                <w:b w:val="0"/>
                <w:i w:val="0"/>
                <w:color w:val="212121"/>
                <w:sz w:val="19"/>
              </w:rPr>
              <w:t>&gt; 35 µg/m³; biomass kitchens ~70–several hundred µg/m³</w:t>
            </w:r>
          </w:p>
        </w:tc>
        <w:tc>
          <w:tcPr>
            <w:tcW w:type="dxa" w:w="1468"/>
            <w:vAlign w:val="top"/>
          </w:tcPr>
          <w:p>
            <w:pPr>
              <w:spacing w:after="60" w:line="259" w:lineRule="auto"/>
            </w:pPr>
            <w:r>
              <w:rPr>
                <w:rFonts w:ascii="Calibri" w:hAnsi="Calibri"/>
                <w:b w:val="0"/>
                <w:i w:val="0"/>
                <w:color w:val="212121"/>
                <w:sz w:val="19"/>
              </w:rPr>
              <w:t>Biomass combustion raises kitchen PM2.5 far above WHO limits; LPG switch cut personal PM2.5 from 70.7 to 23.9 µg/m³</w:t>
            </w:r>
          </w:p>
          <w:p>
            <w:pPr>
              <w:spacing w:after="40" w:line="252" w:lineRule="auto"/>
            </w:pPr>
            <w:hyperlink r:id="rId13">
              <w:r>
                <w:rPr>
                  <w:rFonts w:ascii="Calibri" w:hAnsi="Calibri" w:cs="Calibri"/>
                  <w:sz w:val="18"/>
                  <w:color w:val="1155CC"/>
                  <w:u w:val="single"/>
                </w:rPr>
                <w:t xml:space="preserve">https://stacks.cdc.gov/view/cdc/124935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Kitchen ventilation / chimney</w:t>
            </w:r>
          </w:p>
        </w:tc>
        <w:tc>
          <w:tcPr>
            <w:tcW w:type="dxa" w:w="1655"/>
            <w:vAlign w:val="top"/>
          </w:tcPr>
          <w:p>
            <w:pPr>
              <w:spacing w:after="40" w:before="0" w:line="259" w:lineRule="auto"/>
            </w:pPr>
            <w:r>
              <w:rPr>
                <w:rFonts w:ascii="Calibri" w:hAnsi="Calibri"/>
                <w:b w:val="0"/>
                <w:i w:val="0"/>
                <w:color w:val="212121"/>
                <w:sz w:val="19"/>
              </w:rPr>
              <w:t>All solid-fuel households</w:t>
            </w:r>
          </w:p>
        </w:tc>
        <w:tc>
          <w:tcPr>
            <w:tcW w:type="dxa" w:w="1512"/>
            <w:vAlign w:val="top"/>
          </w:tcPr>
          <w:p>
            <w:pPr>
              <w:spacing w:after="40" w:before="0" w:line="259" w:lineRule="auto"/>
            </w:pPr>
            <w:r>
              <w:rPr>
                <w:rFonts w:ascii="Calibri" w:hAnsi="Calibri"/>
                <w:b w:val="0"/>
                <w:i w:val="0"/>
                <w:color w:val="212121"/>
                <w:sz w:val="19"/>
              </w:rPr>
              <w:t>Improved cookstove with flue/chimney; separate, cross-ventilated kitchen</w:t>
            </w:r>
          </w:p>
        </w:tc>
        <w:tc>
          <w:tcPr>
            <w:tcW w:type="dxa" w:w="1512"/>
            <w:vAlign w:val="top"/>
          </w:tcPr>
          <w:p>
            <w:pPr>
              <w:spacing w:after="40" w:before="0" w:line="259" w:lineRule="auto"/>
            </w:pPr>
            <w:r>
              <w:rPr>
                <w:rFonts w:ascii="Calibri" w:hAnsi="Calibri"/>
                <w:b w:val="0"/>
                <w:i w:val="0"/>
                <w:color w:val="212121"/>
                <w:sz w:val="19"/>
              </w:rPr>
              <w:t>Open chulha, no chimney, indoor unventilated kitchen</w:t>
            </w:r>
          </w:p>
        </w:tc>
        <w:tc>
          <w:tcPr>
            <w:tcW w:type="dxa" w:w="1468"/>
            <w:vAlign w:val="top"/>
          </w:tcPr>
          <w:p>
            <w:pPr>
              <w:spacing w:after="60" w:line="259" w:lineRule="auto"/>
            </w:pPr>
            <w:r>
              <w:rPr>
                <w:rFonts w:ascii="Calibri" w:hAnsi="Calibri"/>
                <w:b w:val="0"/>
                <w:i w:val="0"/>
                <w:color w:val="212121"/>
                <w:sz w:val="19"/>
              </w:rPr>
              <w:t>Ventilation and flued stoves are core exposure-reduction measures</w:t>
            </w:r>
          </w:p>
          <w:p>
            <w:pPr>
              <w:spacing w:after="40" w:line="252" w:lineRule="auto"/>
            </w:pPr>
            <w:hyperlink r:id="rId11">
              <w:r>
                <w:rPr>
                  <w:rFonts w:ascii="Calibri" w:hAnsi="Calibri" w:cs="Calibri"/>
                  <w:sz w:val="18"/>
                  <w:color w:val="1155CC"/>
                  <w:u w:val="single"/>
                </w:rPr>
                <w:t xml:space="preserve">https://www.who.int/news-room/fact-sheets/detail/household-air-pollution-and-health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Cumulative smoke exposure (hour-years)</w:t>
            </w:r>
          </w:p>
        </w:tc>
        <w:tc>
          <w:tcPr>
            <w:tcW w:type="dxa" w:w="1655"/>
            <w:vAlign w:val="top"/>
          </w:tcPr>
          <w:p>
            <w:pPr>
              <w:spacing w:after="40" w:before="0" w:line="259" w:lineRule="auto"/>
            </w:pPr>
            <w:r>
              <w:rPr>
                <w:rFonts w:ascii="Calibri" w:hAnsi="Calibri"/>
                <w:b w:val="0"/>
                <w:i w:val="0"/>
                <w:color w:val="212121"/>
                <w:sz w:val="19"/>
              </w:rPr>
              <w:t>Women cooks</w:t>
            </w:r>
          </w:p>
        </w:tc>
        <w:tc>
          <w:tcPr>
            <w:tcW w:type="dxa" w:w="1512"/>
            <w:vAlign w:val="top"/>
          </w:tcPr>
          <w:p>
            <w:pPr>
              <w:spacing w:after="40" w:before="0" w:line="259" w:lineRule="auto"/>
            </w:pPr>
            <w:r>
              <w:rPr>
                <w:rFonts w:ascii="Calibri" w:hAnsi="Calibri"/>
                <w:b w:val="0"/>
                <w:i w:val="0"/>
                <w:color w:val="212121"/>
                <w:sz w:val="19"/>
              </w:rPr>
              <w:t>0 (clean fuel from outset)</w:t>
            </w:r>
          </w:p>
        </w:tc>
        <w:tc>
          <w:tcPr>
            <w:tcW w:type="dxa" w:w="1512"/>
            <w:vAlign w:val="top"/>
          </w:tcPr>
          <w:p>
            <w:pPr>
              <w:spacing w:after="40" w:before="0" w:line="259" w:lineRule="auto"/>
            </w:pPr>
            <w:r>
              <w:rPr>
                <w:rFonts w:ascii="Calibri" w:hAnsi="Calibri"/>
                <w:b w:val="0"/>
                <w:i w:val="0"/>
                <w:color w:val="212121"/>
                <w:sz w:val="19"/>
              </w:rPr>
              <w:t>High cumulative exposure (many hours/day over decades)</w:t>
            </w:r>
          </w:p>
        </w:tc>
        <w:tc>
          <w:tcPr>
            <w:tcW w:type="dxa" w:w="1468"/>
            <w:vAlign w:val="top"/>
          </w:tcPr>
          <w:p>
            <w:pPr>
              <w:spacing w:after="40" w:before="0" w:line="259" w:lineRule="auto"/>
            </w:pPr>
            <w:r>
              <w:rPr>
                <w:rFonts w:ascii="Calibri" w:hAnsi="Calibri"/>
                <w:b w:val="0"/>
                <w:i w:val="0"/>
                <w:color w:val="212121"/>
                <w:sz w:val="19"/>
              </w:rPr>
              <w:t>Dose = hours cooking/day × years; airway injury is dose-dependent</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Primary cooking fuel type</w:t>
            </w:r>
          </w:p>
        </w:tc>
        <w:tc>
          <w:tcPr>
            <w:tcW w:type="dxa" w:w="1655"/>
            <w:vAlign w:val="top"/>
          </w:tcPr>
          <w:p>
            <w:pPr>
              <w:spacing w:after="40" w:before="0" w:line="259" w:lineRule="auto"/>
            </w:pPr>
            <w:r>
              <w:rPr>
                <w:rFonts w:ascii="Calibri" w:hAnsi="Calibri"/>
                <w:b w:val="0"/>
                <w:i w:val="0"/>
                <w:color w:val="212121"/>
                <w:sz w:val="19"/>
              </w:rPr>
              <w:t>All households</w:t>
            </w:r>
          </w:p>
        </w:tc>
        <w:tc>
          <w:tcPr>
            <w:tcW w:type="dxa" w:w="1512"/>
            <w:vAlign w:val="top"/>
          </w:tcPr>
          <w:p>
            <w:pPr>
              <w:spacing w:after="40" w:before="0" w:line="259" w:lineRule="auto"/>
            </w:pPr>
            <w:r>
              <w:rPr>
                <w:rFonts w:ascii="Calibri" w:hAnsi="Calibri"/>
                <w:b w:val="0"/>
                <w:i w:val="0"/>
                <w:color w:val="212121"/>
                <w:sz w:val="19"/>
              </w:rPr>
              <w:t>LPG / electricity / biogas (clean fuels)</w:t>
            </w:r>
          </w:p>
        </w:tc>
        <w:tc>
          <w:tcPr>
            <w:tcW w:type="dxa" w:w="1512"/>
            <w:vAlign w:val="top"/>
          </w:tcPr>
          <w:p>
            <w:pPr>
              <w:spacing w:after="40" w:before="0" w:line="259" w:lineRule="auto"/>
            </w:pPr>
            <w:r>
              <w:rPr>
                <w:rFonts w:ascii="Calibri" w:hAnsi="Calibri"/>
                <w:b w:val="0"/>
                <w:i w:val="0"/>
                <w:color w:val="212121"/>
                <w:sz w:val="19"/>
              </w:rPr>
              <w:t>Firewood, dung cake, crop residue, coal, charcoal</w:t>
            </w:r>
          </w:p>
        </w:tc>
        <w:tc>
          <w:tcPr>
            <w:tcW w:type="dxa" w:w="1468"/>
            <w:vAlign w:val="top"/>
          </w:tcPr>
          <w:p>
            <w:pPr>
              <w:spacing w:after="60" w:line="259" w:lineRule="auto"/>
            </w:pPr>
            <w:r>
              <w:rPr>
                <w:rFonts w:ascii="Calibri" w:hAnsi="Calibri"/>
                <w:b w:val="0"/>
                <w:i w:val="0"/>
                <w:color w:val="212121"/>
                <w:sz w:val="19"/>
              </w:rPr>
              <w:t>Switching to clean fuel is the single most effective intervention</w:t>
            </w:r>
          </w:p>
          <w:p>
            <w:pPr>
              <w:spacing w:after="40" w:line="252" w:lineRule="auto"/>
            </w:pPr>
            <w:hyperlink r:id="rId12">
              <w:r>
                <w:rPr>
                  <w:rFonts w:ascii="Calibri" w:hAnsi="Calibri" w:cs="Calibri"/>
                  <w:sz w:val="18"/>
                  <w:color w:val="1155CC"/>
                  <w:u w:val="single"/>
                </w:rPr>
                <w:t xml:space="preserve">https://ceda.ashoka.edu.in/how-many-indian-households-use-clean-fuel-for-cooking/</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(bidi/cigarette/hookah) per day</w:t>
            </w:r>
          </w:p>
        </w:tc>
        <w:tc>
          <w:tcPr>
            <w:tcW w:type="dxa" w:w="1655"/>
            <w:vAlign w:val="top"/>
          </w:tcPr>
          <w:p>
            <w:pPr>
              <w:spacing w:after="40" w:before="0" w:line="259" w:lineRule="auto"/>
            </w:pPr>
            <w:r>
              <w:rPr>
                <w:rFonts w:ascii="Calibri" w:hAnsi="Calibri"/>
                <w:b w:val="0"/>
                <w:i w:val="0"/>
                <w:color w:val="212121"/>
                <w:sz w:val="19"/>
              </w:rPr>
              <w:t>Biomass-exposed adults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 or regular second-hand smoke</w:t>
            </w:r>
          </w:p>
        </w:tc>
        <w:tc>
          <w:tcPr>
            <w:tcW w:type="dxa" w:w="1468"/>
            <w:vAlign w:val="top"/>
          </w:tcPr>
          <w:p>
            <w:pPr>
              <w:spacing w:after="60" w:line="259" w:lineRule="auto"/>
            </w:pPr>
            <w:r>
              <w:rPr>
                <w:rFonts w:ascii="Calibri" w:hAnsi="Calibri"/>
                <w:b w:val="0"/>
                <w:i w:val="0"/>
                <w:color w:val="212121"/>
                <w:sz w:val="19"/>
              </w:rPr>
              <w:t>Tobacco is additive/synergistic with biomass; smokers have ~37% COPD prevalence</w:t>
            </w:r>
          </w:p>
          <w:p>
            <w:pPr>
              <w:spacing w:after="40" w:line="252" w:lineRule="auto"/>
            </w:pPr>
            <w:hyperlink r:id="rId10">
              <w:r>
                <w:rPr>
                  <w:rFonts w:ascii="Calibri" w:hAnsi="Calibri" w:cs="Calibri"/>
                  <w:sz w:val="18"/>
                  <w:color w:val="1155CC"/>
                  <w:u w:val="single"/>
                </w:rPr>
                <w:t xml:space="preserve">https://link.springer.com/article/10.1186/s12890-026-04134-0</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Fruit &amp; vegetable (antioxidant) intake</w:t>
            </w:r>
          </w:p>
        </w:tc>
        <w:tc>
          <w:tcPr>
            <w:tcW w:type="dxa" w:w="1655"/>
            <w:vAlign w:val="top"/>
          </w:tcPr>
          <w:p>
            <w:pPr>
              <w:spacing w:after="40" w:before="0" w:line="259" w:lineRule="auto"/>
            </w:pPr>
            <w:r>
              <w:rPr>
                <w:rFonts w:ascii="Calibri" w:hAnsi="Calibri"/>
                <w:b w:val="0"/>
                <w:i w:val="0"/>
                <w:color w:val="212121"/>
                <w:sz w:val="19"/>
              </w:rPr>
              <w:t>Exposed women, elderly</w:t>
            </w:r>
          </w:p>
        </w:tc>
        <w:tc>
          <w:tcPr>
            <w:tcW w:type="dxa" w:w="1512"/>
            <w:vAlign w:val="top"/>
          </w:tcPr>
          <w:p>
            <w:pPr>
              <w:spacing w:after="40" w:before="0" w:line="259" w:lineRule="auto"/>
            </w:pPr>
            <w:r>
              <w:rPr>
                <w:rFonts w:ascii="Calibri" w:hAnsi="Calibri"/>
                <w:b w:val="0"/>
                <w:i w:val="0"/>
                <w:color w:val="212121"/>
                <w:sz w:val="19"/>
              </w:rPr>
              <w:t>≥ 400 g/day (‘5-a-day’)</w:t>
            </w:r>
          </w:p>
        </w:tc>
        <w:tc>
          <w:tcPr>
            <w:tcW w:type="dxa" w:w="1512"/>
            <w:vAlign w:val="top"/>
          </w:tcPr>
          <w:p>
            <w:pPr>
              <w:spacing w:after="40" w:before="0" w:line="259" w:lineRule="auto"/>
            </w:pPr>
            <w:r>
              <w:rPr>
                <w:rFonts w:ascii="Calibri" w:hAnsi="Calibri"/>
                <w:b w:val="0"/>
                <w:i w:val="0"/>
                <w:color w:val="212121"/>
                <w:sz w:val="19"/>
              </w:rPr>
              <w:t>&lt; 200 g/day; low vitamin C/E, protein</w:t>
            </w:r>
          </w:p>
        </w:tc>
        <w:tc>
          <w:tcPr>
            <w:tcW w:type="dxa" w:w="1468"/>
            <w:vAlign w:val="top"/>
          </w:tcPr>
          <w:p>
            <w:pPr>
              <w:spacing w:after="40" w:before="0" w:line="259" w:lineRule="auto"/>
            </w:pPr>
            <w:r>
              <w:rPr>
                <w:rFonts w:ascii="Calibri" w:hAnsi="Calibri"/>
                <w:b w:val="0"/>
                <w:i w:val="0"/>
                <w:color w:val="212121"/>
                <w:sz w:val="19"/>
              </w:rPr>
              <w:t>Antioxidant-rich diet buffers smoke-induced oxidative stress</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Adults with/at risk of COPD</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Largely sedentary</w:t>
            </w:r>
          </w:p>
        </w:tc>
        <w:tc>
          <w:tcPr>
            <w:tcW w:type="dxa" w:w="1468"/>
            <w:vAlign w:val="top"/>
          </w:tcPr>
          <w:p>
            <w:pPr>
              <w:spacing w:after="40" w:before="0" w:line="259" w:lineRule="auto"/>
            </w:pPr>
            <w:r>
              <w:rPr>
                <w:rFonts w:ascii="Calibri" w:hAnsi="Calibri"/>
                <w:b w:val="0"/>
                <w:i w:val="0"/>
                <w:color w:val="212121"/>
                <w:sz w:val="19"/>
              </w:rPr>
              <w:t>Activity/pulmonary rehab improves dyspnoea and functional capacity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location &amp; duration</w:t>
            </w:r>
          </w:p>
        </w:tc>
        <w:tc>
          <w:tcPr>
            <w:tcW w:type="dxa" w:w="1655"/>
            <w:vAlign w:val="top"/>
          </w:tcPr>
          <w:p>
            <w:pPr>
              <w:spacing w:after="40" w:before="0" w:line="259" w:lineRule="auto"/>
            </w:pPr>
            <w:r>
              <w:rPr>
                <w:rFonts w:ascii="Calibri" w:hAnsi="Calibri"/>
                <w:b w:val="0"/>
                <w:i w:val="0"/>
                <w:color w:val="212121"/>
                <w:sz w:val="19"/>
              </w:rPr>
              <w:t>Rural households</w:t>
            </w:r>
          </w:p>
        </w:tc>
        <w:tc>
          <w:tcPr>
            <w:tcW w:type="dxa" w:w="1512"/>
            <w:vAlign w:val="top"/>
          </w:tcPr>
          <w:p>
            <w:pPr>
              <w:spacing w:after="40" w:before="0" w:line="259" w:lineRule="auto"/>
            </w:pPr>
            <w:r>
              <w:rPr>
                <w:rFonts w:ascii="Calibri" w:hAnsi="Calibri"/>
                <w:b w:val="0"/>
                <w:i w:val="0"/>
                <w:color w:val="212121"/>
                <w:sz w:val="19"/>
              </w:rPr>
              <w:t>7–9 h in a smoke-free room away from the hearth</w:t>
            </w:r>
          </w:p>
        </w:tc>
        <w:tc>
          <w:tcPr>
            <w:tcW w:type="dxa" w:w="1512"/>
            <w:vAlign w:val="top"/>
          </w:tcPr>
          <w:p>
            <w:pPr>
              <w:spacing w:after="40" w:before="0" w:line="259" w:lineRule="auto"/>
            </w:pPr>
            <w:r>
              <w:rPr>
                <w:rFonts w:ascii="Calibri" w:hAnsi="Calibri"/>
                <w:b w:val="0"/>
                <w:i w:val="0"/>
                <w:color w:val="212121"/>
                <w:sz w:val="19"/>
              </w:rPr>
              <w:t>&lt; 6 h or sleeping in/near the kitchen</w:t>
            </w:r>
          </w:p>
        </w:tc>
        <w:tc>
          <w:tcPr>
            <w:tcW w:type="dxa" w:w="1468"/>
            <w:vAlign w:val="top"/>
          </w:tcPr>
          <w:p>
            <w:pPr>
              <w:spacing w:after="40" w:before="0" w:line="259" w:lineRule="auto"/>
            </w:pPr>
            <w:r>
              <w:rPr>
                <w:rFonts w:ascii="Calibri" w:hAnsi="Calibri"/>
                <w:b w:val="0"/>
                <w:i w:val="0"/>
                <w:color w:val="212121"/>
                <w:sz w:val="19"/>
              </w:rPr>
              <w:t>Sleeping by a smouldering hearth prolongs nocturnal CO/PM exposure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Respiratory-infection / exacerbation frequency</w:t>
            </w:r>
          </w:p>
        </w:tc>
        <w:tc>
          <w:tcPr>
            <w:tcW w:type="dxa" w:w="1655"/>
            <w:vAlign w:val="top"/>
          </w:tcPr>
          <w:p>
            <w:pPr>
              <w:spacing w:after="40" w:before="0" w:line="259" w:lineRule="auto"/>
            </w:pPr>
            <w:r>
              <w:rPr>
                <w:rFonts w:ascii="Calibri" w:hAnsi="Calibri"/>
                <w:b w:val="0"/>
                <w:i w:val="0"/>
                <w:color w:val="212121"/>
                <w:sz w:val="19"/>
              </w:rPr>
              <w:t>Established biomass COPD</w:t>
            </w:r>
          </w:p>
        </w:tc>
        <w:tc>
          <w:tcPr>
            <w:tcW w:type="dxa" w:w="1512"/>
            <w:vAlign w:val="top"/>
          </w:tcPr>
          <w:p>
            <w:pPr>
              <w:spacing w:after="40" w:before="0" w:line="259" w:lineRule="auto"/>
            </w:pPr>
            <w:r>
              <w:rPr>
                <w:rFonts w:ascii="Calibri" w:hAnsi="Calibri"/>
                <w:b w:val="0"/>
                <w:i w:val="0"/>
                <w:color w:val="212121"/>
                <w:sz w:val="19"/>
              </w:rPr>
              <w:t>0–1 mild event/year</w:t>
            </w:r>
          </w:p>
        </w:tc>
        <w:tc>
          <w:tcPr>
            <w:tcW w:type="dxa" w:w="1512"/>
            <w:vAlign w:val="top"/>
          </w:tcPr>
          <w:p>
            <w:pPr>
              <w:spacing w:after="40" w:before="0" w:line="259" w:lineRule="auto"/>
            </w:pPr>
            <w:r>
              <w:rPr>
                <w:rFonts w:ascii="Calibri" w:hAnsi="Calibri"/>
                <w:b w:val="0"/>
                <w:i w:val="0"/>
                <w:color w:val="212121"/>
                <w:sz w:val="19"/>
              </w:rPr>
              <w:t>≥ 2 exacerbations/year</w:t>
            </w:r>
          </w:p>
        </w:tc>
        <w:tc>
          <w:tcPr>
            <w:tcW w:type="dxa" w:w="1468"/>
            <w:vAlign w:val="top"/>
          </w:tcPr>
          <w:p>
            <w:pPr>
              <w:spacing w:after="40" w:before="0" w:line="259" w:lineRule="auto"/>
            </w:pPr>
            <w:r>
              <w:rPr>
                <w:rFonts w:ascii="Calibri" w:hAnsi="Calibri"/>
                <w:b w:val="0"/>
                <w:i w:val="0"/>
                <w:color w:val="212121"/>
                <w:sz w:val="19"/>
              </w:rPr>
              <w:t>Infections and smoke build-up precipitate exacerbations; vaccinate against influenza &amp; pneumococcus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FEV₁/FVC ratio (post-bronchodilator)</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 0.70</w:t>
            </w:r>
          </w:p>
        </w:tc>
        <w:tc>
          <w:tcPr>
            <w:tcW w:type="dxa" w:w="950"/>
            <w:vAlign w:val="top"/>
          </w:tcPr>
          <w:p>
            <w:pPr>
              <w:spacing w:after="40" w:before="0" w:line="259" w:lineRule="auto"/>
            </w:pPr>
            <w:r>
              <w:rPr>
                <w:rFonts w:ascii="Calibri" w:hAnsi="Calibri"/>
                <w:b w:val="0"/>
                <w:i w:val="0"/>
                <w:color w:val="212121"/>
                <w:sz w:val="16"/>
              </w:rPr>
              <w:t>&lt; 0.70</w:t>
            </w:r>
          </w:p>
        </w:tc>
        <w:tc>
          <w:tcPr>
            <w:tcW w:type="dxa" w:w="1036"/>
            <w:vAlign w:val="top"/>
          </w:tcPr>
          <w:p>
            <w:pPr>
              <w:spacing w:after="40" w:before="0" w:line="259" w:lineRule="auto"/>
            </w:pPr>
            <w:r>
              <w:rPr>
                <w:rFonts w:ascii="Calibri" w:hAnsi="Calibri"/>
                <w:b w:val="0"/>
                <w:i w:val="0"/>
                <w:color w:val="212121"/>
                <w:sz w:val="16"/>
              </w:rPr>
              <w:t>Confirms fixed airflow obstruction (biomass-related COPD)</w:t>
            </w:r>
          </w:p>
        </w:tc>
        <w:tc>
          <w:tcPr>
            <w:tcW w:type="dxa" w:w="1036"/>
            <w:vAlign w:val="top"/>
          </w:tcPr>
          <w:p>
            <w:pPr>
              <w:spacing w:after="40" w:before="0" w:line="259" w:lineRule="auto"/>
            </w:pPr>
            <w:r>
              <w:rPr>
                <w:rFonts w:ascii="Calibri" w:hAnsi="Calibri"/>
                <w:b w:val="0"/>
                <w:i w:val="0"/>
                <w:color w:val="212121"/>
                <w:sz w:val="16"/>
              </w:rPr>
              <w:t>Biomass-exposed women, chronic-cough adults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Post-bronchodilator; if ratio preserved but FEV₁ low, classify as PRISm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FEV₁ (% predicted)</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 80% predicted</w:t>
            </w:r>
          </w:p>
        </w:tc>
        <w:tc>
          <w:tcPr>
            <w:tcW w:type="dxa" w:w="950"/>
            <w:vAlign w:val="top"/>
          </w:tcPr>
          <w:p>
            <w:pPr>
              <w:spacing w:after="40" w:before="0" w:line="259" w:lineRule="auto"/>
            </w:pPr>
            <w:r>
              <w:rPr>
                <w:rFonts w:ascii="Calibri" w:hAnsi="Calibri"/>
                <w:b w:val="0"/>
                <w:i w:val="0"/>
                <w:color w:val="212121"/>
                <w:sz w:val="16"/>
              </w:rPr>
              <w:t>&lt; 80% predicted</w:t>
            </w:r>
          </w:p>
        </w:tc>
        <w:tc>
          <w:tcPr>
            <w:tcW w:type="dxa" w:w="1036"/>
            <w:vAlign w:val="top"/>
          </w:tcPr>
          <w:p>
            <w:pPr>
              <w:spacing w:after="40" w:before="0" w:line="259" w:lineRule="auto"/>
            </w:pPr>
            <w:r>
              <w:rPr>
                <w:rFonts w:ascii="Calibri" w:hAnsi="Calibri"/>
                <w:b w:val="0"/>
                <w:i w:val="0"/>
                <w:color w:val="212121"/>
                <w:sz w:val="16"/>
              </w:rPr>
              <w:t>Grades airflow-limitation severity (GOLD 1–4)</w:t>
            </w:r>
          </w:p>
        </w:tc>
        <w:tc>
          <w:tcPr>
            <w:tcW w:type="dxa" w:w="1036"/>
            <w:vAlign w:val="top"/>
          </w:tcPr>
          <w:p>
            <w:pPr>
              <w:spacing w:after="40" w:before="0" w:line="259" w:lineRule="auto"/>
            </w:pPr>
            <w:r>
              <w:rPr>
                <w:rFonts w:ascii="Calibri" w:hAnsi="Calibri"/>
                <w:b w:val="0"/>
                <w:i w:val="0"/>
                <w:color w:val="212121"/>
                <w:sz w:val="16"/>
              </w:rPr>
              <w:t>Diagnosed biomass COPD</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Decline is slower and more homogeneous than in tobacco COPD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DLCO (diffusing capacity)</w:t>
            </w:r>
          </w:p>
        </w:tc>
        <w:tc>
          <w:tcPr>
            <w:tcW w:type="dxa" w:w="892"/>
            <w:vAlign w:val="top"/>
          </w:tcPr>
          <w:p>
            <w:pPr>
              <w:spacing w:after="40" w:before="0" w:line="259" w:lineRule="auto"/>
            </w:pPr>
            <w:r>
              <w:rPr>
                <w:rFonts w:ascii="Calibri" w:hAnsi="Calibri"/>
                <w:b w:val="0"/>
                <w:i w:val="0"/>
                <w:color w:val="212121"/>
                <w:sz w:val="16"/>
              </w:rPr>
              <w:t>Gas transfer test</w:t>
            </w:r>
          </w:p>
        </w:tc>
        <w:tc>
          <w:tcPr>
            <w:tcW w:type="dxa" w:w="950"/>
            <w:vAlign w:val="top"/>
          </w:tcPr>
          <w:p>
            <w:pPr>
              <w:spacing w:after="40" w:before="0" w:line="259" w:lineRule="auto"/>
            </w:pPr>
            <w:r>
              <w:rPr>
                <w:rFonts w:ascii="Calibri" w:hAnsi="Calibri"/>
                <w:b w:val="0"/>
                <w:i w:val="0"/>
                <w:color w:val="212121"/>
                <w:sz w:val="16"/>
              </w:rPr>
              <w:t>≥ 80% predicted</w:t>
            </w:r>
          </w:p>
        </w:tc>
        <w:tc>
          <w:tcPr>
            <w:tcW w:type="dxa" w:w="950"/>
            <w:vAlign w:val="top"/>
          </w:tcPr>
          <w:p>
            <w:pPr>
              <w:spacing w:after="40" w:before="0" w:line="259" w:lineRule="auto"/>
            </w:pPr>
            <w:r>
              <w:rPr>
                <w:rFonts w:ascii="Calibri" w:hAnsi="Calibri"/>
                <w:b w:val="0"/>
                <w:i w:val="0"/>
                <w:color w:val="212121"/>
                <w:sz w:val="16"/>
              </w:rPr>
              <w:t>Normal or mildly reduced</w:t>
            </w:r>
          </w:p>
        </w:tc>
        <w:tc>
          <w:tcPr>
            <w:tcW w:type="dxa" w:w="1036"/>
            <w:vAlign w:val="top"/>
          </w:tcPr>
          <w:p>
            <w:pPr>
              <w:spacing w:after="40" w:before="0" w:line="259" w:lineRule="auto"/>
            </w:pPr>
            <w:r>
              <w:rPr>
                <w:rFonts w:ascii="Calibri" w:hAnsi="Calibri"/>
                <w:b w:val="0"/>
                <w:i w:val="0"/>
                <w:color w:val="212121"/>
                <w:sz w:val="16"/>
              </w:rPr>
              <w:t>Often preserved in biomass COPD (airway phenotype) unlike markedly reduced DLCO of tobacco emphysema</w:t>
            </w:r>
          </w:p>
        </w:tc>
        <w:tc>
          <w:tcPr>
            <w:tcW w:type="dxa" w:w="1036"/>
            <w:vAlign w:val="top"/>
          </w:tcPr>
          <w:p>
            <w:pPr>
              <w:spacing w:after="40" w:before="0" w:line="259" w:lineRule="auto"/>
            </w:pPr>
            <w:r>
              <w:rPr>
                <w:rFonts w:ascii="Calibri" w:hAnsi="Calibri"/>
                <w:b w:val="0"/>
                <w:i w:val="0"/>
                <w:color w:val="212121"/>
                <w:sz w:val="16"/>
              </w:rPr>
              <w:t>Non-smoker COPD, phenotype work-up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Phenotyping</w:t>
            </w:r>
          </w:p>
        </w:tc>
        <w:tc>
          <w:tcPr>
            <w:tcW w:type="dxa" w:w="720"/>
            <w:vAlign w:val="top"/>
          </w:tcPr>
          <w:p>
            <w:pPr>
              <w:spacing w:after="40" w:before="0" w:line="259" w:lineRule="auto"/>
            </w:pPr>
            <w:r>
              <w:rPr>
                <w:rFonts w:ascii="Calibri" w:hAnsi="Calibri"/>
                <w:b w:val="0"/>
                <w:i w:val="0"/>
                <w:color w:val="212121"/>
                <w:sz w:val="16"/>
              </w:rPr>
              <w:t>Helps distinguish biomass (airway) from tobacco (emphysema)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Bronchial thickening, hyperinflation, anthracotic streaks, cardiomegaly</w:t>
            </w:r>
          </w:p>
        </w:tc>
        <w:tc>
          <w:tcPr>
            <w:tcW w:type="dxa" w:w="892"/>
            <w:vAlign w:val="top"/>
          </w:tcPr>
          <w:p>
            <w:pPr>
              <w:spacing w:after="40" w:before="0" w:line="259" w:lineRule="auto"/>
            </w:pPr>
            <w:r>
              <w:rPr>
                <w:rFonts w:ascii="Calibri" w:hAnsi="Calibri"/>
                <w:b w:val="0"/>
                <w:i w:val="0"/>
                <w:color w:val="212121"/>
                <w:sz w:val="16"/>
              </w:rPr>
              <w:t>Chest radiograph (PA)</w:t>
            </w:r>
          </w:p>
        </w:tc>
        <w:tc>
          <w:tcPr>
            <w:tcW w:type="dxa" w:w="950"/>
            <w:vAlign w:val="top"/>
          </w:tcPr>
          <w:p>
            <w:pPr>
              <w:spacing w:after="40" w:before="0" w:line="259" w:lineRule="auto"/>
            </w:pPr>
            <w:r>
              <w:rPr>
                <w:rFonts w:ascii="Calibri" w:hAnsi="Calibri"/>
                <w:b w:val="0"/>
                <w:i w:val="0"/>
                <w:color w:val="212121"/>
                <w:sz w:val="16"/>
              </w:rPr>
              <w:t>Clear lung fields, normal cardiac silhouette</w:t>
            </w:r>
          </w:p>
        </w:tc>
        <w:tc>
          <w:tcPr>
            <w:tcW w:type="dxa" w:w="950"/>
            <w:vAlign w:val="top"/>
          </w:tcPr>
          <w:p>
            <w:pPr>
              <w:spacing w:after="40" w:before="0" w:line="259" w:lineRule="auto"/>
            </w:pPr>
            <w:r>
              <w:rPr>
                <w:rFonts w:ascii="Calibri" w:hAnsi="Calibri"/>
                <w:b w:val="0"/>
                <w:i w:val="0"/>
                <w:color w:val="212121"/>
                <w:sz w:val="16"/>
              </w:rPr>
              <w:t>Bronchial-wall thickening, hyperinflation, RV enlargement/cor pulmonale</w:t>
            </w:r>
          </w:p>
        </w:tc>
        <w:tc>
          <w:tcPr>
            <w:tcW w:type="dxa" w:w="1036"/>
            <w:vAlign w:val="top"/>
          </w:tcPr>
          <w:p>
            <w:pPr>
              <w:spacing w:after="40" w:before="0" w:line="259" w:lineRule="auto"/>
            </w:pPr>
            <w:r>
              <w:rPr>
                <w:rFonts w:ascii="Calibri" w:hAnsi="Calibri"/>
                <w:b w:val="0"/>
                <w:i w:val="0"/>
                <w:color w:val="212121"/>
                <w:sz w:val="16"/>
              </w:rPr>
              <w:t>Screens for obstruction, cor pulmonale and mimics</w:t>
            </w:r>
          </w:p>
        </w:tc>
        <w:tc>
          <w:tcPr>
            <w:tcW w:type="dxa" w:w="1036"/>
            <w:vAlign w:val="top"/>
          </w:tcPr>
          <w:p>
            <w:pPr>
              <w:spacing w:after="40" w:before="0" w:line="259" w:lineRule="auto"/>
            </w:pPr>
            <w:r>
              <w:rPr>
                <w:rFonts w:ascii="Calibri" w:hAnsi="Calibri"/>
                <w:b w:val="0"/>
                <w:i w:val="0"/>
                <w:color w:val="212121"/>
                <w:sz w:val="16"/>
              </w:rPr>
              <w:t>All symptomatic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First-line imaging</w:t>
            </w:r>
          </w:p>
        </w:tc>
        <w:tc>
          <w:tcPr>
            <w:tcW w:type="dxa" w:w="720"/>
            <w:vAlign w:val="top"/>
          </w:tcPr>
          <w:p>
            <w:pPr>
              <w:spacing w:after="40" w:before="0" w:line="259" w:lineRule="auto"/>
            </w:pPr>
            <w:r>
              <w:rPr>
                <w:rFonts w:ascii="Calibri" w:hAnsi="Calibri"/>
                <w:b w:val="0"/>
                <w:i w:val="0"/>
                <w:color w:val="212121"/>
                <w:sz w:val="16"/>
              </w:rPr>
              <w:t>Also screens for TB and mass lesions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Air-trapping, centrilobular nodules, bronchiectasis, anthracofibrosis</w:t>
            </w:r>
          </w:p>
        </w:tc>
        <w:tc>
          <w:tcPr>
            <w:tcW w:type="dxa" w:w="892"/>
            <w:vAlign w:val="top"/>
          </w:tcPr>
          <w:p>
            <w:pPr>
              <w:spacing w:after="40" w:before="0" w:line="259" w:lineRule="auto"/>
            </w:pPr>
            <w:r>
              <w:rPr>
                <w:rFonts w:ascii="Calibri" w:hAnsi="Calibri"/>
                <w:b w:val="0"/>
                <w:i w:val="0"/>
                <w:color w:val="212121"/>
                <w:sz w:val="16"/>
              </w:rPr>
              <w:t>HRCT thorax</w:t>
            </w:r>
          </w:p>
        </w:tc>
        <w:tc>
          <w:tcPr>
            <w:tcW w:type="dxa" w:w="950"/>
            <w:vAlign w:val="top"/>
          </w:tcPr>
          <w:p>
            <w:pPr>
              <w:spacing w:after="40" w:before="0" w:line="259" w:lineRule="auto"/>
            </w:pPr>
            <w:r>
              <w:rPr>
                <w:rFonts w:ascii="Calibri" w:hAnsi="Calibri"/>
                <w:b w:val="0"/>
                <w:i w:val="0"/>
                <w:color w:val="212121"/>
                <w:sz w:val="16"/>
              </w:rPr>
              <w:t>Normal parenchyma &amp; airways</w:t>
            </w:r>
          </w:p>
        </w:tc>
        <w:tc>
          <w:tcPr>
            <w:tcW w:type="dxa" w:w="950"/>
            <w:vAlign w:val="top"/>
          </w:tcPr>
          <w:p>
            <w:pPr>
              <w:spacing w:after="40" w:before="0" w:line="259" w:lineRule="auto"/>
            </w:pPr>
            <w:r>
              <w:rPr>
                <w:rFonts w:ascii="Calibri" w:hAnsi="Calibri"/>
                <w:b w:val="0"/>
                <w:i w:val="0"/>
                <w:color w:val="212121"/>
                <w:sz w:val="16"/>
              </w:rPr>
              <w:t>Mosaic attenuation/air-trapping, centrilobular nodules, bronchial-wall thickening, bronchiectasis, anthracofibrosis; scant emphysema</w:t>
            </w:r>
          </w:p>
        </w:tc>
        <w:tc>
          <w:tcPr>
            <w:tcW w:type="dxa" w:w="1036"/>
            <w:vAlign w:val="top"/>
          </w:tcPr>
          <w:p>
            <w:pPr>
              <w:spacing w:after="40" w:before="0" w:line="259" w:lineRule="auto"/>
            </w:pPr>
            <w:r>
              <w:rPr>
                <w:rFonts w:ascii="Calibri" w:hAnsi="Calibri"/>
                <w:b w:val="0"/>
                <w:i w:val="0"/>
                <w:color w:val="212121"/>
                <w:sz w:val="16"/>
              </w:rPr>
              <w:t>Characterises the airway-predominant biomass phenotype</w:t>
            </w:r>
          </w:p>
        </w:tc>
        <w:tc>
          <w:tcPr>
            <w:tcW w:type="dxa" w:w="1036"/>
            <w:vAlign w:val="top"/>
          </w:tcPr>
          <w:p>
            <w:pPr>
              <w:spacing w:after="40" w:before="0" w:line="259" w:lineRule="auto"/>
            </w:pPr>
            <w:r>
              <w:rPr>
                <w:rFonts w:ascii="Calibri" w:hAnsi="Calibri"/>
                <w:b w:val="0"/>
                <w:i w:val="0"/>
                <w:color w:val="212121"/>
                <w:sz w:val="16"/>
              </w:rPr>
              <w:t>Diagnostic uncertainty, suspected bronchiectasis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Emphysema is typically mild/absent versus tobacco COPD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gas / oximetry</w:t>
            </w:r>
          </w:p>
        </w:tc>
        <w:tc>
          <w:tcPr>
            <w:tcW w:type="dxa" w:w="1036"/>
            <w:vAlign w:val="top"/>
          </w:tcPr>
          <w:p>
            <w:pPr>
              <w:spacing w:after="40" w:before="0" w:line="259" w:lineRule="auto"/>
            </w:pPr>
            <w:r>
              <w:rPr>
                <w:rFonts w:ascii="Calibri" w:hAnsi="Calibri"/>
                <w:b w:val="0"/>
                <w:i w:val="0"/>
                <w:color w:val="212121"/>
                <w:sz w:val="16"/>
              </w:rPr>
              <w:t>SpO2 / PaO2 / PaCO2</w:t>
            </w:r>
          </w:p>
        </w:tc>
        <w:tc>
          <w:tcPr>
            <w:tcW w:type="dxa" w:w="892"/>
            <w:vAlign w:val="top"/>
          </w:tcPr>
          <w:p>
            <w:pPr>
              <w:spacing w:after="40" w:before="0" w:line="259" w:lineRule="auto"/>
            </w:pPr>
            <w:r>
              <w:rPr>
                <w:rFonts w:ascii="Calibri" w:hAnsi="Calibri"/>
                <w:b w:val="0"/>
                <w:i w:val="0"/>
                <w:color w:val="212121"/>
                <w:sz w:val="16"/>
              </w:rPr>
              <w:t>Pulse oximetry &amp; ABG</w:t>
            </w:r>
          </w:p>
        </w:tc>
        <w:tc>
          <w:tcPr>
            <w:tcW w:type="dxa" w:w="950"/>
            <w:vAlign w:val="top"/>
          </w:tcPr>
          <w:p>
            <w:pPr>
              <w:spacing w:after="40" w:before="0" w:line="259" w:lineRule="auto"/>
            </w:pPr>
            <w:r>
              <w:rPr>
                <w:rFonts w:ascii="Calibri" w:hAnsi="Calibri"/>
                <w:b w:val="0"/>
                <w:i w:val="0"/>
                <w:color w:val="212121"/>
                <w:sz w:val="16"/>
              </w:rPr>
              <w:t>SpO2 ≥ 94%, PaO2 ≥ 80 mmHg, PaCO2 35–45 mmHg</w:t>
            </w:r>
          </w:p>
        </w:tc>
        <w:tc>
          <w:tcPr>
            <w:tcW w:type="dxa" w:w="950"/>
            <w:vAlign w:val="top"/>
          </w:tcPr>
          <w:p>
            <w:pPr>
              <w:spacing w:after="40" w:before="0" w:line="259" w:lineRule="auto"/>
            </w:pPr>
            <w:r>
              <w:rPr>
                <w:rFonts w:ascii="Calibri" w:hAnsi="Calibri"/>
                <w:b w:val="0"/>
                <w:i w:val="0"/>
                <w:color w:val="212121"/>
                <w:sz w:val="16"/>
              </w:rPr>
              <w:t>SpO2 &lt; 90%, hypoxaemia ± hypercapnia</w:t>
            </w:r>
          </w:p>
        </w:tc>
        <w:tc>
          <w:tcPr>
            <w:tcW w:type="dxa" w:w="1036"/>
            <w:vAlign w:val="top"/>
          </w:tcPr>
          <w:p>
            <w:pPr>
              <w:spacing w:after="40" w:before="0" w:line="259" w:lineRule="auto"/>
            </w:pPr>
            <w:r>
              <w:rPr>
                <w:rFonts w:ascii="Calibri" w:hAnsi="Calibri"/>
                <w:b w:val="0"/>
                <w:i w:val="0"/>
                <w:color w:val="212121"/>
                <w:sz w:val="16"/>
              </w:rPr>
              <w:t>Detects chronic respiratory failure and need for oxygen</w:t>
            </w:r>
          </w:p>
        </w:tc>
        <w:tc>
          <w:tcPr>
            <w:tcW w:type="dxa" w:w="1036"/>
            <w:vAlign w:val="top"/>
          </w:tcPr>
          <w:p>
            <w:pPr>
              <w:spacing w:after="40" w:before="0" w:line="259" w:lineRule="auto"/>
            </w:pPr>
            <w:r>
              <w:rPr>
                <w:rFonts w:ascii="Calibri" w:hAnsi="Calibri"/>
                <w:b w:val="0"/>
                <w:i w:val="0"/>
                <w:color w:val="212121"/>
                <w:sz w:val="16"/>
              </w:rPr>
              <w:t>Advanced disease, cor pulmonale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Severity / oxygen assessment</w:t>
            </w:r>
          </w:p>
        </w:tc>
        <w:tc>
          <w:tcPr>
            <w:tcW w:type="dxa" w:w="720"/>
            <w:vAlign w:val="top"/>
          </w:tcPr>
          <w:p>
            <w:pPr>
              <w:spacing w:after="40" w:before="0" w:line="259" w:lineRule="auto"/>
            </w:pPr>
            <w:r>
              <w:rPr>
                <w:rFonts w:ascii="Calibri" w:hAnsi="Calibri"/>
                <w:b w:val="0"/>
                <w:i w:val="0"/>
                <w:color w:val="212121"/>
                <w:sz w:val="16"/>
              </w:rPr>
              <w:t>Type II failure indicates advanced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 haematocrit / eosinophils</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Normal Hb/Hct; eosinophils &lt; 300/µL</w:t>
            </w:r>
          </w:p>
        </w:tc>
        <w:tc>
          <w:tcPr>
            <w:tcW w:type="dxa" w:w="950"/>
            <w:vAlign w:val="top"/>
          </w:tcPr>
          <w:p>
            <w:pPr>
              <w:spacing w:after="40" w:before="0" w:line="259" w:lineRule="auto"/>
            </w:pPr>
            <w:r>
              <w:rPr>
                <w:rFonts w:ascii="Calibri" w:hAnsi="Calibri"/>
                <w:b w:val="0"/>
                <w:i w:val="0"/>
                <w:color w:val="212121"/>
                <w:sz w:val="16"/>
              </w:rPr>
              <w:t>Secondary polycythaemia (chronic hypoxia); raised eosinophils (ACO)</w:t>
            </w:r>
          </w:p>
        </w:tc>
        <w:tc>
          <w:tcPr>
            <w:tcW w:type="dxa" w:w="1036"/>
            <w:vAlign w:val="top"/>
          </w:tcPr>
          <w:p>
            <w:pPr>
              <w:spacing w:after="40" w:before="0" w:line="259" w:lineRule="auto"/>
            </w:pPr>
            <w:r>
              <w:rPr>
                <w:rFonts w:ascii="Calibri" w:hAnsi="Calibri"/>
                <w:b w:val="0"/>
                <w:i w:val="0"/>
                <w:color w:val="212121"/>
                <w:sz w:val="16"/>
              </w:rPr>
              <w:t>Reflects chronic hypoxaemia and overlap phenotypes</w:t>
            </w:r>
          </w:p>
        </w:tc>
        <w:tc>
          <w:tcPr>
            <w:tcW w:type="dxa" w:w="1036"/>
            <w:vAlign w:val="top"/>
          </w:tcPr>
          <w:p>
            <w:pPr>
              <w:spacing w:after="40" w:before="0" w:line="259" w:lineRule="auto"/>
            </w:pPr>
            <w:r>
              <w:rPr>
                <w:rFonts w:ascii="Calibri" w:hAnsi="Calibri"/>
                <w:b w:val="0"/>
                <w:i w:val="0"/>
                <w:color w:val="212121"/>
                <w:sz w:val="16"/>
              </w:rPr>
              <w:t>Chronic hypoxaemic, ACO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eosinophil-directed therapy in overlap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Acid-fast bacilli / MTB DNA</w:t>
            </w:r>
          </w:p>
        </w:tc>
        <w:tc>
          <w:tcPr>
            <w:tcW w:type="dxa" w:w="892"/>
            <w:vAlign w:val="top"/>
          </w:tcPr>
          <w:p>
            <w:pPr>
              <w:spacing w:after="40" w:before="0" w:line="259" w:lineRule="auto"/>
            </w:pPr>
            <w:r>
              <w:rPr>
                <w:rFonts w:ascii="Calibri" w:hAnsi="Calibri"/>
                <w:b w:val="0"/>
                <w:i w:val="0"/>
                <w:color w:val="212121"/>
                <w:sz w:val="16"/>
              </w:rPr>
              <w:t>Sputum AFB smear &amp; GeneXpert MTB/RIF</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MTB detected / AFB positive</w:t>
            </w:r>
          </w:p>
        </w:tc>
        <w:tc>
          <w:tcPr>
            <w:tcW w:type="dxa" w:w="1036"/>
            <w:vAlign w:val="top"/>
          </w:tcPr>
          <w:p>
            <w:pPr>
              <w:spacing w:after="40" w:before="0" w:line="259" w:lineRule="auto"/>
            </w:pPr>
            <w:r>
              <w:rPr>
                <w:rFonts w:ascii="Calibri" w:hAnsi="Calibri"/>
                <w:b w:val="0"/>
                <w:i w:val="0"/>
                <w:color w:val="212121"/>
                <w:sz w:val="16"/>
              </w:rPr>
              <w:t>Excludes or confirms coexisting pulmonary tuberculosis</w:t>
            </w:r>
          </w:p>
        </w:tc>
        <w:tc>
          <w:tcPr>
            <w:tcW w:type="dxa" w:w="1036"/>
            <w:vAlign w:val="top"/>
          </w:tcPr>
          <w:p>
            <w:pPr>
              <w:spacing w:after="40" w:before="0" w:line="259" w:lineRule="auto"/>
            </w:pPr>
            <w:r>
              <w:rPr>
                <w:rFonts w:ascii="Calibri" w:hAnsi="Calibri"/>
                <w:b w:val="0"/>
                <w:i w:val="0"/>
                <w:color w:val="212121"/>
                <w:sz w:val="16"/>
              </w:rPr>
              <w:t>Any chronic cough in India</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Essential in India</w:t>
            </w:r>
          </w:p>
        </w:tc>
        <w:tc>
          <w:tcPr>
            <w:tcW w:type="dxa" w:w="720"/>
            <w:vAlign w:val="top"/>
          </w:tcPr>
          <w:p>
            <w:pPr>
              <w:spacing w:after="40" w:before="0" w:line="259" w:lineRule="auto"/>
            </w:pPr>
            <w:r>
              <w:rPr>
                <w:rFonts w:ascii="Calibri" w:hAnsi="Calibri"/>
                <w:b w:val="0"/>
                <w:i w:val="0"/>
                <w:color w:val="212121"/>
                <w:sz w:val="16"/>
              </w:rPr>
              <w:t>High pre-test probability; TB and biomass often coexist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RV size, PASP; P pulmonale / RVH</w:t>
            </w:r>
          </w:p>
        </w:tc>
        <w:tc>
          <w:tcPr>
            <w:tcW w:type="dxa" w:w="892"/>
            <w:vAlign w:val="top"/>
          </w:tcPr>
          <w:p>
            <w:pPr>
              <w:spacing w:after="40" w:before="0" w:line="259" w:lineRule="auto"/>
            </w:pPr>
            <w:r>
              <w:rPr>
                <w:rFonts w:ascii="Calibri" w:hAnsi="Calibri"/>
                <w:b w:val="0"/>
                <w:i w:val="0"/>
                <w:color w:val="212121"/>
                <w:sz w:val="16"/>
              </w:rPr>
              <w:t>2D echocardiography &amp; ECG</w:t>
            </w:r>
          </w:p>
        </w:tc>
        <w:tc>
          <w:tcPr>
            <w:tcW w:type="dxa" w:w="950"/>
            <w:vAlign w:val="top"/>
          </w:tcPr>
          <w:p>
            <w:pPr>
              <w:spacing w:after="40" w:before="0" w:line="259" w:lineRule="auto"/>
            </w:pPr>
            <w:r>
              <w:rPr>
                <w:rFonts w:ascii="Calibri" w:hAnsi="Calibri"/>
                <w:b w:val="0"/>
                <w:i w:val="0"/>
                <w:color w:val="212121"/>
                <w:sz w:val="16"/>
              </w:rPr>
              <w:t>Normal RV, PASP &lt; 35 mmHg, no RVH</w:t>
            </w:r>
          </w:p>
        </w:tc>
        <w:tc>
          <w:tcPr>
            <w:tcW w:type="dxa" w:w="950"/>
            <w:vAlign w:val="top"/>
          </w:tcPr>
          <w:p>
            <w:pPr>
              <w:spacing w:after="40" w:before="0" w:line="259" w:lineRule="auto"/>
            </w:pPr>
            <w:r>
              <w:rPr>
                <w:rFonts w:ascii="Calibri" w:hAnsi="Calibri"/>
                <w:b w:val="0"/>
                <w:i w:val="0"/>
                <w:color w:val="212121"/>
                <w:sz w:val="16"/>
              </w:rPr>
              <w:t>RV hypertrophy/dilation, PASP &gt; 35 mmHg, P pulmonale/RVH</w:t>
            </w:r>
          </w:p>
        </w:tc>
        <w:tc>
          <w:tcPr>
            <w:tcW w:type="dxa" w:w="1036"/>
            <w:vAlign w:val="top"/>
          </w:tcPr>
          <w:p>
            <w:pPr>
              <w:spacing w:after="40" w:before="0" w:line="259" w:lineRule="auto"/>
            </w:pPr>
            <w:r>
              <w:rPr>
                <w:rFonts w:ascii="Calibri" w:hAnsi="Calibri"/>
                <w:b w:val="0"/>
                <w:i w:val="0"/>
                <w:color w:val="212121"/>
                <w:sz w:val="16"/>
              </w:rPr>
              <w:t>Detects pulmonary hypertension and cor pulmonale</w:t>
            </w:r>
          </w:p>
        </w:tc>
        <w:tc>
          <w:tcPr>
            <w:tcW w:type="dxa" w:w="1036"/>
            <w:vAlign w:val="top"/>
          </w:tcPr>
          <w:p>
            <w:pPr>
              <w:spacing w:after="40" w:before="0" w:line="259" w:lineRule="auto"/>
            </w:pPr>
            <w:r>
              <w:rPr>
                <w:rFonts w:ascii="Calibri" w:hAnsi="Calibri"/>
                <w:b w:val="0"/>
                <w:i w:val="0"/>
                <w:color w:val="212121"/>
                <w:sz w:val="16"/>
              </w:rPr>
              <w:t>Long-standing/advanced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Complication surveillance</w:t>
            </w:r>
          </w:p>
        </w:tc>
        <w:tc>
          <w:tcPr>
            <w:tcW w:type="dxa" w:w="720"/>
            <w:vAlign w:val="top"/>
          </w:tcPr>
          <w:p>
            <w:pPr>
              <w:spacing w:after="40" w:before="0" w:line="259" w:lineRule="auto"/>
            </w:pPr>
            <w:r>
              <w:rPr>
                <w:rFonts w:ascii="Calibri" w:hAnsi="Calibri"/>
                <w:b w:val="0"/>
                <w:i w:val="0"/>
                <w:color w:val="212121"/>
                <w:sz w:val="16"/>
              </w:rPr>
              <w:t>Pulmonary hypertension appears earlier than in tobacco COPD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Fuel &amp; exposure history</w:t>
            </w:r>
          </w:p>
        </w:tc>
        <w:tc>
          <w:tcPr>
            <w:tcW w:type="dxa" w:w="979"/>
            <w:vAlign w:val="top"/>
          </w:tcPr>
          <w:p>
            <w:pPr>
              <w:spacing w:after="40" w:before="0" w:line="259" w:lineRule="auto"/>
            </w:pPr>
            <w:r>
              <w:rPr>
                <w:rFonts w:ascii="Calibri" w:hAnsi="Calibri"/>
                <w:b w:val="0"/>
                <w:i w:val="0"/>
                <w:color w:val="212121"/>
                <w:sz w:val="16"/>
              </w:rPr>
              <w:t>Cooking-fuel type, years, hours/day (hour-years)</w:t>
            </w:r>
          </w:p>
        </w:tc>
        <w:tc>
          <w:tcPr>
            <w:tcW w:type="dxa" w:w="950"/>
            <w:vAlign w:val="top"/>
          </w:tcPr>
          <w:p>
            <w:pPr>
              <w:spacing w:after="40" w:before="0" w:line="259" w:lineRule="auto"/>
            </w:pPr>
            <w:r>
              <w:rPr>
                <w:rFonts w:ascii="Calibri" w:hAnsi="Calibri"/>
                <w:b w:val="0"/>
                <w:i w:val="0"/>
                <w:color w:val="212121"/>
                <w:sz w:val="16"/>
              </w:rPr>
              <w:t>Clean fuel, negligible exposure</w:t>
            </w:r>
          </w:p>
        </w:tc>
        <w:tc>
          <w:tcPr>
            <w:tcW w:type="dxa" w:w="950"/>
            <w:vAlign w:val="top"/>
          </w:tcPr>
          <w:p>
            <w:pPr>
              <w:spacing w:after="40" w:before="0" w:line="259" w:lineRule="auto"/>
            </w:pPr>
            <w:r>
              <w:rPr>
                <w:rFonts w:ascii="Calibri" w:hAnsi="Calibri"/>
                <w:b w:val="0"/>
                <w:i w:val="0"/>
                <w:color w:val="212121"/>
                <w:sz w:val="16"/>
              </w:rPr>
              <w:t>Solid biomass over many years / high hour-years</w:t>
            </w:r>
          </w:p>
        </w:tc>
        <w:tc>
          <w:tcPr>
            <w:tcW w:type="dxa" w:w="1036"/>
            <w:vAlign w:val="top"/>
          </w:tcPr>
          <w:p>
            <w:pPr>
              <w:spacing w:after="40" w:before="0" w:line="259" w:lineRule="auto"/>
            </w:pPr>
            <w:r>
              <w:rPr>
                <w:rFonts w:ascii="Calibri" w:hAnsi="Calibri"/>
                <w:b w:val="0"/>
                <w:i w:val="0"/>
                <w:color w:val="212121"/>
                <w:sz w:val="16"/>
              </w:rPr>
              <w:t>Establishes the causal exposure</w:t>
            </w:r>
          </w:p>
        </w:tc>
        <w:tc>
          <w:tcPr>
            <w:tcW w:type="dxa" w:w="1036"/>
            <w:vAlign w:val="top"/>
          </w:tcPr>
          <w:p>
            <w:pPr>
              <w:spacing w:after="40" w:before="0" w:line="259" w:lineRule="auto"/>
            </w:pPr>
            <w:r>
              <w:rPr>
                <w:rFonts w:ascii="Calibri" w:hAnsi="Calibri"/>
                <w:b w:val="0"/>
                <w:i w:val="0"/>
                <w:color w:val="212121"/>
                <w:sz w:val="16"/>
              </w:rPr>
              <w:t>Rural women, tribal households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Ask about chimney, kitchen location and fuel stacking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Chronic bronchitis criteria</w:t>
            </w:r>
          </w:p>
        </w:tc>
        <w:tc>
          <w:tcPr>
            <w:tcW w:type="dxa" w:w="979"/>
            <w:vAlign w:val="top"/>
          </w:tcPr>
          <w:p>
            <w:pPr>
              <w:spacing w:after="40" w:before="0" w:line="259" w:lineRule="auto"/>
            </w:pPr>
            <w:r>
              <w:rPr>
                <w:rFonts w:ascii="Calibri" w:hAnsi="Calibri"/>
                <w:b w:val="0"/>
                <w:i w:val="0"/>
                <w:color w:val="212121"/>
                <w:sz w:val="16"/>
              </w:rPr>
              <w:t>Productive cough ≥ 3 months/yr × 2 yrs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Defines chronic bronchitis component</w:t>
            </w:r>
          </w:p>
        </w:tc>
        <w:tc>
          <w:tcPr>
            <w:tcW w:type="dxa" w:w="1036"/>
            <w:vAlign w:val="top"/>
          </w:tcPr>
          <w:p>
            <w:pPr>
              <w:spacing w:after="40" w:before="0" w:line="259" w:lineRule="auto"/>
            </w:pPr>
            <w:r>
              <w:rPr>
                <w:rFonts w:ascii="Calibri" w:hAnsi="Calibri"/>
                <w:b w:val="0"/>
                <w:i w:val="0"/>
                <w:color w:val="212121"/>
                <w:sz w:val="16"/>
              </w:rPr>
              <w:t>Symptomatic exposed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the earliest clinical feature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Smoking status</w:t>
            </w:r>
          </w:p>
        </w:tc>
        <w:tc>
          <w:tcPr>
            <w:tcW w:type="dxa" w:w="979"/>
            <w:vAlign w:val="top"/>
          </w:tcPr>
          <w:p>
            <w:pPr>
              <w:spacing w:after="40" w:before="0" w:line="259" w:lineRule="auto"/>
            </w:pPr>
            <w:r>
              <w:rPr>
                <w:rFonts w:ascii="Calibri" w:hAnsi="Calibri"/>
                <w:b w:val="0"/>
                <w:i w:val="0"/>
                <w:color w:val="212121"/>
                <w:sz w:val="16"/>
              </w:rPr>
              <w:t>Bidi/cigarette/hookah &amp; second-hand smoke</w:t>
            </w:r>
          </w:p>
        </w:tc>
        <w:tc>
          <w:tcPr>
            <w:tcW w:type="dxa" w:w="950"/>
            <w:vAlign w:val="top"/>
          </w:tcPr>
          <w:p>
            <w:pPr>
              <w:spacing w:after="40" w:before="0" w:line="259" w:lineRule="auto"/>
            </w:pPr>
            <w:r>
              <w:rPr>
                <w:rFonts w:ascii="Calibri" w:hAnsi="Calibri"/>
                <w:b w:val="0"/>
                <w:i w:val="0"/>
                <w:color w:val="212121"/>
                <w:sz w:val="16"/>
              </w:rPr>
              <w:t>Never-smoker, no SHS</w:t>
            </w:r>
          </w:p>
        </w:tc>
        <w:tc>
          <w:tcPr>
            <w:tcW w:type="dxa" w:w="950"/>
            <w:vAlign w:val="top"/>
          </w:tcPr>
          <w:p>
            <w:pPr>
              <w:spacing w:after="40" w:before="0" w:line="259" w:lineRule="auto"/>
            </w:pPr>
            <w:r>
              <w:rPr>
                <w:rFonts w:ascii="Calibri" w:hAnsi="Calibri"/>
                <w:b w:val="0"/>
                <w:i w:val="0"/>
                <w:color w:val="212121"/>
                <w:sz w:val="16"/>
              </w:rPr>
              <w:t>Current/ex-smoker or SHS exposure</w:t>
            </w:r>
          </w:p>
        </w:tc>
        <w:tc>
          <w:tcPr>
            <w:tcW w:type="dxa" w:w="1036"/>
            <w:vAlign w:val="top"/>
          </w:tcPr>
          <w:p>
            <w:pPr>
              <w:spacing w:after="40" w:before="0" w:line="259" w:lineRule="auto"/>
            </w:pPr>
            <w:r>
              <w:rPr>
                <w:rFonts w:ascii="Calibri" w:hAnsi="Calibri"/>
                <w:b w:val="0"/>
                <w:i w:val="0"/>
                <w:color w:val="212121"/>
                <w:sz w:val="16"/>
              </w:rPr>
              <w:t>Distinguishes pure biomass from dual/additive etiology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Etiological</w:t>
            </w:r>
          </w:p>
        </w:tc>
        <w:tc>
          <w:tcPr>
            <w:tcW w:type="dxa" w:w="720"/>
            <w:vAlign w:val="top"/>
          </w:tcPr>
          <w:p>
            <w:pPr>
              <w:spacing w:after="40" w:before="0" w:line="259" w:lineRule="auto"/>
            </w:pPr>
            <w:r>
              <w:rPr>
                <w:rFonts w:ascii="Calibri" w:hAnsi="Calibri"/>
                <w:b w:val="0"/>
                <w:i w:val="0"/>
                <w:color w:val="212121"/>
                <w:sz w:val="16"/>
              </w:rPr>
              <w:t>Never-smoker status points to biomass as primary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Prior TB / recurrent LRTI</w:t>
            </w:r>
          </w:p>
        </w:tc>
        <w:tc>
          <w:tcPr>
            <w:tcW w:type="dxa" w:w="979"/>
            <w:vAlign w:val="top"/>
          </w:tcPr>
          <w:p>
            <w:pPr>
              <w:spacing w:after="40" w:before="0" w:line="259" w:lineRule="auto"/>
            </w:pPr>
            <w:r>
              <w:rPr>
                <w:rFonts w:ascii="Calibri" w:hAnsi="Calibri"/>
                <w:b w:val="0"/>
                <w:i w:val="0"/>
                <w:color w:val="212121"/>
                <w:sz w:val="16"/>
              </w:rPr>
              <w:t>Past tuberculosis, childhood pneumonia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Prior TB or recurrent LRTI</w:t>
            </w:r>
          </w:p>
        </w:tc>
        <w:tc>
          <w:tcPr>
            <w:tcW w:type="dxa" w:w="1036"/>
            <w:vAlign w:val="top"/>
          </w:tcPr>
          <w:p>
            <w:pPr>
              <w:spacing w:after="40" w:before="0" w:line="259" w:lineRule="auto"/>
            </w:pPr>
            <w:r>
              <w:rPr>
                <w:rFonts w:ascii="Calibri" w:hAnsi="Calibri"/>
                <w:b w:val="0"/>
                <w:i w:val="0"/>
                <w:color w:val="212121"/>
                <w:sz w:val="16"/>
              </w:rPr>
              <w:t>Identifies compounding airway damage</w:t>
            </w:r>
          </w:p>
        </w:tc>
        <w:tc>
          <w:tcPr>
            <w:tcW w:type="dxa" w:w="1036"/>
            <w:vAlign w:val="top"/>
          </w:tcPr>
          <w:p>
            <w:pPr>
              <w:spacing w:after="40" w:before="0" w:line="259" w:lineRule="auto"/>
            </w:pPr>
            <w:r>
              <w:rPr>
                <w:rFonts w:ascii="Calibri" w:hAnsi="Calibri"/>
                <w:b w:val="0"/>
                <w:i w:val="0"/>
                <w:color w:val="212121"/>
                <w:sz w:val="16"/>
              </w:rPr>
              <w:t>Endemic/high-burden settings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Post-TB obstruction can mimic/aggravate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Respiratory examination</w:t>
            </w:r>
          </w:p>
        </w:tc>
        <w:tc>
          <w:tcPr>
            <w:tcW w:type="dxa" w:w="979"/>
            <w:vAlign w:val="top"/>
          </w:tcPr>
          <w:p>
            <w:pPr>
              <w:spacing w:after="40" w:before="0" w:line="259" w:lineRule="auto"/>
            </w:pPr>
            <w:r>
              <w:rPr>
                <w:rFonts w:ascii="Calibri" w:hAnsi="Calibri"/>
                <w:b w:val="0"/>
                <w:i w:val="0"/>
                <w:color w:val="212121"/>
                <w:sz w:val="16"/>
              </w:rPr>
              <w:t>Auscultation &amp; work of breathing</w:t>
            </w:r>
          </w:p>
        </w:tc>
        <w:tc>
          <w:tcPr>
            <w:tcW w:type="dxa" w:w="950"/>
            <w:vAlign w:val="top"/>
          </w:tcPr>
          <w:p>
            <w:pPr>
              <w:spacing w:after="40" w:before="0" w:line="259" w:lineRule="auto"/>
            </w:pPr>
            <w:r>
              <w:rPr>
                <w:rFonts w:ascii="Calibri" w:hAnsi="Calibri"/>
                <w:b w:val="0"/>
                <w:i w:val="0"/>
                <w:color w:val="212121"/>
                <w:sz w:val="16"/>
              </w:rPr>
              <w:t>Vesicular breath sounds, normal expiration</w:t>
            </w:r>
          </w:p>
        </w:tc>
        <w:tc>
          <w:tcPr>
            <w:tcW w:type="dxa" w:w="950"/>
            <w:vAlign w:val="top"/>
          </w:tcPr>
          <w:p>
            <w:pPr>
              <w:spacing w:after="40" w:before="0" w:line="259" w:lineRule="auto"/>
            </w:pPr>
            <w:r>
              <w:rPr>
                <w:rFonts w:ascii="Calibri" w:hAnsi="Calibri"/>
                <w:b w:val="0"/>
                <w:i w:val="0"/>
                <w:color w:val="212121"/>
                <w:sz w:val="16"/>
              </w:rPr>
              <w:t>Rhonchi/wheeze, coarse crackles, prolonged expiration, accessory-muscle use</w:t>
            </w:r>
          </w:p>
        </w:tc>
        <w:tc>
          <w:tcPr>
            <w:tcW w:type="dxa" w:w="1036"/>
            <w:vAlign w:val="top"/>
          </w:tcPr>
          <w:p>
            <w:pPr>
              <w:spacing w:after="40" w:before="0" w:line="259" w:lineRule="auto"/>
            </w:pPr>
            <w:r>
              <w:rPr>
                <w:rFonts w:ascii="Calibri" w:hAnsi="Calibri"/>
                <w:b w:val="0"/>
                <w:i w:val="0"/>
                <w:color w:val="212121"/>
                <w:sz w:val="16"/>
              </w:rPr>
              <w:t>Signs of airflow obstruction and bronchitis</w:t>
            </w:r>
          </w:p>
        </w:tc>
        <w:tc>
          <w:tcPr>
            <w:tcW w:type="dxa" w:w="1036"/>
            <w:vAlign w:val="top"/>
          </w:tcPr>
          <w:p>
            <w:pPr>
              <w:spacing w:after="40" w:before="0" w:line="259" w:lineRule="auto"/>
            </w:pPr>
            <w:r>
              <w:rPr>
                <w:rFonts w:ascii="Calibri" w:hAnsi="Calibri"/>
                <w:b w:val="0"/>
                <w:i w:val="0"/>
                <w:color w:val="212121"/>
                <w:sz w:val="16"/>
              </w:rPr>
              <w:t>Symptomatic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 diagnosis</w:t>
            </w:r>
          </w:p>
        </w:tc>
        <w:tc>
          <w:tcPr>
            <w:tcW w:type="dxa" w:w="720"/>
            <w:vAlign w:val="top"/>
          </w:tcPr>
          <w:p>
            <w:pPr>
              <w:spacing w:after="40" w:before="0" w:line="259" w:lineRule="auto"/>
            </w:pPr>
            <w:r>
              <w:rPr>
                <w:rFonts w:ascii="Calibri" w:hAnsi="Calibri"/>
                <w:b w:val="0"/>
                <w:i w:val="0"/>
                <w:color w:val="212121"/>
                <w:sz w:val="16"/>
              </w:rPr>
              <w:t>Crackles/clubbing suggest bronchiectasis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Cor pulmonale assessment</w:t>
            </w:r>
          </w:p>
        </w:tc>
        <w:tc>
          <w:tcPr>
            <w:tcW w:type="dxa" w:w="979"/>
            <w:vAlign w:val="top"/>
          </w:tcPr>
          <w:p>
            <w:pPr>
              <w:spacing w:after="40" w:before="0" w:line="259" w:lineRule="auto"/>
            </w:pPr>
            <w:r>
              <w:rPr>
                <w:rFonts w:ascii="Calibri" w:hAnsi="Calibri"/>
                <w:b w:val="0"/>
                <w:i w:val="0"/>
                <w:color w:val="212121"/>
                <w:sz w:val="16"/>
              </w:rPr>
              <w:t>JVP, pedal oedema, loud P2, parasternal heave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(right heart failure)</w:t>
            </w:r>
          </w:p>
        </w:tc>
        <w:tc>
          <w:tcPr>
            <w:tcW w:type="dxa" w:w="1036"/>
            <w:vAlign w:val="top"/>
          </w:tcPr>
          <w:p>
            <w:pPr>
              <w:spacing w:after="40" w:before="0" w:line="259" w:lineRule="auto"/>
            </w:pPr>
            <w:r>
              <w:rPr>
                <w:rFonts w:ascii="Calibri" w:hAnsi="Calibri"/>
                <w:b w:val="0"/>
                <w:i w:val="0"/>
                <w:color w:val="212121"/>
                <w:sz w:val="16"/>
              </w:rPr>
              <w:t>Indicates pulmonary hypertension / cor pulmonale</w:t>
            </w:r>
          </w:p>
        </w:tc>
        <w:tc>
          <w:tcPr>
            <w:tcW w:type="dxa" w:w="1036"/>
            <w:vAlign w:val="top"/>
          </w:tcPr>
          <w:p>
            <w:pPr>
              <w:spacing w:after="40" w:before="0" w:line="259" w:lineRule="auto"/>
            </w:pPr>
            <w:r>
              <w:rPr>
                <w:rFonts w:ascii="Calibri" w:hAnsi="Calibri"/>
                <w:b w:val="0"/>
                <w:i w:val="0"/>
                <w:color w:val="212121"/>
                <w:sz w:val="16"/>
              </w:rPr>
              <w:t>Advanced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Complication detection</w:t>
            </w:r>
          </w:p>
        </w:tc>
        <w:tc>
          <w:tcPr>
            <w:tcW w:type="dxa" w:w="720"/>
            <w:vAlign w:val="top"/>
          </w:tcPr>
          <w:p>
            <w:pPr>
              <w:spacing w:after="40" w:before="0" w:line="259" w:lineRule="auto"/>
            </w:pPr>
            <w:r>
              <w:rPr>
                <w:rFonts w:ascii="Calibri" w:hAnsi="Calibri"/>
                <w:b w:val="0"/>
                <w:i w:val="0"/>
                <w:color w:val="212121"/>
                <w:sz w:val="16"/>
              </w:rPr>
              <w:t>Correlate with echo/ECG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Hypoxia &amp; nutrition signs</w:t>
            </w:r>
          </w:p>
        </w:tc>
        <w:tc>
          <w:tcPr>
            <w:tcW w:type="dxa" w:w="979"/>
            <w:vAlign w:val="top"/>
          </w:tcPr>
          <w:p>
            <w:pPr>
              <w:spacing w:after="40" w:before="0" w:line="259" w:lineRule="auto"/>
            </w:pPr>
            <w:r>
              <w:rPr>
                <w:rFonts w:ascii="Calibri" w:hAnsi="Calibri"/>
                <w:b w:val="0"/>
                <w:i w:val="0"/>
                <w:color w:val="212121"/>
                <w:sz w:val="16"/>
              </w:rPr>
              <w:t>Central cyanosis, digital clubbing, BMI</w:t>
            </w:r>
          </w:p>
        </w:tc>
        <w:tc>
          <w:tcPr>
            <w:tcW w:type="dxa" w:w="950"/>
            <w:vAlign w:val="top"/>
          </w:tcPr>
          <w:p>
            <w:pPr>
              <w:spacing w:after="40" w:before="0" w:line="259" w:lineRule="auto"/>
            </w:pPr>
            <w:r>
              <w:rPr>
                <w:rFonts w:ascii="Calibri" w:hAnsi="Calibri"/>
                <w:b w:val="0"/>
                <w:i w:val="0"/>
                <w:color w:val="212121"/>
                <w:sz w:val="16"/>
              </w:rPr>
              <w:t>No cyanosis, normal BMI, no clubbing</w:t>
            </w:r>
          </w:p>
        </w:tc>
        <w:tc>
          <w:tcPr>
            <w:tcW w:type="dxa" w:w="950"/>
            <w:vAlign w:val="top"/>
          </w:tcPr>
          <w:p>
            <w:pPr>
              <w:spacing w:after="40" w:before="0" w:line="259" w:lineRule="auto"/>
            </w:pPr>
            <w:r>
              <w:rPr>
                <w:rFonts w:ascii="Calibri" w:hAnsi="Calibri"/>
                <w:b w:val="0"/>
                <w:i w:val="0"/>
                <w:color w:val="212121"/>
                <w:sz w:val="16"/>
              </w:rPr>
              <w:t>Central cyanosis, cachexia/low BMI, clubbing</w:t>
            </w:r>
          </w:p>
        </w:tc>
        <w:tc>
          <w:tcPr>
            <w:tcW w:type="dxa" w:w="1036"/>
            <w:vAlign w:val="top"/>
          </w:tcPr>
          <w:p>
            <w:pPr>
              <w:spacing w:after="40" w:before="0" w:line="259" w:lineRule="auto"/>
            </w:pPr>
            <w:r>
              <w:rPr>
                <w:rFonts w:ascii="Calibri" w:hAnsi="Calibri"/>
                <w:b w:val="0"/>
                <w:i w:val="0"/>
                <w:color w:val="212121"/>
                <w:sz w:val="16"/>
              </w:rPr>
              <w:t>Reflects hypoxaemia, systemic effects and possible bronchiectasis</w:t>
            </w:r>
          </w:p>
        </w:tc>
        <w:tc>
          <w:tcPr>
            <w:tcW w:type="dxa" w:w="1036"/>
            <w:vAlign w:val="top"/>
          </w:tcPr>
          <w:p>
            <w:pPr>
              <w:spacing w:after="40" w:before="0" w:line="259" w:lineRule="auto"/>
            </w:pPr>
            <w:r>
              <w:rPr>
                <w:rFonts w:ascii="Calibri" w:hAnsi="Calibri"/>
                <w:b w:val="0"/>
                <w:i w:val="0"/>
                <w:color w:val="212121"/>
                <w:sz w:val="16"/>
              </w:rPr>
              <w:t>Advanced/malnourished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Severity marker</w:t>
            </w:r>
          </w:p>
        </w:tc>
        <w:tc>
          <w:tcPr>
            <w:tcW w:type="dxa" w:w="720"/>
            <w:vAlign w:val="top"/>
          </w:tcPr>
          <w:p>
            <w:pPr>
              <w:spacing w:after="40" w:before="0" w:line="259" w:lineRule="auto"/>
            </w:pPr>
            <w:r>
              <w:rPr>
                <w:rFonts w:ascii="Calibri" w:hAnsi="Calibri"/>
                <w:b w:val="0"/>
                <w:i w:val="0"/>
                <w:color w:val="212121"/>
                <w:sz w:val="16"/>
              </w:rPr>
              <w:t>Clubbing is not typical of pure COPD — seek bronchiectasis/malignancy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Chronic productive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cough with mucoid sputum from chronic airway inflammation — usually the earliest symptom.</w:t>
            </w:r>
          </w:p>
        </w:tc>
      </w:tr>
      <w:tr>
        <w:trPr>
          <w:cantSplit/>
        </w:trPr>
        <w:tc>
          <w:tcPr>
            <w:tcW w:type="dxa" w:w="2304"/>
            <w:vAlign w:val="top"/>
          </w:tcPr>
          <w:p>
            <w:pPr>
              <w:spacing w:after="40" w:before="0" w:line="259" w:lineRule="auto"/>
            </w:pPr>
            <w:r>
              <w:rPr>
                <w:rFonts w:ascii="Calibri" w:hAnsi="Calibri"/>
                <w:b/>
                <w:i w:val="0"/>
                <w:color w:val="212121"/>
                <w:sz w:val="19"/>
              </w:rPr>
              <w:t>Exertional 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shortness of breath on exertion as airflow obstruction worsens.</w:t>
            </w:r>
          </w:p>
        </w:tc>
      </w:tr>
      <w:tr>
        <w:trPr>
          <w:cantSplit/>
        </w:trPr>
        <w:tc>
          <w:tcPr>
            <w:tcW w:type="dxa" w:w="2304"/>
            <w:vAlign w:val="top"/>
          </w:tcPr>
          <w:p>
            <w:pPr>
              <w:spacing w:after="40" w:before="0" w:line="259" w:lineRule="auto"/>
            </w:pPr>
            <w:r>
              <w:rPr>
                <w:rFonts w:ascii="Calibri" w:hAnsi="Calibri"/>
                <w:b/>
                <w:i w:val="0"/>
                <w:color w:val="212121"/>
                <w:sz w:val="19"/>
              </w:rPr>
              <w:t>Wheezing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Musical expiratory sounds from narrowed, hyper-reactive airways; overlaps with asthma-COPD.</w:t>
            </w:r>
          </w:p>
        </w:tc>
      </w:tr>
      <w:tr>
        <w:trPr>
          <w:cantSplit/>
        </w:trPr>
        <w:tc>
          <w:tcPr>
            <w:tcW w:type="dxa" w:w="2304"/>
            <w:vAlign w:val="top"/>
          </w:tcPr>
          <w:p>
            <w:pPr>
              <w:spacing w:after="40" w:before="0" w:line="259" w:lineRule="auto"/>
            </w:pPr>
            <w:r>
              <w:rPr>
                <w:rFonts w:ascii="Calibri" w:hAnsi="Calibri"/>
                <w:b/>
                <w:i w:val="0"/>
                <w:color w:val="212121"/>
                <w:sz w:val="19"/>
              </w:rPr>
              <w:t>Chest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Sensation of constriction, often during cooking or on exertion.</w:t>
            </w:r>
          </w:p>
        </w:tc>
      </w:tr>
      <w:tr>
        <w:trPr>
          <w:cantSplit/>
        </w:trPr>
        <w:tc>
          <w:tcPr>
            <w:tcW w:type="dxa" w:w="2304"/>
            <w:vAlign w:val="top"/>
          </w:tcPr>
          <w:p>
            <w:pPr>
              <w:spacing w:after="40" w:before="0" w:line="259" w:lineRule="auto"/>
            </w:pPr>
            <w:r>
              <w:rPr>
                <w:rFonts w:ascii="Calibri" w:hAnsi="Calibri"/>
                <w:b/>
                <w:i w:val="0"/>
                <w:color w:val="212121"/>
                <w:sz w:val="19"/>
              </w:rPr>
              <w:t>Chronic sputum production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Daily expectoration; may become purulent during infective exacerbations.</w:t>
            </w:r>
          </w:p>
        </w:tc>
      </w:tr>
      <w:tr>
        <w:trPr>
          <w:cantSplit/>
        </w:trPr>
        <w:tc>
          <w:tcPr>
            <w:tcW w:type="dxa" w:w="2304"/>
            <w:vAlign w:val="top"/>
          </w:tcPr>
          <w:p>
            <w:pPr>
              <w:spacing w:after="40" w:before="0" w:line="259" w:lineRule="auto"/>
            </w:pPr>
            <w:r>
              <w:rPr>
                <w:rFonts w:ascii="Calibri" w:hAnsi="Calibri"/>
                <w:b/>
                <w:i w:val="0"/>
                <w:color w:val="212121"/>
                <w:sz w:val="19"/>
              </w:rPr>
              <w:t>Recurrent respiratory infections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bronchitis/pneumonia episodes due to impaired clearance and local immunity.</w:t>
            </w:r>
          </w:p>
        </w:tc>
      </w:tr>
      <w:tr>
        <w:trPr>
          <w:cantSplit/>
        </w:trPr>
        <w:tc>
          <w:tcPr>
            <w:tcW w:type="dxa" w:w="2304"/>
            <w:vAlign w:val="top"/>
          </w:tcPr>
          <w:p>
            <w:pPr>
              <w:spacing w:after="40" w:before="0" w:line="259" w:lineRule="auto"/>
            </w:pPr>
            <w:r>
              <w:rPr>
                <w:rFonts w:ascii="Calibri" w:hAnsi="Calibri"/>
                <w:b/>
                <w:i w:val="0"/>
                <w:color w:val="212121"/>
                <w:sz w:val="19"/>
              </w:rPr>
              <w:t>Fatigue /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Limited daily activity from hypoxia and increased work of breathing.</w:t>
            </w:r>
          </w:p>
        </w:tc>
      </w:tr>
      <w:tr>
        <w:trPr>
          <w:cantSplit/>
        </w:trPr>
        <w:tc>
          <w:tcPr>
            <w:tcW w:type="dxa" w:w="2304"/>
            <w:vAlign w:val="top"/>
          </w:tcPr>
          <w:p>
            <w:pPr>
              <w:spacing w:after="40" w:before="0" w:line="259" w:lineRule="auto"/>
            </w:pPr>
            <w:r>
              <w:rPr>
                <w:rFonts w:ascii="Calibri" w:hAnsi="Calibri"/>
                <w:b/>
                <w:i w:val="0"/>
                <w:color w:val="212121"/>
                <w:sz w:val="19"/>
              </w:rPr>
              <w:t>Haemoptysis (blood-streaked sputum)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reflect bronchiectasis, anthracofibrosis, coexisting TB or malignancy — warrants evaluation.</w:t>
            </w:r>
          </w:p>
        </w:tc>
      </w:tr>
      <w:tr>
        <w:trPr>
          <w:cantSplit/>
        </w:trPr>
        <w:tc>
          <w:tcPr>
            <w:tcW w:type="dxa" w:w="2304"/>
            <w:vAlign w:val="top"/>
          </w:tcPr>
          <w:p>
            <w:pPr>
              <w:spacing w:after="40" w:before="0" w:line="259" w:lineRule="auto"/>
            </w:pPr>
            <w:r>
              <w:rPr>
                <w:rFonts w:ascii="Calibri" w:hAnsi="Calibri"/>
                <w:b/>
                <w:i w:val="0"/>
                <w:color w:val="212121"/>
                <w:sz w:val="19"/>
              </w:rPr>
              <w:t>Weight loss / poor appetite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Systemic effect of advanced disease with increased energy expenditure (cachexia).</w:t>
            </w:r>
          </w:p>
        </w:tc>
      </w:tr>
      <w:tr>
        <w:trPr>
          <w:cantSplit/>
        </w:trPr>
        <w:tc>
          <w:tcPr>
            <w:tcW w:type="dxa" w:w="2304"/>
            <w:vAlign w:val="top"/>
          </w:tcPr>
          <w:p>
            <w:pPr>
              <w:spacing w:after="40" w:before="0" w:line="259" w:lineRule="auto"/>
            </w:pPr>
            <w:r>
              <w:rPr>
                <w:rFonts w:ascii="Calibri" w:hAnsi="Calibri"/>
                <w:b/>
                <w:i w:val="0"/>
                <w:color w:val="212121"/>
                <w:sz w:val="19"/>
              </w:rPr>
              <w:t>Morning headache / drowsiness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carbon-dioxide retention (hypercapnia) in advanced respiratory failure.</w:t>
            </w:r>
          </w:p>
        </w:tc>
      </w:tr>
      <w:tr>
        <w:trPr>
          <w:cantSplit/>
        </w:trPr>
        <w:tc>
          <w:tcPr>
            <w:tcW w:type="dxa" w:w="2304"/>
            <w:vAlign w:val="top"/>
          </w:tcPr>
          <w:p>
            <w:pPr>
              <w:spacing w:after="40" w:before="0" w:line="259" w:lineRule="auto"/>
            </w:pPr>
            <w:r>
              <w:rPr>
                <w:rFonts w:ascii="Calibri" w:hAnsi="Calibri"/>
                <w:b/>
                <w:i w:val="0"/>
                <w:color w:val="212121"/>
                <w:sz w:val="19"/>
              </w:rPr>
              <w:t>Ankle swelling &amp; breathlessness at rest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cor pulmonale / right heart failure in end-stage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Expiratory wheeze / rhonchi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Auscultatory hallmark of diffuse airflow obstruction.</w:t>
            </w:r>
          </w:p>
        </w:tc>
      </w:tr>
      <w:tr>
        <w:trPr>
          <w:cantSplit/>
        </w:trPr>
        <w:tc>
          <w:tcPr>
            <w:tcW w:type="dxa" w:w="3456"/>
            <w:vAlign w:val="top"/>
          </w:tcPr>
          <w:p>
            <w:pPr>
              <w:spacing w:after="40" w:before="0" w:line="259" w:lineRule="auto"/>
            </w:pPr>
            <w:r>
              <w:rPr>
                <w:rFonts w:ascii="Calibri" w:hAnsi="Calibri"/>
                <w:b/>
                <w:i w:val="0"/>
                <w:color w:val="212121"/>
                <w:sz w:val="19"/>
              </w:rPr>
              <w:t>Prolonged expiratory phase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air-trapping and expiratory flow limitation.</w:t>
            </w:r>
          </w:p>
        </w:tc>
      </w:tr>
      <w:tr>
        <w:trPr>
          <w:cantSplit/>
        </w:trPr>
        <w:tc>
          <w:tcPr>
            <w:tcW w:type="dxa" w:w="3456"/>
            <w:vAlign w:val="top"/>
          </w:tcPr>
          <w:p>
            <w:pPr>
              <w:spacing w:after="40" w:before="0" w:line="259" w:lineRule="auto"/>
            </w:pPr>
            <w:r>
              <w:rPr>
                <w:rFonts w:ascii="Calibri" w:hAnsi="Calibri"/>
                <w:b/>
                <w:i w:val="0"/>
                <w:color w:val="212121"/>
                <w:sz w:val="19"/>
              </w:rPr>
              <w:t>Coarse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retained secretions and coexisting bronchiectasis.</w:t>
            </w:r>
          </w:p>
        </w:tc>
      </w:tr>
      <w:tr>
        <w:trPr>
          <w:cantSplit/>
        </w:trPr>
        <w:tc>
          <w:tcPr>
            <w:tcW w:type="dxa" w:w="3456"/>
            <w:vAlign w:val="top"/>
          </w:tcPr>
          <w:p>
            <w:pPr>
              <w:spacing w:after="40" w:before="0" w:line="259" w:lineRule="auto"/>
            </w:pPr>
            <w:r>
              <w:rPr>
                <w:rFonts w:ascii="Calibri" w:hAnsi="Calibri"/>
                <w:b/>
                <w:i w:val="0"/>
                <w:color w:val="212121"/>
                <w:sz w:val="19"/>
              </w:rPr>
              <w:t>Tachypnoea &amp; accessory-muscle use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work of breathing; pursed-lip breathing in advanced disease.</w:t>
            </w:r>
          </w:p>
        </w:tc>
      </w:tr>
      <w:tr>
        <w:trPr>
          <w:cantSplit/>
        </w:trPr>
        <w:tc>
          <w:tcPr>
            <w:tcW w:type="dxa" w:w="3456"/>
            <w:vAlign w:val="top"/>
          </w:tcPr>
          <w:p>
            <w:pPr>
              <w:spacing w:after="40" w:before="0" w:line="259" w:lineRule="auto"/>
            </w:pPr>
            <w:r>
              <w:rPr>
                <w:rFonts w:ascii="Calibri" w:hAnsi="Calibri"/>
                <w:b/>
                <w:i w:val="0"/>
                <w:color w:val="212121"/>
                <w:sz w:val="19"/>
              </w:rPr>
              <w:t>Hyperinflation / reduced chest expansion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Barrel-shaped chest, though usually milder than in tobacco emphysema.</w:t>
            </w:r>
          </w:p>
        </w:tc>
      </w:tr>
      <w:tr>
        <w:trPr>
          <w:cantSplit/>
        </w:trPr>
        <w:tc>
          <w:tcPr>
            <w:tcW w:type="dxa" w:w="3456"/>
            <w:vAlign w:val="top"/>
          </w:tcPr>
          <w:p>
            <w:pPr>
              <w:spacing w:after="40" w:before="0" w:line="259" w:lineRule="auto"/>
            </w:pPr>
            <w:r>
              <w:rPr>
                <w:rFonts w:ascii="Calibri" w:hAnsi="Calibri"/>
                <w:b/>
                <w:i w:val="0"/>
                <w:color w:val="212121"/>
                <w:sz w:val="19"/>
              </w:rPr>
              <w:t>Central cyanosis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Bluish tongue/lips indicating significant hypoxaemia.</w:t>
            </w:r>
          </w:p>
        </w:tc>
      </w:tr>
      <w:tr>
        <w:trPr>
          <w:cantSplit/>
        </w:trPr>
        <w:tc>
          <w:tcPr>
            <w:tcW w:type="dxa" w:w="3456"/>
            <w:vAlign w:val="top"/>
          </w:tcPr>
          <w:p>
            <w:pPr>
              <w:spacing w:after="40" w:before="0" w:line="259" w:lineRule="auto"/>
            </w:pPr>
            <w:r>
              <w:rPr>
                <w:rFonts w:ascii="Calibri" w:hAnsi="Calibri"/>
                <w:b/>
                <w:i w:val="0"/>
                <w:color w:val="212121"/>
                <w:sz w:val="19"/>
              </w:rPr>
              <w:t>Signs of cor pulmonale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Raised JVP, loud P2, parasternal heave and pedal oedema from pulmonary hypertension.</w:t>
            </w:r>
          </w:p>
        </w:tc>
      </w:tr>
      <w:tr>
        <w:trPr>
          <w:cantSplit/>
        </w:trPr>
        <w:tc>
          <w:tcPr>
            <w:tcW w:type="dxa" w:w="3456"/>
            <w:vAlign w:val="top"/>
          </w:tcPr>
          <w:p>
            <w:pPr>
              <w:spacing w:after="40" w:before="0" w:line="259" w:lineRule="auto"/>
            </w:pPr>
            <w:r>
              <w:rPr>
                <w:rFonts w:ascii="Calibri" w:hAnsi="Calibri"/>
                <w:b/>
                <w:i w:val="0"/>
                <w:color w:val="212121"/>
                <w:sz w:val="19"/>
              </w:rPr>
              <w:t>Digital clubbing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Not typical of pure COPD — suggests bronchiectasis, coexisting fibrosis or malignancy.</w:t>
            </w:r>
          </w:p>
        </w:tc>
      </w:tr>
      <w:tr>
        <w:trPr>
          <w:cantSplit/>
        </w:trPr>
        <w:tc>
          <w:tcPr>
            <w:tcW w:type="dxa" w:w="3456"/>
            <w:vAlign w:val="top"/>
          </w:tcPr>
          <w:p>
            <w:pPr>
              <w:spacing w:after="40" w:before="0" w:line="259" w:lineRule="auto"/>
            </w:pPr>
            <w:r>
              <w:rPr>
                <w:rFonts w:ascii="Calibri" w:hAnsi="Calibri"/>
                <w:b/>
                <w:i w:val="0"/>
                <w:color w:val="212121"/>
                <w:sz w:val="19"/>
              </w:rPr>
              <w:t>Cachexia / low BMI</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Systemic wasting in advanced disease.</w:t>
            </w:r>
          </w:p>
        </w:tc>
      </w:tr>
      <w:tr>
        <w:trPr>
          <w:cantSplit/>
        </w:trPr>
        <w:tc>
          <w:tcPr>
            <w:tcW w:type="dxa" w:w="3456"/>
            <w:vAlign w:val="top"/>
          </w:tcPr>
          <w:p>
            <w:pPr>
              <w:spacing w:after="40" w:before="0" w:line="259" w:lineRule="auto"/>
            </w:pPr>
            <w:r>
              <w:rPr>
                <w:rFonts w:ascii="Calibri" w:hAnsi="Calibri"/>
                <w:b/>
                <w:i w:val="0"/>
                <w:color w:val="212121"/>
                <w:sz w:val="19"/>
              </w:rPr>
              <w:t>Anthracotic bronchial pigmentation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Black mucosal deposits with bronchial narrowing (anthracofibrosis) seen at bronchoscopy — specific for chronic particulate exposure.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infective or pollution-triggered exacerbations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bronchitis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Transient hypoxaemia during exacerbations</w:t>
            </w:r>
          </w:p>
        </w:tc>
        <w:tc>
          <w:tcPr>
            <w:tcW w:type="dxa" w:w="2980"/>
            <w:vAlign w:val="top"/>
          </w:tcPr>
          <w:p>
            <w:pPr>
              <w:spacing w:after="40" w:before="0" w:line="259" w:lineRule="auto"/>
            </w:pPr>
            <w:r>
              <w:rPr>
                <w:rFonts w:ascii="Calibri" w:hAnsi="Calibri"/>
                <w:b w:val="0"/>
                <w:i w:val="0"/>
                <w:color w:val="212121"/>
                <w:sz w:val="19"/>
              </w:rPr>
              <w:t>Immediate consequences of airway inflammation and smoke exposure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Fixed-airflow-obstruction COPD (biomass phenotype)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Bronchiectasis and anthracofibrosis with bronchial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pneumonia / lower-respiratory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polycythaemia from chronic hypoxaemia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Reactivation of latent tuberculosis</w:t>
            </w:r>
          </w:p>
        </w:tc>
        <w:tc>
          <w:tcPr>
            <w:tcW w:type="dxa" w:w="2980"/>
            <w:vAlign w:val="top"/>
          </w:tcPr>
          <w:p>
            <w:pPr>
              <w:spacing w:after="40" w:before="0" w:line="259" w:lineRule="auto"/>
            </w:pPr>
            <w:r>
              <w:rPr>
                <w:rFonts w:ascii="Calibri" w:hAnsi="Calibri"/>
                <w:b w:val="0"/>
                <w:i w:val="0"/>
                <w:color w:val="212121"/>
                <w:sz w:val="19"/>
              </w:rPr>
              <w:t>Result from chronic particulate injury, remodelling and impaired local immunity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(type II) respiratory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 pulmonale / right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Lung cancer (especially with coal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disability and premature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Biomass-associated cataract and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Low-birth-weight and adverse outcomes in offspring of exposed mothers</w:t>
            </w:r>
          </w:p>
        </w:tc>
        <w:tc>
          <w:tcPr>
            <w:tcW w:type="dxa" w:w="2980"/>
            <w:vAlign w:val="top"/>
          </w:tcPr>
          <w:p>
            <w:pPr>
              <w:spacing w:after="40" w:before="0" w:line="259" w:lineRule="auto"/>
            </w:pPr>
            <w:r>
              <w:rPr>
                <w:rFonts w:ascii="Calibri" w:hAnsi="Calibri"/>
                <w:b w:val="0"/>
                <w:i w:val="0"/>
                <w:color w:val="212121"/>
                <w:sz w:val="19"/>
              </w:rPr>
              <w:t>Irreversible, disabling or fatal end-stage outcomes of long-standing exposure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obstructive pulmonary disease (biomass phenotype)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principal chronic manifestation — airway-predominant COPD with less emphysema, preserved DLCO and earlier pulmonary hypertension than tobacco COPD.</w:t>
            </w:r>
          </w:p>
          <w:p>
            <w:pPr>
              <w:spacing w:after="40" w:before="0" w:line="259" w:lineRule="auto"/>
            </w:pPr>
            <w:r>
              <w:rPr>
                <w:rFonts w:ascii="Calibri" w:hAnsi="Calibri"/>
                <w:b/>
                <w:i w:val="0"/>
                <w:color w:val="212121"/>
                <w:sz w:val="19"/>
              </w:rPr>
              <w:t>~8% in biomass-fuel users (vs ~1% in LPG users)</w:t>
            </w:r>
          </w:p>
        </w:tc>
      </w:tr>
      <w:tr>
        <w:trPr>
          <w:cantSplit/>
        </w:trPr>
        <w:tc>
          <w:tcPr>
            <w:tcW w:type="dxa" w:w="2232"/>
            <w:vAlign w:val="top"/>
          </w:tcPr>
          <w:p>
            <w:pPr>
              <w:spacing w:after="40" w:before="0" w:line="259" w:lineRule="auto"/>
            </w:pPr>
            <w:r>
              <w:rPr>
                <w:rFonts w:ascii="Calibri" w:hAnsi="Calibri"/>
                <w:b/>
                <w:i w:val="0"/>
                <w:color w:val="212121"/>
                <w:sz w:val="19"/>
              </w:rPr>
              <w:t>Pulmonary tuberculosis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Biomass smoke impairs alveolar-macrophage defence and raises TB risk (OR ~2.33); post-TB damage in turn worsens obstruction — a bidirectional cycle common in India.</w:t>
            </w:r>
          </w:p>
        </w:tc>
      </w:tr>
      <w:tr>
        <w:trPr>
          <w:cantSplit/>
        </w:trPr>
        <w:tc>
          <w:tcPr>
            <w:tcW w:type="dxa" w:w="2232"/>
            <w:vAlign w:val="top"/>
          </w:tcPr>
          <w:p>
            <w:pPr>
              <w:spacing w:after="40" w:before="0" w:line="259" w:lineRule="auto"/>
            </w:pPr>
            <w:r>
              <w:rPr>
                <w:rFonts w:ascii="Calibri" w:hAnsi="Calibri"/>
                <w:b/>
                <w:i w:val="0"/>
                <w:color w:val="212121"/>
                <w:sz w:val="19"/>
              </w:rPr>
              <w:t>Cor pulmonale / pulmonary hypertension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hypoxic pulmonary vasoconstriction leads to right-heart strain and failure; appears earlier than in tobacco COPD.</w:t>
            </w:r>
          </w:p>
        </w:tc>
      </w:tr>
      <w:tr>
        <w:trPr>
          <w:cantSplit/>
        </w:trPr>
        <w:tc>
          <w:tcPr>
            <w:tcW w:type="dxa" w:w="2232"/>
            <w:vAlign w:val="top"/>
          </w:tcPr>
          <w:p>
            <w:pPr>
              <w:spacing w:after="40" w:before="0" w:line="259" w:lineRule="auto"/>
            </w:pPr>
            <w:r>
              <w:rPr>
                <w:rFonts w:ascii="Calibri" w:hAnsi="Calibri"/>
                <w:b/>
                <w:i w:val="0"/>
                <w:color w:val="212121"/>
                <w:sz w:val="19"/>
              </w:rPr>
              <w:t>Cataract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cooking-smoke exposure is linked to cataract in women (OR ~2.16); an estimated 5 million Indian cataract cases are attributable to biomass HAP.</w:t>
            </w:r>
          </w:p>
        </w:tc>
      </w:tr>
      <w:tr>
        <w:trPr>
          <w:cantSplit/>
        </w:trPr>
        <w:tc>
          <w:tcPr>
            <w:tcW w:type="dxa" w:w="2232"/>
            <w:vAlign w:val="top"/>
          </w:tcPr>
          <w:p>
            <w:pPr>
              <w:spacing w:after="40" w:before="0" w:line="259" w:lineRule="auto"/>
            </w:pPr>
            <w:r>
              <w:rPr>
                <w:rFonts w:ascii="Calibri" w:hAnsi="Calibri"/>
                <w:b/>
                <w:i w:val="0"/>
                <w:color w:val="212121"/>
                <w:sz w:val="19"/>
              </w:rPr>
              <w:t>Lung cancer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PAHs and carcinogens in biomass — particularly coal — smoke increase lung-cancer risk; HAP accounts for ~6% of HAP-attributable deaths as lung cancer and ~11% of adult lung-cancer deaths.</w:t>
            </w:r>
          </w:p>
        </w:tc>
      </w:tr>
      <w:tr>
        <w:trPr>
          <w:cantSplit/>
        </w:trPr>
        <w:tc>
          <w:tcPr>
            <w:tcW w:type="dxa" w:w="2232"/>
            <w:vAlign w:val="top"/>
          </w:tcPr>
          <w:p>
            <w:pPr>
              <w:spacing w:after="40" w:before="0" w:line="259" w:lineRule="auto"/>
            </w:pPr>
            <w:r>
              <w:rPr>
                <w:rFonts w:ascii="Calibri" w:hAnsi="Calibri"/>
                <w:b/>
                <w:i w:val="0"/>
                <w:color w:val="212121"/>
                <w:sz w:val="19"/>
              </w:rPr>
              <w:t>Lower-respiratory infections / childhood pneumonia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clearance and immunity cause recurrent LRTIs; HAP drives ~44% of under-5 pneumonia deaths, and repeated infection further damages airways.</w:t>
            </w:r>
          </w:p>
        </w:tc>
      </w:tr>
      <w:tr>
        <w:trPr>
          <w:cantSplit/>
        </w:trPr>
        <w:tc>
          <w:tcPr>
            <w:tcW w:type="dxa" w:w="2232"/>
            <w:vAlign w:val="top"/>
          </w:tcPr>
          <w:p>
            <w:pPr>
              <w:spacing w:after="40" w:before="0" w:line="259" w:lineRule="auto"/>
            </w:pPr>
            <w:r>
              <w:rPr>
                <w:rFonts w:ascii="Calibri" w:hAnsi="Calibri"/>
                <w:b/>
                <w:i w:val="0"/>
                <w:color w:val="212121"/>
                <w:sz w:val="19"/>
              </w:rPr>
              <w:t>Ischaemic heart disease &amp; hypertension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Particulate-driven systemic inflammation and endothelial dysfunction raise cardiovascular risk; HAP causes ~32% of HAP-attributable deaths via ischaemic heart disease.</w:t>
            </w:r>
          </w:p>
        </w:tc>
      </w:tr>
      <w:tr>
        <w:trPr>
          <w:cantSplit/>
        </w:trPr>
        <w:tc>
          <w:tcPr>
            <w:tcW w:type="dxa" w:w="2232"/>
            <w:vAlign w:val="top"/>
          </w:tcPr>
          <w:p>
            <w:pPr>
              <w:spacing w:after="40" w:before="0" w:line="259" w:lineRule="auto"/>
            </w:pPr>
            <w:r>
              <w:rPr>
                <w:rFonts w:ascii="Calibri" w:hAnsi="Calibri"/>
                <w:b/>
                <w:i w:val="0"/>
                <w:color w:val="212121"/>
                <w:sz w:val="19"/>
              </w:rPr>
              <w:t>Type 2 diabetes / dysglycaemia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Rural biomass users showed far higher diabetes/prediabetes than LPG users, consistent with inflammation-mediated insulin resistance.</w:t>
            </w:r>
          </w:p>
          <w:p>
            <w:pPr>
              <w:spacing w:after="40" w:before="0" w:line="259" w:lineRule="auto"/>
            </w:pPr>
            <w:r>
              <w:rPr>
                <w:rFonts w:ascii="Calibri" w:hAnsi="Calibri"/>
                <w:b/>
                <w:i w:val="0"/>
                <w:color w:val="212121"/>
                <w:sz w:val="19"/>
              </w:rPr>
              <w:t>~12% diabetic (vs ~2% in LPG users)</w:t>
            </w:r>
          </w:p>
        </w:tc>
      </w:tr>
      <w:tr>
        <w:trPr>
          <w:cantSplit/>
        </w:trPr>
        <w:tc>
          <w:tcPr>
            <w:tcW w:type="dxa" w:w="2232"/>
            <w:vAlign w:val="top"/>
          </w:tcPr>
          <w:p>
            <w:pPr>
              <w:spacing w:after="40" w:before="0" w:line="259" w:lineRule="auto"/>
            </w:pPr>
            <w:r>
              <w:rPr>
                <w:rFonts w:ascii="Calibri" w:hAnsi="Calibri"/>
                <w:b/>
                <w:i w:val="0"/>
                <w:color w:val="212121"/>
                <w:sz w:val="19"/>
              </w:rPr>
              <w:t>Low birth weight &amp; adverse pregnancy outcomes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Maternal biomass exposure is observationally associated with low birth weight, stillbirth and neonatal death (stillbirth OR ~1.26), affecting offspring rather than the patient.</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breathlessness, disability and poverty are linked to mood and anxiety disorders that reduce quality of life and treatment adherence.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from solid biomass to clean cooking fuel (LPG under PMUY, biogas, electric induction) — the single most effective preventive measure.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solid fuel is unavoidable, use an improved cookstove with a flue/chimney and keep the kitchen separate and cross-ventilated.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outdoors or by an open window/door whenever possible and never let fuel smoulder in a closed room.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infants and young children away from the hearth during cooking to protect developing lungs.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the smokiest fuels (fresh dung cakes, damp crop residue, coal) and dry firewood before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influenza and pneumococcal vaccination, and seek TB screening for any chronic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chronic cough, sputum, wheeze, breathlessness — and seek spirometry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women cooks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Tribal &amp; BPL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Homemakers using open chulhas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young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in structured pulmonary rehabilitation with graded aerobic and strength 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diaphragmatic and pursed-lip breathing to ease breathlessness and improve ventilation.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regular moderate activity (e.g. walking 20–30 min most days), pacing to avoid severe dyspnoea.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inspiratory-muscle and upper-limb training to support daily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exertion during active cooking or high indoor-smoke periods.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biomass-related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Breathless/deconditioned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Post-exacerbation recovery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with ≥ 400 g/day of fruit and vegetables (vitamin C, E, carotenoids) to buffer oxidative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calories to prevent cachexia and preserve respiratory-muscle strength.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anaemia and micronutrient deficiencies common in rural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keep airway secretions loose and aid mucociliary clearance.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exposed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Cachectic advanced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in a separate, well-ventilated room away from the kitchen and smouldering hearth.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sleep in a closed room where biomass or coal is left burning (carbon-monoxide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if breathless when lying flat.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nocturnal cough and wheeze to protect sleep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orthopnoea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Cold-region families heating indoors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completely from bidis, cigarettes and hookah — tobacco is synergistic with biomass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tobacco smoke at home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counselling and nicotine-replacement/pharmacotherapy to those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that quitting slows lung-function decline even after years of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Biomass-exposed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Dual-exposure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members of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worsens nutrition and aspiration/infection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on interactions with sedatives and theophylline where used.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 with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driven by chronic breathlessness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breathing-control and relaxation techniques to reduce dyspnoea-related panic.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patients to pulmonary-rehabilitation peer-support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in clean-fuel adoption and treatment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disabling breathlessness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families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althcare-bulletin.co.uk/article/an-under-recognized-health-hazard-the-prevalence-of-copd-and-small-airway-dysfunction-in-non-smoking-females-3206/" TargetMode="External"/><Relationship Id="rId10" Type="http://schemas.openxmlformats.org/officeDocument/2006/relationships/hyperlink" Target="https://link.springer.com/article/10.1186/s12890-026-04134-0" TargetMode="External"/><Relationship Id="rId11" Type="http://schemas.openxmlformats.org/officeDocument/2006/relationships/hyperlink" Target="https://www.who.int/news-room/fact-sheets/detail/household-air-pollution-and-health" TargetMode="External"/><Relationship Id="rId12" Type="http://schemas.openxmlformats.org/officeDocument/2006/relationships/hyperlink" Target="https://ceda.ashoka.edu.in/how-many-indian-households-use-clean-fuel-for-cooking/" TargetMode="External"/><Relationship Id="rId13" Type="http://schemas.openxmlformats.org/officeDocument/2006/relationships/hyperlink" Target="https://stacks.cdc.gov/view/cdc/124935" TargetMode="External"/><Relationship Id="rId14" Type="http://schemas.openxmlformats.org/officeDocument/2006/relationships/hyperlink" Target="https://www.oatext.com/chronic-obstructive-pulmonary-disease-in-non-smokers-an-update.php" TargetMode="External"/><Relationship Id="rId15" Type="http://schemas.openxmlformats.org/officeDocument/2006/relationships/hyperlink" Target="https://doaj.org/article/ea0db367bb7c41a3a535fa369e75e020" TargetMode="External"/><Relationship Id="rId16" Type="http://schemas.openxmlformats.org/officeDocument/2006/relationships/hyperlink" Target="https://www.intechopen.com/chapters/75570" TargetMode="External"/><Relationship Id="rId17" Type="http://schemas.openxmlformats.org/officeDocument/2006/relationships/hyperlink" Target="https://link.springer.com/article/10.1007/s41810-025-0032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