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Silicosis</w:t>
      </w:r>
    </w:p>
    <w:p>
      <w:pPr>
        <w:spacing w:before="0" w:after="160"/>
      </w:pPr>
      <w:r>
        <w:rPr>
          <w:rFonts w:ascii="Calibri" w:hAnsi="Calibri"/>
          <w:b/>
          <w:i w:val="0"/>
          <w:color w:val="212121"/>
          <w:sz w:val="22"/>
        </w:rPr>
        <w:t xml:space="preserve">AKA </w:t>
      </w:r>
      <w:r>
        <w:rPr>
          <w:rFonts w:ascii="Calibri" w:hAnsi="Calibri"/>
          <w:b w:val="0"/>
          <w:i w:val="0"/>
          <w:color w:val="212121"/>
          <w:sz w:val="22"/>
        </w:rPr>
        <w:t>i.e., Silicotic lung disease, Pneumoconiosis (silica), Potter's rot, Grinder's disease, Miner's phthisis, Stone-cutter's lung</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Silicosis is a chronic, incurable and irreversible fibrotic lung disease (a pneumoconiosis) caused by inhaling respirable crystalline silica (silicon dioxide) dust, most often quartz. Inhaled particles are engulfed by alveolar macrophages, which die and release inflammatory and fibrogenic mediators, driving progressive nodular pulmonary fibrosis. The disease is entirely preventable but has no cure; management centres on stopping further exposure and treating complications, especially tuberculosis.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Silicosis is a major, largely under-reported occupational disease in India. An estimated 3 million or more workers are exposed to silica dust across mining, quarrying, stone crushing, agate, quartz, ceramics, foundry and construction work. A national scoping review found an average silicosis rate of about 31% (pooled prevalence ~26%) across surveyed cohorts, rising to 52% among Rajasthan mine workers and 69.1% among Khambhat (Gujarat) agate workers; in one North-Indian stone-crushing cohort, 465 of 729 workers assessed by a medical board had silicosis. Disease clusters in the mining and stone belts of Rajasthan, Gujarat, Madhya Pradesh, Karnataka, Telangana, Andhra Pradesh, Odisha and West Bengal.</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Silicosis is a clinical-radiological diagnosis; there is no confirmatory blood test. It rests on a credible exposure history plus characteristic imaging, after excluding mimics, above all tuberculosis: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documented occupational history of respirable crystalline silica exposure with an adequate latency (typically 10–20+ years for chronic disease, but months–years for the accelerated and acute forms);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chest radiograph showing bilateral small rounded opacities, predominantly in the upper and posterior lung zones, graded by the ILO International Classification of Radiographs of Pneumoconioses (profusion 1/0 or greater), often with 'eggshell' calcification of hilar and mediastinal lymph nodes;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high-resolution CT (HRCT) showing centrilobular and subpleural micronodules and, when nodules coalesce into masses &gt;1 cm, progressive massive fibrosis (PMF, categories A/B/C);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active pulmonary tuberculosis and other granulomatous or fibrotic mimics (sputum for AFB and Xpert MTB/RIF in any silicotic with new or changing symptoms);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lung biopsy is rarely required and reserved for atypical cases — it shows silicotic nodules containing birefringent silica particles under polarised light.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Silicosis is classified by the intensity and latency of exposure and by the radiographic pattern:</w:t>
      </w:r>
    </w:p>
    <w:p>
      <w:pPr>
        <w:spacing w:before="0" w:after="80"/>
      </w:pPr>
      <w:r>
        <w:rPr>
          <w:rFonts w:ascii="Calibri" w:hAnsi="Calibri"/>
          <w:b w:val="0"/>
          <w:i w:val="0"/>
          <w:color w:val="212121"/>
          <w:sz w:val="21"/>
        </w:rPr>
        <w:t>(1) Chronic (classic) silicosis, developing after 10–20+ years of low-to-moderate exposure; it is subdivided into simple silicosis (discrete small nodules graded by ILO profusion) and complicated silicosis, in which nodules coalesce into progressive massive fibrosis (PMF, conglomerate masses &gt;1 cm);</w:t>
      </w:r>
    </w:p>
    <w:p>
      <w:pPr>
        <w:spacing w:before="0" w:after="80"/>
      </w:pPr>
      <w:r>
        <w:rPr>
          <w:rFonts w:ascii="Calibri" w:hAnsi="Calibri"/>
          <w:b w:val="0"/>
          <w:i w:val="0"/>
          <w:color w:val="212121"/>
          <w:sz w:val="21"/>
        </w:rPr>
        <w:t>(2) Accelerated silicosis, appearing 5–10 years after heavier exposure, with faster radiographic and functional progression and a markedly higher tuberculosis risk;</w:t>
      </w:r>
    </w:p>
    <w:p>
      <w:pPr>
        <w:spacing w:before="0" w:after="80"/>
      </w:pPr>
      <w:r>
        <w:rPr>
          <w:rFonts w:ascii="Calibri" w:hAnsi="Calibri"/>
          <w:b w:val="0"/>
          <w:i w:val="0"/>
          <w:color w:val="212121"/>
          <w:sz w:val="21"/>
        </w:rPr>
        <w:t>(3) Acute silicosis (silicoproteinosis), developing within weeks to a few years of intense exposure to fine, freshly fractured silica (e.g., sandblasting, quartz or engineered-stone benchtop fabrication); the alveoli fill with lipoproteinaceous material and it is often rapidly fatal;</w:t>
      </w:r>
    </w:p>
    <w:p>
      <w:pPr>
        <w:spacing w:before="0" w:after="80"/>
      </w:pPr>
      <w:r>
        <w:rPr>
          <w:rFonts w:ascii="Calibri" w:hAnsi="Calibri"/>
          <w:b w:val="0"/>
          <w:i w:val="0"/>
          <w:color w:val="212121"/>
          <w:sz w:val="21"/>
        </w:rPr>
        <w:t>(4) Radiographic severity is further staged by the ILO profusion score (0–3) and PMF categories (A/B/C), which guide prognosis and disability assessment.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Respirable crystalline silica exposure: Inhalation of fine crystalline silica particles (&lt;10 microns, especially &lt;5 microns) — quartz, cristobalite or tridymite — is the sole necessary cause; only the crystalline form is fibrogenic, and freshly fractured silica is the most toxic.</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Dust-generating processes: Dry cutting, grinding, crushing, drilling, polishing and abrasive (sand) blasting of silica-containing rock without water suppression or ventilation aerosolise large amounts of respirable dust.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Cumulative dose (intensity x duration): Higher airborne concentrations and longer exposure raise both risk and severity and determine whether disease is chronic, accelerated or acute.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Particle characteristics: Small aerodynamic diameter and freshly cleaved crystal surfaces generate reactive oxygen species that are directly cytotoxic to alveolar macrophages, triggering the fibrotic cascade (IL-1, TNF-alpha, fibroblast activation).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Absence of dust controls: Lack of wet methods, local exhaust ventilation, enclosed cabs and fit-tested respiratory protection in informal and small-scale units drives high exposure.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and behavioural modifiers: Tobacco smoking and coexisting tuberculosis amplify lung injury, and individual variation in the fibrotic response influences susceptibility.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(25–50 years)</w:t>
            </w:r>
          </w:p>
        </w:tc>
        <w:tc>
          <w:tcPr>
            <w:tcW w:type="dxa" w:w="4276"/>
            <w:vAlign w:val="top"/>
          </w:tcPr>
          <w:p>
            <w:pPr>
              <w:spacing w:after="60" w:line="259" w:lineRule="auto"/>
            </w:pPr>
            <w:r>
              <w:rPr>
                <w:rFonts w:ascii="Calibri" w:hAnsi="Calibri"/>
                <w:b w:val="0"/>
                <w:i w:val="0"/>
                <w:color w:val="212121"/>
                <w:sz w:val="19"/>
              </w:rPr>
              <w:t>These are the peak occupational years in dusty trades; silica injury is cumulative, so decades of inhaled respirable dust build silicotic nodules and fibrosis that typically become apparent in mid-adult life.</w:t>
            </w:r>
          </w:p>
          <w:p>
            <w:pPr>
              <w:spacing w:after="40" w:before="60" w:line="259" w:lineRule="auto"/>
            </w:pPr>
            <w:r>
              <w:rPr>
                <w:rFonts w:ascii="Calibri" w:hAnsi="Calibri"/>
                <w:b w:val="0"/>
                <w:i w:val="0"/>
                <w:color w:val="212121"/>
                <w:sz w:val="19"/>
              </w:rPr>
              <w:t>In a North-Indian stone-crushing cohort the mean work experience was about 17 years (17.25 ± 6.7), with most workers exposed for 10–20 years before silicosis was detected.</w:t>
            </w:r>
          </w:p>
          <w:p>
            <w:pPr>
              <w:spacing w:after="40" w:line="252" w:lineRule="auto"/>
            </w:pPr>
            <w:hyperlink r:id="rId9">
              <w:r>
                <w:rPr>
                  <w:rFonts w:ascii="Calibri" w:hAnsi="Calibri" w:cs="Calibri"/>
                  <w:sz w:val="18"/>
                  <w:color w:val="1155CC"/>
                  <w:u w:val="single"/>
                </w:rPr>
                <w:t xml:space="preserve">doi.org/10.1093/occmed/kqab146 — stone-crushing workers, India</w:t>
              </w:r>
            </w:hyperlink>
          </w:p>
          <w:p>
            <w:pPr>
              <w:spacing w:before="60" w:after="40"/>
            </w:pPr>
            <w:r>
              <w:rPr>
                <w:rFonts w:ascii="Calibri" w:hAnsi="Calibri"/>
                <w:b w:val="0"/>
                <w:i w:val="0"/>
                <w:color w:val="5A5A5A"/>
                <w:sz w:val="18"/>
              </w:rPr>
              <w:t>#occupational  #respirablesilica  #cumulativedose  #dustytrade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former miners (&gt;55 years)</w:t>
            </w:r>
          </w:p>
        </w:tc>
        <w:tc>
          <w:tcPr>
            <w:tcW w:type="dxa" w:w="4276"/>
            <w:vAlign w:val="top"/>
          </w:tcPr>
          <w:p>
            <w:pPr>
              <w:spacing w:after="60" w:line="259" w:lineRule="auto"/>
            </w:pPr>
            <w:r>
              <w:rPr>
                <w:rFonts w:ascii="Calibri" w:hAnsi="Calibri"/>
                <w:b w:val="0"/>
                <w:i w:val="0"/>
                <w:color w:val="212121"/>
                <w:sz w:val="19"/>
              </w:rPr>
              <w:t>Chronic silicosis has a long latency, so disease often manifests or keeps progressing years after a worker has left the trade; older silicotics carry more PMF, tuberculosis and cor pulmonale.</w:t>
            </w:r>
          </w:p>
          <w:p>
            <w:pPr>
              <w:spacing w:after="40" w:before="60" w:line="259" w:lineRule="auto"/>
            </w:pPr>
            <w:r>
              <w:rPr>
                <w:rFonts w:ascii="Calibri" w:hAnsi="Calibri"/>
                <w:b w:val="0"/>
                <w:i w:val="0"/>
                <w:color w:val="212121"/>
                <w:sz w:val="19"/>
              </w:rPr>
              <w:t>Chronic silicosis characteristically develops after 20+ years of exposure and can progress even after exposure stops.</w:t>
            </w:r>
          </w:p>
          <w:p>
            <w:pPr>
              <w:spacing w:after="40" w:line="252" w:lineRule="auto"/>
            </w:pPr>
            <w:hyperlink r:id="rId10">
              <w:r>
                <w:rPr>
                  <w:rFonts w:ascii="Calibri" w:hAnsi="Calibri" w:cs="Calibri"/>
                  <w:sz w:val="18"/>
                  <w:color w:val="1155CC"/>
                  <w:u w:val="single"/>
                </w:rPr>
                <w:t xml:space="preserve">ncbi.nlm.nih.gov — StatPearls: Silicosis</w:t>
              </w:r>
            </w:hyperlink>
          </w:p>
          <w:p>
            <w:pPr>
              <w:spacing w:before="60" w:after="40"/>
            </w:pPr>
            <w:r>
              <w:rPr>
                <w:rFonts w:ascii="Calibri" w:hAnsi="Calibri"/>
                <w:b w:val="0"/>
                <w:i w:val="0"/>
                <w:color w:val="5A5A5A"/>
                <w:sz w:val="18"/>
              </w:rPr>
              <w:t>#latency  #PMF  #corpulmonale  #retiredminers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The vast majority of miners, quarry and stone-crusher workers, sandblasters and foundry workers in India are men, so recognised silicosis is overwhelmingly male; women in agate, slate-pencil and stone-grinding units are also affected but under-detected.</w:t>
            </w:r>
          </w:p>
          <w:p>
            <w:pPr>
              <w:spacing w:before="60" w:after="40"/>
            </w:pPr>
            <w:r>
              <w:rPr>
                <w:rFonts w:ascii="Calibri" w:hAnsi="Calibri"/>
                <w:b w:val="0"/>
                <w:i w:val="0"/>
                <w:color w:val="5A5A5A"/>
                <w:sz w:val="18"/>
              </w:rPr>
              <w:t>#male  #miningworkforce  #underdetection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informal &amp; migrant labourers</w:t>
            </w:r>
          </w:p>
        </w:tc>
        <w:tc>
          <w:tcPr>
            <w:tcW w:type="dxa" w:w="4276"/>
            <w:vAlign w:val="top"/>
          </w:tcPr>
          <w:p>
            <w:pPr>
              <w:spacing w:after="60" w:line="259" w:lineRule="auto"/>
            </w:pPr>
            <w:r>
              <w:rPr>
                <w:rFonts w:ascii="Calibri" w:hAnsi="Calibri"/>
                <w:b w:val="0"/>
                <w:i w:val="0"/>
                <w:color w:val="212121"/>
                <w:sz w:val="19"/>
              </w:rPr>
              <w:t>Unorganised, small-scale units (stone crushers, quartz grinding, agate polishing, sandstone quarrying) rarely provide dust controls, monitoring or protective equipment; poverty, piece-rate work and job insecurity drive continued high exposure.</w:t>
            </w:r>
          </w:p>
          <w:p>
            <w:pPr>
              <w:spacing w:after="40" w:before="60" w:line="259" w:lineRule="auto"/>
            </w:pPr>
            <w:r>
              <w:rPr>
                <w:rFonts w:ascii="Calibri" w:hAnsi="Calibri"/>
                <w:b w:val="0"/>
                <w:i w:val="0"/>
                <w:color w:val="212121"/>
                <w:sz w:val="19"/>
              </w:rPr>
              <w:t>An estimated 3 million or more workers in India are exposed to silica dust, largely in the informal and small-scale sector.</w:t>
            </w:r>
          </w:p>
          <w:p>
            <w:pPr>
              <w:spacing w:after="40" w:line="252" w:lineRule="auto"/>
            </w:pPr>
            <w:hyperlink r:id="rId11">
              <w:r>
                <w:rPr>
                  <w:rFonts w:ascii="Calibri" w:hAnsi="Calibri" w:cs="Calibri"/>
                  <w:sz w:val="18"/>
                  <w:color w:val="1155CC"/>
                  <w:u w:val="single"/>
                </w:rPr>
                <w:t xml:space="preserve">pubmed.ncbi.nlm.nih.gov/23254775 — Silicosis in India</w:t>
              </w:r>
            </w:hyperlink>
          </w:p>
          <w:p>
            <w:pPr>
              <w:spacing w:before="60" w:after="40"/>
            </w:pPr>
            <w:r>
              <w:rPr>
                <w:rFonts w:ascii="Calibri" w:hAnsi="Calibri"/>
                <w:b w:val="0"/>
                <w:i w:val="0"/>
                <w:color w:val="5A5A5A"/>
                <w:sz w:val="18"/>
              </w:rPr>
              <w:t>#informalsector  #migrantlabour  #poverty  #nomonitoring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Rajasthan sandstone &amp; mining belt</w:t>
            </w:r>
          </w:p>
        </w:tc>
        <w:tc>
          <w:tcPr>
            <w:tcW w:type="dxa" w:w="4276"/>
            <w:vAlign w:val="top"/>
          </w:tcPr>
          <w:p>
            <w:pPr>
              <w:spacing w:after="60" w:line="259" w:lineRule="auto"/>
            </w:pPr>
            <w:r>
              <w:rPr>
                <w:rFonts w:ascii="Calibri" w:hAnsi="Calibri"/>
                <w:b w:val="0"/>
                <w:i w:val="0"/>
                <w:color w:val="212121"/>
                <w:sz w:val="19"/>
              </w:rPr>
              <w:t>Rajasthan's sandstone quarrying, stone mining, gemstone cutting (Jaipur) and grinding industries expose huge numbers of workers to high-quartz dust with minimal controls, producing some of India's highest silicosis burdens.</w:t>
            </w:r>
          </w:p>
          <w:p>
            <w:pPr>
              <w:spacing w:after="40" w:before="60" w:line="259" w:lineRule="auto"/>
            </w:pPr>
            <w:r>
              <w:rPr>
                <w:rFonts w:ascii="Calibri" w:hAnsi="Calibri"/>
                <w:b w:val="0"/>
                <w:i w:val="0"/>
                <w:color w:val="212121"/>
                <w:sz w:val="19"/>
              </w:rPr>
              <w:t>Silicosis prevalence up to 52% has been reported among Rajasthan mine workers.</w:t>
            </w:r>
          </w:p>
          <w:p>
            <w:pPr>
              <w:spacing w:after="40" w:line="252" w:lineRule="auto"/>
            </w:pPr>
            <w:hyperlink r:id="rId12">
              <w:r>
                <w:rPr>
                  <w:rFonts w:ascii="Calibri" w:hAnsi="Calibri" w:cs="Calibri"/>
                  <w:sz w:val="18"/>
                  <w:color w:val="1155CC"/>
                  <w:u w:val="single"/>
                </w:rPr>
                <w:t xml:space="preserve">pubmed.ncbi.nlm.nih.gov/39881375 — India scoping review</w:t>
              </w:r>
            </w:hyperlink>
          </w:p>
          <w:p>
            <w:pPr>
              <w:spacing w:before="60" w:after="40"/>
            </w:pPr>
            <w:r>
              <w:rPr>
                <w:rFonts w:ascii="Calibri" w:hAnsi="Calibri"/>
                <w:b w:val="0"/>
                <w:i w:val="0"/>
                <w:color w:val="5A5A5A"/>
                <w:sz w:val="18"/>
              </w:rPr>
              <w:t>#Rajasthan  #sandstone  #quarry  #gemstone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Gujarat — Khambhat agate belt</w:t>
            </w:r>
          </w:p>
        </w:tc>
        <w:tc>
          <w:tcPr>
            <w:tcW w:type="dxa" w:w="4276"/>
            <w:vAlign w:val="top"/>
          </w:tcPr>
          <w:p>
            <w:pPr>
              <w:spacing w:after="60" w:line="259" w:lineRule="auto"/>
            </w:pPr>
            <w:r>
              <w:rPr>
                <w:rFonts w:ascii="Calibri" w:hAnsi="Calibri"/>
                <w:b w:val="0"/>
                <w:i w:val="0"/>
                <w:color w:val="212121"/>
                <w:sz w:val="19"/>
              </w:rPr>
              <w:t>Agate grinding and polishing in Khambhat (Cambay), Gujarat, generates very fine silica dust in home-based and small workshops; workers and family members share the exposure, giving extremely high silicosis rates (studied extensively by ICMR-NIOH).</w:t>
            </w:r>
          </w:p>
          <w:p>
            <w:pPr>
              <w:spacing w:after="40" w:before="60" w:line="259" w:lineRule="auto"/>
            </w:pPr>
            <w:r>
              <w:rPr>
                <w:rFonts w:ascii="Calibri" w:hAnsi="Calibri"/>
                <w:b w:val="0"/>
                <w:i w:val="0"/>
                <w:color w:val="212121"/>
                <w:sz w:val="19"/>
              </w:rPr>
              <w:t>Silicosis prevalence of 69.1% has been reported among Khambhat agate workers.</w:t>
            </w:r>
          </w:p>
          <w:p>
            <w:pPr>
              <w:spacing w:after="40" w:line="252" w:lineRule="auto"/>
            </w:pPr>
            <w:hyperlink r:id="rId12">
              <w:r>
                <w:rPr>
                  <w:rFonts w:ascii="Calibri" w:hAnsi="Calibri" w:cs="Calibri"/>
                  <w:sz w:val="18"/>
                  <w:color w:val="1155CC"/>
                  <w:u w:val="single"/>
                </w:rPr>
                <w:t xml:space="preserve">pubmed.ncbi.nlm.nih.gov/39881375 — India scoping review</w:t>
              </w:r>
            </w:hyperlink>
          </w:p>
          <w:p>
            <w:pPr>
              <w:spacing w:before="60" w:after="40"/>
            </w:pPr>
            <w:r>
              <w:rPr>
                <w:rFonts w:ascii="Calibri" w:hAnsi="Calibri"/>
                <w:b w:val="0"/>
                <w:i w:val="0"/>
                <w:color w:val="5A5A5A"/>
                <w:sz w:val="18"/>
              </w:rPr>
              <w:t>#Gujarat  #Khambhat  #agate  #NIOH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Stone-crushing, quarry &amp; slate clusters (Haryana, MP, Karnataka, Telangana, Odisha, WB)</w:t>
            </w:r>
          </w:p>
        </w:tc>
        <w:tc>
          <w:tcPr>
            <w:tcW w:type="dxa" w:w="4276"/>
            <w:vAlign w:val="top"/>
          </w:tcPr>
          <w:p>
            <w:pPr>
              <w:spacing w:after="60" w:line="259" w:lineRule="auto"/>
            </w:pPr>
            <w:r>
              <w:rPr>
                <w:rFonts w:ascii="Calibri" w:hAnsi="Calibri"/>
                <w:b w:val="0"/>
                <w:i w:val="0"/>
                <w:color w:val="212121"/>
                <w:sz w:val="19"/>
              </w:rPr>
              <w:t>Stone-crushing units, quartz processing, slate-pencil work (Mandsaur, MP) and quarrying across these states create dense, poorly controlled silica dust, with clustering of accelerated silicosis and silico-tuberculosis.</w:t>
            </w:r>
          </w:p>
          <w:p>
            <w:pPr>
              <w:spacing w:after="40" w:before="60" w:line="259" w:lineRule="auto"/>
            </w:pPr>
            <w:r>
              <w:rPr>
                <w:rFonts w:ascii="Calibri" w:hAnsi="Calibri"/>
                <w:b w:val="0"/>
                <w:i w:val="0"/>
                <w:color w:val="212121"/>
                <w:sz w:val="19"/>
              </w:rPr>
              <w:t>In a Haryana stone-crushing cohort, 465 of 729 workers assessed by the medical board had silicosis and nearly one-quarter had progressive massive fibrosis.</w:t>
            </w:r>
          </w:p>
          <w:p>
            <w:pPr>
              <w:spacing w:after="40" w:line="252" w:lineRule="auto"/>
            </w:pPr>
            <w:hyperlink r:id="rId9">
              <w:r>
                <w:rPr>
                  <w:rFonts w:ascii="Calibri" w:hAnsi="Calibri" w:cs="Calibri"/>
                  <w:sz w:val="18"/>
                  <w:color w:val="1155CC"/>
                  <w:u w:val="single"/>
                </w:rPr>
                <w:t xml:space="preserve">doi.org/10.1093/occmed/kqab146 — stone-crushing workers, India</w:t>
              </w:r>
            </w:hyperlink>
          </w:p>
          <w:p>
            <w:pPr>
              <w:spacing w:before="60" w:after="40"/>
            </w:pPr>
            <w:r>
              <w:rPr>
                <w:rFonts w:ascii="Calibri" w:hAnsi="Calibri"/>
                <w:b w:val="0"/>
                <w:i w:val="0"/>
                <w:color w:val="5A5A5A"/>
                <w:sz w:val="18"/>
              </w:rPr>
              <w:t>#stonecrushing  #quartz  #slatepencil  #quarry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High-intensity dry processes</w:t>
            </w:r>
          </w:p>
        </w:tc>
        <w:tc>
          <w:tcPr>
            <w:tcW w:type="dxa" w:w="2160"/>
            <w:vAlign w:val="top"/>
          </w:tcPr>
          <w:p>
            <w:pPr>
              <w:spacing w:after="40" w:before="0" w:line="259" w:lineRule="auto"/>
            </w:pPr>
            <w:r>
              <w:rPr>
                <w:rFonts w:ascii="Calibri" w:hAnsi="Calibri"/>
                <w:b w:val="0"/>
                <w:i w:val="0"/>
                <w:color w:val="212121"/>
                <w:sz w:val="19"/>
              </w:rPr>
              <w:t>Sandblasters, engineered-stone/quartz benchtop &amp; denim sandblasting workers</w:t>
            </w:r>
          </w:p>
        </w:tc>
        <w:tc>
          <w:tcPr>
            <w:tcW w:type="dxa" w:w="4276"/>
            <w:vAlign w:val="top"/>
          </w:tcPr>
          <w:p>
            <w:pPr>
              <w:spacing w:after="60" w:line="259" w:lineRule="auto"/>
            </w:pPr>
            <w:r>
              <w:rPr>
                <w:rFonts w:ascii="Calibri" w:hAnsi="Calibri"/>
                <w:b w:val="0"/>
                <w:i w:val="0"/>
                <w:color w:val="212121"/>
                <w:sz w:val="19"/>
              </w:rPr>
              <w:t>Abrasive blasting and dry fabrication of high-silica engineered stone release intense clouds of fine, freshly fractured silica, causing accelerated and acute silicosis (silicoproteinosis) in young workers within months to a few years.</w:t>
            </w:r>
          </w:p>
          <w:p>
            <w:pPr>
              <w:spacing w:after="40" w:before="60" w:line="259" w:lineRule="auto"/>
            </w:pPr>
            <w:r>
              <w:rPr>
                <w:rFonts w:ascii="Calibri" w:hAnsi="Calibri"/>
                <w:b w:val="0"/>
                <w:i w:val="0"/>
                <w:color w:val="212121"/>
                <w:sz w:val="19"/>
              </w:rPr>
              <w:t>OSHA lists silicosis, lung cancer, COPD and kidney disease as the serious effects of respirable crystalline silica; abrasive blasting with sand is a highest-risk task.</w:t>
            </w:r>
          </w:p>
          <w:p>
            <w:pPr>
              <w:spacing w:after="40" w:line="252" w:lineRule="auto"/>
            </w:pPr>
            <w:hyperlink r:id="rId13">
              <w:r>
                <w:rPr>
                  <w:rFonts w:ascii="Calibri" w:hAnsi="Calibri" w:cs="Calibri"/>
                  <w:sz w:val="18"/>
                  <w:color w:val="1155CC"/>
                  <w:u w:val="single"/>
                </w:rPr>
                <w:t xml:space="preserve">osha.gov — crystalline silica</w:t>
              </w:r>
            </w:hyperlink>
          </w:p>
          <w:p>
            <w:pPr>
              <w:spacing w:before="60" w:after="40"/>
            </w:pPr>
            <w:r>
              <w:rPr>
                <w:rFonts w:ascii="Calibri" w:hAnsi="Calibri"/>
                <w:b w:val="0"/>
                <w:i w:val="0"/>
                <w:color w:val="5A5A5A"/>
                <w:sz w:val="18"/>
              </w:rPr>
              <w:t>#sandblasting  #engineeredstone  #acutesilicosis  #youngworkers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&amp; bidi smokers among dust-exposed workers</w:t>
            </w:r>
          </w:p>
        </w:tc>
        <w:tc>
          <w:tcPr>
            <w:tcW w:type="dxa" w:w="4276"/>
            <w:vAlign w:val="top"/>
          </w:tcPr>
          <w:p>
            <w:pPr>
              <w:spacing w:after="60" w:line="259" w:lineRule="auto"/>
            </w:pPr>
            <w:r>
              <w:rPr>
                <w:rFonts w:ascii="Calibri" w:hAnsi="Calibri"/>
                <w:b w:val="0"/>
                <w:i w:val="0"/>
                <w:color w:val="212121"/>
                <w:sz w:val="19"/>
              </w:rPr>
              <w:t>Cigarette and bidi smoke is additive to silica in producing airflow obstruction and emphysema, accelerates lung-function decline, and multiplies the lung-cancer and tuberculosis risk already conferred by silica.</w:t>
            </w:r>
          </w:p>
          <w:p>
            <w:pPr>
              <w:spacing w:after="40" w:before="60" w:line="259" w:lineRule="auto"/>
            </w:pPr>
            <w:r>
              <w:rPr>
                <w:rFonts w:ascii="Calibri" w:hAnsi="Calibri"/>
                <w:b w:val="0"/>
                <w:i w:val="0"/>
                <w:color w:val="212121"/>
                <w:sz w:val="19"/>
              </w:rPr>
              <w:t>Silicosis increases the risk of lung cancer, tuberculosis and COPD, all of which are further amplified by smoking.</w:t>
            </w:r>
          </w:p>
          <w:p>
            <w:pPr>
              <w:spacing w:after="40" w:line="252" w:lineRule="auto"/>
            </w:pPr>
            <w:hyperlink r:id="rId14">
              <w:r>
                <w:rPr>
                  <w:rFonts w:ascii="Calibri" w:hAnsi="Calibri" w:cs="Calibri"/>
                  <w:sz w:val="18"/>
                  <w:color w:val="1155CC"/>
                  <w:u w:val="single"/>
                </w:rPr>
                <w:t xml:space="preserve">lung.org — silicosis</w:t>
              </w:r>
            </w:hyperlink>
          </w:p>
          <w:p>
            <w:pPr>
              <w:spacing w:before="60" w:after="40"/>
            </w:pPr>
            <w:r>
              <w:rPr>
                <w:rFonts w:ascii="Calibri" w:hAnsi="Calibri"/>
                <w:b w:val="0"/>
                <w:i w:val="0"/>
                <w:color w:val="5A5A5A"/>
                <w:sz w:val="18"/>
              </w:rPr>
              <w:t>#smoking  #bidi  #COPD  #lungcancer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 among silica workers</w:t>
            </w:r>
          </w:p>
        </w:tc>
        <w:tc>
          <w:tcPr>
            <w:tcW w:type="dxa" w:w="4276"/>
            <w:vAlign w:val="top"/>
          </w:tcPr>
          <w:p>
            <w:pPr>
              <w:spacing w:after="60" w:line="259" w:lineRule="auto"/>
            </w:pPr>
            <w:r>
              <w:rPr>
                <w:rFonts w:ascii="Calibri" w:hAnsi="Calibri"/>
                <w:b w:val="0"/>
                <w:i w:val="0"/>
                <w:color w:val="212121"/>
                <w:sz w:val="19"/>
              </w:rPr>
              <w:t>Heavy alcohol use is not a direct cause but associates with undernutrition, poor treatment adherence and higher tuberculosis risk in silicotic labourers, worsening outcomes and complicating anti-TB therapy.</w:t>
            </w:r>
          </w:p>
          <w:p>
            <w:pPr>
              <w:spacing w:before="60" w:after="40"/>
            </w:pPr>
            <w:r>
              <w:rPr>
                <w:rFonts w:ascii="Calibri" w:hAnsi="Calibri"/>
                <w:b w:val="0"/>
                <w:i w:val="0"/>
                <w:color w:val="5A5A5A"/>
                <w:sz w:val="18"/>
              </w:rPr>
              <w:t>#alcohol  #undernutrition  #TBrisk  #adherence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Undernutrition</w:t>
            </w:r>
          </w:p>
        </w:tc>
        <w:tc>
          <w:tcPr>
            <w:tcW w:type="dxa" w:w="2160"/>
            <w:vAlign w:val="top"/>
          </w:tcPr>
          <w:p>
            <w:pPr>
              <w:spacing w:after="40" w:before="0" w:line="259" w:lineRule="auto"/>
            </w:pPr>
            <w:r>
              <w:rPr>
                <w:rFonts w:ascii="Calibri" w:hAnsi="Calibri"/>
                <w:b w:val="0"/>
                <w:i w:val="0"/>
                <w:color w:val="212121"/>
                <w:sz w:val="19"/>
              </w:rPr>
              <w:t>Low-BMI, undernourished labourers</w:t>
            </w:r>
          </w:p>
        </w:tc>
        <w:tc>
          <w:tcPr>
            <w:tcW w:type="dxa" w:w="4276"/>
            <w:vAlign w:val="top"/>
          </w:tcPr>
          <w:p>
            <w:pPr>
              <w:spacing w:after="60" w:line="259" w:lineRule="auto"/>
            </w:pPr>
            <w:r>
              <w:rPr>
                <w:rFonts w:ascii="Calibri" w:hAnsi="Calibri"/>
                <w:b w:val="0"/>
                <w:i w:val="0"/>
                <w:color w:val="212121"/>
                <w:sz w:val="19"/>
              </w:rPr>
              <w:t>Chronic undernutrition, common in migrant stone and mine workers, impairs cell-mediated immunity and markedly raises susceptibility to tuberculosis and to poorer silicosis outcomes.</w:t>
            </w:r>
          </w:p>
          <w:p>
            <w:pPr>
              <w:spacing w:before="60" w:after="40"/>
            </w:pPr>
            <w:r>
              <w:rPr>
                <w:rFonts w:ascii="Calibri" w:hAnsi="Calibri"/>
                <w:b w:val="0"/>
                <w:i w:val="0"/>
                <w:color w:val="5A5A5A"/>
                <w:sz w:val="18"/>
              </w:rPr>
              <w:t>#undernutrition  #lowBMI  #immunity  #TBsusceptibility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fibrotic susceptibility</w:t>
            </w:r>
          </w:p>
        </w:tc>
        <w:tc>
          <w:tcPr>
            <w:tcW w:type="dxa" w:w="2160"/>
            <w:vAlign w:val="top"/>
          </w:tcPr>
          <w:p>
            <w:pPr>
              <w:spacing w:after="40" w:before="0" w:line="259" w:lineRule="auto"/>
            </w:pPr>
            <w:r>
              <w:rPr>
                <w:rFonts w:ascii="Calibri" w:hAnsi="Calibri"/>
                <w:b w:val="0"/>
                <w:i w:val="0"/>
                <w:color w:val="212121"/>
                <w:sz w:val="19"/>
              </w:rPr>
              <w:t>Workers with heightened fibrotic / autoimmune response</w:t>
            </w:r>
          </w:p>
        </w:tc>
        <w:tc>
          <w:tcPr>
            <w:tcW w:type="dxa" w:w="4276"/>
            <w:vAlign w:val="top"/>
          </w:tcPr>
          <w:p>
            <w:pPr>
              <w:spacing w:after="60" w:line="259" w:lineRule="auto"/>
            </w:pPr>
            <w:r>
              <w:rPr>
                <w:rFonts w:ascii="Calibri" w:hAnsi="Calibri"/>
                <w:b w:val="0"/>
                <w:i w:val="0"/>
                <w:color w:val="212121"/>
                <w:sz w:val="19"/>
              </w:rPr>
              <w:t>For the same dust exposure, individuals vary in fibrotic response and in susceptibility to silica-associated autoimmunity; familial clustering also occurs because families frequently share the same dusty trade and household dust.</w:t>
            </w:r>
          </w:p>
          <w:p>
            <w:pPr>
              <w:spacing w:before="60" w:after="40"/>
            </w:pPr>
            <w:r>
              <w:rPr>
                <w:rFonts w:ascii="Calibri" w:hAnsi="Calibri"/>
                <w:b w:val="0"/>
                <w:i w:val="0"/>
                <w:color w:val="5A5A5A"/>
                <w:sz w:val="18"/>
              </w:rPr>
              <w:t>#hostresponse  #fibrosis  #autoimmunity  #familialtrade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Silicotics (silico-tuberculosis)</w:t>
            </w:r>
          </w:p>
        </w:tc>
        <w:tc>
          <w:tcPr>
            <w:tcW w:type="dxa" w:w="4276"/>
            <w:vAlign w:val="top"/>
          </w:tcPr>
          <w:p>
            <w:pPr>
              <w:spacing w:after="60" w:line="259" w:lineRule="auto"/>
            </w:pPr>
            <w:r>
              <w:rPr>
                <w:rFonts w:ascii="Calibri" w:hAnsi="Calibri"/>
                <w:b w:val="0"/>
                <w:i w:val="0"/>
                <w:color w:val="212121"/>
                <w:sz w:val="19"/>
              </w:rPr>
              <w:t>Silica-laden macrophages are impaired in killing Mycobacterium tuberculosis, so silicosis sharply raises the risk of pulmonary (and non-tuberculous mycobacterial) infection; in India's high-TB setting, silico-tuberculosis is a leading cause of death in silicotics.</w:t>
            </w:r>
          </w:p>
          <w:p>
            <w:pPr>
              <w:spacing w:after="40" w:before="60" w:line="259" w:lineRule="auto"/>
            </w:pPr>
            <w:r>
              <w:rPr>
                <w:rFonts w:ascii="Calibri" w:hAnsi="Calibri"/>
                <w:b w:val="0"/>
                <w:i w:val="0"/>
                <w:color w:val="212121"/>
                <w:sz w:val="19"/>
              </w:rPr>
              <w:t>Silica impairs macrophage function against mycobacteria, explaining the strong silicosis–tuberculosis association.</w:t>
            </w:r>
          </w:p>
          <w:p>
            <w:pPr>
              <w:spacing w:after="40" w:line="252" w:lineRule="auto"/>
            </w:pPr>
            <w:hyperlink r:id="rId10">
              <w:r>
                <w:rPr>
                  <w:rFonts w:ascii="Calibri" w:hAnsi="Calibri" w:cs="Calibri"/>
                  <w:sz w:val="18"/>
                  <w:color w:val="1155CC"/>
                  <w:u w:val="single"/>
                </w:rPr>
                <w:t xml:space="preserve">ncbi.nlm.nih.gov — StatPearls: Silicosis</w:t>
              </w:r>
            </w:hyperlink>
          </w:p>
          <w:p>
            <w:pPr>
              <w:spacing w:before="60" w:after="40"/>
            </w:pPr>
            <w:r>
              <w:rPr>
                <w:rFonts w:ascii="Calibri" w:hAnsi="Calibri"/>
                <w:b w:val="0"/>
                <w:i w:val="0"/>
                <w:color w:val="5A5A5A"/>
                <w:sz w:val="18"/>
              </w:rPr>
              <w:t>#silicoTB  #tuberculosis  #macrophage  #Xpert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COPD / emphysema</w:t>
            </w:r>
          </w:p>
        </w:tc>
        <w:tc>
          <w:tcPr>
            <w:tcW w:type="dxa" w:w="2160"/>
            <w:vAlign w:val="top"/>
          </w:tcPr>
          <w:p>
            <w:pPr>
              <w:spacing w:after="40" w:before="0" w:line="259" w:lineRule="auto"/>
            </w:pPr>
            <w:r>
              <w:rPr>
                <w:rFonts w:ascii="Calibri" w:hAnsi="Calibri"/>
                <w:b w:val="0"/>
                <w:i w:val="0"/>
                <w:color w:val="212121"/>
                <w:sz w:val="19"/>
              </w:rPr>
              <w:t>Dust-exposed workers with airflow obstruction</w:t>
            </w:r>
          </w:p>
        </w:tc>
        <w:tc>
          <w:tcPr>
            <w:tcW w:type="dxa" w:w="4276"/>
            <w:vAlign w:val="top"/>
          </w:tcPr>
          <w:p>
            <w:pPr>
              <w:spacing w:after="60" w:line="259" w:lineRule="auto"/>
            </w:pPr>
            <w:r>
              <w:rPr>
                <w:rFonts w:ascii="Calibri" w:hAnsi="Calibri"/>
                <w:b w:val="0"/>
                <w:i w:val="0"/>
                <w:color w:val="212121"/>
                <w:sz w:val="19"/>
              </w:rPr>
              <w:t>Chronic silica dust exposure causes chronic bronchitis, airflow obstruction and emphysema independent of, and additive to, nodular fibrosis, contributing to breathlessness and respiratory failure.</w:t>
            </w:r>
          </w:p>
          <w:p>
            <w:pPr>
              <w:spacing w:after="40" w:before="60" w:line="259" w:lineRule="auto"/>
            </w:pPr>
            <w:r>
              <w:rPr>
                <w:rFonts w:ascii="Calibri" w:hAnsi="Calibri"/>
                <w:b w:val="0"/>
                <w:i w:val="0"/>
                <w:color w:val="212121"/>
                <w:sz w:val="19"/>
              </w:rPr>
              <w:t>COPD is one of the four serious diseases OSHA attributes to respirable crystalline silica exposure.</w:t>
            </w:r>
          </w:p>
          <w:p>
            <w:pPr>
              <w:spacing w:after="40" w:line="252" w:lineRule="auto"/>
            </w:pPr>
            <w:hyperlink r:id="rId13">
              <w:r>
                <w:rPr>
                  <w:rFonts w:ascii="Calibri" w:hAnsi="Calibri" w:cs="Calibri"/>
                  <w:sz w:val="18"/>
                  <w:color w:val="1155CC"/>
                  <w:u w:val="single"/>
                </w:rPr>
                <w:t xml:space="preserve">osha.gov — crystalline silica</w:t>
              </w:r>
            </w:hyperlink>
          </w:p>
          <w:p>
            <w:pPr>
              <w:spacing w:before="60" w:after="40"/>
            </w:pPr>
            <w:r>
              <w:rPr>
                <w:rFonts w:ascii="Calibri" w:hAnsi="Calibri"/>
                <w:b w:val="0"/>
                <w:i w:val="0"/>
                <w:color w:val="5A5A5A"/>
                <w:sz w:val="18"/>
              </w:rPr>
              <w:t>#COPD  #emphysema  #airflowobstruction  #chronicbronchitis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disease</w:t>
            </w:r>
          </w:p>
        </w:tc>
        <w:tc>
          <w:tcPr>
            <w:tcW w:type="dxa" w:w="2160"/>
            <w:vAlign w:val="top"/>
          </w:tcPr>
          <w:p>
            <w:pPr>
              <w:spacing w:after="40" w:before="0" w:line="259" w:lineRule="auto"/>
            </w:pPr>
            <w:r>
              <w:rPr>
                <w:rFonts w:ascii="Calibri" w:hAnsi="Calibri"/>
                <w:b w:val="0"/>
                <w:i w:val="0"/>
                <w:color w:val="212121"/>
                <w:sz w:val="19"/>
              </w:rPr>
              <w:t>Silica-associated rheumatoid arthritis (Caplan syndrome) &amp; systemic sclerosis</w:t>
            </w:r>
          </w:p>
        </w:tc>
        <w:tc>
          <w:tcPr>
            <w:tcW w:type="dxa" w:w="4276"/>
            <w:vAlign w:val="top"/>
          </w:tcPr>
          <w:p>
            <w:pPr>
              <w:spacing w:after="60" w:line="259" w:lineRule="auto"/>
            </w:pPr>
            <w:r>
              <w:rPr>
                <w:rFonts w:ascii="Calibri" w:hAnsi="Calibri"/>
                <w:b w:val="0"/>
                <w:i w:val="0"/>
                <w:color w:val="212121"/>
                <w:sz w:val="19"/>
              </w:rPr>
              <w:t>Silica is an established environmental trigger of autoimmunity; silicotics have increased rates of rheumatoid arthritis (Caplan syndrome — RA with rheumatoid pneumoconiotic nodules), systemic sclerosis (scleroderma) and small-vessel vasculitis.</w:t>
            </w:r>
          </w:p>
          <w:p>
            <w:pPr>
              <w:spacing w:after="40" w:before="60" w:line="259" w:lineRule="auto"/>
            </w:pPr>
            <w:r>
              <w:rPr>
                <w:rFonts w:ascii="Calibri" w:hAnsi="Calibri"/>
                <w:b w:val="0"/>
                <w:i w:val="0"/>
                <w:color w:val="212121"/>
                <w:sz w:val="19"/>
              </w:rPr>
              <w:t>StatPearls notes an increased incidence of scleroderma with chronic silica exposure.</w:t>
            </w:r>
          </w:p>
          <w:p>
            <w:pPr>
              <w:spacing w:after="40" w:line="252" w:lineRule="auto"/>
            </w:pPr>
            <w:hyperlink r:id="rId10">
              <w:r>
                <w:rPr>
                  <w:rFonts w:ascii="Calibri" w:hAnsi="Calibri" w:cs="Calibri"/>
                  <w:sz w:val="18"/>
                  <w:color w:val="1155CC"/>
                  <w:u w:val="single"/>
                </w:rPr>
                <w:t xml:space="preserve">ncbi.nlm.nih.gov — StatPearls: Silicosis</w:t>
              </w:r>
            </w:hyperlink>
          </w:p>
          <w:p>
            <w:pPr>
              <w:spacing w:before="60" w:after="40"/>
            </w:pPr>
            <w:r>
              <w:rPr>
                <w:rFonts w:ascii="Calibri" w:hAnsi="Calibri"/>
                <w:b w:val="0"/>
                <w:i w:val="0"/>
                <w:color w:val="5A5A5A"/>
                <w:sz w:val="18"/>
              </w:rPr>
              <w:t>#Caplan  #rheumatoidarthritis  #scleroderma  #autoimmunity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Latent / prior tuberculosis</w:t>
            </w:r>
          </w:p>
        </w:tc>
        <w:tc>
          <w:tcPr>
            <w:tcW w:type="dxa" w:w="2160"/>
            <w:vAlign w:val="top"/>
          </w:tcPr>
          <w:p>
            <w:pPr>
              <w:spacing w:after="40" w:before="0" w:line="259" w:lineRule="auto"/>
            </w:pPr>
            <w:r>
              <w:rPr>
                <w:rFonts w:ascii="Calibri" w:hAnsi="Calibri"/>
                <w:b w:val="0"/>
                <w:i w:val="0"/>
                <w:color w:val="212121"/>
                <w:sz w:val="19"/>
              </w:rPr>
              <w:t>Silicotics with latent TB infection</w:t>
            </w:r>
          </w:p>
        </w:tc>
        <w:tc>
          <w:tcPr>
            <w:tcW w:type="dxa" w:w="4276"/>
            <w:vAlign w:val="top"/>
          </w:tcPr>
          <w:p>
            <w:pPr>
              <w:spacing w:after="60" w:line="259" w:lineRule="auto"/>
            </w:pPr>
            <w:r>
              <w:rPr>
                <w:rFonts w:ascii="Calibri" w:hAnsi="Calibri"/>
                <w:b w:val="0"/>
                <w:i w:val="0"/>
                <w:color w:val="212121"/>
                <w:sz w:val="19"/>
              </w:rPr>
              <w:t>Latent tuberculosis infection is far more likely to reactivate in silicotic lungs; screening with IGRA/TST and offering TB preventive therapy is an important part of silicosis management.</w:t>
            </w:r>
          </w:p>
          <w:p>
            <w:pPr>
              <w:spacing w:after="40" w:line="252" w:lineRule="auto"/>
            </w:pPr>
            <w:hyperlink r:id="rId10">
              <w:r>
                <w:rPr>
                  <w:rFonts w:ascii="Calibri" w:hAnsi="Calibri" w:cs="Calibri"/>
                  <w:sz w:val="18"/>
                  <w:color w:val="1155CC"/>
                  <w:u w:val="single"/>
                </w:rPr>
                <w:t xml:space="preserve">ncbi.nlm.nih.gov — StatPearls: Silicosis</w:t>
              </w:r>
            </w:hyperlink>
          </w:p>
          <w:p>
            <w:pPr>
              <w:spacing w:before="60" w:after="40"/>
            </w:pPr>
            <w:r>
              <w:rPr>
                <w:rFonts w:ascii="Calibri" w:hAnsi="Calibri"/>
                <w:b w:val="0"/>
                <w:i w:val="0"/>
                <w:color w:val="5A5A5A"/>
                <w:sz w:val="18"/>
              </w:rPr>
              <w:t>#latentTB  #reactivation  #IGRA  #preventivetherapy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does not cause silicosis, but the fibrosis it produces limits exercise capacity; deconditioning worsens breathlessness, and structured pulmonary rehabilitation improves exercise tolerance and quality of life.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is not causal, but undernutrition and low BMI, common in migrant dust workers, impair immunity and substantially raise tuberculosis risk and mortality in silicotics; adequate protein-calorie intake supports recovery.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cause; advanced silicosis, PMF and cor pulmonale produce nocturnal hypoxaemia, cough and orthopnoea that fragment sleep and may require assessment for supplemental oxygen.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and bidi smoke are strongly additive to silica, causing airflow obstruction and emphysema, accelerating functional decline, and multiplying the lung-cancer and tuberculosis risk conferred by silica.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but heavy alcohol use associates with undernutrition, poor adherence and higher tuberculosis risk in silicotic workers, and interacts with anti-TB medication.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 progressive, incurable disease with loss of livelihood commonly causes anxiety and depression; poor mental health reduces treatment adherence but is a consequence, not a cause, of silicosis.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is not linked to causation, but adequate fluids aid mucociliary clearance and sputum expectoration; wet (water-based) dust suppression at the workplace is, separately, a key preventive control.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silicosis risk or progression; methylxanthines have only a minor bronchodilator role in coexisting airflow obstruction.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Industrial and respiratory hygiene is central to prevention: wet cutting, local exhaust ventilation, respirator use and preventing take-home dust (changing/washing clothes, showering) sharply reduce exposure and household spread.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Occupational inhalation of respirable crystalline silica from dry cutting, grinding, crushing, drilling and sandblasting is the single provoking factor; freshly fractured silica is the most fibrogenic.</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Respirable crystalline silica (8-hour TWA air concentration)</w:t>
            </w:r>
          </w:p>
        </w:tc>
        <w:tc>
          <w:tcPr>
            <w:tcW w:type="dxa" w:w="1655"/>
            <w:vAlign w:val="top"/>
          </w:tcPr>
          <w:p>
            <w:pPr>
              <w:spacing w:after="40" w:before="0" w:line="259" w:lineRule="auto"/>
            </w:pPr>
            <w:r>
              <w:rPr>
                <w:rFonts w:ascii="Calibri" w:hAnsi="Calibri"/>
                <w:b w:val="0"/>
                <w:i w:val="0"/>
                <w:color w:val="212121"/>
                <w:sz w:val="19"/>
              </w:rPr>
              <w:t>All silica-dust-exposed workers</w:t>
            </w:r>
          </w:p>
        </w:tc>
        <w:tc>
          <w:tcPr>
            <w:tcW w:type="dxa" w:w="1512"/>
            <w:vAlign w:val="top"/>
          </w:tcPr>
          <w:p>
            <w:pPr>
              <w:spacing w:after="40" w:before="0" w:line="259" w:lineRule="auto"/>
            </w:pPr>
            <w:r>
              <w:rPr>
                <w:rFonts w:ascii="Calibri" w:hAnsi="Calibri"/>
                <w:b w:val="0"/>
                <w:i w:val="0"/>
                <w:color w:val="212121"/>
                <w:sz w:val="19"/>
              </w:rPr>
              <w:t>&lt; 25 µg/m³ (action level)</w:t>
            </w:r>
          </w:p>
        </w:tc>
        <w:tc>
          <w:tcPr>
            <w:tcW w:type="dxa" w:w="1512"/>
            <w:vAlign w:val="top"/>
          </w:tcPr>
          <w:p>
            <w:pPr>
              <w:spacing w:after="40" w:before="0" w:line="259" w:lineRule="auto"/>
            </w:pPr>
            <w:r>
              <w:rPr>
                <w:rFonts w:ascii="Calibri" w:hAnsi="Calibri"/>
                <w:b w:val="0"/>
                <w:i w:val="0"/>
                <w:color w:val="212121"/>
                <w:sz w:val="19"/>
              </w:rPr>
              <w:t>≥ 50 µg/m³ (exceeds OSHA PEL)</w:t>
            </w:r>
          </w:p>
        </w:tc>
        <w:tc>
          <w:tcPr>
            <w:tcW w:type="dxa" w:w="1468"/>
            <w:vAlign w:val="top"/>
          </w:tcPr>
          <w:p>
            <w:pPr>
              <w:spacing w:after="60" w:line="259" w:lineRule="auto"/>
            </w:pPr>
            <w:r>
              <w:rPr>
                <w:rFonts w:ascii="Calibri" w:hAnsi="Calibri"/>
                <w:b w:val="0"/>
                <w:i w:val="0"/>
                <w:color w:val="212121"/>
                <w:sz w:val="19"/>
              </w:rPr>
              <w:t>Enforce wet methods, local exhaust ventilation and respiratory protection above the action level</w:t>
            </w:r>
          </w:p>
          <w:p>
            <w:pPr>
              <w:spacing w:after="40" w:line="252" w:lineRule="auto"/>
            </w:pPr>
            <w:hyperlink r:id="rId15">
              <w:r>
                <w:rPr>
                  <w:rFonts w:ascii="Calibri" w:hAnsi="Calibri" w:cs="Calibri"/>
                  <w:sz w:val="18"/>
                  <w:color w:val="1155CC"/>
                  <w:u w:val="single"/>
                </w:rPr>
                <w:t xml:space="preserve">https://www.osha.gov/laws-regs/regulations/standardnumber/1926/1926.1153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Years in silica-dust trade (cumulative exposure)</w:t>
            </w:r>
          </w:p>
        </w:tc>
        <w:tc>
          <w:tcPr>
            <w:tcW w:type="dxa" w:w="1655"/>
            <w:vAlign w:val="top"/>
          </w:tcPr>
          <w:p>
            <w:pPr>
              <w:spacing w:after="40" w:before="0" w:line="259" w:lineRule="auto"/>
            </w:pPr>
            <w:r>
              <w:rPr>
                <w:rFonts w:ascii="Calibri" w:hAnsi="Calibri"/>
                <w:b w:val="0"/>
                <w:i w:val="0"/>
                <w:color w:val="212121"/>
                <w:sz w:val="19"/>
              </w:rPr>
              <w:t>Miners, crushers, agate &amp; quartz workers</w:t>
            </w:r>
          </w:p>
        </w:tc>
        <w:tc>
          <w:tcPr>
            <w:tcW w:type="dxa" w:w="1512"/>
            <w:vAlign w:val="top"/>
          </w:tcPr>
          <w:p>
            <w:pPr>
              <w:spacing w:after="40" w:before="0" w:line="259" w:lineRule="auto"/>
            </w:pPr>
            <w:r>
              <w:rPr>
                <w:rFonts w:ascii="Calibri" w:hAnsi="Calibri"/>
                <w:b w:val="0"/>
                <w:i w:val="0"/>
                <w:color w:val="212121"/>
                <w:sz w:val="19"/>
              </w:rPr>
              <w:t>0 years / eliminated exposure</w:t>
            </w:r>
          </w:p>
        </w:tc>
        <w:tc>
          <w:tcPr>
            <w:tcW w:type="dxa" w:w="1512"/>
            <w:vAlign w:val="top"/>
          </w:tcPr>
          <w:p>
            <w:pPr>
              <w:spacing w:after="40" w:before="0" w:line="259" w:lineRule="auto"/>
            </w:pPr>
            <w:r>
              <w:rPr>
                <w:rFonts w:ascii="Calibri" w:hAnsi="Calibri"/>
                <w:b w:val="0"/>
                <w:i w:val="0"/>
                <w:color w:val="212121"/>
                <w:sz w:val="19"/>
              </w:rPr>
              <w:t>≥ 10 years (chronic risk); heavy exposure 5–10 years (accelerated)</w:t>
            </w:r>
          </w:p>
        </w:tc>
        <w:tc>
          <w:tcPr>
            <w:tcW w:type="dxa" w:w="1468"/>
            <w:vAlign w:val="top"/>
          </w:tcPr>
          <w:p>
            <w:pPr>
              <w:spacing w:after="60" w:line="259" w:lineRule="auto"/>
            </w:pPr>
            <w:r>
              <w:rPr>
                <w:rFonts w:ascii="Calibri" w:hAnsi="Calibri"/>
                <w:b w:val="0"/>
                <w:i w:val="0"/>
                <w:color w:val="212121"/>
                <w:sz w:val="19"/>
              </w:rPr>
              <w:t>Risk and severity rise with cumulative dose; record job history</w:t>
            </w:r>
          </w:p>
          <w:p>
            <w:pPr>
              <w:spacing w:after="40" w:line="252" w:lineRule="auto"/>
            </w:pPr>
            <w:hyperlink r:id="rId9">
              <w:r>
                <w:rPr>
                  <w:rFonts w:ascii="Calibri" w:hAnsi="Calibri" w:cs="Calibri"/>
                  <w:sz w:val="18"/>
                  <w:color w:val="1155CC"/>
                  <w:u w:val="single"/>
                </w:rPr>
                <w:t xml:space="preserve">https://doi.org/10.1093/occmed/kqab146</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or bidis per day</w:t>
            </w:r>
          </w:p>
        </w:tc>
        <w:tc>
          <w:tcPr>
            <w:tcW w:type="dxa" w:w="1655"/>
            <w:vAlign w:val="top"/>
          </w:tcPr>
          <w:p>
            <w:pPr>
              <w:spacing w:after="40" w:before="0" w:line="259" w:lineRule="auto"/>
            </w:pPr>
            <w:r>
              <w:rPr>
                <w:rFonts w:ascii="Calibri" w:hAnsi="Calibri"/>
                <w:b w:val="0"/>
                <w:i w:val="0"/>
                <w:color w:val="212121"/>
                <w:sz w:val="19"/>
              </w:rPr>
              <w:t>Dust-exposed smokers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Additive airflow obstruction and lung-cancer risk; cessation is essential</w:t>
            </w:r>
          </w:p>
          <w:p>
            <w:pPr>
              <w:spacing w:after="40" w:line="252" w:lineRule="auto"/>
            </w:pPr>
            <w:hyperlink r:id="rId16">
              <w:r>
                <w:rPr>
                  <w:rFonts w:ascii="Calibri" w:hAnsi="Calibri" w:cs="Calibri"/>
                  <w:sz w:val="18"/>
                  <w:color w:val="1155CC"/>
                  <w:u w:val="single"/>
                </w:rPr>
                <w:t xml:space="preserve">https://www.cdc.gov/niosh/silica/about/index.html</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Use of dust controls &amp; fit-tested respirator</w:t>
            </w:r>
          </w:p>
        </w:tc>
        <w:tc>
          <w:tcPr>
            <w:tcW w:type="dxa" w:w="1655"/>
            <w:vAlign w:val="top"/>
          </w:tcPr>
          <w:p>
            <w:pPr>
              <w:spacing w:after="40" w:before="0" w:line="259" w:lineRule="auto"/>
            </w:pPr>
            <w:r>
              <w:rPr>
                <w:rFonts w:ascii="Calibri" w:hAnsi="Calibri"/>
                <w:b w:val="0"/>
                <w:i w:val="0"/>
                <w:color w:val="212121"/>
                <w:sz w:val="19"/>
              </w:rPr>
              <w:t>All silica workers</w:t>
            </w:r>
          </w:p>
        </w:tc>
        <w:tc>
          <w:tcPr>
            <w:tcW w:type="dxa" w:w="1512"/>
            <w:vAlign w:val="top"/>
          </w:tcPr>
          <w:p>
            <w:pPr>
              <w:spacing w:after="40" w:before="0" w:line="259" w:lineRule="auto"/>
            </w:pPr>
            <w:r>
              <w:rPr>
                <w:rFonts w:ascii="Calibri" w:hAnsi="Calibri"/>
                <w:b w:val="0"/>
                <w:i w:val="0"/>
                <w:color w:val="212121"/>
                <w:sz w:val="19"/>
              </w:rPr>
              <w:t>Always — wet cutting + LEV + N95/FFP2 or better</w:t>
            </w:r>
          </w:p>
        </w:tc>
        <w:tc>
          <w:tcPr>
            <w:tcW w:type="dxa" w:w="1512"/>
            <w:vAlign w:val="top"/>
          </w:tcPr>
          <w:p>
            <w:pPr>
              <w:spacing w:after="40" w:before="0" w:line="259" w:lineRule="auto"/>
            </w:pPr>
            <w:r>
              <w:rPr>
                <w:rFonts w:ascii="Calibri" w:hAnsi="Calibri"/>
                <w:b w:val="0"/>
                <w:i w:val="0"/>
                <w:color w:val="212121"/>
                <w:sz w:val="19"/>
              </w:rPr>
              <w:t>Dry process without respiratory protection</w:t>
            </w:r>
          </w:p>
        </w:tc>
        <w:tc>
          <w:tcPr>
            <w:tcW w:type="dxa" w:w="1468"/>
            <w:vAlign w:val="top"/>
          </w:tcPr>
          <w:p>
            <w:pPr>
              <w:spacing w:after="40" w:before="0" w:line="259" w:lineRule="auto"/>
            </w:pPr>
            <w:r>
              <w:rPr>
                <w:rFonts w:ascii="Calibri" w:hAnsi="Calibri"/>
                <w:b w:val="0"/>
                <w:i w:val="0"/>
                <w:color w:val="212121"/>
                <w:sz w:val="19"/>
              </w:rPr>
              <w:t>Primary prevention; also prevents take-home dust</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Breathlessness grade (mMRC dyspnoea scale)</w:t>
            </w:r>
          </w:p>
        </w:tc>
        <w:tc>
          <w:tcPr>
            <w:tcW w:type="dxa" w:w="1655"/>
            <w:vAlign w:val="top"/>
          </w:tcPr>
          <w:p>
            <w:pPr>
              <w:spacing w:after="40" w:before="0" w:line="259" w:lineRule="auto"/>
            </w:pPr>
            <w:r>
              <w:rPr>
                <w:rFonts w:ascii="Calibri" w:hAnsi="Calibri"/>
                <w:b w:val="0"/>
                <w:i w:val="0"/>
                <w:color w:val="212121"/>
                <w:sz w:val="19"/>
              </w:rPr>
              <w:t>Silicosis patients</w:t>
            </w:r>
          </w:p>
        </w:tc>
        <w:tc>
          <w:tcPr>
            <w:tcW w:type="dxa" w:w="1512"/>
            <w:vAlign w:val="top"/>
          </w:tcPr>
          <w:p>
            <w:pPr>
              <w:spacing w:after="40" w:before="0" w:line="259" w:lineRule="auto"/>
            </w:pPr>
            <w:r>
              <w:rPr>
                <w:rFonts w:ascii="Calibri" w:hAnsi="Calibri"/>
                <w:b w:val="0"/>
                <w:i w:val="0"/>
                <w:color w:val="212121"/>
                <w:sz w:val="19"/>
              </w:rPr>
              <w:t>Grade 0 (breathless only on strenuous exertion)</w:t>
            </w:r>
          </w:p>
        </w:tc>
        <w:tc>
          <w:tcPr>
            <w:tcW w:type="dxa" w:w="1512"/>
            <w:vAlign w:val="top"/>
          </w:tcPr>
          <w:p>
            <w:pPr>
              <w:spacing w:after="40" w:before="0" w:line="259" w:lineRule="auto"/>
            </w:pPr>
            <w:r>
              <w:rPr>
                <w:rFonts w:ascii="Calibri" w:hAnsi="Calibri"/>
                <w:b w:val="0"/>
                <w:i w:val="0"/>
                <w:color w:val="212121"/>
                <w:sz w:val="19"/>
              </w:rPr>
              <w:t>Grade ≥ 2 (walks slower than peers / stops for breath)</w:t>
            </w:r>
          </w:p>
        </w:tc>
        <w:tc>
          <w:tcPr>
            <w:tcW w:type="dxa" w:w="1468"/>
            <w:vAlign w:val="top"/>
          </w:tcPr>
          <w:p>
            <w:pPr>
              <w:spacing w:after="40" w:before="0" w:line="259" w:lineRule="auto"/>
            </w:pPr>
            <w:r>
              <w:rPr>
                <w:rFonts w:ascii="Calibri" w:hAnsi="Calibri"/>
                <w:b w:val="0"/>
                <w:i w:val="0"/>
                <w:color w:val="212121"/>
                <w:sz w:val="19"/>
              </w:rPr>
              <w:t>Marks functional impairment; triggers pulmonary rehabilitation and staging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Forced vital capacity (FVC, % predicted on spirometry)</w:t>
            </w:r>
          </w:p>
        </w:tc>
        <w:tc>
          <w:tcPr>
            <w:tcW w:type="dxa" w:w="1655"/>
            <w:vAlign w:val="top"/>
          </w:tcPr>
          <w:p>
            <w:pPr>
              <w:spacing w:after="40" w:before="0" w:line="259" w:lineRule="auto"/>
            </w:pPr>
            <w:r>
              <w:rPr>
                <w:rFonts w:ascii="Calibri" w:hAnsi="Calibri"/>
                <w:b w:val="0"/>
                <w:i w:val="0"/>
                <w:color w:val="212121"/>
                <w:sz w:val="19"/>
              </w:rPr>
              <w:t>Silicosis patients</w:t>
            </w:r>
          </w:p>
        </w:tc>
        <w:tc>
          <w:tcPr>
            <w:tcW w:type="dxa" w:w="1512"/>
            <w:vAlign w:val="top"/>
          </w:tcPr>
          <w:p>
            <w:pPr>
              <w:spacing w:after="40" w:before="0" w:line="259" w:lineRule="auto"/>
            </w:pPr>
            <w:r>
              <w:rPr>
                <w:rFonts w:ascii="Calibri" w:hAnsi="Calibri"/>
                <w:b w:val="0"/>
                <w:i w:val="0"/>
                <w:color w:val="212121"/>
                <w:sz w:val="19"/>
              </w:rPr>
              <w:t>≥ 80% predicted</w:t>
            </w:r>
          </w:p>
        </w:tc>
        <w:tc>
          <w:tcPr>
            <w:tcW w:type="dxa" w:w="1512"/>
            <w:vAlign w:val="top"/>
          </w:tcPr>
          <w:p>
            <w:pPr>
              <w:spacing w:after="40" w:before="0" w:line="259" w:lineRule="auto"/>
            </w:pPr>
            <w:r>
              <w:rPr>
                <w:rFonts w:ascii="Calibri" w:hAnsi="Calibri"/>
                <w:b w:val="0"/>
                <w:i w:val="0"/>
                <w:color w:val="212121"/>
                <w:sz w:val="19"/>
              </w:rPr>
              <w:t>&lt; 80% (restrictive) or mixed pattern</w:t>
            </w:r>
          </w:p>
        </w:tc>
        <w:tc>
          <w:tcPr>
            <w:tcW w:type="dxa" w:w="1468"/>
            <w:vAlign w:val="top"/>
          </w:tcPr>
          <w:p>
            <w:pPr>
              <w:spacing w:after="40" w:before="0" w:line="259" w:lineRule="auto"/>
            </w:pPr>
            <w:r>
              <w:rPr>
                <w:rFonts w:ascii="Calibri" w:hAnsi="Calibri"/>
                <w:b w:val="0"/>
                <w:i w:val="0"/>
                <w:color w:val="212121"/>
                <w:sz w:val="19"/>
              </w:rPr>
              <w:t>Monitors fibrotic progression and disability</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Labourers &amp; silicotics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kg/m² (undernutrition)</w:t>
            </w:r>
          </w:p>
        </w:tc>
        <w:tc>
          <w:tcPr>
            <w:tcW w:type="dxa" w:w="1468"/>
            <w:vAlign w:val="top"/>
          </w:tcPr>
          <w:p>
            <w:pPr>
              <w:spacing w:after="40" w:before="0" w:line="259" w:lineRule="auto"/>
            </w:pPr>
            <w:r>
              <w:rPr>
                <w:rFonts w:ascii="Calibri" w:hAnsi="Calibri"/>
                <w:b w:val="0"/>
                <w:i w:val="0"/>
                <w:color w:val="212121"/>
                <w:sz w:val="19"/>
              </w:rPr>
              <w:t>Undernutrition raises tuberculosis susceptibility and mortality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Resting oxygen saturation (SpO₂, pulse oximetry)</w:t>
            </w:r>
          </w:p>
        </w:tc>
        <w:tc>
          <w:tcPr>
            <w:tcW w:type="dxa" w:w="1655"/>
            <w:vAlign w:val="top"/>
          </w:tcPr>
          <w:p>
            <w:pPr>
              <w:spacing w:after="40" w:before="0" w:line="259" w:lineRule="auto"/>
            </w:pPr>
            <w:r>
              <w:rPr>
                <w:rFonts w:ascii="Calibri" w:hAnsi="Calibri"/>
                <w:b w:val="0"/>
                <w:i w:val="0"/>
                <w:color w:val="212121"/>
                <w:sz w:val="19"/>
              </w:rPr>
              <w:t>Advanced / complicated silicosis</w:t>
            </w:r>
          </w:p>
        </w:tc>
        <w:tc>
          <w:tcPr>
            <w:tcW w:type="dxa" w:w="1512"/>
            <w:vAlign w:val="top"/>
          </w:tcPr>
          <w:p>
            <w:pPr>
              <w:spacing w:after="40" w:before="0" w:line="259" w:lineRule="auto"/>
            </w:pPr>
            <w:r>
              <w:rPr>
                <w:rFonts w:ascii="Calibri" w:hAnsi="Calibri"/>
                <w:b w:val="0"/>
                <w:i w:val="0"/>
                <w:color w:val="212121"/>
                <w:sz w:val="19"/>
              </w:rPr>
              <w:t>≥ 94% on room air</w:t>
            </w:r>
          </w:p>
        </w:tc>
        <w:tc>
          <w:tcPr>
            <w:tcW w:type="dxa" w:w="1512"/>
            <w:vAlign w:val="top"/>
          </w:tcPr>
          <w:p>
            <w:pPr>
              <w:spacing w:after="40" w:before="0" w:line="259" w:lineRule="auto"/>
            </w:pPr>
            <w:r>
              <w:rPr>
                <w:rFonts w:ascii="Calibri" w:hAnsi="Calibri"/>
                <w:b w:val="0"/>
                <w:i w:val="0"/>
                <w:color w:val="212121"/>
                <w:sz w:val="19"/>
              </w:rPr>
              <w:t>&lt; 90% (hypoxaemia)</w:t>
            </w:r>
          </w:p>
        </w:tc>
        <w:tc>
          <w:tcPr>
            <w:tcW w:type="dxa" w:w="1468"/>
            <w:vAlign w:val="top"/>
          </w:tcPr>
          <w:p>
            <w:pPr>
              <w:spacing w:after="40" w:before="0" w:line="259" w:lineRule="auto"/>
            </w:pPr>
            <w:r>
              <w:rPr>
                <w:rFonts w:ascii="Calibri" w:hAnsi="Calibri"/>
                <w:b w:val="0"/>
                <w:i w:val="0"/>
                <w:color w:val="212121"/>
                <w:sz w:val="19"/>
              </w:rPr>
              <w:t>Hypoxaemia drives nocturnal desaturation and cor pulmonale; assess for long-term oxygen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 (PA) — ILO profusion</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0/0 — no small opacities</w:t>
            </w:r>
          </w:p>
        </w:tc>
        <w:tc>
          <w:tcPr>
            <w:tcW w:type="dxa" w:w="950"/>
            <w:vAlign w:val="top"/>
          </w:tcPr>
          <w:p>
            <w:pPr>
              <w:spacing w:after="40" w:before="0" w:line="259" w:lineRule="auto"/>
            </w:pPr>
            <w:r>
              <w:rPr>
                <w:rFonts w:ascii="Calibri" w:hAnsi="Calibri"/>
                <w:b w:val="0"/>
                <w:i w:val="0"/>
                <w:color w:val="212121"/>
                <w:sz w:val="16"/>
              </w:rPr>
              <w:t>≥ 1/0 profusion; conglomerate masses = PMF (A/B/C)</w:t>
            </w:r>
          </w:p>
        </w:tc>
        <w:tc>
          <w:tcPr>
            <w:tcW w:type="dxa" w:w="1036"/>
            <w:vAlign w:val="top"/>
          </w:tcPr>
          <w:p>
            <w:pPr>
              <w:spacing w:after="40" w:before="0" w:line="259" w:lineRule="auto"/>
            </w:pPr>
            <w:r>
              <w:rPr>
                <w:rFonts w:ascii="Calibri" w:hAnsi="Calibri"/>
                <w:b w:val="0"/>
                <w:i w:val="0"/>
                <w:color w:val="212121"/>
                <w:sz w:val="16"/>
              </w:rPr>
              <w:t>Bilateral upper-zone rounded opacities with eggshell hilar-node calcification are characteristic; ILO grading standardises reporting</w:t>
            </w:r>
          </w:p>
        </w:tc>
        <w:tc>
          <w:tcPr>
            <w:tcW w:type="dxa" w:w="1036"/>
            <w:vAlign w:val="top"/>
          </w:tcPr>
          <w:p>
            <w:pPr>
              <w:spacing w:after="40" w:before="0" w:line="259" w:lineRule="auto"/>
            </w:pPr>
            <w:r>
              <w:rPr>
                <w:rFonts w:ascii="Calibri" w:hAnsi="Calibri"/>
                <w:b w:val="0"/>
                <w:i w:val="0"/>
                <w:color w:val="212121"/>
                <w:sz w:val="16"/>
              </w:rPr>
              <w:t>All silica-exposed workers; periodic surveillance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first-line</w:t>
            </w:r>
          </w:p>
        </w:tc>
        <w:tc>
          <w:tcPr>
            <w:tcW w:type="dxa" w:w="720"/>
            <w:vAlign w:val="top"/>
          </w:tcPr>
          <w:p>
            <w:pPr>
              <w:spacing w:after="40" w:before="0" w:line="259" w:lineRule="auto"/>
            </w:pPr>
            <w:r>
              <w:rPr>
                <w:rFonts w:ascii="Calibri" w:hAnsi="Calibri"/>
                <w:b w:val="0"/>
                <w:i w:val="0"/>
                <w:color w:val="212121"/>
                <w:sz w:val="16"/>
              </w:rPr>
              <w:t>Read against ILO standard films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HRCT chest</w:t>
            </w:r>
          </w:p>
        </w:tc>
        <w:tc>
          <w:tcPr>
            <w:tcW w:type="dxa" w:w="892"/>
            <w:vAlign w:val="top"/>
          </w:tcPr>
          <w:p>
            <w:pPr>
              <w:spacing w:after="40" w:before="0" w:line="259" w:lineRule="auto"/>
            </w:pPr>
            <w:r>
              <w:rPr>
                <w:rFonts w:ascii="Calibri" w:hAnsi="Calibri"/>
                <w:b w:val="0"/>
                <w:i w:val="0"/>
                <w:color w:val="212121"/>
                <w:sz w:val="16"/>
              </w:rPr>
              <w:t>High-resolution CT</w:t>
            </w:r>
          </w:p>
        </w:tc>
        <w:tc>
          <w:tcPr>
            <w:tcW w:type="dxa" w:w="950"/>
            <w:vAlign w:val="top"/>
          </w:tcPr>
          <w:p>
            <w:pPr>
              <w:spacing w:after="40" w:before="0" w:line="259" w:lineRule="auto"/>
            </w:pPr>
            <w:r>
              <w:rPr>
                <w:rFonts w:ascii="Calibri" w:hAnsi="Calibri"/>
                <w:b w:val="0"/>
                <w:i w:val="0"/>
                <w:color w:val="212121"/>
                <w:sz w:val="16"/>
              </w:rPr>
              <w:t>No micronodules or masses</w:t>
            </w:r>
          </w:p>
        </w:tc>
        <w:tc>
          <w:tcPr>
            <w:tcW w:type="dxa" w:w="950"/>
            <w:vAlign w:val="top"/>
          </w:tcPr>
          <w:p>
            <w:pPr>
              <w:spacing w:after="40" w:before="0" w:line="259" w:lineRule="auto"/>
            </w:pPr>
            <w:r>
              <w:rPr>
                <w:rFonts w:ascii="Calibri" w:hAnsi="Calibri"/>
                <w:b w:val="0"/>
                <w:i w:val="0"/>
                <w:color w:val="212121"/>
                <w:sz w:val="16"/>
              </w:rPr>
              <w:t>Centrilobular &amp; subpleural micronodules, eggshell nodes, conglomerate PMF masses</w:t>
            </w:r>
          </w:p>
        </w:tc>
        <w:tc>
          <w:tcPr>
            <w:tcW w:type="dxa" w:w="1036"/>
            <w:vAlign w:val="top"/>
          </w:tcPr>
          <w:p>
            <w:pPr>
              <w:spacing w:after="40" w:before="0" w:line="259" w:lineRule="auto"/>
            </w:pPr>
            <w:r>
              <w:rPr>
                <w:rFonts w:ascii="Calibri" w:hAnsi="Calibri"/>
                <w:b w:val="0"/>
                <w:i w:val="0"/>
                <w:color w:val="212121"/>
                <w:sz w:val="16"/>
              </w:rPr>
              <w:t>More sensitive than radiography; defines PMF and detects complications</w:t>
            </w:r>
          </w:p>
        </w:tc>
        <w:tc>
          <w:tcPr>
            <w:tcW w:type="dxa" w:w="1036"/>
            <w:vAlign w:val="top"/>
          </w:tcPr>
          <w:p>
            <w:pPr>
              <w:spacing w:after="40" w:before="0" w:line="259" w:lineRule="auto"/>
            </w:pPr>
            <w:r>
              <w:rPr>
                <w:rFonts w:ascii="Calibri" w:hAnsi="Calibri"/>
                <w:b w:val="0"/>
                <w:i w:val="0"/>
                <w:color w:val="212121"/>
                <w:sz w:val="16"/>
              </w:rPr>
              <w:t>Symptomatic or complicated cases, atypical radiographs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Helps distinguish PMF from lung cancer and TB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Spirometry (FEV1, FVC, ratio)</w:t>
            </w:r>
          </w:p>
        </w:tc>
        <w:tc>
          <w:tcPr>
            <w:tcW w:type="dxa" w:w="892"/>
            <w:vAlign w:val="top"/>
          </w:tcPr>
          <w:p>
            <w:pPr>
              <w:spacing w:after="40" w:before="0" w:line="259" w:lineRule="auto"/>
            </w:pPr>
            <w:r>
              <w:rPr>
                <w:rFonts w:ascii="Calibri" w:hAnsi="Calibri"/>
                <w:b w:val="0"/>
                <w:i w:val="0"/>
                <w:color w:val="212121"/>
                <w:sz w:val="16"/>
              </w:rPr>
              <w:t>Lung function test</w:t>
            </w:r>
          </w:p>
        </w:tc>
        <w:tc>
          <w:tcPr>
            <w:tcW w:type="dxa" w:w="950"/>
            <w:vAlign w:val="top"/>
          </w:tcPr>
          <w:p>
            <w:pPr>
              <w:spacing w:after="40" w:before="0" w:line="259" w:lineRule="auto"/>
            </w:pPr>
            <w:r>
              <w:rPr>
                <w:rFonts w:ascii="Calibri" w:hAnsi="Calibri"/>
                <w:b w:val="0"/>
                <w:i w:val="0"/>
                <w:color w:val="212121"/>
                <w:sz w:val="16"/>
              </w:rPr>
              <w:t>FVC ≥ 80% predicted; FEV1/FVC ≥ 0.70</w:t>
            </w:r>
          </w:p>
        </w:tc>
        <w:tc>
          <w:tcPr>
            <w:tcW w:type="dxa" w:w="950"/>
            <w:vAlign w:val="top"/>
          </w:tcPr>
          <w:p>
            <w:pPr>
              <w:spacing w:after="40" w:before="0" w:line="259" w:lineRule="auto"/>
            </w:pPr>
            <w:r>
              <w:rPr>
                <w:rFonts w:ascii="Calibri" w:hAnsi="Calibri"/>
                <w:b w:val="0"/>
                <w:i w:val="0"/>
                <w:color w:val="212121"/>
                <w:sz w:val="16"/>
              </w:rPr>
              <w:t>Restrictive (low FVC) or mixed obstructive-restrictive pattern</w:t>
            </w:r>
          </w:p>
        </w:tc>
        <w:tc>
          <w:tcPr>
            <w:tcW w:type="dxa" w:w="1036"/>
            <w:vAlign w:val="top"/>
          </w:tcPr>
          <w:p>
            <w:pPr>
              <w:spacing w:after="40" w:before="0" w:line="259" w:lineRule="auto"/>
            </w:pPr>
            <w:r>
              <w:rPr>
                <w:rFonts w:ascii="Calibri" w:hAnsi="Calibri"/>
                <w:b w:val="0"/>
                <w:i w:val="0"/>
                <w:color w:val="212121"/>
                <w:sz w:val="16"/>
              </w:rPr>
              <w:t>Quantifies functional loss and disability; tracks progression</w:t>
            </w:r>
          </w:p>
        </w:tc>
        <w:tc>
          <w:tcPr>
            <w:tcW w:type="dxa" w:w="1036"/>
            <w:vAlign w:val="top"/>
          </w:tcPr>
          <w:p>
            <w:pPr>
              <w:spacing w:after="40" w:before="0" w:line="259" w:lineRule="auto"/>
            </w:pPr>
            <w:r>
              <w:rPr>
                <w:rFonts w:ascii="Calibri" w:hAnsi="Calibri"/>
                <w:b w:val="0"/>
                <w:i w:val="0"/>
                <w:color w:val="212121"/>
                <w:sz w:val="16"/>
              </w:rPr>
              <w:t>Symptomatic silicotics, smokers</w:t>
            </w:r>
          </w:p>
        </w:tc>
        <w:tc>
          <w:tcPr>
            <w:tcW w:type="dxa" w:w="720"/>
            <w:vAlign w:val="top"/>
          </w:tcPr>
          <w:p>
            <w:pPr>
              <w:spacing w:after="40" w:before="0" w:line="259" w:lineRule="auto"/>
            </w:pPr>
            <w:r>
              <w:rPr>
                <w:rFonts w:ascii="Calibri" w:hAnsi="Calibri"/>
                <w:b w:val="0"/>
                <w:i w:val="0"/>
                <w:color w:val="212121"/>
                <w:sz w:val="16"/>
              </w:rPr>
              <w:t>Physical activity; Smoking</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Baseline then periodic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Diffusing capacity (DLCO)</w:t>
            </w:r>
          </w:p>
        </w:tc>
        <w:tc>
          <w:tcPr>
            <w:tcW w:type="dxa" w:w="892"/>
            <w:vAlign w:val="top"/>
          </w:tcPr>
          <w:p>
            <w:pPr>
              <w:spacing w:after="40" w:before="0" w:line="259" w:lineRule="auto"/>
            </w:pPr>
            <w:r>
              <w:rPr>
                <w:rFonts w:ascii="Calibri" w:hAnsi="Calibri"/>
                <w:b w:val="0"/>
                <w:i w:val="0"/>
                <w:color w:val="212121"/>
                <w:sz w:val="16"/>
              </w:rPr>
              <w:t>Gas transfer test</w:t>
            </w:r>
          </w:p>
        </w:tc>
        <w:tc>
          <w:tcPr>
            <w:tcW w:type="dxa" w:w="950"/>
            <w:vAlign w:val="top"/>
          </w:tcPr>
          <w:p>
            <w:pPr>
              <w:spacing w:after="40" w:before="0" w:line="259" w:lineRule="auto"/>
            </w:pPr>
            <w:r>
              <w:rPr>
                <w:rFonts w:ascii="Calibri" w:hAnsi="Calibri"/>
                <w:b w:val="0"/>
                <w:i w:val="0"/>
                <w:color w:val="212121"/>
                <w:sz w:val="16"/>
              </w:rPr>
              <w:t>≥ 80% predicted</w:t>
            </w:r>
          </w:p>
        </w:tc>
        <w:tc>
          <w:tcPr>
            <w:tcW w:type="dxa" w:w="950"/>
            <w:vAlign w:val="top"/>
          </w:tcPr>
          <w:p>
            <w:pPr>
              <w:spacing w:after="40" w:before="0" w:line="259" w:lineRule="auto"/>
            </w:pPr>
            <w:r>
              <w:rPr>
                <w:rFonts w:ascii="Calibri" w:hAnsi="Calibri"/>
                <w:b w:val="0"/>
                <w:i w:val="0"/>
                <w:color w:val="212121"/>
                <w:sz w:val="16"/>
              </w:rPr>
              <w:t>&lt; 80% predicted (reduced)</w:t>
            </w:r>
          </w:p>
        </w:tc>
        <w:tc>
          <w:tcPr>
            <w:tcW w:type="dxa" w:w="1036"/>
            <w:vAlign w:val="top"/>
          </w:tcPr>
          <w:p>
            <w:pPr>
              <w:spacing w:after="40" w:before="0" w:line="259" w:lineRule="auto"/>
            </w:pPr>
            <w:r>
              <w:rPr>
                <w:rFonts w:ascii="Calibri" w:hAnsi="Calibri"/>
                <w:b w:val="0"/>
                <w:i w:val="0"/>
                <w:color w:val="212121"/>
                <w:sz w:val="16"/>
              </w:rPr>
              <w:t>Falls with advancing fibrosis, PMF and emphysema</w:t>
            </w:r>
          </w:p>
        </w:tc>
        <w:tc>
          <w:tcPr>
            <w:tcW w:type="dxa" w:w="1036"/>
            <w:vAlign w:val="top"/>
          </w:tcPr>
          <w:p>
            <w:pPr>
              <w:spacing w:after="40" w:before="0" w:line="259" w:lineRule="auto"/>
            </w:pPr>
            <w:r>
              <w:rPr>
                <w:rFonts w:ascii="Calibri" w:hAnsi="Calibri"/>
                <w:b w:val="0"/>
                <w:i w:val="0"/>
                <w:color w:val="212121"/>
                <w:sz w:val="16"/>
              </w:rPr>
              <w:t>Advanced / complicated silicosis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Correlates with exercise limitation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Sputum AFB smear &amp; Xpert MTB/RIF</w:t>
            </w:r>
          </w:p>
        </w:tc>
        <w:tc>
          <w:tcPr>
            <w:tcW w:type="dxa" w:w="892"/>
            <w:vAlign w:val="top"/>
          </w:tcPr>
          <w:p>
            <w:pPr>
              <w:spacing w:after="40" w:before="0" w:line="259" w:lineRule="auto"/>
            </w:pPr>
            <w:r>
              <w:rPr>
                <w:rFonts w:ascii="Calibri" w:hAnsi="Calibri"/>
                <w:b w:val="0"/>
                <w:i w:val="0"/>
                <w:color w:val="212121"/>
                <w:sz w:val="16"/>
              </w:rPr>
              <w:t>TB testing</w:t>
            </w:r>
          </w:p>
        </w:tc>
        <w:tc>
          <w:tcPr>
            <w:tcW w:type="dxa" w:w="950"/>
            <w:vAlign w:val="top"/>
          </w:tcPr>
          <w:p>
            <w:pPr>
              <w:spacing w:after="40" w:before="0" w:line="259" w:lineRule="auto"/>
            </w:pPr>
            <w:r>
              <w:rPr>
                <w:rFonts w:ascii="Calibri" w:hAnsi="Calibri"/>
                <w:b w:val="0"/>
                <w:i w:val="0"/>
                <w:color w:val="212121"/>
                <w:sz w:val="16"/>
              </w:rPr>
              <w:t>Negative for M. tuberculosis</w:t>
            </w:r>
          </w:p>
        </w:tc>
        <w:tc>
          <w:tcPr>
            <w:tcW w:type="dxa" w:w="950"/>
            <w:vAlign w:val="top"/>
          </w:tcPr>
          <w:p>
            <w:pPr>
              <w:spacing w:after="40" w:before="0" w:line="259" w:lineRule="auto"/>
            </w:pPr>
            <w:r>
              <w:rPr>
                <w:rFonts w:ascii="Calibri" w:hAnsi="Calibri"/>
                <w:b w:val="0"/>
                <w:i w:val="0"/>
                <w:color w:val="212121"/>
                <w:sz w:val="16"/>
              </w:rPr>
              <w:t>Positive smear / Xpert (rifampicin resistance flagged)</w:t>
            </w:r>
          </w:p>
        </w:tc>
        <w:tc>
          <w:tcPr>
            <w:tcW w:type="dxa" w:w="1036"/>
            <w:vAlign w:val="top"/>
          </w:tcPr>
          <w:p>
            <w:pPr>
              <w:spacing w:after="40" w:before="0" w:line="259" w:lineRule="auto"/>
            </w:pPr>
            <w:r>
              <w:rPr>
                <w:rFonts w:ascii="Calibri" w:hAnsi="Calibri"/>
                <w:b w:val="0"/>
                <w:i w:val="0"/>
                <w:color w:val="212121"/>
                <w:sz w:val="16"/>
              </w:rPr>
              <w:t>Detects silico-tuberculosis; must be sought with any new or changing symptom or radiograph</w:t>
            </w:r>
          </w:p>
        </w:tc>
        <w:tc>
          <w:tcPr>
            <w:tcW w:type="dxa" w:w="1036"/>
            <w:vAlign w:val="top"/>
          </w:tcPr>
          <w:p>
            <w:pPr>
              <w:spacing w:after="40" w:before="0" w:line="259" w:lineRule="auto"/>
            </w:pPr>
            <w:r>
              <w:rPr>
                <w:rFonts w:ascii="Calibri" w:hAnsi="Calibri"/>
                <w:b w:val="0"/>
                <w:i w:val="0"/>
                <w:color w:val="212121"/>
                <w:sz w:val="16"/>
              </w:rPr>
              <w:t>Any silicotic with cough, weight loss, fever or haemoptysis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(silico-TB)</w:t>
            </w:r>
          </w:p>
        </w:tc>
        <w:tc>
          <w:tcPr>
            <w:tcW w:type="dxa" w:w="720"/>
            <w:vAlign w:val="top"/>
          </w:tcPr>
          <w:p>
            <w:pPr>
              <w:spacing w:after="40" w:before="0" w:line="259" w:lineRule="auto"/>
            </w:pPr>
            <w:r>
              <w:rPr>
                <w:rFonts w:ascii="Calibri" w:hAnsi="Calibri"/>
                <w:b w:val="0"/>
                <w:i w:val="0"/>
                <w:color w:val="212121"/>
                <w:sz w:val="16"/>
              </w:rPr>
              <w:t>Radiological overlap makes microbiology essential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IGRA or tuberculin skin test (TST)</w:t>
            </w:r>
          </w:p>
        </w:tc>
        <w:tc>
          <w:tcPr>
            <w:tcW w:type="dxa" w:w="892"/>
            <w:vAlign w:val="top"/>
          </w:tcPr>
          <w:p>
            <w:pPr>
              <w:spacing w:after="40" w:before="0" w:line="259" w:lineRule="auto"/>
            </w:pPr>
            <w:r>
              <w:rPr>
                <w:rFonts w:ascii="Calibri" w:hAnsi="Calibri"/>
                <w:b w:val="0"/>
                <w:i w:val="0"/>
                <w:color w:val="212121"/>
                <w:sz w:val="16"/>
              </w:rPr>
              <w:t>Latent TB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(latent TB infection)</w:t>
            </w:r>
          </w:p>
        </w:tc>
        <w:tc>
          <w:tcPr>
            <w:tcW w:type="dxa" w:w="1036"/>
            <w:vAlign w:val="top"/>
          </w:tcPr>
          <w:p>
            <w:pPr>
              <w:spacing w:after="40" w:before="0" w:line="259" w:lineRule="auto"/>
            </w:pPr>
            <w:r>
              <w:rPr>
                <w:rFonts w:ascii="Calibri" w:hAnsi="Calibri"/>
                <w:b w:val="0"/>
                <w:i w:val="0"/>
                <w:color w:val="212121"/>
                <w:sz w:val="16"/>
              </w:rPr>
              <w:t>Positive result in a silicotic warrants consideration of TB preventive therapy</w:t>
            </w:r>
          </w:p>
        </w:tc>
        <w:tc>
          <w:tcPr>
            <w:tcW w:type="dxa" w:w="1036"/>
            <w:vAlign w:val="top"/>
          </w:tcPr>
          <w:p>
            <w:pPr>
              <w:spacing w:after="40" w:before="0" w:line="259" w:lineRule="auto"/>
            </w:pPr>
            <w:r>
              <w:rPr>
                <w:rFonts w:ascii="Calibri" w:hAnsi="Calibri"/>
                <w:b w:val="0"/>
                <w:i w:val="0"/>
                <w:color w:val="212121"/>
                <w:sz w:val="16"/>
              </w:rPr>
              <w:t>Silicotics without active TB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Silicosis greatly increases reactivation risk</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exposure history</w:t>
            </w:r>
          </w:p>
        </w:tc>
        <w:tc>
          <w:tcPr>
            <w:tcW w:type="dxa" w:w="979"/>
            <w:vAlign w:val="top"/>
          </w:tcPr>
          <w:p>
            <w:pPr>
              <w:spacing w:after="40" w:before="0" w:line="259" w:lineRule="auto"/>
            </w:pPr>
            <w:r>
              <w:rPr>
                <w:rFonts w:ascii="Calibri" w:hAnsi="Calibri"/>
                <w:b w:val="0"/>
                <w:i w:val="0"/>
                <w:color w:val="212121"/>
                <w:sz w:val="16"/>
              </w:rPr>
              <w:t>Trade, dusty processes, years exposed, dust controls, PPE use</w:t>
            </w:r>
          </w:p>
        </w:tc>
        <w:tc>
          <w:tcPr>
            <w:tcW w:type="dxa" w:w="950"/>
            <w:vAlign w:val="top"/>
          </w:tcPr>
          <w:p>
            <w:pPr>
              <w:spacing w:after="40" w:before="0" w:line="259" w:lineRule="auto"/>
            </w:pPr>
            <w:r>
              <w:rPr>
                <w:rFonts w:ascii="Calibri" w:hAnsi="Calibri"/>
                <w:b w:val="0"/>
                <w:i w:val="0"/>
                <w:color w:val="212121"/>
                <w:sz w:val="16"/>
              </w:rPr>
              <w:t>No silica exposure</w:t>
            </w:r>
          </w:p>
        </w:tc>
        <w:tc>
          <w:tcPr>
            <w:tcW w:type="dxa" w:w="950"/>
            <w:vAlign w:val="top"/>
          </w:tcPr>
          <w:p>
            <w:pPr>
              <w:spacing w:after="40" w:before="0" w:line="259" w:lineRule="auto"/>
            </w:pPr>
            <w:r>
              <w:rPr>
                <w:rFonts w:ascii="Calibri" w:hAnsi="Calibri"/>
                <w:b w:val="0"/>
                <w:i w:val="0"/>
                <w:color w:val="212121"/>
                <w:sz w:val="16"/>
              </w:rPr>
              <w:t>Prolonged respirable-silica exposure, often without controls</w:t>
            </w:r>
          </w:p>
        </w:tc>
        <w:tc>
          <w:tcPr>
            <w:tcW w:type="dxa" w:w="1036"/>
            <w:vAlign w:val="top"/>
          </w:tcPr>
          <w:p>
            <w:pPr>
              <w:spacing w:after="40" w:before="0" w:line="259" w:lineRule="auto"/>
            </w:pPr>
            <w:r>
              <w:rPr>
                <w:rFonts w:ascii="Calibri" w:hAnsi="Calibri"/>
                <w:b w:val="0"/>
                <w:i w:val="0"/>
                <w:color w:val="212121"/>
                <w:sz w:val="16"/>
              </w:rPr>
              <w:t>The cornerstone of diagnosis; quantify latency and intensity</w:t>
            </w:r>
          </w:p>
        </w:tc>
        <w:tc>
          <w:tcPr>
            <w:tcW w:type="dxa" w:w="1036"/>
            <w:vAlign w:val="top"/>
          </w:tcPr>
          <w:p>
            <w:pPr>
              <w:spacing w:after="40" w:before="0" w:line="259" w:lineRule="auto"/>
            </w:pPr>
            <w:r>
              <w:rPr>
                <w:rFonts w:ascii="Calibri" w:hAnsi="Calibri"/>
                <w:b w:val="0"/>
                <w:i w:val="0"/>
                <w:color w:val="212121"/>
                <w:sz w:val="16"/>
              </w:rPr>
              <w:t>All dusty-trade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Include informal, home-based and take-home dust exposure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Progressive exertional dyspnoea, chronic cough, sputum, chest tightness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 and progressive</w:t>
            </w:r>
          </w:p>
        </w:tc>
        <w:tc>
          <w:tcPr>
            <w:tcW w:type="dxa" w:w="1036"/>
            <w:vAlign w:val="top"/>
          </w:tcPr>
          <w:p>
            <w:pPr>
              <w:spacing w:after="40" w:before="0" w:line="259" w:lineRule="auto"/>
            </w:pPr>
            <w:r>
              <w:rPr>
                <w:rFonts w:ascii="Calibri" w:hAnsi="Calibri"/>
                <w:b w:val="0"/>
                <w:i w:val="0"/>
                <w:color w:val="212121"/>
                <w:sz w:val="16"/>
              </w:rPr>
              <w:t>Assesses functional impact and severity; simple silicosis may be asymptomatic</w:t>
            </w:r>
          </w:p>
        </w:tc>
        <w:tc>
          <w:tcPr>
            <w:tcW w:type="dxa" w:w="1036"/>
            <w:vAlign w:val="top"/>
          </w:tcPr>
          <w:p>
            <w:pPr>
              <w:spacing w:after="40" w:before="0" w:line="259" w:lineRule="auto"/>
            </w:pPr>
            <w:r>
              <w:rPr>
                <w:rFonts w:ascii="Calibri" w:hAnsi="Calibri"/>
                <w:b w:val="0"/>
                <w:i w:val="0"/>
                <w:color w:val="212121"/>
                <w:sz w:val="16"/>
              </w:rPr>
              <w:t>Symptomatic silicotics; surveillance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often lag radiographic change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TB &amp; constitutional symptoms</w:t>
            </w:r>
          </w:p>
        </w:tc>
        <w:tc>
          <w:tcPr>
            <w:tcW w:type="dxa" w:w="979"/>
            <w:vAlign w:val="top"/>
          </w:tcPr>
          <w:p>
            <w:pPr>
              <w:spacing w:after="40" w:before="0" w:line="259" w:lineRule="auto"/>
            </w:pPr>
            <w:r>
              <w:rPr>
                <w:rFonts w:ascii="Calibri" w:hAnsi="Calibri"/>
                <w:b w:val="0"/>
                <w:i w:val="0"/>
                <w:color w:val="212121"/>
                <w:sz w:val="16"/>
              </w:rPr>
              <w:t>Fever, night sweats, weight loss, haemoptysis, TB contact</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Red flags for silico-tuberculosis — mandate active TB work-up</w:t>
            </w:r>
          </w:p>
        </w:tc>
        <w:tc>
          <w:tcPr>
            <w:tcW w:type="dxa" w:w="1036"/>
            <w:vAlign w:val="top"/>
          </w:tcPr>
          <w:p>
            <w:pPr>
              <w:spacing w:after="40" w:before="0" w:line="259" w:lineRule="auto"/>
            </w:pPr>
            <w:r>
              <w:rPr>
                <w:rFonts w:ascii="Calibri" w:hAnsi="Calibri"/>
                <w:b w:val="0"/>
                <w:i w:val="0"/>
                <w:color w:val="212121"/>
                <w:sz w:val="16"/>
              </w:rPr>
              <w:t>All silicotics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Low threshold for TB testing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history</w:t>
            </w:r>
          </w:p>
        </w:tc>
        <w:tc>
          <w:tcPr>
            <w:tcW w:type="dxa" w:w="979"/>
            <w:vAlign w:val="top"/>
          </w:tcPr>
          <w:p>
            <w:pPr>
              <w:spacing w:after="40" w:before="0" w:line="259" w:lineRule="auto"/>
            </w:pPr>
            <w:r>
              <w:rPr>
                <w:rFonts w:ascii="Calibri" w:hAnsi="Calibri"/>
                <w:b w:val="0"/>
                <w:i w:val="0"/>
                <w:color w:val="212121"/>
                <w:sz w:val="16"/>
              </w:rPr>
              <w:t>Pack-years / bidi-years, current vs ex-smoker</w:t>
            </w:r>
          </w:p>
        </w:tc>
        <w:tc>
          <w:tcPr>
            <w:tcW w:type="dxa" w:w="950"/>
            <w:vAlign w:val="top"/>
          </w:tcPr>
          <w:p>
            <w:pPr>
              <w:spacing w:after="40" w:before="0" w:line="259" w:lineRule="auto"/>
            </w:pPr>
            <w:r>
              <w:rPr>
                <w:rFonts w:ascii="Calibri" w:hAnsi="Calibri"/>
                <w:b w:val="0"/>
                <w:i w:val="0"/>
                <w:color w:val="212121"/>
                <w:sz w:val="16"/>
              </w:rPr>
              <w:t>Never smoked</w:t>
            </w:r>
          </w:p>
        </w:tc>
        <w:tc>
          <w:tcPr>
            <w:tcW w:type="dxa" w:w="950"/>
            <w:vAlign w:val="top"/>
          </w:tcPr>
          <w:p>
            <w:pPr>
              <w:spacing w:after="40" w:before="0" w:line="259" w:lineRule="auto"/>
            </w:pPr>
            <w:r>
              <w:rPr>
                <w:rFonts w:ascii="Calibri" w:hAnsi="Calibri"/>
                <w:b w:val="0"/>
                <w:i w:val="0"/>
                <w:color w:val="212121"/>
                <w:sz w:val="16"/>
              </w:rPr>
              <w:t>Current or ex-smoker</w:t>
            </w:r>
          </w:p>
        </w:tc>
        <w:tc>
          <w:tcPr>
            <w:tcW w:type="dxa" w:w="1036"/>
            <w:vAlign w:val="top"/>
          </w:tcPr>
          <w:p>
            <w:pPr>
              <w:spacing w:after="40" w:before="0" w:line="259" w:lineRule="auto"/>
            </w:pPr>
            <w:r>
              <w:rPr>
                <w:rFonts w:ascii="Calibri" w:hAnsi="Calibri"/>
                <w:b w:val="0"/>
                <w:i w:val="0"/>
                <w:color w:val="212121"/>
                <w:sz w:val="16"/>
              </w:rPr>
              <w:t>Additive risk of obstruction and lung cancer; defines a cessation target</w:t>
            </w:r>
          </w:p>
        </w:tc>
        <w:tc>
          <w:tcPr>
            <w:tcW w:type="dxa" w:w="1036"/>
            <w:vAlign w:val="top"/>
          </w:tcPr>
          <w:p>
            <w:pPr>
              <w:spacing w:after="40" w:before="0" w:line="259" w:lineRule="auto"/>
            </w:pPr>
            <w:r>
              <w:rPr>
                <w:rFonts w:ascii="Calibri" w:hAnsi="Calibri"/>
                <w:b w:val="0"/>
                <w:i w:val="0"/>
                <w:color w:val="212121"/>
                <w:sz w:val="16"/>
              </w:rPr>
              <w:t>Dust-exposed smokers</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Quantify and reinforce cessation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Chest &amp; cardiac exam</w:t>
            </w:r>
          </w:p>
        </w:tc>
        <w:tc>
          <w:tcPr>
            <w:tcW w:type="dxa" w:w="979"/>
            <w:vAlign w:val="top"/>
          </w:tcPr>
          <w:p>
            <w:pPr>
              <w:spacing w:after="40" w:before="0" w:line="259" w:lineRule="auto"/>
            </w:pPr>
            <w:r>
              <w:rPr>
                <w:rFonts w:ascii="Calibri" w:hAnsi="Calibri"/>
                <w:b w:val="0"/>
                <w:i w:val="0"/>
                <w:color w:val="212121"/>
                <w:sz w:val="16"/>
              </w:rPr>
              <w:t>Crackles, reduced breath sounds/dullness over PMF, clubbing, cyanosis, raised JVP, pedal oedema</w:t>
            </w:r>
          </w:p>
        </w:tc>
        <w:tc>
          <w:tcPr>
            <w:tcW w:type="dxa" w:w="950"/>
            <w:vAlign w:val="top"/>
          </w:tcPr>
          <w:p>
            <w:pPr>
              <w:spacing w:after="40" w:before="0" w:line="259" w:lineRule="auto"/>
            </w:pPr>
            <w:r>
              <w:rPr>
                <w:rFonts w:ascii="Calibri" w:hAnsi="Calibri"/>
                <w:b w:val="0"/>
                <w:i w:val="0"/>
                <w:color w:val="212121"/>
                <w:sz w:val="16"/>
              </w:rPr>
              <w:t>Clear chest, no right-heart-failure signs</w:t>
            </w:r>
          </w:p>
        </w:tc>
        <w:tc>
          <w:tcPr>
            <w:tcW w:type="dxa" w:w="950"/>
            <w:vAlign w:val="top"/>
          </w:tcPr>
          <w:p>
            <w:pPr>
              <w:spacing w:after="40" w:before="0" w:line="259" w:lineRule="auto"/>
            </w:pPr>
            <w:r>
              <w:rPr>
                <w:rFonts w:ascii="Calibri" w:hAnsi="Calibri"/>
                <w:b w:val="0"/>
                <w:i w:val="0"/>
                <w:color w:val="212121"/>
                <w:sz w:val="16"/>
              </w:rPr>
              <w:t>Fine crackles, PMF dullness, signs of cor pulmonale</w:t>
            </w:r>
          </w:p>
        </w:tc>
        <w:tc>
          <w:tcPr>
            <w:tcW w:type="dxa" w:w="1036"/>
            <w:vAlign w:val="top"/>
          </w:tcPr>
          <w:p>
            <w:pPr>
              <w:spacing w:after="40" w:before="0" w:line="259" w:lineRule="auto"/>
            </w:pPr>
            <w:r>
              <w:rPr>
                <w:rFonts w:ascii="Calibri" w:hAnsi="Calibri"/>
                <w:b w:val="0"/>
                <w:i w:val="0"/>
                <w:color w:val="212121"/>
                <w:sz w:val="16"/>
              </w:rPr>
              <w:t>Detects fibrosis and complications (cor pulmonale, hypoxaemia)</w:t>
            </w:r>
          </w:p>
        </w:tc>
        <w:tc>
          <w:tcPr>
            <w:tcW w:type="dxa" w:w="1036"/>
            <w:vAlign w:val="top"/>
          </w:tcPr>
          <w:p>
            <w:pPr>
              <w:spacing w:after="40" w:before="0" w:line="259" w:lineRule="auto"/>
            </w:pPr>
            <w:r>
              <w:rPr>
                <w:rFonts w:ascii="Calibri" w:hAnsi="Calibri"/>
                <w:b w:val="0"/>
                <w:i w:val="0"/>
                <w:color w:val="212121"/>
                <w:sz w:val="16"/>
              </w:rPr>
              <w:t>Established / advanced silicosis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Clubbing should prompt search for TB or cancer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Progressive exertional 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dominant symptom; worsens as fibrosis and PMF reduce lung compliance and gas transfer.</w:t>
            </w:r>
          </w:p>
        </w:tc>
      </w:tr>
      <w:tr>
        <w:trPr>
          <w:cantSplit/>
        </w:trPr>
        <w:tc>
          <w:tcPr>
            <w:tcW w:type="dxa" w:w="2304"/>
            <w:vAlign w:val="top"/>
          </w:tcPr>
          <w:p>
            <w:pPr>
              <w:spacing w:after="40" w:before="0" w:line="259" w:lineRule="auto"/>
            </w:pPr>
            <w:r>
              <w:rPr>
                <w:rFonts w:ascii="Calibri" w:hAnsi="Calibri"/>
                <w:b/>
                <w:i w:val="0"/>
                <w:color w:val="212121"/>
                <w:sz w:val="19"/>
              </w:rPr>
              <w:t>Chronic cough (dry or productive)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cough from airway irritation and dust-induced bronchitis.</w:t>
            </w:r>
          </w:p>
        </w:tc>
      </w:tr>
      <w:tr>
        <w:trPr>
          <w:cantSplit/>
        </w:trPr>
        <w:tc>
          <w:tcPr>
            <w:tcW w:type="dxa" w:w="2304"/>
            <w:vAlign w:val="top"/>
          </w:tcPr>
          <w:p>
            <w:pPr>
              <w:spacing w:after="40" w:before="0" w:line="259" w:lineRule="auto"/>
            </w:pPr>
            <w:r>
              <w:rPr>
                <w:rFonts w:ascii="Calibri" w:hAnsi="Calibri"/>
                <w:b/>
                <w:i w:val="0"/>
                <w:color w:val="212121"/>
                <w:sz w:val="19"/>
              </w:rPr>
              <w:t>Sputum / phlegm production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chronic bronchitis; a change in sputum should prompt TB testing.</w:t>
            </w:r>
          </w:p>
        </w:tc>
      </w:tr>
      <w:tr>
        <w:trPr>
          <w:cantSplit/>
        </w:trPr>
        <w:tc>
          <w:tcPr>
            <w:tcW w:type="dxa" w:w="2304"/>
            <w:vAlign w:val="top"/>
          </w:tcPr>
          <w:p>
            <w:pPr>
              <w:spacing w:after="40" w:before="0" w:line="259" w:lineRule="auto"/>
            </w:pPr>
            <w:r>
              <w:rPr>
                <w:rFonts w:ascii="Calibri" w:hAnsi="Calibri"/>
                <w:b/>
                <w:i w:val="0"/>
                <w:color w:val="212121"/>
                <w:sz w:val="19"/>
              </w:rPr>
              <w:t>Chest tightness or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fibrosis, hyperinflation and increased work of breathing.</w:t>
            </w:r>
          </w:p>
        </w:tc>
      </w:tr>
      <w:tr>
        <w:trPr>
          <w:cantSplit/>
        </w:trPr>
        <w:tc>
          <w:tcPr>
            <w:tcW w:type="dxa" w:w="2304"/>
            <w:vAlign w:val="top"/>
          </w:tcPr>
          <w:p>
            <w:pPr>
              <w:spacing w:after="40" w:before="0" w:line="259" w:lineRule="auto"/>
            </w:pPr>
            <w:r>
              <w:rPr>
                <w:rFonts w:ascii="Calibri" w:hAnsi="Calibri"/>
                <w:b/>
                <w:i w:val="0"/>
                <w:color w:val="212121"/>
                <w:sz w:val="19"/>
              </w:rPr>
              <w:t>Fatigue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Result of impaired gas exchange and deconditioning.</w:t>
            </w:r>
          </w:p>
        </w:tc>
      </w:tr>
      <w:tr>
        <w:trPr>
          <w:cantSplit/>
        </w:trPr>
        <w:tc>
          <w:tcPr>
            <w:tcW w:type="dxa" w:w="2304"/>
            <w:vAlign w:val="top"/>
          </w:tcPr>
          <w:p>
            <w:pPr>
              <w:spacing w:after="40" w:before="0" w:line="259" w:lineRule="auto"/>
            </w:pPr>
            <w:r>
              <w:rPr>
                <w:rFonts w:ascii="Calibri" w:hAnsi="Calibri"/>
                <w:b/>
                <w:i w:val="0"/>
                <w:color w:val="212121"/>
                <w:sz w:val="19"/>
              </w:rPr>
              <w:t>Asymptomatic (simple / early silicosis)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Simple silicosis is frequently silent and detected only on surveillance chest X-ray.</w:t>
            </w:r>
          </w:p>
        </w:tc>
      </w:tr>
      <w:tr>
        <w:trPr>
          <w:cantSplit/>
        </w:trPr>
        <w:tc>
          <w:tcPr>
            <w:tcW w:type="dxa" w:w="2304"/>
            <w:vAlign w:val="top"/>
          </w:tcPr>
          <w:p>
            <w:pPr>
              <w:spacing w:after="40" w:before="0" w:line="259" w:lineRule="auto"/>
            </w:pPr>
            <w:r>
              <w:rPr>
                <w:rFonts w:ascii="Calibri" w:hAnsi="Calibri"/>
                <w:b/>
                <w:i w:val="0"/>
                <w:color w:val="212121"/>
                <w:sz w:val="19"/>
              </w:rPr>
              <w:t>Unintended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red flag for silico-tuberculosis or advanced PMF.</w:t>
            </w:r>
          </w:p>
        </w:tc>
      </w:tr>
      <w:tr>
        <w:trPr>
          <w:cantSplit/>
        </w:trPr>
        <w:tc>
          <w:tcPr>
            <w:tcW w:type="dxa" w:w="2304"/>
            <w:vAlign w:val="top"/>
          </w:tcPr>
          <w:p>
            <w:pPr>
              <w:spacing w:after="40" w:before="0" w:line="259" w:lineRule="auto"/>
            </w:pPr>
            <w:r>
              <w:rPr>
                <w:rFonts w:ascii="Calibri" w:hAnsi="Calibri"/>
                <w:b/>
                <w:i w:val="0"/>
                <w:color w:val="212121"/>
                <w:sz w:val="19"/>
              </w:rPr>
              <w:t>Haemoptysis (coughing blood)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coexisting tuberculosis, bronchiectasis or advanced disease.</w:t>
            </w:r>
          </w:p>
        </w:tc>
      </w:tr>
      <w:tr>
        <w:trPr>
          <w:cantSplit/>
        </w:trPr>
        <w:tc>
          <w:tcPr>
            <w:tcW w:type="dxa" w:w="2304"/>
            <w:vAlign w:val="top"/>
          </w:tcPr>
          <w:p>
            <w:pPr>
              <w:spacing w:after="40" w:before="0" w:line="259" w:lineRule="auto"/>
            </w:pPr>
            <w:r>
              <w:rPr>
                <w:rFonts w:ascii="Calibri" w:hAnsi="Calibri"/>
                <w:b/>
                <w:i w:val="0"/>
                <w:color w:val="212121"/>
                <w:sz w:val="19"/>
              </w:rPr>
              <w:t>Fever and night sweats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Point to silico-tuberculosis or secondary infection.</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coexisting airflow obstruction / emphysema.</w:t>
            </w:r>
          </w:p>
        </w:tc>
      </w:tr>
      <w:tr>
        <w:trPr>
          <w:cantSplit/>
        </w:trPr>
        <w:tc>
          <w:tcPr>
            <w:tcW w:type="dxa" w:w="2304"/>
            <w:vAlign w:val="top"/>
          </w:tcPr>
          <w:p>
            <w:pPr>
              <w:spacing w:after="40" w:before="0" w:line="259" w:lineRule="auto"/>
            </w:pPr>
            <w:r>
              <w:rPr>
                <w:rFonts w:ascii="Calibri" w:hAnsi="Calibri"/>
                <w:b/>
                <w:i w:val="0"/>
                <w:color w:val="212121"/>
                <w:sz w:val="19"/>
              </w:rPr>
              <w:t>Sudden severe breathlessness / pleuritic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indicate spontaneous pneumothorax from rupture of fibrotic/subpleural lung.</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Fine end-inspiratory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Heard over affected zones; reflect interstitial fibrosis.</w:t>
            </w:r>
          </w:p>
        </w:tc>
      </w:tr>
      <w:tr>
        <w:trPr>
          <w:cantSplit/>
        </w:trPr>
        <w:tc>
          <w:tcPr>
            <w:tcW w:type="dxa" w:w="3456"/>
            <w:vAlign w:val="top"/>
          </w:tcPr>
          <w:p>
            <w:pPr>
              <w:spacing w:after="40" w:before="0" w:line="259" w:lineRule="auto"/>
            </w:pPr>
            <w:r>
              <w:rPr>
                <w:rFonts w:ascii="Calibri" w:hAnsi="Calibri"/>
                <w:b/>
                <w:i w:val="0"/>
                <w:color w:val="212121"/>
                <w:sz w:val="19"/>
              </w:rPr>
              <w:t>Tachypnoea / increased work of breathing on exertion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Compensates for reduced compliance and hypoxaemia.</w:t>
            </w:r>
          </w:p>
        </w:tc>
      </w:tr>
      <w:tr>
        <w:trPr>
          <w:cantSplit/>
        </w:trPr>
        <w:tc>
          <w:tcPr>
            <w:tcW w:type="dxa" w:w="3456"/>
            <w:vAlign w:val="top"/>
          </w:tcPr>
          <w:p>
            <w:pPr>
              <w:spacing w:after="40" w:before="0" w:line="259" w:lineRule="auto"/>
            </w:pPr>
            <w:r>
              <w:rPr>
                <w:rFonts w:ascii="Calibri" w:hAnsi="Calibri"/>
                <w:b/>
                <w:i w:val="0"/>
                <w:color w:val="212121"/>
                <w:sz w:val="19"/>
              </w:rPr>
              <w:t>Reduced chest expansion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From progressive restrictive lung disease in advanced silicosis.</w:t>
            </w:r>
          </w:p>
        </w:tc>
      </w:tr>
      <w:tr>
        <w:trPr>
          <w:cantSplit/>
        </w:trPr>
        <w:tc>
          <w:tcPr>
            <w:tcW w:type="dxa" w:w="3456"/>
            <w:vAlign w:val="top"/>
          </w:tcPr>
          <w:p>
            <w:pPr>
              <w:spacing w:after="40" w:before="0" w:line="259" w:lineRule="auto"/>
            </w:pPr>
            <w:r>
              <w:rPr>
                <w:rFonts w:ascii="Calibri" w:hAnsi="Calibri"/>
                <w:b/>
                <w:i w:val="0"/>
                <w:color w:val="212121"/>
                <w:sz w:val="19"/>
              </w:rPr>
              <w:t>Dullness and reduced breath sounds over PMF masses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Large conglomerate fibrotic masses behave like consolidated lung.</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Uncommon in pure silicosis — should prompt a search for tuberculosis or lung cancer.</w:t>
            </w:r>
          </w:p>
        </w:tc>
      </w:tr>
      <w:tr>
        <w:trPr>
          <w:cantSplit/>
        </w:trPr>
        <w:tc>
          <w:tcPr>
            <w:tcW w:type="dxa" w:w="3456"/>
            <w:vAlign w:val="top"/>
          </w:tcPr>
          <w:p>
            <w:pPr>
              <w:spacing w:after="40" w:before="0" w:line="259" w:lineRule="auto"/>
            </w:pPr>
            <w:r>
              <w:rPr>
                <w:rFonts w:ascii="Calibri" w:hAnsi="Calibri"/>
                <w:b/>
                <w:i w:val="0"/>
                <w:color w:val="212121"/>
                <w:sz w:val="19"/>
              </w:rPr>
              <w:t>Central cyanosis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significant hypoxaemia in advanced disease.</w:t>
            </w:r>
          </w:p>
        </w:tc>
      </w:tr>
      <w:tr>
        <w:trPr>
          <w:cantSplit/>
        </w:trPr>
        <w:tc>
          <w:tcPr>
            <w:tcW w:type="dxa" w:w="3456"/>
            <w:vAlign w:val="top"/>
          </w:tcPr>
          <w:p>
            <w:pPr>
              <w:spacing w:after="40" w:before="0" w:line="259" w:lineRule="auto"/>
            </w:pPr>
            <w:r>
              <w:rPr>
                <w:rFonts w:ascii="Calibri" w:hAnsi="Calibri"/>
                <w:b/>
                <w:i w:val="0"/>
                <w:color w:val="212121"/>
                <w:sz w:val="19"/>
              </w:rPr>
              <w:t>Signs of cor pulmonale (raised JVP, loud P2, pedal oedema, hepatomegaly)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Right heart strain from pulmonary hypertension in end-stage disease.</w:t>
            </w:r>
          </w:p>
        </w:tc>
      </w:tr>
      <w:tr>
        <w:trPr>
          <w:cantSplit/>
        </w:trPr>
        <w:tc>
          <w:tcPr>
            <w:tcW w:type="dxa" w:w="3456"/>
            <w:vAlign w:val="top"/>
          </w:tcPr>
          <w:p>
            <w:pPr>
              <w:spacing w:after="40" w:before="0" w:line="259" w:lineRule="auto"/>
            </w:pPr>
            <w:r>
              <w:rPr>
                <w:rFonts w:ascii="Calibri" w:hAnsi="Calibri"/>
                <w:b/>
                <w:i w:val="0"/>
                <w:color w:val="212121"/>
                <w:sz w:val="19"/>
              </w:rPr>
              <w:t>Cachexia / muscle wasting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with silico-tuberculosis and advanced progressive massive fibrosis.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massive fibrosis (PMF) — coalescent conglomerate masses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silicosis / silicoproteinosis (alveolar lipoproteinaceous filling)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restrictive pulmonary fibrosis with declining lung function</w:t>
            </w:r>
          </w:p>
        </w:tc>
        <w:tc>
          <w:tcPr>
            <w:tcW w:type="dxa" w:w="2980"/>
            <w:vAlign w:val="top"/>
          </w:tcPr>
          <w:p>
            <w:pPr>
              <w:spacing w:after="40" w:before="0" w:line="259" w:lineRule="auto"/>
            </w:pPr>
            <w:r>
              <w:rPr>
                <w:rFonts w:ascii="Calibri" w:hAnsi="Calibri"/>
                <w:b w:val="0"/>
                <w:i w:val="0"/>
                <w:color w:val="212121"/>
                <w:sz w:val="19"/>
              </w:rPr>
              <w:t>Direct fibrotic consequences of retained crystalline silica in the lung.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tuberculosis and non-tuberculous mycobacterial infection (silico-tuberculosis)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lower-respiratory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bronchitis, COPD and emphysema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Spontaneous pneumothorax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Lung cancer (crystalline silica is an IARC Group 1 carcinogen)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Silica-associated autoimmune disease (rheumatoid arthritis/Caplan syndrome, systemic sclerosis, vasculitis)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 / silica nephropathy</w:t>
            </w:r>
          </w:p>
        </w:tc>
        <w:tc>
          <w:tcPr>
            <w:tcW w:type="dxa" w:w="2980"/>
            <w:vAlign w:val="top"/>
          </w:tcPr>
          <w:p>
            <w:pPr>
              <w:spacing w:after="40" w:before="0" w:line="259" w:lineRule="auto"/>
            </w:pPr>
            <w:r>
              <w:rPr>
                <w:rFonts w:ascii="Calibri" w:hAnsi="Calibri"/>
                <w:b w:val="0"/>
                <w:i w:val="0"/>
                <w:color w:val="212121"/>
                <w:sz w:val="19"/>
              </w:rPr>
              <w:t>Arise from impaired anti-mycobacterial immunity, chronic inflammation, carcinogenesis and systemic silica toxicity.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(type II) failure requiring long-term oxygen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and right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disability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Candidacy for lung transplantation in end-stage disease</w:t>
            </w:r>
          </w:p>
        </w:tc>
        <w:tc>
          <w:tcPr>
            <w:tcW w:type="dxa" w:w="2980"/>
            <w:vAlign w:val="top"/>
          </w:tcPr>
          <w:p>
            <w:pPr>
              <w:spacing w:after="40" w:before="0" w:line="259" w:lineRule="auto"/>
            </w:pPr>
            <w:r>
              <w:rPr>
                <w:rFonts w:ascii="Calibri" w:hAnsi="Calibri"/>
                <w:b w:val="0"/>
                <w:i w:val="0"/>
                <w:color w:val="212121"/>
                <w:sz w:val="19"/>
              </w:rPr>
              <w:t>Irreversible, disabling and often fatal outcomes of long-standing fibrosis and its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Pulmonary tuberculosis (silico-tuberculosis)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Silica-laden macrophages fail to kill Mycobacterium tuberculosis, so silicosis sharply raises TB (and NTM) risk; in India's high-TB setting silico-tuberculosis is a leading cause of death, and every silicotic needs active and latent TB screening.</w:t>
            </w:r>
          </w:p>
        </w:tc>
      </w:tr>
      <w:tr>
        <w:trPr>
          <w:cantSplit/>
        </w:trPr>
        <w:tc>
          <w:tcPr>
            <w:tcW w:type="dxa" w:w="2232"/>
            <w:vAlign w:val="top"/>
          </w:tcPr>
          <w:p>
            <w:pPr>
              <w:spacing w:after="40" w:before="0" w:line="259" w:lineRule="auto"/>
            </w:pPr>
            <w:r>
              <w:rPr>
                <w:rFonts w:ascii="Calibri" w:hAnsi="Calibri"/>
                <w:b/>
                <w:i w:val="0"/>
                <w:color w:val="212121"/>
                <w:sz w:val="19"/>
              </w:rPr>
              <w:t>Progressive massive fibrosis (PMF)</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Coalescence of silicotic nodules into masses &gt;1 cm; the defining complicated form, driving restriction, hypoxaemia and respiratory failure.</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 / emphysema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Silica dust — compounded by smoking — causes airflow obstruction and emphysema additive to nodular fibrosis.</w:t>
            </w:r>
          </w:p>
        </w:tc>
      </w:tr>
      <w:tr>
        <w:trPr>
          <w:cantSplit/>
        </w:trPr>
        <w:tc>
          <w:tcPr>
            <w:tcW w:type="dxa" w:w="2232"/>
            <w:vAlign w:val="top"/>
          </w:tcPr>
          <w:p>
            <w:pPr>
              <w:spacing w:after="40" w:before="0" w:line="259" w:lineRule="auto"/>
            </w:pPr>
            <w:r>
              <w:rPr>
                <w:rFonts w:ascii="Calibri" w:hAnsi="Calibri"/>
                <w:b/>
                <w:i w:val="0"/>
                <w:color w:val="212121"/>
                <w:sz w:val="19"/>
              </w:rPr>
              <w:t>Lung cancer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Crystalline silica is an IARC Group 1 lung carcinogen; risk is further multiplied by tobacco smoking.</w:t>
            </w:r>
          </w:p>
        </w:tc>
      </w:tr>
      <w:tr>
        <w:trPr>
          <w:cantSplit/>
        </w:trPr>
        <w:tc>
          <w:tcPr>
            <w:tcW w:type="dxa" w:w="2232"/>
            <w:vAlign w:val="top"/>
          </w:tcPr>
          <w:p>
            <w:pPr>
              <w:spacing w:after="40" w:before="0" w:line="259" w:lineRule="auto"/>
            </w:pPr>
            <w:r>
              <w:rPr>
                <w:rFonts w:ascii="Calibri" w:hAnsi="Calibri"/>
                <w:b/>
                <w:i w:val="0"/>
                <w:color w:val="212121"/>
                <w:sz w:val="19"/>
              </w:rPr>
              <w:t>Cor pulmonale / pulmonary hypertension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Fibrosis and chronic hypoxaemia raise pulmonary vascular pressures, leading to right heart failure.</w:t>
            </w:r>
          </w:p>
        </w:tc>
      </w:tr>
      <w:tr>
        <w:trPr>
          <w:cantSplit/>
        </w:trPr>
        <w:tc>
          <w:tcPr>
            <w:tcW w:type="dxa" w:w="2232"/>
            <w:vAlign w:val="top"/>
          </w:tcPr>
          <w:p>
            <w:pPr>
              <w:spacing w:after="40" w:before="0" w:line="259" w:lineRule="auto"/>
            </w:pPr>
            <w:r>
              <w:rPr>
                <w:rFonts w:ascii="Calibri" w:hAnsi="Calibri"/>
                <w:b/>
                <w:i w:val="0"/>
                <w:color w:val="212121"/>
                <w:sz w:val="19"/>
              </w:rPr>
              <w:t>Rheumatoid arthritis (Caplan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Silica is an established trigger of autoimmunity; Caplan syndrome is RA with rheumatoid pneumoconiotic lung nodules in a silica-exposed worker.</w:t>
            </w:r>
          </w:p>
        </w:tc>
      </w:tr>
      <w:tr>
        <w:trPr>
          <w:cantSplit/>
        </w:trPr>
        <w:tc>
          <w:tcPr>
            <w:tcW w:type="dxa" w:w="2232"/>
            <w:vAlign w:val="top"/>
          </w:tcPr>
          <w:p>
            <w:pPr>
              <w:spacing w:after="40" w:before="0" w:line="259" w:lineRule="auto"/>
            </w:pPr>
            <w:r>
              <w:rPr>
                <w:rFonts w:ascii="Calibri" w:hAnsi="Calibri"/>
                <w:b/>
                <w:i w:val="0"/>
                <w:color w:val="212121"/>
                <w:sz w:val="19"/>
              </w:rPr>
              <w:t>Systemic sclerosis (scleroderma)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Silica exposure increases the risk of systemic sclerosis and related connective-tissue disease (Erasmus syndrome).</w:t>
            </w:r>
          </w:p>
        </w:tc>
      </w:tr>
      <w:tr>
        <w:trPr>
          <w:cantSplit/>
        </w:trPr>
        <w:tc>
          <w:tcPr>
            <w:tcW w:type="dxa" w:w="2232"/>
            <w:vAlign w:val="top"/>
          </w:tcPr>
          <w:p>
            <w:pPr>
              <w:spacing w:after="40" w:before="0" w:line="259" w:lineRule="auto"/>
            </w:pPr>
            <w:r>
              <w:rPr>
                <w:rFonts w:ascii="Calibri" w:hAnsi="Calibri"/>
                <w:b/>
                <w:i w:val="0"/>
                <w:color w:val="212121"/>
                <w:sz w:val="19"/>
              </w:rPr>
              <w:t>Chronic kidney disease / silica nephropathy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Silica is linked to glomerulonephritis, ANCA-associated vasculitis and progressive chronic kidney disease.</w:t>
            </w:r>
          </w:p>
        </w:tc>
      </w:tr>
      <w:tr>
        <w:trPr>
          <w:cantSplit/>
        </w:trPr>
        <w:tc>
          <w:tcPr>
            <w:tcW w:type="dxa" w:w="2232"/>
            <w:vAlign w:val="top"/>
          </w:tcPr>
          <w:p>
            <w:pPr>
              <w:spacing w:after="40" w:before="0" w:line="259" w:lineRule="auto"/>
            </w:pPr>
            <w:r>
              <w:rPr>
                <w:rFonts w:ascii="Calibri" w:hAnsi="Calibri"/>
                <w:b/>
                <w:i w:val="0"/>
                <w:color w:val="212121"/>
                <w:sz w:val="19"/>
              </w:rPr>
              <w:t>Spontaneous pneumothorax</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Rupture of subpleural blebs or fibrotic lung can cause acute pneumothorax, a respiratory emergency in silicotics.</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progressive, incurable disease with loss of livelihood commonly causes psychological distress that reduces treatment adherence and worsens outcomes.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dust at the source: use wet cutting, drilling and grinding, water sprays, local exhaust ventilation and enclosed/ventilated cabs; never dry-sweep or clean with compressed 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Substitute lower-silica materials and abrasives where possible — avoid silica sand for abrasive blasting.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fit-tested respirator (N95/FFP2 or better) whenever engineering controls cannot keep dust below safe limits, and maintain and replace filters.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periodic medical surveillance with ILO-standard chest X-ray and spirometry, and keep personal exposure and job records.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take-home dust: change and wash work clothes at the site, shower before leaving, and do not carry dusty clothing into the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your legal rights and state pneumoconiosis compensation, pension and rehabilitation schemes, and report suspected silicosis.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silica-dust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Mine, quarry &amp; stone-crusher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Agate, quartz &amp; benchtop fabricators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Employers &amp; small-unit owners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Migrant labourers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tuberculosis screening at diagnosis and periodically thereafter; take TB preventive therapy or full anti-TB treatment exactly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further silica exposure — removing the source is the single most important treatment as there is no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for spirometry, oxygen assessment and screening for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influenza and pneumococcal vaccination to reduce 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symptoms promptly — weight loss, blood in sputum, fever or worsening breathlessness.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silicotics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Silico-tuberculosis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PMF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leaving the trade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in pulmonary rehabilitation with supervised, graded aerobic and strength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breathing techniques (pursed-lip and diaphragmatic breathing) and energy-conservation or pacing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up daily low-impact activity such as walking, within tolerance, to prevent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ambulatory oxygen during exertion if it has been prescribed.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PMF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Breathless / deconditioned silicotics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protein-rich and calorie-adequate diet to prevent weight loss and support immunity against 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fruits and vegetables daily for antioxidants.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(BMI 18.5–24.9) and avoid undernutrition.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help clear airway mucus.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Silico-tuberculosis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assessed for and treat nocturnal low oxygen; use night-time oxygen if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treatment of cor pulmonale and breathlessness before bedtime.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with the head elevated and keep good, regular sleep habits.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silicosis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Hypoxaemic silicotics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cigarettes, bidi and hookah — because smoking multiplies the airflow obstruction, lung-cancer and tuberculosis risk that silica already causes.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such as counselling and nicotine-replacement therapy where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Dust-exposed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Silicotic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Silico-tuberculosis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as heavy use worsens nutrition and raises tuberculosis risk in silicotic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on anti-tuberculosis medication because of liver-toxicity interactions.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Silico-tuberculosis patients on treatment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screened for depression and anxiety, which are common with a chronic, disabling disease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Access counselling, peer-support groups and family and social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help connecting to disability benefits, compensation and vocational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Disabled / unemployed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families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93/occmed/kqab146" TargetMode="External"/><Relationship Id="rId10" Type="http://schemas.openxmlformats.org/officeDocument/2006/relationships/hyperlink" Target="https://www.ncbi.nlm.nih.gov/books/NBK537341/" TargetMode="External"/><Relationship Id="rId11" Type="http://schemas.openxmlformats.org/officeDocument/2006/relationships/hyperlink" Target="https://pubmed.ncbi.nlm.nih.gov/23254775/" TargetMode="External"/><Relationship Id="rId12" Type="http://schemas.openxmlformats.org/officeDocument/2006/relationships/hyperlink" Target="https://pubmed.ncbi.nlm.nih.gov/39881375/" TargetMode="External"/><Relationship Id="rId13" Type="http://schemas.openxmlformats.org/officeDocument/2006/relationships/hyperlink" Target="https://www.osha.gov/silica-crystalline" TargetMode="External"/><Relationship Id="rId14" Type="http://schemas.openxmlformats.org/officeDocument/2006/relationships/hyperlink" Target="https://www.lung.org/lung-health-diseases/lung-disease-lookup/silicosis" TargetMode="External"/><Relationship Id="rId15" Type="http://schemas.openxmlformats.org/officeDocument/2006/relationships/hyperlink" Target="https://www.osha.gov/laws-regs/regulations/standardnumber/1926/1926.1153" TargetMode="External"/><Relationship Id="rId16" Type="http://schemas.openxmlformats.org/officeDocument/2006/relationships/hyperlink" Target="https://www.cdc.gov/niosh/silica/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