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Byssinosis</w:t>
      </w:r>
    </w:p>
    <w:p>
      <w:pPr>
        <w:spacing w:before="0" w:after="160"/>
      </w:pPr>
      <w:r>
        <w:rPr>
          <w:rFonts w:ascii="Calibri" w:hAnsi="Calibri"/>
          <w:b/>
          <w:i w:val="0"/>
          <w:color w:val="212121"/>
          <w:sz w:val="22"/>
        </w:rPr>
        <w:t xml:space="preserve">AKA </w:t>
      </w:r>
      <w:r>
        <w:rPr>
          <w:rFonts w:ascii="Calibri" w:hAnsi="Calibri"/>
          <w:b w:val="0"/>
          <w:i w:val="0"/>
          <w:color w:val="212121"/>
          <w:sz w:val="22"/>
        </w:rPr>
        <w:t>i.e., Cotton worker's lung, Brown lung disease, Monday fever / Monday feeling, Mill fever, Cotton-dust lung</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Byssinosis is a chronic occupational lung disease caused by inhaling dust from raw, unprocessed vegetable textile fibres — chiefly cotton, but also flax, soft hemp and jute — during their manufacturing. It classically produces chest tightness and breathlessness that are worst on the first working day after a break ('Monday feeling') and ease over the week, driven largely by bacterial endotoxin contaminating the raw fibre. With continued exposure over years the initially reversible airway reaction can progress to fixed, chronic airflow obstruction resembling COPD. It is entirely preventable through dust control but has no cure once chronic disability is established.</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Byssinosis remains an important but under-recognised and under-notified occupational lung disease in India, whose textile industry (cotton spinning and weaving mills, powerlooms, ginning and jute mills) is one of the country's largest employers of manual labour. In a classic cotton-mill survey in Mumbai, byssinosis was found in 30% of workers in the dusty sections (blow room, carding, spinning) and 26% of all workers surveyed, rising to 45% among those with more than 30 years of service. A systematic review of low- and middle-income countries — which included several Indian cohorts — reported byssinosis prevalence ranging from 8% to 38%, with a strong correlation (r = 0.72) between disease frequency and airborne cotton-dust concentration. Studies in South Indian power-loom clusters (Tamil Nadu) report chest tightness in roughly a quarter of exposed workers and abnormal pulmonary function in over 80%. Disease clusters in India's textile belts — Maharashtra (Mumbai, Solapur), Gujarat (Ahmedabad, Surat), Tamil Nadu (Coimbatore, Tirupur), Madhya Pradesh (Burhanpur powerlooms) and the West Bengal jute belt.</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Byssinosis is a clinical diagnosis based on a characteristic exposure-related symptom pattern supported by lung-function testing; there is no confirmatory blood test or specific radiographic feature. It rests 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credible occupational history of exposure to raw cotton, flax, soft-hemp or jute dust, typically in the dustiest processes — bale opening / blow room, carding, spinning and (jute) batching;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characteristic temporal pattern of chest tightness and/or breathlessness that is worst on the first working day after a weekend or holiday ('Monday feeling') and eases over the working week — used to grade severity by the Schilling criteria;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demonstration of an acute across-shift fall in FEV1 on spirometry (a decline of about 5–10% from pre-shift to end-shift on the first day of the week is supportive), and/or chronic airflow obstruction (reduced FEV1 and FEV1/FVC) on serial testing;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 accelerated annual decline in FEV1 (in the order of ~50 mL/year versus a normal ~20–30 mL/year) on longitudinal surveillance;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mimics — asthma, smoking-related chronic bronchitis/COPD and, critically in India, pulmonary tuberculosis — using history, chest radiograph and sputum testing where indicated.</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Byssinosis is graded clinically and functionally by the Schilling / WHO scheme according to the timing and persistence of symptoms and the degree of ventilatory impairment:</w:t>
      </w:r>
    </w:p>
    <w:p>
      <w:pPr>
        <w:spacing w:before="0" w:after="80"/>
      </w:pPr>
      <w:r>
        <w:rPr>
          <w:rFonts w:ascii="Calibri" w:hAnsi="Calibri"/>
          <w:b w:val="0"/>
          <w:i w:val="0"/>
          <w:color w:val="212121"/>
          <w:sz w:val="21"/>
        </w:rPr>
        <w:t>(1) Grade 0 — no symptoms of chest tightness or breathlessness on exposure to cotton dust;</w:t>
      </w:r>
    </w:p>
    <w:p>
      <w:pPr>
        <w:spacing w:before="0" w:after="80"/>
      </w:pPr>
      <w:r>
        <w:rPr>
          <w:rFonts w:ascii="Calibri" w:hAnsi="Calibri"/>
          <w:b w:val="0"/>
          <w:i w:val="0"/>
          <w:color w:val="212121"/>
          <w:sz w:val="21"/>
        </w:rPr>
        <w:t>(2) Grade 1/2 (half) — occasional chest tightness, or mild symptoms, on the first day of the working week;</w:t>
      </w:r>
    </w:p>
    <w:p>
      <w:pPr>
        <w:spacing w:before="0" w:after="80"/>
      </w:pPr>
      <w:r>
        <w:rPr>
          <w:rFonts w:ascii="Calibri" w:hAnsi="Calibri"/>
          <w:b w:val="0"/>
          <w:i w:val="0"/>
          <w:color w:val="212121"/>
          <w:sz w:val="21"/>
        </w:rPr>
        <w:t>(3) Grade 1 (B1) — chest tightness and/or breathlessness on every first day of the working week;</w:t>
      </w:r>
    </w:p>
    <w:p>
      <w:pPr>
        <w:spacing w:before="0" w:after="80"/>
      </w:pPr>
      <w:r>
        <w:rPr>
          <w:rFonts w:ascii="Calibri" w:hAnsi="Calibri"/>
          <w:b w:val="0"/>
          <w:i w:val="0"/>
          <w:color w:val="212121"/>
          <w:sz w:val="21"/>
        </w:rPr>
        <w:t>(4) Grade 2 (B2) — chest tightness and/or breathlessness on the first and other days of the working week;</w:t>
      </w:r>
    </w:p>
    <w:p>
      <w:pPr>
        <w:spacing w:before="0" w:after="80"/>
      </w:pPr>
      <w:r>
        <w:rPr>
          <w:rFonts w:ascii="Calibri" w:hAnsi="Calibri"/>
          <w:b w:val="0"/>
          <w:i w:val="0"/>
          <w:color w:val="212121"/>
          <w:sz w:val="21"/>
        </w:rPr>
        <w:t>(5) Grade 3 (B3) — Grade 2 symptoms accompanied by evidence of permanent, irreversible ventilatory impairment (chronic airflow obstruction). A parallel functional (F) grading uses the acute across-shift change in FEV1: F0 (no acute change), F1/2 and F1 (mild-to-moderate acute cross-shift decline) and F2 (evidence of chronic reduction in FEV1). 'Mill fever' (an acute, self-limiting febrile reaction on first or heavy dust exposure) and 'weaver's cough' are related but distinct textile-dust responses.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Raw vegetable-dust exposure: Inhalation of dust from raw, unprocessed cotton — and also flax, soft hemp and jute — during opening, carding and spinning is the necessary cause; fully processed or finished cotton carries little risk.</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Bacterial endotoxin: Lipopolysaccharide (endotoxin) from Gram-negative bacteria contaminating the raw fibre is the principal biologically active agent, provoking airway inflammation; dust endotoxin level predicts disease better than dust mass alone.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Cumulative dust dose (intensity x years): Higher airborne dust and endotoxin concentrations and longer duration of exposure increase both prevalence and severity and drive progression from reversible to fixed chronic disease.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Dusty processes and poor controls: The blow room, carding and early spinning generate the most respirable dust; absence of local exhaust ventilation, enclosed machinery and respiratory protection in older mills and informal powerlooms raises exposure.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Tobacco smoking: Smoking is additive to cotton dust in causing airflow obstruction and accelerates FEV1 decline, amplifying progression to chronic disease.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Host susceptibility: Pre-existing airway hyper-responsiveness or atopy and TNF-alpha (and other) gene polymorphisms are associated with a greater FEV1 response to inhaled endotoxin.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Working-age adults (20–50 years)</w:t>
            </w:r>
          </w:p>
        </w:tc>
        <w:tc>
          <w:tcPr>
            <w:tcW w:type="dxa" w:w="4276"/>
            <w:vAlign w:val="top"/>
          </w:tcPr>
          <w:p>
            <w:pPr>
              <w:spacing w:after="60" w:line="259" w:lineRule="auto"/>
            </w:pPr>
            <w:r>
              <w:rPr>
                <w:rFonts w:ascii="Calibri" w:hAnsi="Calibri"/>
                <w:b w:val="0"/>
                <w:i w:val="0"/>
                <w:color w:val="212121"/>
                <w:sz w:val="19"/>
              </w:rPr>
              <w:t>These are the peak mill- and powerloom-employment years; the airway reaction to endotoxin-laden cotton dust is cumulative, so symptomatic byssinosis typically emerges after months to years of exposure in this age band.</w:t>
            </w:r>
          </w:p>
          <w:p>
            <w:pPr>
              <w:spacing w:after="40" w:before="60" w:line="259" w:lineRule="auto"/>
            </w:pPr>
            <w:r>
              <w:rPr>
                <w:rFonts w:ascii="Calibri" w:hAnsi="Calibri"/>
                <w:b w:val="0"/>
                <w:i w:val="0"/>
                <w:color w:val="212121"/>
                <w:sz w:val="19"/>
              </w:rPr>
              <w:t>In a Mumbai cotton-mill survey, byssinosis was present in 30% of workers in the dusty sections (blow room, carding, spinning) versus 17% in non-dusty areas.</w:t>
            </w:r>
          </w:p>
          <w:p>
            <w:pPr>
              <w:spacing w:after="40" w:line="252" w:lineRule="auto"/>
            </w:pPr>
            <w:hyperlink r:id="rId9">
              <w:r>
                <w:rPr>
                  <w:rFonts w:ascii="Calibri" w:hAnsi="Calibri" w:cs="Calibri"/>
                  <w:sz w:val="18"/>
                  <w:color w:val="1155CC"/>
                  <w:u w:val="single"/>
                </w:rPr>
                <w:t xml:space="preserve">nmji.in — byssinosis in a Bombay textile mill</w:t>
              </w:r>
            </w:hyperlink>
          </w:p>
          <w:p>
            <w:pPr>
              <w:spacing w:before="60" w:after="40"/>
            </w:pPr>
            <w:r>
              <w:rPr>
                <w:rFonts w:ascii="Calibri" w:hAnsi="Calibri"/>
                <w:b w:val="0"/>
                <w:i w:val="0"/>
                <w:color w:val="5A5A5A"/>
                <w:sz w:val="18"/>
              </w:rPr>
              <w:t>#occupational  #cottondust  #endotoxin  #dustytrade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Long-service &amp; older workers (&gt;30 years exposure)</w:t>
            </w:r>
          </w:p>
        </w:tc>
        <w:tc>
          <w:tcPr>
            <w:tcW w:type="dxa" w:w="4276"/>
            <w:vAlign w:val="top"/>
          </w:tcPr>
          <w:p>
            <w:pPr>
              <w:spacing w:after="60" w:line="259" w:lineRule="auto"/>
            </w:pPr>
            <w:r>
              <w:rPr>
                <w:rFonts w:ascii="Calibri" w:hAnsi="Calibri"/>
                <w:b w:val="0"/>
                <w:i w:val="0"/>
                <w:color w:val="212121"/>
                <w:sz w:val="19"/>
              </w:rPr>
              <w:t>Chronic byssinosis accumulates with cumulative dose; after decades of exposure the reversible first-day reaction gives way to fixed airflow obstruction, so prevalence and severity are highest in long-service and older operatives.</w:t>
            </w:r>
          </w:p>
          <w:p>
            <w:pPr>
              <w:spacing w:after="40" w:before="60" w:line="259" w:lineRule="auto"/>
            </w:pPr>
            <w:r>
              <w:rPr>
                <w:rFonts w:ascii="Calibri" w:hAnsi="Calibri"/>
                <w:b w:val="0"/>
                <w:i w:val="0"/>
                <w:color w:val="212121"/>
                <w:sz w:val="19"/>
              </w:rPr>
              <w:t>Byssinosis prevalence rose to 45% among Mumbai mill workers with more than 30 years of service, compared with about 24% in those with under 10 years.</w:t>
            </w:r>
          </w:p>
          <w:p>
            <w:pPr>
              <w:spacing w:after="40" w:line="252" w:lineRule="auto"/>
            </w:pPr>
            <w:hyperlink r:id="rId9">
              <w:r>
                <w:rPr>
                  <w:rFonts w:ascii="Calibri" w:hAnsi="Calibri" w:cs="Calibri"/>
                  <w:sz w:val="18"/>
                  <w:color w:val="1155CC"/>
                  <w:u w:val="single"/>
                </w:rPr>
                <w:t xml:space="preserve">nmji.in — byssinosis in a Bombay textile mill</w:t>
              </w:r>
            </w:hyperlink>
          </w:p>
          <w:p>
            <w:pPr>
              <w:spacing w:before="60" w:after="40"/>
            </w:pPr>
            <w:r>
              <w:rPr>
                <w:rFonts w:ascii="Calibri" w:hAnsi="Calibri"/>
                <w:b w:val="0"/>
                <w:i w:val="0"/>
                <w:color w:val="5A5A5A"/>
                <w:sz w:val="18"/>
              </w:rPr>
              <w:t>#cumulativedose  #chronicobstruction  #longservice  #irreversible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 mill &amp; powerloom operatives</w:t>
            </w:r>
          </w:p>
        </w:tc>
        <w:tc>
          <w:tcPr>
            <w:tcW w:type="dxa" w:w="4276"/>
            <w:vAlign w:val="top"/>
          </w:tcPr>
          <w:p>
            <w:pPr>
              <w:spacing w:after="60" w:line="259" w:lineRule="auto"/>
            </w:pPr>
            <w:r>
              <w:rPr>
                <w:rFonts w:ascii="Calibri" w:hAnsi="Calibri"/>
                <w:b w:val="0"/>
                <w:i w:val="0"/>
                <w:color w:val="212121"/>
                <w:sz w:val="19"/>
              </w:rPr>
              <w:t>Men predominate in India's organised spinning and weaving workforce, so recognised byssinosis is largely male; however, women employed in cotton ginning, hand-spinning and home-based powerloom work are also exposed and are frequently under-detected.</w:t>
            </w:r>
          </w:p>
          <w:p>
            <w:pPr>
              <w:spacing w:before="60" w:after="40"/>
            </w:pPr>
            <w:r>
              <w:rPr>
                <w:rFonts w:ascii="Calibri" w:hAnsi="Calibri"/>
                <w:b w:val="0"/>
                <w:i w:val="0"/>
                <w:color w:val="5A5A5A"/>
                <w:sz w:val="18"/>
              </w:rPr>
              <w:t>#male  #millworkforce  #ginning  #underdetection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informal powerloom, ginning &amp; home-based workers</w:t>
            </w:r>
          </w:p>
        </w:tc>
        <w:tc>
          <w:tcPr>
            <w:tcW w:type="dxa" w:w="4276"/>
            <w:vAlign w:val="top"/>
          </w:tcPr>
          <w:p>
            <w:pPr>
              <w:spacing w:after="60" w:line="259" w:lineRule="auto"/>
            </w:pPr>
            <w:r>
              <w:rPr>
                <w:rFonts w:ascii="Calibri" w:hAnsi="Calibri"/>
                <w:b w:val="0"/>
                <w:i w:val="0"/>
                <w:color w:val="212121"/>
                <w:sz w:val="19"/>
              </w:rPr>
              <w:t>Unorganised and home-based powerloom, ginning and hand-processing units rarely provide dust extraction, monitoring or protective equipment; poverty, piece-rate work and job insecurity drive continued high exposure and delay care.</w:t>
            </w:r>
          </w:p>
          <w:p>
            <w:pPr>
              <w:spacing w:after="40" w:before="60" w:line="259" w:lineRule="auto"/>
            </w:pPr>
            <w:r>
              <w:rPr>
                <w:rFonts w:ascii="Calibri" w:hAnsi="Calibri"/>
                <w:b w:val="0"/>
                <w:i w:val="0"/>
                <w:color w:val="212121"/>
                <w:sz w:val="19"/>
              </w:rPr>
              <w:t>Byssinosis and pulmonary tuberculosis have both been documented among home-based powerloom workers in Madhya Pradesh, India, highlighting the burden in the informal sector.</w:t>
            </w:r>
          </w:p>
          <w:p>
            <w:pPr>
              <w:spacing w:after="40" w:line="252" w:lineRule="auto"/>
            </w:pPr>
            <w:hyperlink r:id="rId10">
              <w:r>
                <w:rPr>
                  <w:rFonts w:ascii="Calibri" w:hAnsi="Calibri" w:cs="Calibri"/>
                  <w:sz w:val="18"/>
                  <w:color w:val="1155CC"/>
                  <w:u w:val="single"/>
                </w:rPr>
                <w:t xml:space="preserve">sciencedirect.com — byssinosis &amp; TB, MP powerloom workers</w:t>
              </w:r>
            </w:hyperlink>
          </w:p>
          <w:p>
            <w:pPr>
              <w:spacing w:before="60" w:after="40"/>
            </w:pPr>
            <w:r>
              <w:rPr>
                <w:rFonts w:ascii="Calibri" w:hAnsi="Calibri"/>
                <w:b w:val="0"/>
                <w:i w:val="0"/>
                <w:color w:val="5A5A5A"/>
                <w:sz w:val="18"/>
              </w:rPr>
              <w:t>#informalsector  #powerloom  #poverty  #nomonitoring</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Merge w:val="restart"/>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Maharashtra &amp; Gujarat cotton-mill belt (Mumbai, Solapur, Ahmedabad, Surat)</w:t>
            </w:r>
          </w:p>
        </w:tc>
        <w:tc>
          <w:tcPr>
            <w:tcW w:type="dxa" w:w="4276"/>
            <w:vAlign w:val="top"/>
          </w:tcPr>
          <w:p>
            <w:pPr>
              <w:spacing w:after="60" w:line="259" w:lineRule="auto"/>
            </w:pPr>
            <w:r>
              <w:rPr>
                <w:rFonts w:ascii="Calibri" w:hAnsi="Calibri"/>
                <w:b w:val="0"/>
                <w:i w:val="0"/>
                <w:color w:val="212121"/>
                <w:sz w:val="19"/>
              </w:rPr>
              <w:t>These historic cotton spinning and weaving hubs employ large numbers of operatives in high-dust blow-room, carding and spinning sections, producing some of India's best-documented byssinosis burdens.</w:t>
            </w:r>
          </w:p>
          <w:p>
            <w:pPr>
              <w:spacing w:after="40" w:before="60" w:line="259" w:lineRule="auto"/>
            </w:pPr>
            <w:r>
              <w:rPr>
                <w:rFonts w:ascii="Calibri" w:hAnsi="Calibri"/>
                <w:b w:val="0"/>
                <w:i w:val="0"/>
                <w:color w:val="212121"/>
                <w:sz w:val="19"/>
              </w:rPr>
              <w:t>26% overall byssinosis prevalence was recorded across departments in a Mumbai cotton mill, and 30% in its dusty sections.</w:t>
            </w:r>
          </w:p>
          <w:p>
            <w:pPr>
              <w:spacing w:after="40" w:line="252" w:lineRule="auto"/>
            </w:pPr>
            <w:hyperlink r:id="rId9">
              <w:r>
                <w:rPr>
                  <w:rFonts w:ascii="Calibri" w:hAnsi="Calibri" w:cs="Calibri"/>
                  <w:sz w:val="18"/>
                  <w:color w:val="1155CC"/>
                  <w:u w:val="single"/>
                </w:rPr>
                <w:t xml:space="preserve">nmji.in — byssinosis in a Bombay textile mill</w:t>
              </w:r>
            </w:hyperlink>
          </w:p>
          <w:p>
            <w:pPr>
              <w:spacing w:before="60" w:after="40"/>
            </w:pPr>
            <w:r>
              <w:rPr>
                <w:rFonts w:ascii="Calibri" w:hAnsi="Calibri"/>
                <w:b w:val="0"/>
                <w:i w:val="0"/>
                <w:color w:val="5A5A5A"/>
                <w:sz w:val="18"/>
              </w:rPr>
              <w:t>#Maharashtra  #Gujarat  #cottonmill  #spinning</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Tamil Nadu spinning &amp; power-loom belt (Coimbatore, Tirupur)</w:t>
            </w:r>
          </w:p>
        </w:tc>
        <w:tc>
          <w:tcPr>
            <w:tcW w:type="dxa" w:w="4276"/>
            <w:vAlign w:val="top"/>
          </w:tcPr>
          <w:p>
            <w:pPr>
              <w:spacing w:after="60" w:line="259" w:lineRule="auto"/>
            </w:pPr>
            <w:r>
              <w:rPr>
                <w:rFonts w:ascii="Calibri" w:hAnsi="Calibri"/>
                <w:b w:val="0"/>
                <w:i w:val="0"/>
                <w:color w:val="212121"/>
                <w:sz w:val="19"/>
              </w:rPr>
              <w:t>Tamil Nadu is India's spinning capital; dense power-loom and spinning clusters expose workers to high particulate and cotton-dust loads, frequently exceeding air-quality limits.</w:t>
            </w:r>
          </w:p>
          <w:p>
            <w:pPr>
              <w:spacing w:after="40" w:before="60" w:line="259" w:lineRule="auto"/>
            </w:pPr>
            <w:r>
              <w:rPr>
                <w:rFonts w:ascii="Calibri" w:hAnsi="Calibri"/>
                <w:b w:val="0"/>
                <w:i w:val="0"/>
                <w:color w:val="212121"/>
                <w:sz w:val="19"/>
              </w:rPr>
              <w:t>Among Tamil Nadu power-loom workers, chest tightness was reported by 23.6% and abnormal pulmonary function in about 81% of exposed workers, with dust exceeding NAAQS/OSHA limits.</w:t>
            </w:r>
          </w:p>
          <w:p>
            <w:pPr>
              <w:spacing w:after="40" w:line="252" w:lineRule="auto"/>
            </w:pPr>
            <w:hyperlink r:id="rId11">
              <w:r>
                <w:rPr>
                  <w:rFonts w:ascii="Calibri" w:hAnsi="Calibri" w:cs="Calibri"/>
                  <w:sz w:val="18"/>
                  <w:color w:val="1155CC"/>
                  <w:u w:val="single"/>
                </w:rPr>
                <w:t xml:space="preserve">springer.com — power-loom workers, Tamil Nadu</w:t>
              </w:r>
            </w:hyperlink>
          </w:p>
          <w:p>
            <w:pPr>
              <w:spacing w:before="60" w:after="40"/>
            </w:pPr>
            <w:r>
              <w:rPr>
                <w:rFonts w:ascii="Calibri" w:hAnsi="Calibri"/>
                <w:b w:val="0"/>
                <w:i w:val="0"/>
                <w:color w:val="5A5A5A"/>
                <w:sz w:val="18"/>
              </w:rPr>
              <w:t>#TamilNadu  #Coimbatore  #Tirupur  #powerloom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 / Region</w:t>
            </w:r>
          </w:p>
        </w:tc>
        <w:tc>
          <w:tcPr>
            <w:tcW w:type="dxa" w:w="2160"/>
            <w:vAlign w:val="top"/>
          </w:tcPr>
          <w:p>
            <w:pPr>
              <w:spacing w:after="40" w:before="0" w:line="259" w:lineRule="auto"/>
            </w:pPr>
            <w:r>
              <w:rPr>
                <w:rFonts w:ascii="Calibri" w:hAnsi="Calibri"/>
                <w:b w:val="0"/>
                <w:i w:val="0"/>
                <w:color w:val="212121"/>
                <w:sz w:val="19"/>
              </w:rPr>
              <w:t>West Bengal jute-mill workers</w:t>
            </w:r>
          </w:p>
        </w:tc>
        <w:tc>
          <w:tcPr>
            <w:tcW w:type="dxa" w:w="4276"/>
            <w:vAlign w:val="top"/>
          </w:tcPr>
          <w:p>
            <w:pPr>
              <w:spacing w:after="60" w:line="259" w:lineRule="auto"/>
            </w:pPr>
            <w:r>
              <w:rPr>
                <w:rFonts w:ascii="Calibri" w:hAnsi="Calibri"/>
                <w:b w:val="0"/>
                <w:i w:val="0"/>
                <w:color w:val="212121"/>
                <w:sz w:val="19"/>
              </w:rPr>
              <w:t>Jute batching and processing (concentrated in the West Bengal jute belt) generates soft-vegetable-fibre dust that causes a byssinosis-like disease, as flax, hemp and jute share the endotoxin-driven mechanism of cotton.</w:t>
            </w:r>
          </w:p>
          <w:p>
            <w:pPr>
              <w:spacing w:after="40" w:before="60" w:line="259" w:lineRule="auto"/>
            </w:pPr>
            <w:r>
              <w:rPr>
                <w:rFonts w:ascii="Calibri" w:hAnsi="Calibri"/>
                <w:b w:val="0"/>
                <w:i w:val="0"/>
                <w:color w:val="212121"/>
                <w:sz w:val="19"/>
              </w:rPr>
              <w:t>Jute, flax and hemp dust are recognised causes of byssinosis in addition to cotton.</w:t>
            </w:r>
          </w:p>
          <w:p>
            <w:pPr>
              <w:spacing w:after="40" w:line="252" w:lineRule="auto"/>
            </w:pPr>
            <w:hyperlink r:id="rId12">
              <w:r>
                <w:rPr>
                  <w:rFonts w:ascii="Calibri" w:hAnsi="Calibri" w:cs="Calibri"/>
                  <w:sz w:val="18"/>
                  <w:color w:val="1155CC"/>
                  <w:u w:val="single"/>
                </w:rPr>
                <w:t xml:space="preserve">ncbi.nlm.nih.gov — StatPearls: Byssinosis</w:t>
              </w:r>
            </w:hyperlink>
          </w:p>
          <w:p>
            <w:pPr>
              <w:spacing w:before="60" w:after="40"/>
            </w:pPr>
            <w:r>
              <w:rPr>
                <w:rFonts w:ascii="Calibri" w:hAnsi="Calibri"/>
                <w:b w:val="0"/>
                <w:i w:val="0"/>
                <w:color w:val="5A5A5A"/>
                <w:sz w:val="18"/>
              </w:rPr>
              <w:t>#jute  #WestBengal  #flax  #hemp</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High-dust process</w:t>
            </w:r>
          </w:p>
        </w:tc>
        <w:tc>
          <w:tcPr>
            <w:tcW w:type="dxa" w:w="2160"/>
            <w:vAlign w:val="top"/>
          </w:tcPr>
          <w:p>
            <w:pPr>
              <w:spacing w:after="40" w:before="0" w:line="259" w:lineRule="auto"/>
            </w:pPr>
            <w:r>
              <w:rPr>
                <w:rFonts w:ascii="Calibri" w:hAnsi="Calibri"/>
                <w:b w:val="0"/>
                <w:i w:val="0"/>
                <w:color w:val="212121"/>
                <w:sz w:val="19"/>
              </w:rPr>
              <w:t>Blow-room, carding &amp; spinning operatives</w:t>
            </w:r>
          </w:p>
        </w:tc>
        <w:tc>
          <w:tcPr>
            <w:tcW w:type="dxa" w:w="4276"/>
            <w:vAlign w:val="top"/>
          </w:tcPr>
          <w:p>
            <w:pPr>
              <w:spacing w:after="60" w:line="259" w:lineRule="auto"/>
            </w:pPr>
            <w:r>
              <w:rPr>
                <w:rFonts w:ascii="Calibri" w:hAnsi="Calibri"/>
                <w:b w:val="0"/>
                <w:i w:val="0"/>
                <w:color w:val="212121"/>
                <w:sz w:val="19"/>
              </w:rPr>
              <w:t>Bale opening, the blow room, carding and early spinning liberate the most respirable raw-cotton dust and endotoxin, so operatives in these sections carry the highest byssinosis risk within any mill.</w:t>
            </w:r>
          </w:p>
          <w:p>
            <w:pPr>
              <w:spacing w:after="40" w:before="60" w:line="259" w:lineRule="auto"/>
            </w:pPr>
            <w:r>
              <w:rPr>
                <w:rFonts w:ascii="Calibri" w:hAnsi="Calibri"/>
                <w:b w:val="0"/>
                <w:i w:val="0"/>
                <w:color w:val="212121"/>
                <w:sz w:val="19"/>
              </w:rPr>
              <w:t>Dusty-section workers had 30% byssinosis versus 17% in non-dusty sections of the same mill.</w:t>
            </w:r>
          </w:p>
          <w:p>
            <w:pPr>
              <w:spacing w:after="40" w:line="252" w:lineRule="auto"/>
            </w:pPr>
            <w:hyperlink r:id="rId9">
              <w:r>
                <w:rPr>
                  <w:rFonts w:ascii="Calibri" w:hAnsi="Calibri" w:cs="Calibri"/>
                  <w:sz w:val="18"/>
                  <w:color w:val="1155CC"/>
                  <w:u w:val="single"/>
                </w:rPr>
                <w:t xml:space="preserve">nmji.in — byssinosis in a Bombay textile mill</w:t>
              </w:r>
            </w:hyperlink>
          </w:p>
          <w:p>
            <w:pPr>
              <w:spacing w:before="60" w:after="40"/>
            </w:pPr>
            <w:r>
              <w:rPr>
                <w:rFonts w:ascii="Calibri" w:hAnsi="Calibri"/>
                <w:b w:val="0"/>
                <w:i w:val="0"/>
                <w:color w:val="5A5A5A"/>
                <w:sz w:val="18"/>
              </w:rPr>
              <w:t>#blowroom  #carding  #spinning  #respirabledust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Cotton-dust workers who smoke cigarettes or bidis</w:t>
            </w:r>
          </w:p>
        </w:tc>
        <w:tc>
          <w:tcPr>
            <w:tcW w:type="dxa" w:w="4276"/>
            <w:vAlign w:val="top"/>
          </w:tcPr>
          <w:p>
            <w:pPr>
              <w:spacing w:after="60" w:line="259" w:lineRule="auto"/>
            </w:pPr>
            <w:r>
              <w:rPr>
                <w:rFonts w:ascii="Calibri" w:hAnsi="Calibri"/>
                <w:b w:val="0"/>
                <w:i w:val="0"/>
                <w:color w:val="212121"/>
                <w:sz w:val="19"/>
              </w:rPr>
              <w:t>Tobacco and bidi smoke is additive to cotton dust in producing airflow obstruction and emphysema, accelerates the decline in FEV1, and hastens progression from reversible to fixed chronic byssinosis.</w:t>
            </w:r>
          </w:p>
          <w:p>
            <w:pPr>
              <w:spacing w:after="40" w:before="60" w:line="259" w:lineRule="auto"/>
            </w:pPr>
            <w:r>
              <w:rPr>
                <w:rFonts w:ascii="Calibri" w:hAnsi="Calibri"/>
                <w:b w:val="0"/>
                <w:i w:val="0"/>
                <w:color w:val="212121"/>
                <w:sz w:val="19"/>
              </w:rPr>
              <w:t>Smoking is an established risk multiplier for accelerated FEV1 decline in cotton-dust-exposed workers.</w:t>
            </w:r>
          </w:p>
          <w:p>
            <w:pPr>
              <w:spacing w:after="40" w:line="252" w:lineRule="auto"/>
            </w:pPr>
            <w:hyperlink r:id="rId12">
              <w:r>
                <w:rPr>
                  <w:rFonts w:ascii="Calibri" w:hAnsi="Calibri" w:cs="Calibri"/>
                  <w:sz w:val="18"/>
                  <w:color w:val="1155CC"/>
                  <w:u w:val="single"/>
                </w:rPr>
                <w:t xml:space="preserve">ncbi.nlm.nih.gov — StatPearls: Byssinosis</w:t>
              </w:r>
            </w:hyperlink>
          </w:p>
          <w:p>
            <w:pPr>
              <w:spacing w:before="60" w:after="40"/>
            </w:pPr>
            <w:r>
              <w:rPr>
                <w:rFonts w:ascii="Calibri" w:hAnsi="Calibri"/>
                <w:b w:val="0"/>
                <w:i w:val="0"/>
                <w:color w:val="5A5A5A"/>
                <w:sz w:val="18"/>
              </w:rPr>
              <w:t>#smoking  #bidi  #FEV1decline  #COPD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No respiratory protection</w:t>
            </w:r>
          </w:p>
        </w:tc>
        <w:tc>
          <w:tcPr>
            <w:tcW w:type="dxa" w:w="2160"/>
            <w:vAlign w:val="top"/>
          </w:tcPr>
          <w:p>
            <w:pPr>
              <w:spacing w:after="40" w:before="0" w:line="259" w:lineRule="auto"/>
            </w:pPr>
            <w:r>
              <w:rPr>
                <w:rFonts w:ascii="Calibri" w:hAnsi="Calibri"/>
                <w:b w:val="0"/>
                <w:i w:val="0"/>
                <w:color w:val="212121"/>
                <w:sz w:val="19"/>
              </w:rPr>
              <w:t>Workers without dust control or PPE</w:t>
            </w:r>
          </w:p>
        </w:tc>
        <w:tc>
          <w:tcPr>
            <w:tcW w:type="dxa" w:w="4276"/>
            <w:vAlign w:val="top"/>
          </w:tcPr>
          <w:p>
            <w:pPr>
              <w:spacing w:after="60" w:line="259" w:lineRule="auto"/>
            </w:pPr>
            <w:r>
              <w:rPr>
                <w:rFonts w:ascii="Calibri" w:hAnsi="Calibri"/>
                <w:b w:val="0"/>
                <w:i w:val="0"/>
                <w:color w:val="212121"/>
                <w:sz w:val="19"/>
              </w:rPr>
              <w:t>Where local exhaust ventilation, machine enclosure and fit-tested respirators are absent, personal dust exposure readily exceeds safe limits, and disease frequency tracks closely with airborne dust concentration.</w:t>
            </w:r>
          </w:p>
          <w:p>
            <w:pPr>
              <w:spacing w:after="40" w:before="60" w:line="259" w:lineRule="auto"/>
            </w:pPr>
            <w:r>
              <w:rPr>
                <w:rFonts w:ascii="Calibri" w:hAnsi="Calibri"/>
                <w:b w:val="0"/>
                <w:i w:val="0"/>
                <w:color w:val="212121"/>
                <w:sz w:val="19"/>
              </w:rPr>
              <w:t>A systematic review of low- and middle-income countries found byssinosis prevalence of 8–38%, correlating strongly with airborne cotton-dust concentration (r = 0.72) — highest where dust controls are absent.</w:t>
            </w:r>
          </w:p>
          <w:p>
            <w:pPr>
              <w:spacing w:after="40" w:line="252" w:lineRule="auto"/>
            </w:pPr>
            <w:hyperlink r:id="rId13">
              <w:r>
                <w:rPr>
                  <w:rFonts w:ascii="Calibri" w:hAnsi="Calibri" w:cs="Calibri"/>
                  <w:sz w:val="18"/>
                  <w:color w:val="1155CC"/>
                  <w:u w:val="single"/>
                </w:rPr>
                <w:t xml:space="preserve">journals.sagepub.com — byssinosis in LMICs (systematic review)</w:t>
              </w:r>
            </w:hyperlink>
          </w:p>
          <w:p>
            <w:pPr>
              <w:spacing w:before="60" w:after="40"/>
            </w:pPr>
            <w:r>
              <w:rPr>
                <w:rFonts w:ascii="Calibri" w:hAnsi="Calibri"/>
                <w:b w:val="0"/>
                <w:i w:val="0"/>
                <w:color w:val="5A5A5A"/>
                <w:sz w:val="18"/>
              </w:rPr>
              <w:t>#noPPE  #exposurelimit  #ventilation  #prevention</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Undernutrition</w:t>
            </w:r>
          </w:p>
        </w:tc>
        <w:tc>
          <w:tcPr>
            <w:tcW w:type="dxa" w:w="2160"/>
            <w:vAlign w:val="top"/>
          </w:tcPr>
          <w:p>
            <w:pPr>
              <w:spacing w:after="40" w:before="0" w:line="259" w:lineRule="auto"/>
            </w:pPr>
            <w:r>
              <w:rPr>
                <w:rFonts w:ascii="Calibri" w:hAnsi="Calibri"/>
                <w:b w:val="0"/>
                <w:i w:val="0"/>
                <w:color w:val="212121"/>
                <w:sz w:val="19"/>
              </w:rPr>
              <w:t>Low-BMI, undernourished labourers</w:t>
            </w:r>
          </w:p>
        </w:tc>
        <w:tc>
          <w:tcPr>
            <w:tcW w:type="dxa" w:w="4276"/>
            <w:vAlign w:val="top"/>
          </w:tcPr>
          <w:p>
            <w:pPr>
              <w:spacing w:after="60" w:line="259" w:lineRule="auto"/>
            </w:pPr>
            <w:r>
              <w:rPr>
                <w:rFonts w:ascii="Calibri" w:hAnsi="Calibri"/>
                <w:b w:val="0"/>
                <w:i w:val="0"/>
                <w:color w:val="212121"/>
                <w:sz w:val="19"/>
              </w:rPr>
              <w:t>Chronic undernutrition, common among migrant and informal textile labourers, impairs cell-mediated immunity and markedly raises susceptibility to tuberculosis — a frequent and serious co-diagnosis in India's cotton and powerloom workers.</w:t>
            </w:r>
          </w:p>
          <w:p>
            <w:pPr>
              <w:spacing w:after="40" w:before="60" w:line="259" w:lineRule="auto"/>
            </w:pPr>
            <w:r>
              <w:rPr>
                <w:rFonts w:ascii="Calibri" w:hAnsi="Calibri"/>
                <w:b w:val="0"/>
                <w:i w:val="0"/>
                <w:color w:val="212121"/>
                <w:sz w:val="19"/>
              </w:rPr>
              <w:t>Byssinosis and tuberculosis have been documented together among home-based powerloom workers in Madhya Pradesh, India.</w:t>
            </w:r>
          </w:p>
          <w:p>
            <w:pPr>
              <w:spacing w:after="40" w:line="252" w:lineRule="auto"/>
            </w:pPr>
            <w:hyperlink r:id="rId10">
              <w:r>
                <w:rPr>
                  <w:rFonts w:ascii="Calibri" w:hAnsi="Calibri" w:cs="Calibri"/>
                  <w:sz w:val="18"/>
                  <w:color w:val="1155CC"/>
                  <w:u w:val="single"/>
                </w:rPr>
                <w:t xml:space="preserve">sciencedirect.com — byssinosis &amp; TB, MP powerloom workers</w:t>
              </w:r>
            </w:hyperlink>
          </w:p>
          <w:p>
            <w:pPr>
              <w:spacing w:before="60" w:after="40"/>
            </w:pPr>
            <w:r>
              <w:rPr>
                <w:rFonts w:ascii="Calibri" w:hAnsi="Calibri"/>
                <w:b w:val="0"/>
                <w:i w:val="0"/>
                <w:color w:val="5A5A5A"/>
                <w:sz w:val="18"/>
              </w:rPr>
              <w:t>#undernutrition  #lowBMI  #immunity  #TBsusceptibility</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Host susceptibility</w:t>
            </w:r>
          </w:p>
        </w:tc>
        <w:tc>
          <w:tcPr>
            <w:tcW w:type="dxa" w:w="2160"/>
            <w:vAlign w:val="top"/>
          </w:tcPr>
          <w:p>
            <w:pPr>
              <w:spacing w:after="40" w:before="0" w:line="259" w:lineRule="auto"/>
            </w:pPr>
            <w:r>
              <w:rPr>
                <w:rFonts w:ascii="Calibri" w:hAnsi="Calibri"/>
                <w:b w:val="0"/>
                <w:i w:val="0"/>
                <w:color w:val="212121"/>
                <w:sz w:val="19"/>
              </w:rPr>
              <w:t>Atopic workers &amp; TNF-α polymorphism carriers</w:t>
            </w:r>
          </w:p>
        </w:tc>
        <w:tc>
          <w:tcPr>
            <w:tcW w:type="dxa" w:w="4276"/>
            <w:vAlign w:val="top"/>
          </w:tcPr>
          <w:p>
            <w:pPr>
              <w:spacing w:after="60" w:line="259" w:lineRule="auto"/>
            </w:pPr>
            <w:r>
              <w:rPr>
                <w:rFonts w:ascii="Calibri" w:hAnsi="Calibri"/>
                <w:b w:val="0"/>
                <w:i w:val="0"/>
                <w:color w:val="212121"/>
                <w:sz w:val="19"/>
              </w:rPr>
              <w:t>For the same dust exposure, individuals with pre-existing airway hyper-responsiveness/atopy and with TNF-alpha (and related) gene polymorphisms show a greater fall in FEV1 in response to inhaled endotoxin, and are more susceptible to symptomatic byssinosis.</w:t>
            </w:r>
          </w:p>
          <w:p>
            <w:pPr>
              <w:spacing w:after="40" w:before="60" w:line="259" w:lineRule="auto"/>
            </w:pPr>
            <w:r>
              <w:rPr>
                <w:rFonts w:ascii="Calibri" w:hAnsi="Calibri"/>
                <w:b w:val="0"/>
                <w:i w:val="0"/>
                <w:color w:val="212121"/>
                <w:sz w:val="19"/>
              </w:rPr>
              <w:t>Workers with TNF gene polymorphisms show greater FEV1 decline on cotton-dust exposure.</w:t>
            </w:r>
          </w:p>
          <w:p>
            <w:pPr>
              <w:spacing w:after="40" w:line="252" w:lineRule="auto"/>
            </w:pPr>
            <w:hyperlink r:id="rId12">
              <w:r>
                <w:rPr>
                  <w:rFonts w:ascii="Calibri" w:hAnsi="Calibri" w:cs="Calibri"/>
                  <w:sz w:val="18"/>
                  <w:color w:val="1155CC"/>
                  <w:u w:val="single"/>
                </w:rPr>
                <w:t xml:space="preserve">ncbi.nlm.nih.gov — StatPearls: Byssinosis</w:t>
              </w:r>
            </w:hyperlink>
          </w:p>
          <w:p>
            <w:pPr>
              <w:spacing w:before="60" w:after="40"/>
            </w:pPr>
            <w:r>
              <w:rPr>
                <w:rFonts w:ascii="Calibri" w:hAnsi="Calibri"/>
                <w:b w:val="0"/>
                <w:i w:val="0"/>
                <w:color w:val="5A5A5A"/>
                <w:sz w:val="18"/>
              </w:rPr>
              <w:t>#atopy  #TNFalpha  #hostresponse  #hyperreactivity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COPD / chronic bronchitis</w:t>
            </w:r>
          </w:p>
        </w:tc>
        <w:tc>
          <w:tcPr>
            <w:tcW w:type="dxa" w:w="2160"/>
            <w:vAlign w:val="top"/>
          </w:tcPr>
          <w:p>
            <w:pPr>
              <w:spacing w:after="40" w:before="0" w:line="259" w:lineRule="auto"/>
            </w:pPr>
            <w:r>
              <w:rPr>
                <w:rFonts w:ascii="Calibri" w:hAnsi="Calibri"/>
                <w:b w:val="0"/>
                <w:i w:val="0"/>
                <w:color w:val="212121"/>
                <w:sz w:val="19"/>
              </w:rPr>
              <w:t>Dust-exposed workers with fixed airflow obstruction</w:t>
            </w:r>
          </w:p>
        </w:tc>
        <w:tc>
          <w:tcPr>
            <w:tcW w:type="dxa" w:w="4276"/>
            <w:vAlign w:val="top"/>
          </w:tcPr>
          <w:p>
            <w:pPr>
              <w:spacing w:after="60" w:line="259" w:lineRule="auto"/>
            </w:pPr>
            <w:r>
              <w:rPr>
                <w:rFonts w:ascii="Calibri" w:hAnsi="Calibri"/>
                <w:b w:val="0"/>
                <w:i w:val="0"/>
                <w:color w:val="212121"/>
                <w:sz w:val="19"/>
              </w:rPr>
              <w:t>Long-standing byssinosis merges into, and is difficult to distinguish from, chronic bronchitis and COPD; cotton dust causes airflow obstruction independent of, and additive to, tobacco smoking.</w:t>
            </w:r>
          </w:p>
          <w:p>
            <w:pPr>
              <w:spacing w:after="40" w:before="60" w:line="259" w:lineRule="auto"/>
            </w:pPr>
            <w:r>
              <w:rPr>
                <w:rFonts w:ascii="Calibri" w:hAnsi="Calibri"/>
                <w:b w:val="0"/>
                <w:i w:val="0"/>
                <w:color w:val="212121"/>
                <w:sz w:val="19"/>
              </w:rPr>
              <w:t>Chronic exposure over 5–10+ years can progress to obstructive lung disease with combined asthma- and COPD-like features.</w:t>
            </w:r>
          </w:p>
          <w:p>
            <w:pPr>
              <w:spacing w:after="40" w:line="252" w:lineRule="auto"/>
            </w:pPr>
            <w:hyperlink r:id="rId14">
              <w:r>
                <w:rPr>
                  <w:rFonts w:ascii="Calibri" w:hAnsi="Calibri" w:cs="Calibri"/>
                  <w:sz w:val="18"/>
                  <w:color w:val="1155CC"/>
                  <w:u w:val="single"/>
                </w:rPr>
                <w:t xml:space="preserve">merckmanuals.com — Byssinosis</w:t>
              </w:r>
            </w:hyperlink>
          </w:p>
          <w:p>
            <w:pPr>
              <w:spacing w:before="60" w:after="40"/>
            </w:pPr>
            <w:r>
              <w:rPr>
                <w:rFonts w:ascii="Calibri" w:hAnsi="Calibri"/>
                <w:b w:val="0"/>
                <w:i w:val="0"/>
                <w:color w:val="5A5A5A"/>
                <w:sz w:val="18"/>
              </w:rPr>
              <w:t>#COPD  #chronicbronchitis  #airflowobstruction  #overlap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Tuberculosis</w:t>
            </w:r>
          </w:p>
        </w:tc>
        <w:tc>
          <w:tcPr>
            <w:tcW w:type="dxa" w:w="2160"/>
            <w:vAlign w:val="top"/>
          </w:tcPr>
          <w:p>
            <w:pPr>
              <w:spacing w:after="40" w:before="0" w:line="259" w:lineRule="auto"/>
            </w:pPr>
            <w:r>
              <w:rPr>
                <w:rFonts w:ascii="Calibri" w:hAnsi="Calibri"/>
                <w:b w:val="0"/>
                <w:i w:val="0"/>
                <w:color w:val="212121"/>
                <w:sz w:val="19"/>
              </w:rPr>
              <w:t>Cotton &amp; powerloom workers with pulmonary TB</w:t>
            </w:r>
          </w:p>
        </w:tc>
        <w:tc>
          <w:tcPr>
            <w:tcW w:type="dxa" w:w="4276"/>
            <w:vAlign w:val="top"/>
          </w:tcPr>
          <w:p>
            <w:pPr>
              <w:spacing w:after="60" w:line="259" w:lineRule="auto"/>
            </w:pPr>
            <w:r>
              <w:rPr>
                <w:rFonts w:ascii="Calibri" w:hAnsi="Calibri"/>
                <w:b w:val="0"/>
                <w:i w:val="0"/>
                <w:color w:val="212121"/>
                <w:sz w:val="19"/>
              </w:rPr>
              <w:t>India's high tuberculosis burden, crowded and poorly ventilated mill and home-based powerloom environments, and undernutrition make pulmonary TB a common co-diagnosis that mimics and complicates byssinosis; it must be actively excluded in any dust worker with cough, fever or weight loss.</w:t>
            </w:r>
          </w:p>
          <w:p>
            <w:pPr>
              <w:spacing w:after="40" w:before="60" w:line="259" w:lineRule="auto"/>
            </w:pPr>
            <w:r>
              <w:rPr>
                <w:rFonts w:ascii="Calibri" w:hAnsi="Calibri"/>
                <w:b w:val="0"/>
                <w:i w:val="0"/>
                <w:color w:val="212121"/>
                <w:sz w:val="19"/>
              </w:rPr>
              <w:t>Byssinosis and pulmonary tuberculosis have been documented concurrently among home-based powerloom workers in Madhya Pradesh, India.</w:t>
            </w:r>
          </w:p>
          <w:p>
            <w:pPr>
              <w:spacing w:after="40" w:line="252" w:lineRule="auto"/>
            </w:pPr>
            <w:hyperlink r:id="rId10">
              <w:r>
                <w:rPr>
                  <w:rFonts w:ascii="Calibri" w:hAnsi="Calibri" w:cs="Calibri"/>
                  <w:sz w:val="18"/>
                  <w:color w:val="1155CC"/>
                  <w:u w:val="single"/>
                </w:rPr>
                <w:t xml:space="preserve">sciencedirect.com — byssinosis &amp; TB, MP powerloom workers</w:t>
              </w:r>
            </w:hyperlink>
          </w:p>
          <w:p>
            <w:pPr>
              <w:spacing w:before="60" w:after="40"/>
            </w:pPr>
            <w:r>
              <w:rPr>
                <w:rFonts w:ascii="Calibri" w:hAnsi="Calibri"/>
                <w:b w:val="0"/>
                <w:i w:val="0"/>
                <w:color w:val="5A5A5A"/>
                <w:sz w:val="18"/>
              </w:rPr>
              <w:t>#tuberculosis  #India  #coinfection  #Xpert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Asthma / airway hyper-responsiveness</w:t>
            </w:r>
          </w:p>
        </w:tc>
        <w:tc>
          <w:tcPr>
            <w:tcW w:type="dxa" w:w="2160"/>
            <w:vAlign w:val="top"/>
          </w:tcPr>
          <w:p>
            <w:pPr>
              <w:spacing w:after="40" w:before="0" w:line="259" w:lineRule="auto"/>
            </w:pPr>
            <w:r>
              <w:rPr>
                <w:rFonts w:ascii="Calibri" w:hAnsi="Calibri"/>
                <w:b w:val="0"/>
                <w:i w:val="0"/>
                <w:color w:val="212121"/>
                <w:sz w:val="19"/>
              </w:rPr>
              <w:t>Workers with pre-existing asthma or atopy</w:t>
            </w:r>
          </w:p>
        </w:tc>
        <w:tc>
          <w:tcPr>
            <w:tcW w:type="dxa" w:w="4276"/>
            <w:vAlign w:val="top"/>
          </w:tcPr>
          <w:p>
            <w:pPr>
              <w:spacing w:after="60" w:line="259" w:lineRule="auto"/>
            </w:pPr>
            <w:r>
              <w:rPr>
                <w:rFonts w:ascii="Calibri" w:hAnsi="Calibri"/>
                <w:b w:val="0"/>
                <w:i w:val="0"/>
                <w:color w:val="212121"/>
                <w:sz w:val="19"/>
              </w:rPr>
              <w:t>Pre-existing asthma and airway hyper-responsiveness produce more intense acute reactions to cotton dust and overlap symptomatically with byssinosis, so the two must be carefully differentiated during occupational assessment.</w:t>
            </w:r>
          </w:p>
          <w:p>
            <w:pPr>
              <w:spacing w:after="40" w:before="60" w:line="259" w:lineRule="auto"/>
            </w:pPr>
            <w:r>
              <w:rPr>
                <w:rFonts w:ascii="Calibri" w:hAnsi="Calibri"/>
                <w:b w:val="0"/>
                <w:i w:val="0"/>
                <w:color w:val="212121"/>
                <w:sz w:val="19"/>
              </w:rPr>
              <w:t>The first-day-of-week ('Monday') pattern of symptoms helps distinguish byssinosis from ordinary asthma.</w:t>
            </w:r>
          </w:p>
          <w:p>
            <w:pPr>
              <w:spacing w:after="40" w:line="252" w:lineRule="auto"/>
            </w:pPr>
            <w:hyperlink r:id="rId14">
              <w:r>
                <w:rPr>
                  <w:rFonts w:ascii="Calibri" w:hAnsi="Calibri" w:cs="Calibri"/>
                  <w:sz w:val="18"/>
                  <w:color w:val="1155CC"/>
                  <w:u w:val="single"/>
                </w:rPr>
                <w:t xml:space="preserve">merckmanuals.com — Byssinosis</w:t>
              </w:r>
            </w:hyperlink>
          </w:p>
          <w:p>
            <w:pPr>
              <w:spacing w:before="60" w:after="40"/>
            </w:pPr>
            <w:r>
              <w:rPr>
                <w:rFonts w:ascii="Calibri" w:hAnsi="Calibri"/>
                <w:b w:val="0"/>
                <w:i w:val="0"/>
                <w:color w:val="5A5A5A"/>
                <w:sz w:val="18"/>
              </w:rPr>
              <w:t>#asthma  #atopy  #hyperreactivity  #differentialdx</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does not cause byssinosis, but the airflow obstruction it produces limits exercise capacity; deconditioning worsens breathlessness, and structured pulmonary rehabilitation improves exercise tolerance in chronic disease.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Diet is not causal, but undernutrition and low BMI, common in migrant textile labourers, impair immunity and raise tuberculosis risk and poorer outcomes; adequate protein-calorie and antioxidant intake supports respiratory health.</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Not a cause; advanced chronic byssinosis with airflow obstruction and cor pulmonale produces nocturnal cough, wheeze and breathlessness that fragment sleep and may require oxygen assessment.</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Tobacco and bidi smoke are strongly additive to cotton dust, causing airflow obstruction and emphysema, accelerating the decline in FEV1, and hastening the shift from reversible to fixed chronic disease.</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Not causal, but heavy alcohol use associates with undernutrition, poor treatment adherence and higher tuberculosis risk in textile labourers, and interacts with anti-TB medication.</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 progressive, disabling disease with loss of livelihood commonly causes anxiety and depression; poor mental health reduces adherence but is a consequence, not a cause, of byssinosis.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is not linked to causation, but adequate fluids aid mucociliary clearance and sputum expectoration; separately, over-humidification of mills can raise endotoxin and must be balanced against dust suppression.</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relationship between caffeine intake and byssinosis risk or progression; methylxanthines have only a minor bronchodilator role in coexisting airflow obstruction.</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Industrial and respiratory hygiene is central to prevention: local exhaust ventilation, machine enclosure, wetting/dust suppression, respirator use and changing and washing work clothes sharply reduce exposure and take-home dust.</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Occupational inhalation of dust from raw cotton, flax, soft hemp or jute — rich in bacterial endotoxin — is the single provoking factor; symptoms are characteristically provoked on returning to work after a break.</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Airborne cotton (lint-free respirable) dust, 8-hour TWA</w:t>
            </w:r>
          </w:p>
        </w:tc>
        <w:tc>
          <w:tcPr>
            <w:tcW w:type="dxa" w:w="1655"/>
            <w:vAlign w:val="top"/>
          </w:tcPr>
          <w:p>
            <w:pPr>
              <w:spacing w:after="40" w:before="0" w:line="259" w:lineRule="auto"/>
            </w:pPr>
            <w:r>
              <w:rPr>
                <w:rFonts w:ascii="Calibri" w:hAnsi="Calibri"/>
                <w:b w:val="0"/>
                <w:i w:val="0"/>
                <w:color w:val="212121"/>
                <w:sz w:val="19"/>
              </w:rPr>
              <w:t>All cotton-dust-exposed workers</w:t>
            </w:r>
          </w:p>
        </w:tc>
        <w:tc>
          <w:tcPr>
            <w:tcW w:type="dxa" w:w="1512"/>
            <w:vAlign w:val="top"/>
          </w:tcPr>
          <w:p>
            <w:pPr>
              <w:spacing w:after="40" w:before="0" w:line="259" w:lineRule="auto"/>
            </w:pPr>
            <w:r>
              <w:rPr>
                <w:rFonts w:ascii="Calibri" w:hAnsi="Calibri"/>
                <w:b w:val="0"/>
                <w:i w:val="0"/>
                <w:color w:val="212121"/>
                <w:sz w:val="19"/>
              </w:rPr>
              <w:t>&lt; 200 µg/m³ (yarn-manufacture PEL)</w:t>
            </w:r>
          </w:p>
        </w:tc>
        <w:tc>
          <w:tcPr>
            <w:tcW w:type="dxa" w:w="1512"/>
            <w:vAlign w:val="top"/>
          </w:tcPr>
          <w:p>
            <w:pPr>
              <w:spacing w:after="40" w:before="0" w:line="259" w:lineRule="auto"/>
            </w:pPr>
            <w:r>
              <w:rPr>
                <w:rFonts w:ascii="Calibri" w:hAnsi="Calibri"/>
                <w:b w:val="0"/>
                <w:i w:val="0"/>
                <w:color w:val="212121"/>
                <w:sz w:val="19"/>
              </w:rPr>
              <w:t>≥ 200 µg/m³ (yarn); ≥ 750 µg/m³ (weaving)</w:t>
            </w:r>
          </w:p>
        </w:tc>
        <w:tc>
          <w:tcPr>
            <w:tcW w:type="dxa" w:w="1468"/>
            <w:vAlign w:val="top"/>
          </w:tcPr>
          <w:p>
            <w:pPr>
              <w:spacing w:after="60" w:line="259" w:lineRule="auto"/>
            </w:pPr>
            <w:r>
              <w:rPr>
                <w:rFonts w:ascii="Calibri" w:hAnsi="Calibri"/>
                <w:b w:val="0"/>
                <w:i w:val="0"/>
                <w:color w:val="212121"/>
                <w:sz w:val="19"/>
              </w:rPr>
              <w:t>Measured by vertical elutriator; enforce ventilation and respiratory protection above the limit</w:t>
            </w:r>
          </w:p>
          <w:p>
            <w:pPr>
              <w:spacing w:after="40" w:line="252" w:lineRule="auto"/>
            </w:pPr>
            <w:hyperlink r:id="rId15">
              <w:r>
                <w:rPr>
                  <w:rFonts w:ascii="Calibri" w:hAnsi="Calibri" w:cs="Calibri"/>
                  <w:sz w:val="18"/>
                  <w:color w:val="1155CC"/>
                  <w:u w:val="single"/>
                </w:rPr>
                <w:t xml:space="preserve">https://www.osha.gov/laws-regs/regulations/standardnumber/1910/1910.1043</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Years in cotton/textile-dust trade (cumulative exposure)</w:t>
            </w:r>
          </w:p>
        </w:tc>
        <w:tc>
          <w:tcPr>
            <w:tcW w:type="dxa" w:w="1655"/>
            <w:vAlign w:val="top"/>
          </w:tcPr>
          <w:p>
            <w:pPr>
              <w:spacing w:after="40" w:before="0" w:line="259" w:lineRule="auto"/>
            </w:pPr>
            <w:r>
              <w:rPr>
                <w:rFonts w:ascii="Calibri" w:hAnsi="Calibri"/>
                <w:b w:val="0"/>
                <w:i w:val="0"/>
                <w:color w:val="212121"/>
                <w:sz w:val="19"/>
              </w:rPr>
              <w:t>Mill, ginning &amp; powerloom workers</w:t>
            </w:r>
          </w:p>
        </w:tc>
        <w:tc>
          <w:tcPr>
            <w:tcW w:type="dxa" w:w="1512"/>
            <w:vAlign w:val="top"/>
          </w:tcPr>
          <w:p>
            <w:pPr>
              <w:spacing w:after="40" w:before="0" w:line="259" w:lineRule="auto"/>
            </w:pPr>
            <w:r>
              <w:rPr>
                <w:rFonts w:ascii="Calibri" w:hAnsi="Calibri"/>
                <w:b w:val="0"/>
                <w:i w:val="0"/>
                <w:color w:val="212121"/>
                <w:sz w:val="19"/>
              </w:rPr>
              <w:t>0 years / eliminated exposure</w:t>
            </w:r>
          </w:p>
        </w:tc>
        <w:tc>
          <w:tcPr>
            <w:tcW w:type="dxa" w:w="1512"/>
            <w:vAlign w:val="top"/>
          </w:tcPr>
          <w:p>
            <w:pPr>
              <w:spacing w:after="40" w:before="0" w:line="259" w:lineRule="auto"/>
            </w:pPr>
            <w:r>
              <w:rPr>
                <w:rFonts w:ascii="Calibri" w:hAnsi="Calibri"/>
                <w:b w:val="0"/>
                <w:i w:val="0"/>
                <w:color w:val="212121"/>
                <w:sz w:val="19"/>
              </w:rPr>
              <w:t>≥ 10 years (chronic risk); ≥ 30 years markedly higher</w:t>
            </w:r>
          </w:p>
        </w:tc>
        <w:tc>
          <w:tcPr>
            <w:tcW w:type="dxa" w:w="1468"/>
            <w:vAlign w:val="top"/>
          </w:tcPr>
          <w:p>
            <w:pPr>
              <w:spacing w:after="60" w:line="259" w:lineRule="auto"/>
            </w:pPr>
            <w:r>
              <w:rPr>
                <w:rFonts w:ascii="Calibri" w:hAnsi="Calibri"/>
                <w:b w:val="0"/>
                <w:i w:val="0"/>
                <w:color w:val="212121"/>
                <w:sz w:val="19"/>
              </w:rPr>
              <w:t>Risk and severity rise with cumulative dose; record full job history</w:t>
            </w:r>
          </w:p>
          <w:p>
            <w:pPr>
              <w:spacing w:after="40" w:line="252" w:lineRule="auto"/>
            </w:pPr>
            <w:hyperlink r:id="rId9">
              <w:r>
                <w:rPr>
                  <w:rFonts w:ascii="Calibri" w:hAnsi="Calibri" w:cs="Calibri"/>
                  <w:sz w:val="18"/>
                  <w:color w:val="1155CC"/>
                  <w:u w:val="single"/>
                </w:rPr>
                <w:t xml:space="preserve">https://nmji.in/nmji/approval/archive/Volume-8/issue-5/original-articles-1.pdf</w:t>
              </w:r>
            </w:hyperlink>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Acute across-shift FEV1 decline (first workday of week)</w:t>
            </w:r>
          </w:p>
        </w:tc>
        <w:tc>
          <w:tcPr>
            <w:tcW w:type="dxa" w:w="1655"/>
            <w:vAlign w:val="top"/>
          </w:tcPr>
          <w:p>
            <w:pPr>
              <w:spacing w:after="40" w:before="0" w:line="259" w:lineRule="auto"/>
            </w:pPr>
            <w:r>
              <w:rPr>
                <w:rFonts w:ascii="Calibri" w:hAnsi="Calibri"/>
                <w:b w:val="0"/>
                <w:i w:val="0"/>
                <w:color w:val="212121"/>
                <w:sz w:val="19"/>
              </w:rPr>
              <w:t>Dust-exposed operatives</w:t>
            </w:r>
          </w:p>
        </w:tc>
        <w:tc>
          <w:tcPr>
            <w:tcW w:type="dxa" w:w="1512"/>
            <w:vAlign w:val="top"/>
          </w:tcPr>
          <w:p>
            <w:pPr>
              <w:spacing w:after="40" w:before="0" w:line="259" w:lineRule="auto"/>
            </w:pPr>
            <w:r>
              <w:rPr>
                <w:rFonts w:ascii="Calibri" w:hAnsi="Calibri"/>
                <w:b w:val="0"/>
                <w:i w:val="0"/>
                <w:color w:val="212121"/>
                <w:sz w:val="19"/>
              </w:rPr>
              <w:t>&lt; 5% fall pre- to post-shift</w:t>
            </w:r>
          </w:p>
        </w:tc>
        <w:tc>
          <w:tcPr>
            <w:tcW w:type="dxa" w:w="1512"/>
            <w:vAlign w:val="top"/>
          </w:tcPr>
          <w:p>
            <w:pPr>
              <w:spacing w:after="40" w:before="0" w:line="259" w:lineRule="auto"/>
            </w:pPr>
            <w:r>
              <w:rPr>
                <w:rFonts w:ascii="Calibri" w:hAnsi="Calibri"/>
                <w:b w:val="0"/>
                <w:i w:val="0"/>
                <w:color w:val="212121"/>
                <w:sz w:val="19"/>
              </w:rPr>
              <w:t>≥ 5–10% fall across the shift</w:t>
            </w:r>
          </w:p>
        </w:tc>
        <w:tc>
          <w:tcPr>
            <w:tcW w:type="dxa" w:w="1468"/>
            <w:vAlign w:val="top"/>
          </w:tcPr>
          <w:p>
            <w:pPr>
              <w:spacing w:after="60" w:line="259" w:lineRule="auto"/>
            </w:pPr>
            <w:r>
              <w:rPr>
                <w:rFonts w:ascii="Calibri" w:hAnsi="Calibri"/>
                <w:b w:val="0"/>
                <w:i w:val="0"/>
                <w:color w:val="212121"/>
                <w:sz w:val="19"/>
              </w:rPr>
              <w:t>Characteristic acute airway response to endotoxin; measure early in the week</w:t>
            </w:r>
          </w:p>
          <w:p>
            <w:pPr>
              <w:spacing w:after="40" w:line="252" w:lineRule="auto"/>
            </w:pPr>
            <w:hyperlink r:id="rId15">
              <w:r>
                <w:rPr>
                  <w:rFonts w:ascii="Calibri" w:hAnsi="Calibri" w:cs="Calibri"/>
                  <w:sz w:val="18"/>
                  <w:color w:val="1155CC"/>
                  <w:u w:val="single"/>
                </w:rPr>
                <w:t xml:space="preserve">https://www.osha.gov/laws-regs/regulations/standardnumber/1910/1910.1043</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FEV1 (% predicted, baseline &amp; serial)</w:t>
            </w:r>
          </w:p>
        </w:tc>
        <w:tc>
          <w:tcPr>
            <w:tcW w:type="dxa" w:w="1655"/>
            <w:vAlign w:val="top"/>
          </w:tcPr>
          <w:p>
            <w:pPr>
              <w:spacing w:after="40" w:before="0" w:line="259" w:lineRule="auto"/>
            </w:pPr>
            <w:r>
              <w:rPr>
                <w:rFonts w:ascii="Calibri" w:hAnsi="Calibri"/>
                <w:b w:val="0"/>
                <w:i w:val="0"/>
                <w:color w:val="212121"/>
                <w:sz w:val="19"/>
              </w:rPr>
              <w:t>Byssinosis patients &amp; surveillance</w:t>
            </w:r>
          </w:p>
        </w:tc>
        <w:tc>
          <w:tcPr>
            <w:tcW w:type="dxa" w:w="1512"/>
            <w:vAlign w:val="top"/>
          </w:tcPr>
          <w:p>
            <w:pPr>
              <w:spacing w:after="40" w:before="0" w:line="259" w:lineRule="auto"/>
            </w:pPr>
            <w:r>
              <w:rPr>
                <w:rFonts w:ascii="Calibri" w:hAnsi="Calibri"/>
                <w:b w:val="0"/>
                <w:i w:val="0"/>
                <w:color w:val="212121"/>
                <w:sz w:val="19"/>
              </w:rPr>
              <w:t>≥ 80% predicted; FEV1/FVC ≥ 0.70</w:t>
            </w:r>
          </w:p>
        </w:tc>
        <w:tc>
          <w:tcPr>
            <w:tcW w:type="dxa" w:w="1512"/>
            <w:vAlign w:val="top"/>
          </w:tcPr>
          <w:p>
            <w:pPr>
              <w:spacing w:after="40" w:before="0" w:line="259" w:lineRule="auto"/>
            </w:pPr>
            <w:r>
              <w:rPr>
                <w:rFonts w:ascii="Calibri" w:hAnsi="Calibri"/>
                <w:b w:val="0"/>
                <w:i w:val="0"/>
                <w:color w:val="212121"/>
                <w:sz w:val="19"/>
              </w:rPr>
              <w:t>&lt; 80% predicted / FEV1/FVC &lt; 0.70 (obstruction)</w:t>
            </w:r>
          </w:p>
        </w:tc>
        <w:tc>
          <w:tcPr>
            <w:tcW w:type="dxa" w:w="1468"/>
            <w:vAlign w:val="top"/>
          </w:tcPr>
          <w:p>
            <w:pPr>
              <w:spacing w:after="60" w:line="259" w:lineRule="auto"/>
            </w:pPr>
            <w:r>
              <w:rPr>
                <w:rFonts w:ascii="Calibri" w:hAnsi="Calibri"/>
                <w:b w:val="0"/>
                <w:i w:val="0"/>
                <w:color w:val="212121"/>
                <w:sz w:val="19"/>
              </w:rPr>
              <w:t>Tracks chronic airflow obstruction and disability</w:t>
            </w:r>
          </w:p>
          <w:p>
            <w:pPr>
              <w:spacing w:after="40" w:line="252" w:lineRule="auto"/>
            </w:pPr>
            <w:hyperlink r:id="rId12">
              <w:r>
                <w:rPr>
                  <w:rFonts w:ascii="Calibri" w:hAnsi="Calibri" w:cs="Calibri"/>
                  <w:sz w:val="18"/>
                  <w:color w:val="1155CC"/>
                  <w:u w:val="single"/>
                </w:rPr>
                <w:t xml:space="preserve">https://www.ncbi.nlm.nih.gov/books/NBK519549/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Annual rate of FEV1 decline</w:t>
            </w:r>
          </w:p>
        </w:tc>
        <w:tc>
          <w:tcPr>
            <w:tcW w:type="dxa" w:w="1655"/>
            <w:vAlign w:val="top"/>
          </w:tcPr>
          <w:p>
            <w:pPr>
              <w:spacing w:after="40" w:before="0" w:line="259" w:lineRule="auto"/>
            </w:pPr>
            <w:r>
              <w:rPr>
                <w:rFonts w:ascii="Calibri" w:hAnsi="Calibri"/>
                <w:b w:val="0"/>
                <w:i w:val="0"/>
                <w:color w:val="212121"/>
                <w:sz w:val="19"/>
              </w:rPr>
              <w:t>Long-service dust workers</w:t>
            </w:r>
          </w:p>
        </w:tc>
        <w:tc>
          <w:tcPr>
            <w:tcW w:type="dxa" w:w="1512"/>
            <w:vAlign w:val="top"/>
          </w:tcPr>
          <w:p>
            <w:pPr>
              <w:spacing w:after="40" w:before="0" w:line="259" w:lineRule="auto"/>
            </w:pPr>
            <w:r>
              <w:rPr>
                <w:rFonts w:ascii="Calibri" w:hAnsi="Calibri"/>
                <w:b w:val="0"/>
                <w:i w:val="0"/>
                <w:color w:val="212121"/>
                <w:sz w:val="19"/>
              </w:rPr>
              <w:t>≤ 20–30 mL/year</w:t>
            </w:r>
          </w:p>
        </w:tc>
        <w:tc>
          <w:tcPr>
            <w:tcW w:type="dxa" w:w="1512"/>
            <w:vAlign w:val="top"/>
          </w:tcPr>
          <w:p>
            <w:pPr>
              <w:spacing w:after="40" w:before="0" w:line="259" w:lineRule="auto"/>
            </w:pPr>
            <w:r>
              <w:rPr>
                <w:rFonts w:ascii="Calibri" w:hAnsi="Calibri"/>
                <w:b w:val="0"/>
                <w:i w:val="0"/>
                <w:color w:val="212121"/>
                <w:sz w:val="19"/>
              </w:rPr>
              <w:t>~≥ 50 mL/year (accelerated)</w:t>
            </w:r>
          </w:p>
        </w:tc>
        <w:tc>
          <w:tcPr>
            <w:tcW w:type="dxa" w:w="1468"/>
            <w:vAlign w:val="top"/>
          </w:tcPr>
          <w:p>
            <w:pPr>
              <w:spacing w:after="60" w:line="259" w:lineRule="auto"/>
            </w:pPr>
            <w:r>
              <w:rPr>
                <w:rFonts w:ascii="Calibri" w:hAnsi="Calibri"/>
                <w:b w:val="0"/>
                <w:i w:val="0"/>
                <w:color w:val="212121"/>
                <w:sz w:val="19"/>
              </w:rPr>
              <w:t>Accelerated decline signals progression to chronic disease</w:t>
            </w:r>
          </w:p>
          <w:p>
            <w:pPr>
              <w:spacing w:after="40" w:line="252" w:lineRule="auto"/>
            </w:pPr>
            <w:hyperlink r:id="rId12">
              <w:r>
                <w:rPr>
                  <w:rFonts w:ascii="Calibri" w:hAnsi="Calibri" w:cs="Calibri"/>
                  <w:sz w:val="18"/>
                  <w:color w:val="1155CC"/>
                  <w:u w:val="single"/>
                </w:rPr>
                <w:t xml:space="preserve">https://www.ncbi.nlm.nih.gov/books/NBK519549/</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or bidis per day</w:t>
            </w:r>
          </w:p>
        </w:tc>
        <w:tc>
          <w:tcPr>
            <w:tcW w:type="dxa" w:w="1655"/>
            <w:vAlign w:val="top"/>
          </w:tcPr>
          <w:p>
            <w:pPr>
              <w:spacing w:after="40" w:before="0" w:line="259" w:lineRule="auto"/>
            </w:pPr>
            <w:r>
              <w:rPr>
                <w:rFonts w:ascii="Calibri" w:hAnsi="Calibri"/>
                <w:b w:val="0"/>
                <w:i w:val="0"/>
                <w:color w:val="212121"/>
                <w:sz w:val="19"/>
              </w:rPr>
              <w:t>Dust-exposed smokers</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 1 per day</w:t>
            </w:r>
          </w:p>
        </w:tc>
        <w:tc>
          <w:tcPr>
            <w:tcW w:type="dxa" w:w="1468"/>
            <w:vAlign w:val="top"/>
          </w:tcPr>
          <w:p>
            <w:pPr>
              <w:spacing w:after="60" w:line="259" w:lineRule="auto"/>
            </w:pPr>
            <w:r>
              <w:rPr>
                <w:rFonts w:ascii="Calibri" w:hAnsi="Calibri"/>
                <w:b w:val="0"/>
                <w:i w:val="0"/>
                <w:color w:val="212121"/>
                <w:sz w:val="19"/>
              </w:rPr>
              <w:t>Additive airflow obstruction and faster FEV1 decline; cessation essential</w:t>
            </w:r>
          </w:p>
          <w:p>
            <w:pPr>
              <w:spacing w:after="40" w:line="252" w:lineRule="auto"/>
            </w:pPr>
            <w:hyperlink r:id="rId16">
              <w:r>
                <w:rPr>
                  <w:rFonts w:ascii="Calibri" w:hAnsi="Calibri" w:cs="Calibri"/>
                  <w:sz w:val="18"/>
                  <w:color w:val="1155CC"/>
                  <w:u w:val="single"/>
                </w:rPr>
                <w:t xml:space="preserve">https://www.cdc.gov/niosh/bulletin/2021/textiles.html</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Use of dust controls &amp; fit-tested respirator</w:t>
            </w:r>
          </w:p>
        </w:tc>
        <w:tc>
          <w:tcPr>
            <w:tcW w:type="dxa" w:w="1655"/>
            <w:vAlign w:val="top"/>
          </w:tcPr>
          <w:p>
            <w:pPr>
              <w:spacing w:after="40" w:before="0" w:line="259" w:lineRule="auto"/>
            </w:pPr>
            <w:r>
              <w:rPr>
                <w:rFonts w:ascii="Calibri" w:hAnsi="Calibri"/>
                <w:b w:val="0"/>
                <w:i w:val="0"/>
                <w:color w:val="212121"/>
                <w:sz w:val="19"/>
              </w:rPr>
              <w:t>All cotton/textile workers</w:t>
            </w:r>
          </w:p>
        </w:tc>
        <w:tc>
          <w:tcPr>
            <w:tcW w:type="dxa" w:w="1512"/>
            <w:vAlign w:val="top"/>
          </w:tcPr>
          <w:p>
            <w:pPr>
              <w:spacing w:after="40" w:before="0" w:line="259" w:lineRule="auto"/>
            </w:pPr>
            <w:r>
              <w:rPr>
                <w:rFonts w:ascii="Calibri" w:hAnsi="Calibri"/>
                <w:b w:val="0"/>
                <w:i w:val="0"/>
                <w:color w:val="212121"/>
                <w:sz w:val="19"/>
              </w:rPr>
              <w:t>Always — LEV + enclosure/wetting + N95/FFP2 or better</w:t>
            </w:r>
          </w:p>
        </w:tc>
        <w:tc>
          <w:tcPr>
            <w:tcW w:type="dxa" w:w="1512"/>
            <w:vAlign w:val="top"/>
          </w:tcPr>
          <w:p>
            <w:pPr>
              <w:spacing w:after="40" w:before="0" w:line="259" w:lineRule="auto"/>
            </w:pPr>
            <w:r>
              <w:rPr>
                <w:rFonts w:ascii="Calibri" w:hAnsi="Calibri"/>
                <w:b w:val="0"/>
                <w:i w:val="0"/>
                <w:color w:val="212121"/>
                <w:sz w:val="19"/>
              </w:rPr>
              <w:t>Dusty process without respiratory protection</w:t>
            </w:r>
          </w:p>
        </w:tc>
        <w:tc>
          <w:tcPr>
            <w:tcW w:type="dxa" w:w="1468"/>
            <w:vAlign w:val="top"/>
          </w:tcPr>
          <w:p>
            <w:pPr>
              <w:spacing w:after="60" w:line="259" w:lineRule="auto"/>
            </w:pPr>
            <w:r>
              <w:rPr>
                <w:rFonts w:ascii="Calibri" w:hAnsi="Calibri"/>
                <w:b w:val="0"/>
                <w:i w:val="0"/>
                <w:color w:val="212121"/>
                <w:sz w:val="19"/>
              </w:rPr>
              <w:t>Primary prevention; also limits take-home dust</w:t>
            </w:r>
          </w:p>
          <w:p>
            <w:pPr>
              <w:spacing w:after="40" w:line="252" w:lineRule="auto"/>
            </w:pPr>
            <w:hyperlink r:id="rId15">
              <w:r>
                <w:rPr>
                  <w:rFonts w:ascii="Calibri" w:hAnsi="Calibri" w:cs="Calibri"/>
                  <w:sz w:val="18"/>
                  <w:color w:val="1155CC"/>
                  <w:u w:val="single"/>
                </w:rPr>
                <w:t xml:space="preserve">https://www.osha.gov/laws-regs/regulations/standardnumber/1910/1910.1043</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Textile labourers</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&lt; 18.5 kg/m² (undernutrition)</w:t>
            </w:r>
          </w:p>
        </w:tc>
        <w:tc>
          <w:tcPr>
            <w:tcW w:type="dxa" w:w="1468"/>
            <w:vAlign w:val="top"/>
          </w:tcPr>
          <w:p>
            <w:pPr>
              <w:spacing w:after="40" w:before="0" w:line="259" w:lineRule="auto"/>
            </w:pPr>
            <w:r>
              <w:rPr>
                <w:rFonts w:ascii="Calibri" w:hAnsi="Calibri"/>
                <w:b w:val="0"/>
                <w:i w:val="0"/>
                <w:color w:val="212121"/>
                <w:sz w:val="19"/>
              </w:rPr>
              <w:t>Undernutrition raises tuberculosis susceptibility and worsens outcomes</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Pulmonary function</w:t>
            </w:r>
          </w:p>
        </w:tc>
        <w:tc>
          <w:tcPr>
            <w:tcW w:type="dxa" w:w="1036"/>
            <w:vAlign w:val="top"/>
          </w:tcPr>
          <w:p>
            <w:pPr>
              <w:spacing w:after="40" w:before="0" w:line="259" w:lineRule="auto"/>
            </w:pPr>
            <w:r>
              <w:rPr>
                <w:rFonts w:ascii="Calibri" w:hAnsi="Calibri"/>
                <w:b w:val="0"/>
                <w:i w:val="0"/>
                <w:color w:val="212121"/>
                <w:sz w:val="16"/>
              </w:rPr>
              <w:t>Cross-shift FEV1 (pre- vs end-shift, first workday)</w:t>
            </w:r>
          </w:p>
        </w:tc>
        <w:tc>
          <w:tcPr>
            <w:tcW w:type="dxa" w:w="892"/>
            <w:vAlign w:val="top"/>
          </w:tcPr>
          <w:p>
            <w:pPr>
              <w:spacing w:after="40" w:before="0" w:line="259" w:lineRule="auto"/>
            </w:pPr>
            <w:r>
              <w:rPr>
                <w:rFonts w:ascii="Calibri" w:hAnsi="Calibri"/>
                <w:b w:val="0"/>
                <w:i w:val="0"/>
                <w:color w:val="212121"/>
                <w:sz w:val="16"/>
              </w:rPr>
              <w:t>Spirometry</w:t>
            </w:r>
          </w:p>
        </w:tc>
        <w:tc>
          <w:tcPr>
            <w:tcW w:type="dxa" w:w="950"/>
            <w:vAlign w:val="top"/>
          </w:tcPr>
          <w:p>
            <w:pPr>
              <w:spacing w:after="40" w:before="0" w:line="259" w:lineRule="auto"/>
            </w:pPr>
            <w:r>
              <w:rPr>
                <w:rFonts w:ascii="Calibri" w:hAnsi="Calibri"/>
                <w:b w:val="0"/>
                <w:i w:val="0"/>
                <w:color w:val="212121"/>
                <w:sz w:val="16"/>
              </w:rPr>
              <w:t>&lt; 5% fall across the shift</w:t>
            </w:r>
          </w:p>
        </w:tc>
        <w:tc>
          <w:tcPr>
            <w:tcW w:type="dxa" w:w="950"/>
            <w:vAlign w:val="top"/>
          </w:tcPr>
          <w:p>
            <w:pPr>
              <w:spacing w:after="40" w:before="0" w:line="259" w:lineRule="auto"/>
            </w:pPr>
            <w:r>
              <w:rPr>
                <w:rFonts w:ascii="Calibri" w:hAnsi="Calibri"/>
                <w:b w:val="0"/>
                <w:i w:val="0"/>
                <w:color w:val="212121"/>
                <w:sz w:val="16"/>
              </w:rPr>
              <w:t>≥ 5–10% acute fall</w:t>
            </w:r>
          </w:p>
        </w:tc>
        <w:tc>
          <w:tcPr>
            <w:tcW w:type="dxa" w:w="1036"/>
            <w:vAlign w:val="top"/>
          </w:tcPr>
          <w:p>
            <w:pPr>
              <w:spacing w:after="40" w:before="0" w:line="259" w:lineRule="auto"/>
            </w:pPr>
            <w:r>
              <w:rPr>
                <w:rFonts w:ascii="Calibri" w:hAnsi="Calibri"/>
                <w:b w:val="0"/>
                <w:i w:val="0"/>
                <w:color w:val="212121"/>
                <w:sz w:val="16"/>
              </w:rPr>
              <w:t>Demonstrates the acute, endotoxin-driven airway reaction that characterises byssinosis</w:t>
            </w:r>
          </w:p>
        </w:tc>
        <w:tc>
          <w:tcPr>
            <w:tcW w:type="dxa" w:w="1036"/>
            <w:vAlign w:val="top"/>
          </w:tcPr>
          <w:p>
            <w:pPr>
              <w:spacing w:after="40" w:before="0" w:line="259" w:lineRule="auto"/>
            </w:pPr>
            <w:r>
              <w:rPr>
                <w:rFonts w:ascii="Calibri" w:hAnsi="Calibri"/>
                <w:b w:val="0"/>
                <w:i w:val="0"/>
                <w:color w:val="212121"/>
                <w:sz w:val="16"/>
              </w:rPr>
              <w:t>All cotton-dust-exposed workers; periodic surveillance</w:t>
            </w:r>
          </w:p>
        </w:tc>
        <w:tc>
          <w:tcPr>
            <w:tcW w:type="dxa" w:w="720"/>
            <w:vAlign w:val="top"/>
          </w:tcPr>
          <w:p>
            <w:pPr>
              <w:spacing w:after="40" w:before="0" w:line="259" w:lineRule="auto"/>
            </w:pPr>
            <w:r>
              <w:rPr>
                <w:rFonts w:ascii="Calibri" w:hAnsi="Calibri"/>
                <w:b w:val="0"/>
                <w:i w:val="0"/>
                <w:color w:val="212121"/>
                <w:sz w:val="16"/>
              </w:rPr>
              <w:t>Provoking factors; Physical activity</w:t>
            </w:r>
          </w:p>
        </w:tc>
        <w:tc>
          <w:tcPr>
            <w:tcW w:type="dxa" w:w="720"/>
            <w:vAlign w:val="top"/>
          </w:tcPr>
          <w:p>
            <w:pPr>
              <w:spacing w:after="40" w:before="0" w:line="259" w:lineRule="auto"/>
            </w:pPr>
            <w:r>
              <w:rPr>
                <w:rFonts w:ascii="Calibri" w:hAnsi="Calibri"/>
                <w:b w:val="0"/>
                <w:i w:val="0"/>
                <w:color w:val="212121"/>
                <w:sz w:val="16"/>
              </w:rPr>
              <w:t>Characteristic / screening</w:t>
            </w:r>
          </w:p>
        </w:tc>
        <w:tc>
          <w:tcPr>
            <w:tcW w:type="dxa" w:w="720"/>
            <w:vAlign w:val="top"/>
          </w:tcPr>
          <w:p>
            <w:pPr>
              <w:spacing w:after="40" w:before="0" w:line="259" w:lineRule="auto"/>
            </w:pPr>
            <w:r>
              <w:rPr>
                <w:rFonts w:ascii="Calibri" w:hAnsi="Calibri"/>
                <w:b w:val="0"/>
                <w:i w:val="0"/>
                <w:color w:val="212121"/>
                <w:sz w:val="16"/>
              </w:rPr>
              <w:t>Test early in the working week</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Pulmonary function</w:t>
            </w:r>
          </w:p>
        </w:tc>
        <w:tc>
          <w:tcPr>
            <w:tcW w:type="dxa" w:w="1036"/>
            <w:vAlign w:val="top"/>
          </w:tcPr>
          <w:p>
            <w:pPr>
              <w:spacing w:after="40" w:before="0" w:line="259" w:lineRule="auto"/>
            </w:pPr>
            <w:r>
              <w:rPr>
                <w:rFonts w:ascii="Calibri" w:hAnsi="Calibri"/>
                <w:b w:val="0"/>
                <w:i w:val="0"/>
                <w:color w:val="212121"/>
                <w:sz w:val="16"/>
              </w:rPr>
              <w:t>FEV1, FVC, FEV1/FVC (baseline &amp; serial)</w:t>
            </w:r>
          </w:p>
        </w:tc>
        <w:tc>
          <w:tcPr>
            <w:tcW w:type="dxa" w:w="892"/>
            <w:vAlign w:val="top"/>
          </w:tcPr>
          <w:p>
            <w:pPr>
              <w:spacing w:after="40" w:before="0" w:line="259" w:lineRule="auto"/>
            </w:pPr>
            <w:r>
              <w:rPr>
                <w:rFonts w:ascii="Calibri" w:hAnsi="Calibri"/>
                <w:b w:val="0"/>
                <w:i w:val="0"/>
                <w:color w:val="212121"/>
                <w:sz w:val="16"/>
              </w:rPr>
              <w:t>Spirometry</w:t>
            </w:r>
          </w:p>
        </w:tc>
        <w:tc>
          <w:tcPr>
            <w:tcW w:type="dxa" w:w="950"/>
            <w:vAlign w:val="top"/>
          </w:tcPr>
          <w:p>
            <w:pPr>
              <w:spacing w:after="40" w:before="0" w:line="259" w:lineRule="auto"/>
            </w:pPr>
            <w:r>
              <w:rPr>
                <w:rFonts w:ascii="Calibri" w:hAnsi="Calibri"/>
                <w:b w:val="0"/>
                <w:i w:val="0"/>
                <w:color w:val="212121"/>
                <w:sz w:val="16"/>
              </w:rPr>
              <w:t>FEV1 ≥ 80% predicted; FEV1/FVC ≥ 0.70</w:t>
            </w:r>
          </w:p>
        </w:tc>
        <w:tc>
          <w:tcPr>
            <w:tcW w:type="dxa" w:w="950"/>
            <w:vAlign w:val="top"/>
          </w:tcPr>
          <w:p>
            <w:pPr>
              <w:spacing w:after="40" w:before="0" w:line="259" w:lineRule="auto"/>
            </w:pPr>
            <w:r>
              <w:rPr>
                <w:rFonts w:ascii="Calibri" w:hAnsi="Calibri"/>
                <w:b w:val="0"/>
                <w:i w:val="0"/>
                <w:color w:val="212121"/>
                <w:sz w:val="16"/>
              </w:rPr>
              <w:t>Obstructive or mixed pattern (reduced FEV1, FEV1/FVC)</w:t>
            </w:r>
          </w:p>
        </w:tc>
        <w:tc>
          <w:tcPr>
            <w:tcW w:type="dxa" w:w="1036"/>
            <w:vAlign w:val="top"/>
          </w:tcPr>
          <w:p>
            <w:pPr>
              <w:spacing w:after="40" w:before="0" w:line="259" w:lineRule="auto"/>
            </w:pPr>
            <w:r>
              <w:rPr>
                <w:rFonts w:ascii="Calibri" w:hAnsi="Calibri"/>
                <w:b w:val="0"/>
                <w:i w:val="0"/>
                <w:color w:val="212121"/>
                <w:sz w:val="16"/>
              </w:rPr>
              <w:t>Detects chronic airflow obstruction and quantifies impairment</w:t>
            </w:r>
          </w:p>
        </w:tc>
        <w:tc>
          <w:tcPr>
            <w:tcW w:type="dxa" w:w="1036"/>
            <w:vAlign w:val="top"/>
          </w:tcPr>
          <w:p>
            <w:pPr>
              <w:spacing w:after="40" w:before="0" w:line="259" w:lineRule="auto"/>
            </w:pPr>
            <w:r>
              <w:rPr>
                <w:rFonts w:ascii="Calibri" w:hAnsi="Calibri"/>
                <w:b w:val="0"/>
                <w:i w:val="0"/>
                <w:color w:val="212121"/>
                <w:sz w:val="16"/>
              </w:rPr>
              <w:t>Symptomatic workers, long-service operatives, smokers</w:t>
            </w:r>
          </w:p>
        </w:tc>
        <w:tc>
          <w:tcPr>
            <w:tcW w:type="dxa" w:w="720"/>
            <w:vAlign w:val="top"/>
          </w:tcPr>
          <w:p>
            <w:pPr>
              <w:spacing w:after="40" w:before="0" w:line="259" w:lineRule="auto"/>
            </w:pPr>
            <w:r>
              <w:rPr>
                <w:rFonts w:ascii="Calibri" w:hAnsi="Calibri"/>
                <w:b w:val="0"/>
                <w:i w:val="0"/>
                <w:color w:val="212121"/>
                <w:sz w:val="16"/>
              </w:rPr>
              <w:t>Physical activity; Smoking</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Baseline then periodic</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Pulmonary function</w:t>
            </w:r>
          </w:p>
        </w:tc>
        <w:tc>
          <w:tcPr>
            <w:tcW w:type="dxa" w:w="1036"/>
            <w:vAlign w:val="top"/>
          </w:tcPr>
          <w:p>
            <w:pPr>
              <w:spacing w:after="40" w:before="0" w:line="259" w:lineRule="auto"/>
            </w:pPr>
            <w:r>
              <w:rPr>
                <w:rFonts w:ascii="Calibri" w:hAnsi="Calibri"/>
                <w:b w:val="0"/>
                <w:i w:val="0"/>
                <w:color w:val="212121"/>
                <w:sz w:val="16"/>
              </w:rPr>
              <w:t>Longitudinal FEV1 decline</w:t>
            </w:r>
          </w:p>
        </w:tc>
        <w:tc>
          <w:tcPr>
            <w:tcW w:type="dxa" w:w="892"/>
            <w:vAlign w:val="top"/>
          </w:tcPr>
          <w:p>
            <w:pPr>
              <w:spacing w:after="40" w:before="0" w:line="259" w:lineRule="auto"/>
            </w:pPr>
            <w:r>
              <w:rPr>
                <w:rFonts w:ascii="Calibri" w:hAnsi="Calibri"/>
                <w:b w:val="0"/>
                <w:i w:val="0"/>
                <w:color w:val="212121"/>
                <w:sz w:val="16"/>
              </w:rPr>
              <w:t>Serial spirometry</w:t>
            </w:r>
          </w:p>
        </w:tc>
        <w:tc>
          <w:tcPr>
            <w:tcW w:type="dxa" w:w="950"/>
            <w:vAlign w:val="top"/>
          </w:tcPr>
          <w:p>
            <w:pPr>
              <w:spacing w:after="40" w:before="0" w:line="259" w:lineRule="auto"/>
            </w:pPr>
            <w:r>
              <w:rPr>
                <w:rFonts w:ascii="Calibri" w:hAnsi="Calibri"/>
                <w:b w:val="0"/>
                <w:i w:val="0"/>
                <w:color w:val="212121"/>
                <w:sz w:val="16"/>
              </w:rPr>
              <w:t>≤ 20–30 mL/year</w:t>
            </w:r>
          </w:p>
        </w:tc>
        <w:tc>
          <w:tcPr>
            <w:tcW w:type="dxa" w:w="950"/>
            <w:vAlign w:val="top"/>
          </w:tcPr>
          <w:p>
            <w:pPr>
              <w:spacing w:after="40" w:before="0" w:line="259" w:lineRule="auto"/>
            </w:pPr>
            <w:r>
              <w:rPr>
                <w:rFonts w:ascii="Calibri" w:hAnsi="Calibri"/>
                <w:b w:val="0"/>
                <w:i w:val="0"/>
                <w:color w:val="212121"/>
                <w:sz w:val="16"/>
              </w:rPr>
              <w:t>~≥ 50 mL/year (accelerated)</w:t>
            </w:r>
          </w:p>
        </w:tc>
        <w:tc>
          <w:tcPr>
            <w:tcW w:type="dxa" w:w="1036"/>
            <w:vAlign w:val="top"/>
          </w:tcPr>
          <w:p>
            <w:pPr>
              <w:spacing w:after="40" w:before="0" w:line="259" w:lineRule="auto"/>
            </w:pPr>
            <w:r>
              <w:rPr>
                <w:rFonts w:ascii="Calibri" w:hAnsi="Calibri"/>
                <w:b w:val="0"/>
                <w:i w:val="0"/>
                <w:color w:val="212121"/>
                <w:sz w:val="16"/>
              </w:rPr>
              <w:t>Accelerated decline indicates progression toward fixed chronic disease</w:t>
            </w:r>
          </w:p>
        </w:tc>
        <w:tc>
          <w:tcPr>
            <w:tcW w:type="dxa" w:w="1036"/>
            <w:vAlign w:val="top"/>
          </w:tcPr>
          <w:p>
            <w:pPr>
              <w:spacing w:after="40" w:before="0" w:line="259" w:lineRule="auto"/>
            </w:pPr>
            <w:r>
              <w:rPr>
                <w:rFonts w:ascii="Calibri" w:hAnsi="Calibri"/>
                <w:b w:val="0"/>
                <w:i w:val="0"/>
                <w:color w:val="212121"/>
                <w:sz w:val="16"/>
              </w:rPr>
              <w:t>Workers under long-term surveillance</w:t>
            </w:r>
          </w:p>
        </w:tc>
        <w:tc>
          <w:tcPr>
            <w:tcW w:type="dxa" w:w="720"/>
            <w:vAlign w:val="top"/>
          </w:tcPr>
          <w:p>
            <w:pPr>
              <w:spacing w:after="40" w:before="0" w:line="259" w:lineRule="auto"/>
            </w:pPr>
            <w:r>
              <w:rPr>
                <w:rFonts w:ascii="Calibri" w:hAnsi="Calibri"/>
                <w:b w:val="0"/>
                <w:i w:val="0"/>
                <w:color w:val="212121"/>
                <w:sz w:val="16"/>
              </w:rPr>
              <w:t>Provoking factors; Smoking</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Requires consistent technique and equipment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Chest radiograph (PA)</w:t>
            </w:r>
          </w:p>
        </w:tc>
        <w:tc>
          <w:tcPr>
            <w:tcW w:type="dxa" w:w="892"/>
            <w:vAlign w:val="top"/>
          </w:tcPr>
          <w:p>
            <w:pPr>
              <w:spacing w:after="40" w:before="0" w:line="259" w:lineRule="auto"/>
            </w:pPr>
            <w:r>
              <w:rPr>
                <w:rFonts w:ascii="Calibri" w:hAnsi="Calibri"/>
                <w:b w:val="0"/>
                <w:i w:val="0"/>
                <w:color w:val="212121"/>
                <w:sz w:val="16"/>
              </w:rPr>
              <w:t>Chest X-ray</w:t>
            </w:r>
          </w:p>
        </w:tc>
        <w:tc>
          <w:tcPr>
            <w:tcW w:type="dxa" w:w="950"/>
            <w:vAlign w:val="top"/>
          </w:tcPr>
          <w:p>
            <w:pPr>
              <w:spacing w:after="40" w:before="0" w:line="259" w:lineRule="auto"/>
            </w:pPr>
            <w:r>
              <w:rPr>
                <w:rFonts w:ascii="Calibri" w:hAnsi="Calibri"/>
                <w:b w:val="0"/>
                <w:i w:val="0"/>
                <w:color w:val="212121"/>
                <w:sz w:val="16"/>
              </w:rPr>
              <w:t>Normal or mild hyperinflation</w:t>
            </w:r>
          </w:p>
        </w:tc>
        <w:tc>
          <w:tcPr>
            <w:tcW w:type="dxa" w:w="950"/>
            <w:vAlign w:val="top"/>
          </w:tcPr>
          <w:p>
            <w:pPr>
              <w:spacing w:after="40" w:before="0" w:line="259" w:lineRule="auto"/>
            </w:pPr>
            <w:r>
              <w:rPr>
                <w:rFonts w:ascii="Calibri" w:hAnsi="Calibri"/>
                <w:b w:val="0"/>
                <w:i w:val="0"/>
                <w:color w:val="212121"/>
                <w:sz w:val="16"/>
              </w:rPr>
              <w:t>Hyperlucency, flattened diaphragm, emphysematous change</w:t>
            </w:r>
          </w:p>
        </w:tc>
        <w:tc>
          <w:tcPr>
            <w:tcW w:type="dxa" w:w="1036"/>
            <w:vAlign w:val="top"/>
          </w:tcPr>
          <w:p>
            <w:pPr>
              <w:spacing w:after="40" w:before="0" w:line="259" w:lineRule="auto"/>
            </w:pPr>
            <w:r>
              <w:rPr>
                <w:rFonts w:ascii="Calibri" w:hAnsi="Calibri"/>
                <w:b w:val="0"/>
                <w:i w:val="0"/>
                <w:color w:val="212121"/>
                <w:sz w:val="16"/>
              </w:rPr>
              <w:t>No specific byssinosis pattern; used chiefly to exclude tuberculosis and other lung disease</w:t>
            </w:r>
          </w:p>
        </w:tc>
        <w:tc>
          <w:tcPr>
            <w:tcW w:type="dxa" w:w="1036"/>
            <w:vAlign w:val="top"/>
          </w:tcPr>
          <w:p>
            <w:pPr>
              <w:spacing w:after="40" w:before="0" w:line="259" w:lineRule="auto"/>
            </w:pPr>
            <w:r>
              <w:rPr>
                <w:rFonts w:ascii="Calibri" w:hAnsi="Calibri"/>
                <w:b w:val="0"/>
                <w:i w:val="0"/>
                <w:color w:val="212121"/>
                <w:sz w:val="16"/>
              </w:rPr>
              <w:t>Symptomatic dust workers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Exclusionary</w:t>
            </w:r>
          </w:p>
        </w:tc>
        <w:tc>
          <w:tcPr>
            <w:tcW w:type="dxa" w:w="720"/>
            <w:vAlign w:val="top"/>
          </w:tcPr>
          <w:p>
            <w:pPr>
              <w:spacing w:after="40" w:before="0" w:line="259" w:lineRule="auto"/>
            </w:pPr>
            <w:r>
              <w:rPr>
                <w:rFonts w:ascii="Calibri" w:hAnsi="Calibri"/>
                <w:b w:val="0"/>
                <w:i w:val="0"/>
                <w:color w:val="212121"/>
                <w:sz w:val="16"/>
              </w:rPr>
              <w:t>Essential in India to screen for TB</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Sputum AFB smear &amp; Xpert MTB/RIF</w:t>
            </w:r>
          </w:p>
        </w:tc>
        <w:tc>
          <w:tcPr>
            <w:tcW w:type="dxa" w:w="892"/>
            <w:vAlign w:val="top"/>
          </w:tcPr>
          <w:p>
            <w:pPr>
              <w:spacing w:after="40" w:before="0" w:line="259" w:lineRule="auto"/>
            </w:pPr>
            <w:r>
              <w:rPr>
                <w:rFonts w:ascii="Calibri" w:hAnsi="Calibri"/>
                <w:b w:val="0"/>
                <w:i w:val="0"/>
                <w:color w:val="212121"/>
                <w:sz w:val="16"/>
              </w:rPr>
              <w:t>TB testing</w:t>
            </w:r>
          </w:p>
        </w:tc>
        <w:tc>
          <w:tcPr>
            <w:tcW w:type="dxa" w:w="950"/>
            <w:vAlign w:val="top"/>
          </w:tcPr>
          <w:p>
            <w:pPr>
              <w:spacing w:after="40" w:before="0" w:line="259" w:lineRule="auto"/>
            </w:pPr>
            <w:r>
              <w:rPr>
                <w:rFonts w:ascii="Calibri" w:hAnsi="Calibri"/>
                <w:b w:val="0"/>
                <w:i w:val="0"/>
                <w:color w:val="212121"/>
                <w:sz w:val="16"/>
              </w:rPr>
              <w:t>Negative for M. tuberculosis</w:t>
            </w:r>
          </w:p>
        </w:tc>
        <w:tc>
          <w:tcPr>
            <w:tcW w:type="dxa" w:w="950"/>
            <w:vAlign w:val="top"/>
          </w:tcPr>
          <w:p>
            <w:pPr>
              <w:spacing w:after="40" w:before="0" w:line="259" w:lineRule="auto"/>
            </w:pPr>
            <w:r>
              <w:rPr>
                <w:rFonts w:ascii="Calibri" w:hAnsi="Calibri"/>
                <w:b w:val="0"/>
                <w:i w:val="0"/>
                <w:color w:val="212121"/>
                <w:sz w:val="16"/>
              </w:rPr>
              <w:t>Positive smear / Xpert (rifampicin resistance flagged)</w:t>
            </w:r>
          </w:p>
        </w:tc>
        <w:tc>
          <w:tcPr>
            <w:tcW w:type="dxa" w:w="1036"/>
            <w:vAlign w:val="top"/>
          </w:tcPr>
          <w:p>
            <w:pPr>
              <w:spacing w:after="40" w:before="0" w:line="259" w:lineRule="auto"/>
            </w:pPr>
            <w:r>
              <w:rPr>
                <w:rFonts w:ascii="Calibri" w:hAnsi="Calibri"/>
                <w:b w:val="0"/>
                <w:i w:val="0"/>
                <w:color w:val="212121"/>
                <w:sz w:val="16"/>
              </w:rPr>
              <w:t>Detects coexisting pulmonary tuberculosis, which mimics and complicates byssinosis</w:t>
            </w:r>
          </w:p>
        </w:tc>
        <w:tc>
          <w:tcPr>
            <w:tcW w:type="dxa" w:w="1036"/>
            <w:vAlign w:val="top"/>
          </w:tcPr>
          <w:p>
            <w:pPr>
              <w:spacing w:after="40" w:before="0" w:line="259" w:lineRule="auto"/>
            </w:pPr>
            <w:r>
              <w:rPr>
                <w:rFonts w:ascii="Calibri" w:hAnsi="Calibri"/>
                <w:b w:val="0"/>
                <w:i w:val="0"/>
                <w:color w:val="212121"/>
                <w:sz w:val="16"/>
              </w:rPr>
              <w:t>Any dust worker with cough &gt;2 weeks, fever, weight loss or haemoptysis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Critical (India)</w:t>
            </w:r>
          </w:p>
        </w:tc>
        <w:tc>
          <w:tcPr>
            <w:tcW w:type="dxa" w:w="720"/>
            <w:vAlign w:val="top"/>
          </w:tcPr>
          <w:p>
            <w:pPr>
              <w:spacing w:after="40" w:before="0" w:line="259" w:lineRule="auto"/>
            </w:pPr>
            <w:r>
              <w:rPr>
                <w:rFonts w:ascii="Calibri" w:hAnsi="Calibri"/>
                <w:b w:val="0"/>
                <w:i w:val="0"/>
                <w:color w:val="212121"/>
                <w:sz w:val="16"/>
              </w:rPr>
              <w:t>Low threshold in high-burden setting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Industrial hygiene</w:t>
            </w:r>
          </w:p>
        </w:tc>
        <w:tc>
          <w:tcPr>
            <w:tcW w:type="dxa" w:w="1036"/>
            <w:vAlign w:val="top"/>
          </w:tcPr>
          <w:p>
            <w:pPr>
              <w:spacing w:after="40" w:before="0" w:line="259" w:lineRule="auto"/>
            </w:pPr>
            <w:r>
              <w:rPr>
                <w:rFonts w:ascii="Calibri" w:hAnsi="Calibri"/>
                <w:b w:val="0"/>
                <w:i w:val="0"/>
                <w:color w:val="212121"/>
                <w:sz w:val="16"/>
              </w:rPr>
              <w:t>Workplace air sampling — respirable cotton dust</w:t>
            </w:r>
          </w:p>
        </w:tc>
        <w:tc>
          <w:tcPr>
            <w:tcW w:type="dxa" w:w="892"/>
            <w:vAlign w:val="top"/>
          </w:tcPr>
          <w:p>
            <w:pPr>
              <w:spacing w:after="40" w:before="0" w:line="259" w:lineRule="auto"/>
            </w:pPr>
            <w:r>
              <w:rPr>
                <w:rFonts w:ascii="Calibri" w:hAnsi="Calibri"/>
                <w:b w:val="0"/>
                <w:i w:val="0"/>
                <w:color w:val="212121"/>
                <w:sz w:val="16"/>
              </w:rPr>
              <w:t>Vertical-elutriator dust measurement</w:t>
            </w:r>
          </w:p>
        </w:tc>
        <w:tc>
          <w:tcPr>
            <w:tcW w:type="dxa" w:w="950"/>
            <w:vAlign w:val="top"/>
          </w:tcPr>
          <w:p>
            <w:pPr>
              <w:spacing w:after="40" w:before="0" w:line="259" w:lineRule="auto"/>
            </w:pPr>
            <w:r>
              <w:rPr>
                <w:rFonts w:ascii="Calibri" w:hAnsi="Calibri"/>
                <w:b w:val="0"/>
                <w:i w:val="0"/>
                <w:color w:val="212121"/>
                <w:sz w:val="16"/>
              </w:rPr>
              <w:t>Below the applicable OSHA PEL</w:t>
            </w:r>
          </w:p>
        </w:tc>
        <w:tc>
          <w:tcPr>
            <w:tcW w:type="dxa" w:w="950"/>
            <w:vAlign w:val="top"/>
          </w:tcPr>
          <w:p>
            <w:pPr>
              <w:spacing w:after="40" w:before="0" w:line="259" w:lineRule="auto"/>
            </w:pPr>
            <w:r>
              <w:rPr>
                <w:rFonts w:ascii="Calibri" w:hAnsi="Calibri"/>
                <w:b w:val="0"/>
                <w:i w:val="0"/>
                <w:color w:val="212121"/>
                <w:sz w:val="16"/>
              </w:rPr>
              <w:t>Above the PEL (e.g. &gt; 200 µg/m³ in yarn manufacture)</w:t>
            </w:r>
          </w:p>
        </w:tc>
        <w:tc>
          <w:tcPr>
            <w:tcW w:type="dxa" w:w="1036"/>
            <w:vAlign w:val="top"/>
          </w:tcPr>
          <w:p>
            <w:pPr>
              <w:spacing w:after="40" w:before="0" w:line="259" w:lineRule="auto"/>
            </w:pPr>
            <w:r>
              <w:rPr>
                <w:rFonts w:ascii="Calibri" w:hAnsi="Calibri"/>
                <w:b w:val="0"/>
                <w:i w:val="0"/>
                <w:color w:val="212121"/>
                <w:sz w:val="16"/>
              </w:rPr>
              <w:t>Quantifies exposure and guides engineering controls; disease frequency tracks dust level</w:t>
            </w:r>
          </w:p>
        </w:tc>
        <w:tc>
          <w:tcPr>
            <w:tcW w:type="dxa" w:w="1036"/>
            <w:vAlign w:val="top"/>
          </w:tcPr>
          <w:p>
            <w:pPr>
              <w:spacing w:after="40" w:before="0" w:line="259" w:lineRule="auto"/>
            </w:pPr>
            <w:r>
              <w:rPr>
                <w:rFonts w:ascii="Calibri" w:hAnsi="Calibri"/>
                <w:b w:val="0"/>
                <w:i w:val="0"/>
                <w:color w:val="212121"/>
                <w:sz w:val="16"/>
              </w:rPr>
              <w:t>Mill sections, ginning &amp; powerloom units</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Preventive</w:t>
            </w:r>
          </w:p>
        </w:tc>
        <w:tc>
          <w:tcPr>
            <w:tcW w:type="dxa" w:w="720"/>
            <w:vAlign w:val="top"/>
          </w:tcPr>
          <w:p>
            <w:pPr>
              <w:spacing w:after="40" w:before="0" w:line="259" w:lineRule="auto"/>
            </w:pPr>
            <w:r>
              <w:rPr>
                <w:rFonts w:ascii="Calibri" w:hAnsi="Calibri"/>
                <w:b w:val="0"/>
                <w:i w:val="0"/>
                <w:color w:val="212121"/>
                <w:sz w:val="16"/>
              </w:rPr>
              <w:t>Lint-free respirable fraction, 8-hour TWA</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Occupational &amp; exposure history</w:t>
            </w:r>
          </w:p>
        </w:tc>
        <w:tc>
          <w:tcPr>
            <w:tcW w:type="dxa" w:w="979"/>
            <w:vAlign w:val="top"/>
          </w:tcPr>
          <w:p>
            <w:pPr>
              <w:spacing w:after="40" w:before="0" w:line="259" w:lineRule="auto"/>
            </w:pPr>
            <w:r>
              <w:rPr>
                <w:rFonts w:ascii="Calibri" w:hAnsi="Calibri"/>
                <w:b w:val="0"/>
                <w:i w:val="0"/>
                <w:color w:val="212121"/>
                <w:sz w:val="16"/>
              </w:rPr>
              <w:t>Fibre type, mill section/process, years exposed, dust controls, PPE use</w:t>
            </w:r>
          </w:p>
        </w:tc>
        <w:tc>
          <w:tcPr>
            <w:tcW w:type="dxa" w:w="950"/>
            <w:vAlign w:val="top"/>
          </w:tcPr>
          <w:p>
            <w:pPr>
              <w:spacing w:after="40" w:before="0" w:line="259" w:lineRule="auto"/>
            </w:pPr>
            <w:r>
              <w:rPr>
                <w:rFonts w:ascii="Calibri" w:hAnsi="Calibri"/>
                <w:b w:val="0"/>
                <w:i w:val="0"/>
                <w:color w:val="212121"/>
                <w:sz w:val="16"/>
              </w:rPr>
              <w:t>No raw-textile-dust exposure</w:t>
            </w:r>
          </w:p>
        </w:tc>
        <w:tc>
          <w:tcPr>
            <w:tcW w:type="dxa" w:w="950"/>
            <w:vAlign w:val="top"/>
          </w:tcPr>
          <w:p>
            <w:pPr>
              <w:spacing w:after="40" w:before="0" w:line="259" w:lineRule="auto"/>
            </w:pPr>
            <w:r>
              <w:rPr>
                <w:rFonts w:ascii="Calibri" w:hAnsi="Calibri"/>
                <w:b w:val="0"/>
                <w:i w:val="0"/>
                <w:color w:val="212121"/>
                <w:sz w:val="16"/>
              </w:rPr>
              <w:t>Prolonged raw cotton/flax/hemp/jute dust exposure, often without controls</w:t>
            </w:r>
          </w:p>
        </w:tc>
        <w:tc>
          <w:tcPr>
            <w:tcW w:type="dxa" w:w="1036"/>
            <w:vAlign w:val="top"/>
          </w:tcPr>
          <w:p>
            <w:pPr>
              <w:spacing w:after="40" w:before="0" w:line="259" w:lineRule="auto"/>
            </w:pPr>
            <w:r>
              <w:rPr>
                <w:rFonts w:ascii="Calibri" w:hAnsi="Calibri"/>
                <w:b w:val="0"/>
                <w:i w:val="0"/>
                <w:color w:val="212121"/>
                <w:sz w:val="16"/>
              </w:rPr>
              <w:t>The cornerstone of diagnosis; quantify intensity and duration</w:t>
            </w:r>
          </w:p>
        </w:tc>
        <w:tc>
          <w:tcPr>
            <w:tcW w:type="dxa" w:w="1036"/>
            <w:vAlign w:val="top"/>
          </w:tcPr>
          <w:p>
            <w:pPr>
              <w:spacing w:after="40" w:before="0" w:line="259" w:lineRule="auto"/>
            </w:pPr>
            <w:r>
              <w:rPr>
                <w:rFonts w:ascii="Calibri" w:hAnsi="Calibri"/>
                <w:b w:val="0"/>
                <w:i w:val="0"/>
                <w:color w:val="212121"/>
                <w:sz w:val="16"/>
              </w:rPr>
              <w:t>All textile-dust workers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Essential</w:t>
            </w:r>
          </w:p>
        </w:tc>
        <w:tc>
          <w:tcPr>
            <w:tcW w:type="dxa" w:w="720"/>
            <w:vAlign w:val="top"/>
          </w:tcPr>
          <w:p>
            <w:pPr>
              <w:spacing w:after="40" w:before="0" w:line="259" w:lineRule="auto"/>
            </w:pPr>
            <w:r>
              <w:rPr>
                <w:rFonts w:ascii="Calibri" w:hAnsi="Calibri"/>
                <w:b w:val="0"/>
                <w:i w:val="0"/>
                <w:color w:val="212121"/>
                <w:sz w:val="16"/>
              </w:rPr>
              <w:t>Include informal, home-based and take-home dust exposure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Symptom timing pattern</w:t>
            </w:r>
          </w:p>
        </w:tc>
        <w:tc>
          <w:tcPr>
            <w:tcW w:type="dxa" w:w="979"/>
            <w:vAlign w:val="top"/>
          </w:tcPr>
          <w:p>
            <w:pPr>
              <w:spacing w:after="40" w:before="0" w:line="259" w:lineRule="auto"/>
            </w:pPr>
            <w:r>
              <w:rPr>
                <w:rFonts w:ascii="Calibri" w:hAnsi="Calibri"/>
                <w:b w:val="0"/>
                <w:i w:val="0"/>
                <w:color w:val="212121"/>
                <w:sz w:val="16"/>
              </w:rPr>
              <w:t>Chest tightness/breathlessness worst on first workday, easing over the week</w:t>
            </w:r>
          </w:p>
        </w:tc>
        <w:tc>
          <w:tcPr>
            <w:tcW w:type="dxa" w:w="950"/>
            <w:vAlign w:val="top"/>
          </w:tcPr>
          <w:p>
            <w:pPr>
              <w:spacing w:after="40" w:before="0" w:line="259" w:lineRule="auto"/>
            </w:pPr>
            <w:r>
              <w:rPr>
                <w:rFonts w:ascii="Calibri" w:hAnsi="Calibri"/>
                <w:b w:val="0"/>
                <w:i w:val="0"/>
                <w:color w:val="212121"/>
                <w:sz w:val="16"/>
              </w:rPr>
              <w:t>No exposure-related symptoms</w:t>
            </w:r>
          </w:p>
        </w:tc>
        <w:tc>
          <w:tcPr>
            <w:tcW w:type="dxa" w:w="950"/>
            <w:vAlign w:val="top"/>
          </w:tcPr>
          <w:p>
            <w:pPr>
              <w:spacing w:after="40" w:before="0" w:line="259" w:lineRule="auto"/>
            </w:pPr>
            <w:r>
              <w:rPr>
                <w:rFonts w:ascii="Calibri" w:hAnsi="Calibri"/>
                <w:b w:val="0"/>
                <w:i w:val="0"/>
                <w:color w:val="212121"/>
                <w:sz w:val="16"/>
              </w:rPr>
              <w:t>'Monday feeling' pattern present (Schilling grade 1/2–3)</w:t>
            </w:r>
          </w:p>
        </w:tc>
        <w:tc>
          <w:tcPr>
            <w:tcW w:type="dxa" w:w="1036"/>
            <w:vAlign w:val="top"/>
          </w:tcPr>
          <w:p>
            <w:pPr>
              <w:spacing w:after="40" w:before="0" w:line="259" w:lineRule="auto"/>
            </w:pPr>
            <w:r>
              <w:rPr>
                <w:rFonts w:ascii="Calibri" w:hAnsi="Calibri"/>
                <w:b w:val="0"/>
                <w:i w:val="0"/>
                <w:color w:val="212121"/>
                <w:sz w:val="16"/>
              </w:rPr>
              <w:t>The characteristic feature separating byssinosis from asthma/COPD; grades severity</w:t>
            </w:r>
          </w:p>
        </w:tc>
        <w:tc>
          <w:tcPr>
            <w:tcW w:type="dxa" w:w="1036"/>
            <w:vAlign w:val="top"/>
          </w:tcPr>
          <w:p>
            <w:pPr>
              <w:spacing w:after="40" w:before="0" w:line="259" w:lineRule="auto"/>
            </w:pPr>
            <w:r>
              <w:rPr>
                <w:rFonts w:ascii="Calibri" w:hAnsi="Calibri"/>
                <w:b w:val="0"/>
                <w:i w:val="0"/>
                <w:color w:val="212121"/>
                <w:sz w:val="16"/>
              </w:rPr>
              <w:t>Symptomatic operatives; surveillance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Characteristic</w:t>
            </w:r>
          </w:p>
        </w:tc>
        <w:tc>
          <w:tcPr>
            <w:tcW w:type="dxa" w:w="720"/>
            <w:vAlign w:val="top"/>
          </w:tcPr>
          <w:p>
            <w:pPr>
              <w:spacing w:after="40" w:before="0" w:line="259" w:lineRule="auto"/>
            </w:pPr>
            <w:r>
              <w:rPr>
                <w:rFonts w:ascii="Calibri" w:hAnsi="Calibri"/>
                <w:b w:val="0"/>
                <w:i w:val="0"/>
                <w:color w:val="212121"/>
                <w:sz w:val="16"/>
              </w:rPr>
              <w:t>Ask specifically about symptoms after weekends/holidays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Smoking history</w:t>
            </w:r>
          </w:p>
        </w:tc>
        <w:tc>
          <w:tcPr>
            <w:tcW w:type="dxa" w:w="979"/>
            <w:vAlign w:val="top"/>
          </w:tcPr>
          <w:p>
            <w:pPr>
              <w:spacing w:after="40" w:before="0" w:line="259" w:lineRule="auto"/>
            </w:pPr>
            <w:r>
              <w:rPr>
                <w:rFonts w:ascii="Calibri" w:hAnsi="Calibri"/>
                <w:b w:val="0"/>
                <w:i w:val="0"/>
                <w:color w:val="212121"/>
                <w:sz w:val="16"/>
              </w:rPr>
              <w:t>Pack-years / bidi-years, current vs ex-smoker</w:t>
            </w:r>
          </w:p>
        </w:tc>
        <w:tc>
          <w:tcPr>
            <w:tcW w:type="dxa" w:w="950"/>
            <w:vAlign w:val="top"/>
          </w:tcPr>
          <w:p>
            <w:pPr>
              <w:spacing w:after="40" w:before="0" w:line="259" w:lineRule="auto"/>
            </w:pPr>
            <w:r>
              <w:rPr>
                <w:rFonts w:ascii="Calibri" w:hAnsi="Calibri"/>
                <w:b w:val="0"/>
                <w:i w:val="0"/>
                <w:color w:val="212121"/>
                <w:sz w:val="16"/>
              </w:rPr>
              <w:t>Never smoked</w:t>
            </w:r>
          </w:p>
        </w:tc>
        <w:tc>
          <w:tcPr>
            <w:tcW w:type="dxa" w:w="950"/>
            <w:vAlign w:val="top"/>
          </w:tcPr>
          <w:p>
            <w:pPr>
              <w:spacing w:after="40" w:before="0" w:line="259" w:lineRule="auto"/>
            </w:pPr>
            <w:r>
              <w:rPr>
                <w:rFonts w:ascii="Calibri" w:hAnsi="Calibri"/>
                <w:b w:val="0"/>
                <w:i w:val="0"/>
                <w:color w:val="212121"/>
                <w:sz w:val="16"/>
              </w:rPr>
              <w:t>Current or ex-smoker</w:t>
            </w:r>
          </w:p>
        </w:tc>
        <w:tc>
          <w:tcPr>
            <w:tcW w:type="dxa" w:w="1036"/>
            <w:vAlign w:val="top"/>
          </w:tcPr>
          <w:p>
            <w:pPr>
              <w:spacing w:after="40" w:before="0" w:line="259" w:lineRule="auto"/>
            </w:pPr>
            <w:r>
              <w:rPr>
                <w:rFonts w:ascii="Calibri" w:hAnsi="Calibri"/>
                <w:b w:val="0"/>
                <w:i w:val="0"/>
                <w:color w:val="212121"/>
                <w:sz w:val="16"/>
              </w:rPr>
              <w:t>Additive risk of airflow obstruction and faster FEV1 decline; defines a cessation target</w:t>
            </w:r>
          </w:p>
        </w:tc>
        <w:tc>
          <w:tcPr>
            <w:tcW w:type="dxa" w:w="1036"/>
            <w:vAlign w:val="top"/>
          </w:tcPr>
          <w:p>
            <w:pPr>
              <w:spacing w:after="40" w:before="0" w:line="259" w:lineRule="auto"/>
            </w:pPr>
            <w:r>
              <w:rPr>
                <w:rFonts w:ascii="Calibri" w:hAnsi="Calibri"/>
                <w:b w:val="0"/>
                <w:i w:val="0"/>
                <w:color w:val="212121"/>
                <w:sz w:val="16"/>
              </w:rPr>
              <w:t>Dust-exposed smokers</w:t>
            </w:r>
          </w:p>
        </w:tc>
        <w:tc>
          <w:tcPr>
            <w:tcW w:type="dxa" w:w="720"/>
            <w:vAlign w:val="top"/>
          </w:tcPr>
          <w:p>
            <w:pPr>
              <w:spacing w:after="40" w:before="0" w:line="259" w:lineRule="auto"/>
            </w:pPr>
            <w:r>
              <w:rPr>
                <w:rFonts w:ascii="Calibri" w:hAnsi="Calibri"/>
                <w:b w:val="0"/>
                <w:i w:val="0"/>
                <w:color w:val="212121"/>
                <w:sz w:val="16"/>
              </w:rPr>
              <w:t>Smoking</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Quantify and reinforce cessation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TB &amp; constitutional symptoms</w:t>
            </w:r>
          </w:p>
        </w:tc>
        <w:tc>
          <w:tcPr>
            <w:tcW w:type="dxa" w:w="979"/>
            <w:vAlign w:val="top"/>
          </w:tcPr>
          <w:p>
            <w:pPr>
              <w:spacing w:after="40" w:before="0" w:line="259" w:lineRule="auto"/>
            </w:pPr>
            <w:r>
              <w:rPr>
                <w:rFonts w:ascii="Calibri" w:hAnsi="Calibri"/>
                <w:b w:val="0"/>
                <w:i w:val="0"/>
                <w:color w:val="212121"/>
                <w:sz w:val="16"/>
              </w:rPr>
              <w:t>Cough &gt;2 weeks, fever, night sweats, weight loss, haemoptysis, TB contact</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Red flags for coexisting tuberculosis — mandate active TB work-up</w:t>
            </w:r>
          </w:p>
        </w:tc>
        <w:tc>
          <w:tcPr>
            <w:tcW w:type="dxa" w:w="1036"/>
            <w:vAlign w:val="top"/>
          </w:tcPr>
          <w:p>
            <w:pPr>
              <w:spacing w:after="40" w:before="0" w:line="259" w:lineRule="auto"/>
            </w:pPr>
            <w:r>
              <w:rPr>
                <w:rFonts w:ascii="Calibri" w:hAnsi="Calibri"/>
                <w:b w:val="0"/>
                <w:i w:val="0"/>
                <w:color w:val="212121"/>
                <w:sz w:val="16"/>
              </w:rPr>
              <w:t>All textile dust workers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Critical</w:t>
            </w:r>
          </w:p>
        </w:tc>
        <w:tc>
          <w:tcPr>
            <w:tcW w:type="dxa" w:w="720"/>
            <w:vAlign w:val="top"/>
          </w:tcPr>
          <w:p>
            <w:pPr>
              <w:spacing w:after="40" w:before="0" w:line="259" w:lineRule="auto"/>
            </w:pPr>
            <w:r>
              <w:rPr>
                <w:rFonts w:ascii="Calibri" w:hAnsi="Calibri"/>
                <w:b w:val="0"/>
                <w:i w:val="0"/>
                <w:color w:val="212121"/>
                <w:sz w:val="16"/>
              </w:rPr>
              <w:t>High TB burden in Indian textile clusters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Chest &amp; cardiac exam</w:t>
            </w:r>
          </w:p>
        </w:tc>
        <w:tc>
          <w:tcPr>
            <w:tcW w:type="dxa" w:w="979"/>
            <w:vAlign w:val="top"/>
          </w:tcPr>
          <w:p>
            <w:pPr>
              <w:spacing w:after="40" w:before="0" w:line="259" w:lineRule="auto"/>
            </w:pPr>
            <w:r>
              <w:rPr>
                <w:rFonts w:ascii="Calibri" w:hAnsi="Calibri"/>
                <w:b w:val="0"/>
                <w:i w:val="0"/>
                <w:color w:val="212121"/>
                <w:sz w:val="16"/>
              </w:rPr>
              <w:t>Wheeze/rhonchi, prolonged expiration, fine basilar crackles, hyperinflation, cor pulmonale signs</w:t>
            </w:r>
          </w:p>
        </w:tc>
        <w:tc>
          <w:tcPr>
            <w:tcW w:type="dxa" w:w="950"/>
            <w:vAlign w:val="top"/>
          </w:tcPr>
          <w:p>
            <w:pPr>
              <w:spacing w:after="40" w:before="0" w:line="259" w:lineRule="auto"/>
            </w:pPr>
            <w:r>
              <w:rPr>
                <w:rFonts w:ascii="Calibri" w:hAnsi="Calibri"/>
                <w:b w:val="0"/>
                <w:i w:val="0"/>
                <w:color w:val="212121"/>
                <w:sz w:val="16"/>
              </w:rPr>
              <w:t>Clear chest, no right-heart-failure signs</w:t>
            </w:r>
          </w:p>
        </w:tc>
        <w:tc>
          <w:tcPr>
            <w:tcW w:type="dxa" w:w="950"/>
            <w:vAlign w:val="top"/>
          </w:tcPr>
          <w:p>
            <w:pPr>
              <w:spacing w:after="40" w:before="0" w:line="259" w:lineRule="auto"/>
            </w:pPr>
            <w:r>
              <w:rPr>
                <w:rFonts w:ascii="Calibri" w:hAnsi="Calibri"/>
                <w:b w:val="0"/>
                <w:i w:val="0"/>
                <w:color w:val="212121"/>
                <w:sz w:val="16"/>
              </w:rPr>
              <w:t>Wheeze, prolonged expiration, hyperinflation, or signs of cor pulmonale</w:t>
            </w:r>
          </w:p>
        </w:tc>
        <w:tc>
          <w:tcPr>
            <w:tcW w:type="dxa" w:w="1036"/>
            <w:vAlign w:val="top"/>
          </w:tcPr>
          <w:p>
            <w:pPr>
              <w:spacing w:after="40" w:before="0" w:line="259" w:lineRule="auto"/>
            </w:pPr>
            <w:r>
              <w:rPr>
                <w:rFonts w:ascii="Calibri" w:hAnsi="Calibri"/>
                <w:b w:val="0"/>
                <w:i w:val="0"/>
                <w:color w:val="212121"/>
                <w:sz w:val="16"/>
              </w:rPr>
              <w:t>Detects airflow obstruction and complications; often normal in early disease</w:t>
            </w:r>
          </w:p>
        </w:tc>
        <w:tc>
          <w:tcPr>
            <w:tcW w:type="dxa" w:w="1036"/>
            <w:vAlign w:val="top"/>
          </w:tcPr>
          <w:p>
            <w:pPr>
              <w:spacing w:after="40" w:before="0" w:line="259" w:lineRule="auto"/>
            </w:pPr>
            <w:r>
              <w:rPr>
                <w:rFonts w:ascii="Calibri" w:hAnsi="Calibri"/>
                <w:b w:val="0"/>
                <w:i w:val="0"/>
                <w:color w:val="212121"/>
                <w:sz w:val="16"/>
              </w:rPr>
              <w:t>Established / advanced byssinosis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Physical signs frequently lag lung-function change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Chest tightness on the first working day after a break ('Monday feeling')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hallmark symptom; worst on returning to dust after a weekend/holiday and eases over the week.</w:t>
            </w:r>
          </w:p>
        </w:tc>
      </w:tr>
      <w:tr>
        <w:trPr>
          <w:cantSplit/>
        </w:trPr>
        <w:tc>
          <w:tcPr>
            <w:tcW w:type="dxa" w:w="2304"/>
            <w:vAlign w:val="top"/>
          </w:tcPr>
          <w:p>
            <w:pPr>
              <w:spacing w:after="40" w:before="0" w:line="259" w:lineRule="auto"/>
            </w:pPr>
            <w:r>
              <w:rPr>
                <w:rFonts w:ascii="Calibri" w:hAnsi="Calibri"/>
                <w:b/>
                <w:i w:val="0"/>
                <w:color w:val="212121"/>
                <w:sz w:val="19"/>
              </w:rPr>
              <w:t>Breathlessness / dyspnoea, especially on exertion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Reflects reversible (and later fixed) airflow obstruction from cotton dust.</w:t>
            </w:r>
          </w:p>
        </w:tc>
      </w:tr>
      <w:tr>
        <w:trPr>
          <w:cantSplit/>
        </w:trPr>
        <w:tc>
          <w:tcPr>
            <w:tcW w:type="dxa" w:w="2304"/>
            <w:vAlign w:val="top"/>
          </w:tcPr>
          <w:p>
            <w:pPr>
              <w:spacing w:after="40" w:before="0" w:line="259" w:lineRule="auto"/>
            </w:pPr>
            <w:r>
              <w:rPr>
                <w:rFonts w:ascii="Calibri" w:hAnsi="Calibri"/>
                <w:b/>
                <w:i w:val="0"/>
                <w:color w:val="212121"/>
                <w:sz w:val="19"/>
              </w:rPr>
              <w:t>Cough (dry or productive)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From airway irritation and dust-induced bronchitis.</w:t>
            </w:r>
          </w:p>
        </w:tc>
      </w:tr>
      <w:tr>
        <w:trPr>
          <w:cantSplit/>
        </w:trPr>
        <w:tc>
          <w:tcPr>
            <w:tcW w:type="dxa" w:w="2304"/>
            <w:vAlign w:val="top"/>
          </w:tcPr>
          <w:p>
            <w:pPr>
              <w:spacing w:after="40" w:before="0" w:line="259" w:lineRule="auto"/>
            </w:pPr>
            <w:r>
              <w:rPr>
                <w:rFonts w:ascii="Calibri" w:hAnsi="Calibri"/>
                <w:b/>
                <w:i w:val="0"/>
                <w:color w:val="212121"/>
                <w:sz w:val="19"/>
              </w:rPr>
              <w:t>Wheezing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Audible airway narrowing during the acute dust reaction.</w:t>
            </w:r>
          </w:p>
        </w:tc>
      </w:tr>
      <w:tr>
        <w:trPr>
          <w:cantSplit/>
        </w:trPr>
        <w:tc>
          <w:tcPr>
            <w:tcW w:type="dxa" w:w="2304"/>
            <w:vAlign w:val="top"/>
          </w:tcPr>
          <w:p>
            <w:pPr>
              <w:spacing w:after="40" w:before="0" w:line="259" w:lineRule="auto"/>
            </w:pPr>
            <w:r>
              <w:rPr>
                <w:rFonts w:ascii="Calibri" w:hAnsi="Calibri"/>
                <w:b/>
                <w:i w:val="0"/>
                <w:color w:val="212121"/>
                <w:sz w:val="19"/>
              </w:rPr>
              <w:t>Sputum / phlegm production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Reflects the chronic bronchitis component of longstanding disease.</w:t>
            </w:r>
          </w:p>
        </w:tc>
      </w:tr>
      <w:tr>
        <w:trPr>
          <w:cantSplit/>
        </w:trPr>
        <w:tc>
          <w:tcPr>
            <w:tcW w:type="dxa" w:w="2304"/>
            <w:vAlign w:val="top"/>
          </w:tcPr>
          <w:p>
            <w:pPr>
              <w:spacing w:after="40" w:before="0" w:line="259" w:lineRule="auto"/>
            </w:pPr>
            <w:r>
              <w:rPr>
                <w:rFonts w:ascii="Calibri" w:hAnsi="Calibri"/>
                <w:b/>
                <w:i w:val="0"/>
                <w:color w:val="212121"/>
                <w:sz w:val="19"/>
              </w:rPr>
              <w:t>Relief of symptoms away from work (weekends/holidays)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Characteristic reversibility in early byssinosis; lost once disease becomes chronic.</w:t>
            </w:r>
          </w:p>
        </w:tc>
      </w:tr>
      <w:tr>
        <w:trPr>
          <w:cantSplit/>
        </w:trPr>
        <w:tc>
          <w:tcPr>
            <w:tcW w:type="dxa" w:w="2304"/>
            <w:vAlign w:val="top"/>
          </w:tcPr>
          <w:p>
            <w:pPr>
              <w:spacing w:after="40" w:before="0" w:line="259" w:lineRule="auto"/>
            </w:pPr>
            <w:r>
              <w:rPr>
                <w:rFonts w:ascii="Calibri" w:hAnsi="Calibri"/>
                <w:b/>
                <w:i w:val="0"/>
                <w:color w:val="212121"/>
                <w:sz w:val="19"/>
              </w:rPr>
              <w:t>Reduced exercise tolerance and fatigue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Result of impaired airflow and deconditioning.</w:t>
            </w:r>
          </w:p>
        </w:tc>
      </w:tr>
      <w:tr>
        <w:trPr>
          <w:cantSplit/>
        </w:trPr>
        <w:tc>
          <w:tcPr>
            <w:tcW w:type="dxa" w:w="2304"/>
            <w:vAlign w:val="top"/>
          </w:tcPr>
          <w:p>
            <w:pPr>
              <w:spacing w:after="40" w:before="0" w:line="259" w:lineRule="auto"/>
            </w:pPr>
            <w:r>
              <w:rPr>
                <w:rFonts w:ascii="Calibri" w:hAnsi="Calibri"/>
                <w:b/>
                <w:i w:val="0"/>
                <w:color w:val="212121"/>
                <w:sz w:val="19"/>
              </w:rPr>
              <w:t>Chest tightness on the first and other days of the week</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Indicates more advanced disease (Schilling grade 2).</w:t>
            </w:r>
          </w:p>
        </w:tc>
      </w:tr>
      <w:tr>
        <w:trPr>
          <w:cantSplit/>
        </w:trPr>
        <w:tc>
          <w:tcPr>
            <w:tcW w:type="dxa" w:w="2304"/>
            <w:vAlign w:val="top"/>
          </w:tcPr>
          <w:p>
            <w:pPr>
              <w:spacing w:after="40" w:before="0" w:line="259" w:lineRule="auto"/>
            </w:pPr>
            <w:r>
              <w:rPr>
                <w:rFonts w:ascii="Calibri" w:hAnsi="Calibri"/>
                <w:b/>
                <w:i w:val="0"/>
                <w:color w:val="212121"/>
                <w:sz w:val="19"/>
              </w:rPr>
              <w:t>'Mill fever' — fever, chills, malaise on first or heavy exposure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self-limiting febrile endotoxin reaction in new or returning workers, distinct from true byssinosis.</w:t>
            </w:r>
          </w:p>
        </w:tc>
      </w:tr>
      <w:tr>
        <w:trPr>
          <w:cantSplit/>
        </w:trPr>
        <w:tc>
          <w:tcPr>
            <w:tcW w:type="dxa" w:w="2304"/>
            <w:vAlign w:val="top"/>
          </w:tcPr>
          <w:p>
            <w:pPr>
              <w:spacing w:after="40" w:before="0" w:line="259" w:lineRule="auto"/>
            </w:pPr>
            <w:r>
              <w:rPr>
                <w:rFonts w:ascii="Calibri" w:hAnsi="Calibri"/>
                <w:b/>
                <w:i w:val="0"/>
                <w:color w:val="212121"/>
                <w:sz w:val="19"/>
              </w:rPr>
              <w:t>Persistent symptoms even away from work</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Signals fixed, irreversible chronic airflow obstruction (Schilling grade 3).</w:t>
            </w:r>
          </w:p>
        </w:tc>
      </w:tr>
      <w:tr>
        <w:trPr>
          <w:cantSplit/>
        </w:trPr>
        <w:tc>
          <w:tcPr>
            <w:tcW w:type="dxa" w:w="2304"/>
            <w:vAlign w:val="top"/>
          </w:tcPr>
          <w:p>
            <w:pPr>
              <w:spacing w:after="40" w:before="0" w:line="259" w:lineRule="auto"/>
            </w:pPr>
            <w:r>
              <w:rPr>
                <w:rFonts w:ascii="Calibri" w:hAnsi="Calibri"/>
                <w:b/>
                <w:i w:val="0"/>
                <w:color w:val="212121"/>
                <w:sz w:val="19"/>
              </w:rPr>
              <w:t>Weight loss, night sweats or haemoptysis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Red-flag features suggesting coexisting pulmonary tuberculosis — mandate TB testing.</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Normal chest examination in early / mild disease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Physical signs are frequently absent early; symptoms and spirometry lead the diagnosis.</w:t>
            </w:r>
          </w:p>
        </w:tc>
      </w:tr>
      <w:tr>
        <w:trPr>
          <w:cantSplit/>
        </w:trPr>
        <w:tc>
          <w:tcPr>
            <w:tcW w:type="dxa" w:w="3456"/>
            <w:vAlign w:val="top"/>
          </w:tcPr>
          <w:p>
            <w:pPr>
              <w:spacing w:after="40" w:before="0" w:line="259" w:lineRule="auto"/>
            </w:pPr>
            <w:r>
              <w:rPr>
                <w:rFonts w:ascii="Calibri" w:hAnsi="Calibri"/>
                <w:b/>
                <w:i w:val="0"/>
                <w:color w:val="212121"/>
                <w:sz w:val="19"/>
              </w:rPr>
              <w:t>Expiratory wheeze / rhonchi</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Reflects reversible airway narrowing during the acute cotton-dust reaction.</w:t>
            </w:r>
          </w:p>
        </w:tc>
      </w:tr>
      <w:tr>
        <w:trPr>
          <w:cantSplit/>
        </w:trPr>
        <w:tc>
          <w:tcPr>
            <w:tcW w:type="dxa" w:w="3456"/>
            <w:vAlign w:val="top"/>
          </w:tcPr>
          <w:p>
            <w:pPr>
              <w:spacing w:after="40" w:before="0" w:line="259" w:lineRule="auto"/>
            </w:pPr>
            <w:r>
              <w:rPr>
                <w:rFonts w:ascii="Calibri" w:hAnsi="Calibri"/>
                <w:b/>
                <w:i w:val="0"/>
                <w:color w:val="212121"/>
                <w:sz w:val="19"/>
              </w:rPr>
              <w:t>Prolonged expiratory phase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Sign of airflow obstruction on auscultation.</w:t>
            </w:r>
          </w:p>
        </w:tc>
      </w:tr>
      <w:tr>
        <w:trPr>
          <w:cantSplit/>
        </w:trPr>
        <w:tc>
          <w:tcPr>
            <w:tcW w:type="dxa" w:w="3456"/>
            <w:vAlign w:val="top"/>
          </w:tcPr>
          <w:p>
            <w:pPr>
              <w:spacing w:after="40" w:before="0" w:line="259" w:lineRule="auto"/>
            </w:pPr>
            <w:r>
              <w:rPr>
                <w:rFonts w:ascii="Calibri" w:hAnsi="Calibri"/>
                <w:b/>
                <w:i w:val="0"/>
                <w:color w:val="212121"/>
                <w:sz w:val="19"/>
              </w:rPr>
              <w:t>Tachypnoea / increased work of breathing on exertion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Compensates for airflow limitation in more advanced disease.</w:t>
            </w:r>
          </w:p>
        </w:tc>
      </w:tr>
      <w:tr>
        <w:trPr>
          <w:cantSplit/>
        </w:trPr>
        <w:tc>
          <w:tcPr>
            <w:tcW w:type="dxa" w:w="3456"/>
            <w:vAlign w:val="top"/>
          </w:tcPr>
          <w:p>
            <w:pPr>
              <w:spacing w:after="40" w:before="0" w:line="259" w:lineRule="auto"/>
            </w:pPr>
            <w:r>
              <w:rPr>
                <w:rFonts w:ascii="Calibri" w:hAnsi="Calibri"/>
                <w:b/>
                <w:i w:val="0"/>
                <w:color w:val="212121"/>
                <w:sz w:val="19"/>
              </w:rPr>
              <w:t>Fine basilar crackles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Uncommon; may be heard in some workers with chronic disease.</w:t>
            </w:r>
          </w:p>
        </w:tc>
      </w:tr>
      <w:tr>
        <w:trPr>
          <w:cantSplit/>
        </w:trPr>
        <w:tc>
          <w:tcPr>
            <w:tcW w:type="dxa" w:w="3456"/>
            <w:vAlign w:val="top"/>
          </w:tcPr>
          <w:p>
            <w:pPr>
              <w:spacing w:after="40" w:before="0" w:line="259" w:lineRule="auto"/>
            </w:pPr>
            <w:r>
              <w:rPr>
                <w:rFonts w:ascii="Calibri" w:hAnsi="Calibri"/>
                <w:b/>
                <w:i w:val="0"/>
                <w:color w:val="212121"/>
                <w:sz w:val="19"/>
              </w:rPr>
              <w:t>Hyperinflation / barrel chest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Develops with chronic obstruction and emphysematous change.</w:t>
            </w:r>
          </w:p>
        </w:tc>
      </w:tr>
      <w:tr>
        <w:trPr>
          <w:cantSplit/>
        </w:trPr>
        <w:tc>
          <w:tcPr>
            <w:tcW w:type="dxa" w:w="3456"/>
            <w:vAlign w:val="top"/>
          </w:tcPr>
          <w:p>
            <w:pPr>
              <w:spacing w:after="40" w:before="0" w:line="259" w:lineRule="auto"/>
            </w:pPr>
            <w:r>
              <w:rPr>
                <w:rFonts w:ascii="Calibri" w:hAnsi="Calibri"/>
                <w:b/>
                <w:i w:val="0"/>
                <w:color w:val="212121"/>
                <w:sz w:val="19"/>
              </w:rPr>
              <w:t>Reduced breath sounds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From emphysema in longstanding disease.</w:t>
            </w:r>
          </w:p>
        </w:tc>
      </w:tr>
      <w:tr>
        <w:trPr>
          <w:cantSplit/>
        </w:trPr>
        <w:tc>
          <w:tcPr>
            <w:tcW w:type="dxa" w:w="3456"/>
            <w:vAlign w:val="top"/>
          </w:tcPr>
          <w:p>
            <w:pPr>
              <w:spacing w:after="40" w:before="0" w:line="259" w:lineRule="auto"/>
            </w:pPr>
            <w:r>
              <w:rPr>
                <w:rFonts w:ascii="Calibri" w:hAnsi="Calibri"/>
                <w:b/>
                <w:i w:val="0"/>
                <w:color w:val="212121"/>
                <w:sz w:val="19"/>
              </w:rPr>
              <w:t>Central cyanosis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Indicates significant hypoxaemia in advanced chronic byssinosis.</w:t>
            </w:r>
          </w:p>
        </w:tc>
      </w:tr>
      <w:tr>
        <w:trPr>
          <w:cantSplit/>
        </w:trPr>
        <w:tc>
          <w:tcPr>
            <w:tcW w:type="dxa" w:w="3456"/>
            <w:vAlign w:val="top"/>
          </w:tcPr>
          <w:p>
            <w:pPr>
              <w:spacing w:after="40" w:before="0" w:line="259" w:lineRule="auto"/>
            </w:pPr>
            <w:r>
              <w:rPr>
                <w:rFonts w:ascii="Calibri" w:hAnsi="Calibri"/>
                <w:b/>
                <w:i w:val="0"/>
                <w:color w:val="212121"/>
                <w:sz w:val="19"/>
              </w:rPr>
              <w:t>Signs of cor pulmonale (raised JVP, loud P2, pedal oedema)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Right-heart strain from pulmonary hypertension in end-stage disease.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across-shift bronchoconstriction (airflow obstruction on the first workday)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first-day chest tightness and airway hyper-reactivity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(fixed) airflow obstruction with accelerated FEV1 decline</w:t>
            </w:r>
          </w:p>
        </w:tc>
        <w:tc>
          <w:tcPr>
            <w:tcW w:type="dxa" w:w="2980"/>
            <w:vAlign w:val="top"/>
          </w:tcPr>
          <w:p>
            <w:pPr>
              <w:spacing w:after="40" w:before="0" w:line="259" w:lineRule="auto"/>
            </w:pPr>
            <w:r>
              <w:rPr>
                <w:rFonts w:ascii="Calibri" w:hAnsi="Calibri"/>
                <w:b w:val="0"/>
                <w:i w:val="0"/>
                <w:color w:val="212121"/>
                <w:sz w:val="19"/>
              </w:rPr>
              <w:t>Direct airway consequences of inhaled endotoxin-laden raw-cotton dust.</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bronchitis, COPD and emphysema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lower-respiratory infections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Pulmonary tuberculosis (major concern in India's high-burden mill and powerloom settings)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Pulmonary hypertension</w:t>
            </w:r>
          </w:p>
        </w:tc>
        <w:tc>
          <w:tcPr>
            <w:tcW w:type="dxa" w:w="2980"/>
            <w:vAlign w:val="top"/>
          </w:tcPr>
          <w:p>
            <w:pPr>
              <w:spacing w:after="40" w:before="0" w:line="259" w:lineRule="auto"/>
            </w:pPr>
            <w:r>
              <w:rPr>
                <w:rFonts w:ascii="Calibri" w:hAnsi="Calibri"/>
                <w:b w:val="0"/>
                <w:i w:val="0"/>
                <w:color w:val="212121"/>
                <w:sz w:val="19"/>
              </w:rPr>
              <w:t>Arise from chronic obstruction, impaired clearance and the shared occupational/social setting.</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respiratory failure requiring long-term oxygen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 pulmonale and right heart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respiratory disability and loss of livelihood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Premature death</w:t>
            </w:r>
          </w:p>
        </w:tc>
        <w:tc>
          <w:tcPr>
            <w:tcW w:type="dxa" w:w="2980"/>
            <w:vAlign w:val="top"/>
          </w:tcPr>
          <w:p>
            <w:pPr>
              <w:spacing w:after="40" w:before="0" w:line="259" w:lineRule="auto"/>
            </w:pPr>
            <w:r>
              <w:rPr>
                <w:rFonts w:ascii="Calibri" w:hAnsi="Calibri"/>
                <w:b w:val="0"/>
                <w:i w:val="0"/>
                <w:color w:val="212121"/>
                <w:sz w:val="19"/>
              </w:rPr>
              <w:t>Irreversible, disabling and sometimes fatal outcomes of longstanding chronic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Chronic obstructive pulmonary disease (COPD) / emphysema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Longstanding byssinosis merges into fixed airflow obstruction; cotton dust causes obstruction independent of, and additive to, tobacco smoking, and the two are clinically hard to separate.</w:t>
            </w:r>
          </w:p>
        </w:tc>
      </w:tr>
      <w:tr>
        <w:trPr>
          <w:cantSplit/>
        </w:trPr>
        <w:tc>
          <w:tcPr>
            <w:tcW w:type="dxa" w:w="2232"/>
            <w:vAlign w:val="top"/>
          </w:tcPr>
          <w:p>
            <w:pPr>
              <w:spacing w:after="40" w:before="0" w:line="259" w:lineRule="auto"/>
            </w:pPr>
            <w:r>
              <w:rPr>
                <w:rFonts w:ascii="Calibri" w:hAnsi="Calibri"/>
                <w:b/>
                <w:i w:val="0"/>
                <w:color w:val="212121"/>
                <w:sz w:val="19"/>
              </w:rPr>
              <w:t>Chronic (industrial) bronchitis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The same raw-cotton dust produces chronic cough and sputum that overlap with, and often accompany, byssinosis.</w:t>
            </w:r>
          </w:p>
        </w:tc>
      </w:tr>
      <w:tr>
        <w:trPr>
          <w:cantSplit/>
        </w:trPr>
        <w:tc>
          <w:tcPr>
            <w:tcW w:type="dxa" w:w="2232"/>
            <w:vAlign w:val="top"/>
          </w:tcPr>
          <w:p>
            <w:pPr>
              <w:spacing w:after="40" w:before="0" w:line="259" w:lineRule="auto"/>
            </w:pPr>
            <w:r>
              <w:rPr>
                <w:rFonts w:ascii="Calibri" w:hAnsi="Calibri"/>
                <w:b/>
                <w:i w:val="0"/>
                <w:color w:val="212121"/>
                <w:sz w:val="19"/>
              </w:rPr>
              <w:t>Pulmonary tuberculosis</w:t>
            </w:r>
          </w:p>
        </w:tc>
        <w:tc>
          <w:tcPr>
            <w:tcW w:type="dxa" w:w="2520"/>
            <w:vAlign w:val="top"/>
          </w:tcPr>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India's high TB burden, crowded poorly ventilated mills/powerlooms and undernutrition make TB a frequent co-diagnosis that mimics byssinosis and must be excluded and treated before or alongside it.</w:t>
            </w:r>
          </w:p>
        </w:tc>
      </w:tr>
      <w:tr>
        <w:trPr>
          <w:cantSplit/>
        </w:trPr>
        <w:tc>
          <w:tcPr>
            <w:tcW w:type="dxa" w:w="2232"/>
            <w:vAlign w:val="top"/>
          </w:tcPr>
          <w:p>
            <w:pPr>
              <w:spacing w:after="40" w:before="0" w:line="259" w:lineRule="auto"/>
            </w:pPr>
            <w:r>
              <w:rPr>
                <w:rFonts w:ascii="Calibri" w:hAnsi="Calibri"/>
                <w:b/>
                <w:i w:val="0"/>
                <w:color w:val="212121"/>
                <w:sz w:val="19"/>
              </w:rPr>
              <w:t>Asthma / airway hyper-responsiveness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Pre-existing atopy and asthma intensify the acute cotton-dust reaction and overlap symptomatically, requiring careful differentiation during occupational assessment.</w:t>
            </w:r>
          </w:p>
        </w:tc>
      </w:tr>
      <w:tr>
        <w:trPr>
          <w:cantSplit/>
        </w:trPr>
        <w:tc>
          <w:tcPr>
            <w:tcW w:type="dxa" w:w="2232"/>
            <w:vAlign w:val="top"/>
          </w:tcPr>
          <w:p>
            <w:pPr>
              <w:spacing w:after="40" w:before="0" w:line="259" w:lineRule="auto"/>
            </w:pPr>
            <w:r>
              <w:rPr>
                <w:rFonts w:ascii="Calibri" w:hAnsi="Calibri"/>
                <w:b/>
                <w:i w:val="0"/>
                <w:color w:val="212121"/>
                <w:sz w:val="19"/>
              </w:rPr>
              <w:t>Mill fever (organic dust toxic syndrome)</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A self-limiting febrile reaction to heavy endotoxin exposure that shares the causative agent with byssinosis but is a separate acute entity.</w:t>
            </w:r>
          </w:p>
        </w:tc>
      </w:tr>
      <w:tr>
        <w:trPr>
          <w:cantSplit/>
        </w:trPr>
        <w:tc>
          <w:tcPr>
            <w:tcW w:type="dxa" w:w="2232"/>
            <w:vAlign w:val="top"/>
          </w:tcPr>
          <w:p>
            <w:pPr>
              <w:spacing w:after="40" w:before="0" w:line="259" w:lineRule="auto"/>
            </w:pPr>
            <w:r>
              <w:rPr>
                <w:rFonts w:ascii="Calibri" w:hAnsi="Calibri"/>
                <w:b/>
                <w:i w:val="0"/>
                <w:color w:val="212121"/>
                <w:sz w:val="19"/>
              </w:rPr>
              <w:t>Cor pulmonale / pulmonary hypertension</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Chronic airflow obstruction and hypoxaemia raise pulmonary vascular pressures, leading to right heart strain in advanced disease.</w:t>
            </w:r>
          </w:p>
        </w:tc>
      </w:tr>
      <w:tr>
        <w:trPr>
          <w:cantSplit/>
        </w:trPr>
        <w:tc>
          <w:tcPr>
            <w:tcW w:type="dxa" w:w="2232"/>
            <w:vAlign w:val="top"/>
          </w:tcPr>
          <w:p>
            <w:pPr>
              <w:spacing w:after="40" w:before="0" w:line="259" w:lineRule="auto"/>
            </w:pPr>
            <w:r>
              <w:rPr>
                <w:rFonts w:ascii="Calibri" w:hAnsi="Calibri"/>
                <w:b/>
                <w:i w:val="0"/>
                <w:color w:val="212121"/>
                <w:sz w:val="19"/>
              </w:rPr>
              <w:t>Chronic respiratory failure</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End-stage fixed obstruction causes hypoxaemic/hypercapnic respiratory failure requiring long-term oxygen.</w:t>
            </w:r>
          </w:p>
        </w:tc>
      </w:tr>
      <w:tr>
        <w:trPr>
          <w:cantSplit/>
        </w:trPr>
        <w:tc>
          <w:tcPr>
            <w:tcW w:type="dxa" w:w="2232"/>
            <w:vAlign w:val="top"/>
          </w:tcPr>
          <w:p>
            <w:pPr>
              <w:spacing w:after="40" w:before="0" w:line="259" w:lineRule="auto"/>
            </w:pPr>
            <w:r>
              <w:rPr>
                <w:rFonts w:ascii="Calibri" w:hAnsi="Calibri"/>
                <w:b/>
                <w:i w:val="0"/>
                <w:color w:val="212121"/>
                <w:sz w:val="19"/>
              </w:rPr>
              <w:t>Recurrent lower respiratory tract infections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Impaired mucociliary clearance and chronic bronchitis predispose to repeated chest infections that accelerate decline.</w:t>
            </w:r>
          </w:p>
        </w:tc>
      </w:tr>
      <w:tr>
        <w:trPr>
          <w:cantSplit/>
        </w:trPr>
        <w:tc>
          <w:tcPr>
            <w:tcW w:type="dxa" w:w="2232"/>
            <w:vAlign w:val="top"/>
          </w:tcPr>
          <w:p>
            <w:pPr>
              <w:spacing w:after="40" w:before="0" w:line="259" w:lineRule="auto"/>
            </w:pPr>
            <w:r>
              <w:rPr>
                <w:rFonts w:ascii="Calibri" w:hAnsi="Calibri"/>
                <w:b/>
                <w:i w:val="0"/>
                <w:color w:val="212121"/>
                <w:sz w:val="19"/>
              </w:rPr>
              <w:t>Depression and 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progressive, disabling occupational disease with loss of livelihood commonly causes psychological distress that reduces adherence and worsens outcomes.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Control dust at the source: use local exhaust ventilation, enclosed and well-maintained machinery, and dust-suppression in the blow room, carding and spinning sections; never dry-sweep or blow down with compressed air.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the endotoxin load by using cleaner, well-graded raw cotton and good housekeeping, and monitor airborne cotton dust against the OSHA limits (200 µg/m³ yarn, 500 waste house, 750 weaving).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a fit-tested respirator (N95/FFP2 or better) whenever engineering controls cannot keep dust below safe limits, and maintain and replace filters.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Undergo periodic medical surveillance with a respiratory questionnaire and spirometry, including pre-shift and end-shift FEV1 on the first working day of the week.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Prevent take-home dust: change and wash work clothes at the workplace and shower before leaving where possible.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your rights to ESIC/occupational-disease benefits and report suspected byssinosis to occupational-health authorities.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cotton &amp; textile-dust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Blow-room, carding &amp; spinning operatives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Ginning &amp; powerloom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Employers &amp; mill owners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Migrant labourers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or remove further dust exposure — reassignment to a low-dust area is the single most effective treatment, and early removal can reverse the FEV1 decline.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tuberculosis screening (sputum, chest X-ray) at diagnosis and whenever new cough, fever or weight loss appears, and take full anti-TB treatment if positive.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prescribed inhalers (bronchodilators and, where indicated, inhaled corticosteroids) correctly and attend regular spirometry follow-up.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influenza and pneumococcal vaccination to reduce respiratory infections.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worsening breathlessness, persistent symptoms away from work, or blood in the sputum promptly.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Diagnosed byssinosis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Workers with airflow obstruction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Workers leaving the trade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Enrol in pulmonary rehabilitation with supervised, graded aerobic and strength training.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breathing techniques (pursed-lip and diaphragmatic breathing) and energy-conservation/pacing strategies.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up daily low-impact activity such as walking, within tolerance, to prevent deconditioning.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ambulatory oxygen during exertion if it has been prescribed.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Byssinosis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Breathless / deconditioned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Chronic-obstruction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balanced, protein-rich and calorie-adequate diet to prevent undernutrition and support immunity against tuberculosis.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fruits and vegetables daily for antioxidants.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body weight (BMI 18.5–24.9) and avoid being underweight.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well hydrated to help clear airway mucus.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Textile labourers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Byssinosis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assessed for and treat nocturnal breathlessness and low oxygen; use night-time oxygen if indicated.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Optimise bronchodilator/inhaler treatment and control of cor pulmonale before bedtime.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with the head elevated and keep regular, good sleep habits.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Advanced byssinosis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 pulmonale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Hypoxaemic workers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tobacco — cigarettes, bidi and hookah — because smoking multiplies the airflow obstruction and speeds the FEV1 decline that cotton dust already causes.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at home and 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cessation support such as counselling and nicotine-replacement therapy where needed.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Dust-exposed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Byssinosis patients who smoke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or avoid alcohol, as heavy use worsens nutrition and raises tuberculosis risk in textile labourers.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while on anti-tuberculosis medication because of liver-toxicity interactions.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Workers on anti-TB treatment</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screened for depression and anxiety, which are common with a chronic, disabling occupational disease and loss of livelihood.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Access counselling, peer-support groups and family and social support.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Get help connecting to disability benefits, occupational-disease compensation and vocational rehabilitation.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Byssinosis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Disabled / unemployed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families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mji.in/nmji/approval/archive/Volume-8/issue-5/original-articles-1.pdf" TargetMode="External"/><Relationship Id="rId10" Type="http://schemas.openxmlformats.org/officeDocument/2006/relationships/hyperlink" Target="https://www.sciencedirect.com/science/article/abs/pii/S0019570717304201" TargetMode="External"/><Relationship Id="rId11" Type="http://schemas.openxmlformats.org/officeDocument/2006/relationships/hyperlink" Target="https://link.springer.com/article/10.1007/s11869-023-01439-5" TargetMode="External"/><Relationship Id="rId12" Type="http://schemas.openxmlformats.org/officeDocument/2006/relationships/hyperlink" Target="https://www.ncbi.nlm.nih.gov/books/NBK519549/" TargetMode="External"/><Relationship Id="rId13" Type="http://schemas.openxmlformats.org/officeDocument/2006/relationships/hyperlink" Target="https://journals.sagepub.com/doi/abs/10.1177/10105395211073051" TargetMode="External"/><Relationship Id="rId14" Type="http://schemas.openxmlformats.org/officeDocument/2006/relationships/hyperlink" Target="https://www.merckmanuals.com/professional/pulmonary-disorders/environmental-and-occupational-pulmonary-diseases/byssinosis" TargetMode="External"/><Relationship Id="rId15" Type="http://schemas.openxmlformats.org/officeDocument/2006/relationships/hyperlink" Target="https://www.osha.gov/laws-regs/regulations/standardnumber/1910/1910.1043" TargetMode="External"/><Relationship Id="rId16" Type="http://schemas.openxmlformats.org/officeDocument/2006/relationships/hyperlink" Target="https://www.cdc.gov/niosh/bulletin/2021/textil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