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Coal Worker's Pneumoconiosis</w:t>
      </w:r>
    </w:p>
    <w:p>
      <w:pPr>
        <w:spacing w:before="0" w:after="160"/>
      </w:pPr>
      <w:r>
        <w:rPr>
          <w:rFonts w:ascii="Calibri" w:hAnsi="Calibri"/>
          <w:b/>
          <w:i w:val="0"/>
          <w:color w:val="212121"/>
          <w:sz w:val="22"/>
        </w:rPr>
        <w:t xml:space="preserve">AKA </w:t>
      </w:r>
      <w:r>
        <w:rPr>
          <w:rFonts w:ascii="Calibri" w:hAnsi="Calibri"/>
          <w:b w:val="0"/>
          <w:i w:val="0"/>
          <w:color w:val="212121"/>
          <w:sz w:val="22"/>
        </w:rPr>
        <w:t>i.e., Black Lung Disease, Coal Miner's Lung, Miner's Lung, Anthracosis, CWP</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Coal worker's pneumoconiosis (CWP) is a chronic, irreversible interstitial lung disease caused by prolonged inhalation and lung deposition of respirable coal-mine dust. Retained dust overwhelms alveolar-macrophage clearance and drives inflammation and fibrosis, forming dust-laden “coal macules” with focal emphysema. It exists as simple CWP (small rounded opacities) and complicated CWP or progressive massive fibrosis (PMF), and characteristically can appear or progress even after dust exposure has ceased. There is no cure; management is preventive and supportive.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 a large Indian survey of 43,504 chest radiographs across 72 collieries in eastern Madhya Pradesh and Odisha, the overall CWP prevalence was about 3.03% (ranging 1.52–4.76% between coalfields), with roughly 81% early category-1 disease. India is among the world's largest coal producers with a very large mining workforce concentrated in Jharkhand (Jharia/Dhanbad), Chhattisgarh and Odisha, where respirable dust at active mining faces has been measured near 3.8 mg/m³ — above the DGMS limit of 3 mg/m³ — and dust free-silica content reaches 15–34%. Globally, CWP affected an estimated 2.65 million people in 2019.</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CWP is a clinical-radiological diagnosis based on a credible history of respirable coal-mine dust exposure with adequate latency (usually ≥ 10 years) plus characteristic imaging, after excluding mimics such as tuberculosis, sarcoidosis and metastatic malignancy. The following support the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documented occupational history of respirable coal-dust exposure, typically ≥ 10 years, with adequate latency from first exposure;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chest radiograph showing bilateral small rounded opacities (predominantly upper zones), graded by ILO profusion categories from 0/0 to 3/3 against standard reference films;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small-opacity size/shape coding — rounded “p” (&lt; 1.5 mm), “q” (1.5–3 mm), “r” (3–10 mm) — with any large opacity &gt; 1 cm defining complicated CWP / PMF (categories A, B, C);</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HRCT chest (more sensitive than radiography) to detect early micronodules, coalescence/PMF, coexisting emphysema and to exclude malignancy;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spirometry / pulmonary function showing obstructive, restrictive or mixed defects with reduced DLCO; functional abnormality may precede radiographic change;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active pulmonary tuberculosis (sputum for AFB / CBNAAT), which is common in Indian miners and can mimic or complicate PMF.</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CWP is classified radiologically by the size and profusion of opacities into simple and complicated forms, with two clinically important variants:</w:t>
      </w:r>
    </w:p>
    <w:p>
      <w:pPr>
        <w:spacing w:before="0" w:after="80"/>
      </w:pPr>
      <w:r>
        <w:rPr>
          <w:rFonts w:ascii="Calibri" w:hAnsi="Calibri"/>
          <w:b w:val="0"/>
          <w:i w:val="0"/>
          <w:color w:val="212121"/>
          <w:sz w:val="21"/>
        </w:rPr>
        <w:t>(1) Simple CWP — coal macules and micronodules producing small opacities &lt; 10 mm, graded by ILO profusion (categories 1–3). Often asymptomatic or with mild cough/dyspnoea; the presence and profusion of simple disease is the strongest predictor of progression to complicated CWP.</w:t>
      </w:r>
    </w:p>
    <w:p>
      <w:pPr>
        <w:spacing w:before="0" w:after="80"/>
      </w:pPr>
      <w:r>
        <w:rPr>
          <w:rFonts w:ascii="Calibri" w:hAnsi="Calibri"/>
          <w:b w:val="0"/>
          <w:i w:val="0"/>
          <w:color w:val="212121"/>
          <w:sz w:val="21"/>
        </w:rPr>
        <w:t>(2) Complicated CWP / Progressive Massive Fibrosis (PMF) — coalescence of nodules into large opacities &gt; 10 mm (category A: 1–5 cm; B: larger, up to one-third of a lung zone; C: exceeding one-third of a zone), usually in the upper posterior lobes; associated with severe impairment, pulmonary hypertension, cor pulmonale and premature death.</w:t>
      </w:r>
    </w:p>
    <w:p>
      <w:pPr>
        <w:spacing w:before="0" w:after="80"/>
      </w:pPr>
      <w:r>
        <w:rPr>
          <w:rFonts w:ascii="Calibri" w:hAnsi="Calibri"/>
          <w:b w:val="0"/>
          <w:i w:val="0"/>
          <w:color w:val="212121"/>
          <w:sz w:val="21"/>
        </w:rPr>
        <w:t>(3) Caplan syndrome (rheumatoid pneumoconiosis) — coexistence of CWP with rheumatoid arthritis, producing multiple rapidly appearing, well-defined peripheral lung nodules.</w:t>
      </w:r>
    </w:p>
    <w:p>
      <w:pPr>
        <w:spacing w:before="0" w:after="80"/>
      </w:pPr>
      <w:r>
        <w:rPr>
          <w:rFonts w:ascii="Calibri" w:hAnsi="Calibri"/>
          <w:b w:val="0"/>
          <w:i w:val="0"/>
          <w:color w:val="212121"/>
          <w:sz w:val="21"/>
        </w:rPr>
        <w:t>(4) Coal mine dust lung disease (CMDLD) — an umbrella concept recognising that coal dust also causes dust-related diffuse fibrosis, chronic bronchitis, emphysema and COPD, independent of the classic nodular CWP and independent of smoking.</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Cumulative respirable coal-dust exposure: Total inhaled dust burden (concentration × years) is the principal determinant; dust that overwhelms macrophage clearance deposits around respiratory bronchioles to form fibrotic coal macules.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Coal rank and silica content: Higher-rank (higher-carbon, anthracitic) coal and higher free-silica content increase fibrogenic potential; Indian coalfields such as Jharia show respirable-dust silica of 15–34%.</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Duration and latency of exposure: Risk rises with years worked; disease usually needs ≥ 10 years' exposure and may first appear or continue to progress after exposure ends.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Mining method and job: Underground mining and coal-face, transport and crusher jobs carry the highest respirable-dust concentrations; underground miners have higher CWP prevalence than surface workers.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Individual (genetic) susceptibility: Polymorphisms in inflammatory genes (e.g., TNF-α-308) modulate the fibrotic response, so susceptibility differs between similarly exposed miners.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Cigarette smoking and co-exposures: Smoking is not required to cause CWP but adds to dust-induced emphysema, chronic bronchitis and COPD and accelerates lung-function decline.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Working-age adult miners (30–50 yr)</w:t>
            </w:r>
          </w:p>
        </w:tc>
        <w:tc>
          <w:tcPr>
            <w:tcW w:type="dxa" w:w="4276"/>
            <w:vAlign w:val="top"/>
          </w:tcPr>
          <w:p>
            <w:pPr>
              <w:spacing w:after="60" w:line="259" w:lineRule="auto"/>
            </w:pPr>
            <w:r>
              <w:rPr>
                <w:rFonts w:ascii="Calibri" w:hAnsi="Calibri"/>
                <w:b w:val="0"/>
                <w:i w:val="0"/>
                <w:color w:val="212121"/>
                <w:sz w:val="19"/>
              </w:rPr>
              <w:t>Cumulative dust burden and a decade or more of face exposure make the mid-career working years the period of highest incident radiographic disease. Retained dust drives macrophage inflammation and nodular fibrosis.</w:t>
            </w:r>
          </w:p>
          <w:p>
            <w:pPr>
              <w:spacing w:after="40" w:before="60" w:line="259" w:lineRule="auto"/>
            </w:pPr>
            <w:r>
              <w:rPr>
                <w:rFonts w:ascii="Calibri" w:hAnsi="Calibri"/>
                <w:b w:val="0"/>
                <w:i w:val="0"/>
                <w:color w:val="212121"/>
                <w:sz w:val="19"/>
              </w:rPr>
              <w:t>In a survey of 43,504 Indian miners' radiographs, overall CWP prevalence was 3.03% (1.52–4.76% across coalfields), rising with age and years of service.</w:t>
            </w:r>
          </w:p>
          <w:p>
            <w:pPr>
              <w:spacing w:after="40" w:line="252" w:lineRule="auto"/>
            </w:pPr>
            <w:hyperlink r:id="rId9">
              <w:r>
                <w:rPr>
                  <w:rFonts w:ascii="Calibri" w:hAnsi="Calibri" w:cs="Calibri"/>
                  <w:sz w:val="18"/>
                  <w:color w:val="1155CC"/>
                  <w:u w:val="single"/>
                </w:rPr>
                <w:t xml:space="preserve">jstage.jst.go.jp — CWP prevalence, Indian coal mines</w:t>
              </w:r>
            </w:hyperlink>
          </w:p>
          <w:p>
            <w:pPr>
              <w:spacing w:before="60" w:after="40"/>
            </w:pPr>
            <w:r>
              <w:rPr>
                <w:rFonts w:ascii="Calibri" w:hAnsi="Calibri"/>
                <w:b w:val="0"/>
                <w:i w:val="0"/>
                <w:color w:val="5A5A5A"/>
                <w:sz w:val="18"/>
              </w:rPr>
              <w:t>#coaldust  #cumulativeexposure  #occupationallung  #miners  #latency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retired miners (&gt; 60 yr)</w:t>
            </w:r>
          </w:p>
        </w:tc>
        <w:tc>
          <w:tcPr>
            <w:tcW w:type="dxa" w:w="4276"/>
            <w:vAlign w:val="top"/>
          </w:tcPr>
          <w:p>
            <w:pPr>
              <w:spacing w:after="60" w:line="259" w:lineRule="auto"/>
            </w:pPr>
            <w:r>
              <w:rPr>
                <w:rFonts w:ascii="Calibri" w:hAnsi="Calibri"/>
                <w:b w:val="0"/>
                <w:i w:val="0"/>
                <w:color w:val="212121"/>
                <w:sz w:val="19"/>
              </w:rPr>
              <w:t>Because CWP has a long latency and can progress after exposure stops, ex-miners carry the greatest burden of complicated disease, PMF, emphysema and cor pulmonale decades after leaving the pit.</w:t>
            </w:r>
          </w:p>
          <w:p>
            <w:pPr>
              <w:spacing w:after="40" w:before="60" w:line="259" w:lineRule="auto"/>
            </w:pPr>
            <w:r>
              <w:rPr>
                <w:rFonts w:ascii="Calibri" w:hAnsi="Calibri"/>
                <w:b w:val="0"/>
                <w:i w:val="0"/>
                <w:color w:val="212121"/>
                <w:sz w:val="19"/>
              </w:rPr>
              <w:t>PMF and disease progression are documented to continue even after dust exposure has ceased, so former miners require lifelong surveillance.</w:t>
            </w:r>
          </w:p>
          <w:p>
            <w:pPr>
              <w:spacing w:after="40" w:line="252" w:lineRule="auto"/>
            </w:pPr>
            <w:hyperlink r:id="rId10">
              <w:r>
                <w:rPr>
                  <w:rFonts w:ascii="Calibri" w:hAnsi="Calibri" w:cs="Calibri"/>
                  <w:sz w:val="18"/>
                  <w:color w:val="1155CC"/>
                  <w:u w:val="single"/>
                </w:rPr>
                <w:t xml:space="preserve">merckmanuals.com — coal worker pneumoconiosis</w:t>
              </w:r>
            </w:hyperlink>
          </w:p>
          <w:p>
            <w:pPr>
              <w:spacing w:before="60" w:after="40"/>
            </w:pPr>
            <w:r>
              <w:rPr>
                <w:rFonts w:ascii="Calibri" w:hAnsi="Calibri"/>
                <w:b w:val="0"/>
                <w:i w:val="0"/>
                <w:color w:val="5A5A5A"/>
                <w:sz w:val="18"/>
              </w:rPr>
              <w:t>#latency  #PMF  #progression  #retiredminers  #corpulmonale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(coal-mine workforce)</w:t>
            </w:r>
          </w:p>
        </w:tc>
        <w:tc>
          <w:tcPr>
            <w:tcW w:type="dxa" w:w="4276"/>
            <w:vAlign w:val="top"/>
          </w:tcPr>
          <w:p>
            <w:pPr>
              <w:spacing w:after="60" w:line="259" w:lineRule="auto"/>
            </w:pPr>
            <w:r>
              <w:rPr>
                <w:rFonts w:ascii="Calibri" w:hAnsi="Calibri"/>
                <w:b w:val="0"/>
                <w:i w:val="0"/>
                <w:color w:val="212121"/>
                <w:sz w:val="19"/>
              </w:rPr>
              <w:t>India's underground and opencast coal-mining workforce is overwhelmingly male, so nearly all occupational CWP occurs in men; women in coalfield households are exposed mainly to ambient dust and biomass smoke.</w:t>
            </w:r>
          </w:p>
          <w:p>
            <w:pPr>
              <w:spacing w:after="40" w:before="60" w:line="259" w:lineRule="auto"/>
            </w:pPr>
            <w:r>
              <w:rPr>
                <w:rFonts w:ascii="Calibri" w:hAnsi="Calibri"/>
                <w:b w:val="0"/>
                <w:i w:val="0"/>
                <w:color w:val="212121"/>
                <w:sz w:val="19"/>
              </w:rPr>
              <w:t>Coal-mine cohorts in eastern India are predominantly male; a representative open-cast study had a mean worker age of ~29.7 years with 24% current smokers.</w:t>
            </w:r>
          </w:p>
          <w:p>
            <w:pPr>
              <w:spacing w:after="40" w:line="252" w:lineRule="auto"/>
            </w:pPr>
            <w:hyperlink r:id="rId11">
              <w:r>
                <w:rPr>
                  <w:rFonts w:ascii="Calibri" w:hAnsi="Calibri" w:cs="Calibri"/>
                  <w:sz w:val="18"/>
                  <w:color w:val="1155CC"/>
                  <w:u w:val="single"/>
                </w:rPr>
                <w:t xml:space="preserve">journalofcomprehensivehealth.co.in — open-cast miners, eastern India</w:t>
              </w:r>
            </w:hyperlink>
          </w:p>
          <w:p>
            <w:pPr>
              <w:spacing w:before="60" w:after="40"/>
            </w:pPr>
            <w:r>
              <w:rPr>
                <w:rFonts w:ascii="Calibri" w:hAnsi="Calibri"/>
                <w:b w:val="0"/>
                <w:i w:val="0"/>
                <w:color w:val="5A5A5A"/>
                <w:sz w:val="18"/>
              </w:rPr>
              <w:t>#male  #workforce  #occupational  #miners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informal-mine workers</w:t>
            </w:r>
          </w:p>
        </w:tc>
        <w:tc>
          <w:tcPr>
            <w:tcW w:type="dxa" w:w="4276"/>
            <w:vAlign w:val="top"/>
          </w:tcPr>
          <w:p>
            <w:pPr>
              <w:spacing w:after="60" w:line="259" w:lineRule="auto"/>
            </w:pPr>
            <w:r>
              <w:rPr>
                <w:rFonts w:ascii="Calibri" w:hAnsi="Calibri"/>
                <w:b w:val="0"/>
                <w:i w:val="0"/>
                <w:color w:val="212121"/>
                <w:sz w:val="19"/>
              </w:rPr>
              <w:t>Workers in small, informal or illegal mines and rat-hole operations often lack engineering dust controls, respirators, monitoring and periodic medical examination, so exposure is intense and disease is detected late.</w:t>
            </w:r>
          </w:p>
          <w:p>
            <w:pPr>
              <w:spacing w:after="40" w:before="60" w:line="259" w:lineRule="auto"/>
            </w:pPr>
            <w:r>
              <w:rPr>
                <w:rFonts w:ascii="Calibri" w:hAnsi="Calibri"/>
                <w:b w:val="0"/>
                <w:i w:val="0"/>
                <w:color w:val="212121"/>
                <w:sz w:val="19"/>
              </w:rPr>
              <w:t>Prevalence in developing regions is consistently higher than in developed ones, reflecting weaker dust control and surveillance.</w:t>
            </w:r>
          </w:p>
          <w:p>
            <w:pPr>
              <w:spacing w:after="40" w:line="252" w:lineRule="auto"/>
            </w:pPr>
            <w:hyperlink r:id="rId12">
              <w:r>
                <w:rPr>
                  <w:rFonts w:ascii="Calibri" w:hAnsi="Calibri" w:cs="Calibri"/>
                  <w:sz w:val="18"/>
                  <w:color w:val="1155CC"/>
                  <w:u w:val="single"/>
                </w:rPr>
                <w:t xml:space="preserve">springer — CWP prevalence systematic review</w:t>
              </w:r>
            </w:hyperlink>
          </w:p>
          <w:p>
            <w:pPr>
              <w:spacing w:before="60" w:after="40"/>
            </w:pPr>
            <w:r>
              <w:rPr>
                <w:rFonts w:ascii="Calibri" w:hAnsi="Calibri"/>
                <w:b w:val="0"/>
                <w:i w:val="0"/>
                <w:color w:val="5A5A5A"/>
                <w:sz w:val="18"/>
              </w:rPr>
              <w:t>#informalmining  #poverty  #nosurveillance  #latediagnosis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coalfield</w:t>
            </w:r>
          </w:p>
        </w:tc>
        <w:tc>
          <w:tcPr>
            <w:tcW w:type="dxa" w:w="2160"/>
            <w:vAlign w:val="top"/>
          </w:tcPr>
          <w:p>
            <w:pPr>
              <w:spacing w:after="40" w:before="0" w:line="259" w:lineRule="auto"/>
            </w:pPr>
            <w:r>
              <w:rPr>
                <w:rFonts w:ascii="Calibri" w:hAnsi="Calibri"/>
                <w:b w:val="0"/>
                <w:i w:val="0"/>
                <w:color w:val="212121"/>
                <w:sz w:val="19"/>
              </w:rPr>
              <w:t>Jharia–Dhanbad, Jharkhand coalfield</w:t>
            </w:r>
          </w:p>
        </w:tc>
        <w:tc>
          <w:tcPr>
            <w:tcW w:type="dxa" w:w="4276"/>
            <w:vAlign w:val="top"/>
          </w:tcPr>
          <w:p>
            <w:pPr>
              <w:spacing w:after="60" w:line="259" w:lineRule="auto"/>
            </w:pPr>
            <w:r>
              <w:rPr>
                <w:rFonts w:ascii="Calibri" w:hAnsi="Calibri"/>
                <w:b w:val="0"/>
                <w:i w:val="0"/>
                <w:color w:val="212121"/>
                <w:sz w:val="19"/>
              </w:rPr>
              <w:t>The Jharia–Raniganj belt has high respirable-dust and high free-silica coal; mixed coal-silica dust (anthracosilicosis) is more fibrogenic and raises the risk of both PMF and tuberculosis.</w:t>
            </w:r>
          </w:p>
          <w:p>
            <w:pPr>
              <w:spacing w:after="40" w:before="60" w:line="259" w:lineRule="auto"/>
            </w:pPr>
            <w:r>
              <w:rPr>
                <w:rFonts w:ascii="Calibri" w:hAnsi="Calibri"/>
                <w:b w:val="0"/>
                <w:i w:val="0"/>
                <w:color w:val="212121"/>
                <w:sz w:val="19"/>
              </w:rPr>
              <w:t>Respirable-dust silica in Jharia reaches 15–34%; the DGMS limit is 3 mg/m³ for &lt; 5% silica, tightening to 15/(silica %) mg/m³ above 5%.</w:t>
            </w:r>
          </w:p>
          <w:p>
            <w:pPr>
              <w:spacing w:after="40" w:line="252" w:lineRule="auto"/>
            </w:pPr>
            <w:hyperlink r:id="rId13">
              <w:r>
                <w:rPr>
                  <w:rFonts w:ascii="Calibri" w:hAnsi="Calibri" w:cs="Calibri"/>
                  <w:sz w:val="18"/>
                  <w:color w:val="1155CC"/>
                  <w:u w:val="single"/>
                </w:rPr>
                <w:t xml:space="preserve">springer — silica in Jharia coalfield dust</w:t>
              </w:r>
            </w:hyperlink>
          </w:p>
          <w:p>
            <w:pPr>
              <w:spacing w:before="60" w:after="40"/>
            </w:pPr>
            <w:r>
              <w:rPr>
                <w:rFonts w:ascii="Calibri" w:hAnsi="Calibri"/>
                <w:b w:val="0"/>
                <w:i w:val="0"/>
                <w:color w:val="5A5A5A"/>
                <w:sz w:val="18"/>
              </w:rPr>
              <w:t>#Jharia  #silica  #anthracosilicosis  #Jharkhand  #DGMS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Residence near mines</w:t>
            </w:r>
          </w:p>
        </w:tc>
        <w:tc>
          <w:tcPr>
            <w:tcW w:type="dxa" w:w="2160"/>
            <w:vAlign w:val="top"/>
          </w:tcPr>
          <w:p>
            <w:pPr>
              <w:spacing w:after="40" w:before="0" w:line="259" w:lineRule="auto"/>
            </w:pPr>
            <w:r>
              <w:rPr>
                <w:rFonts w:ascii="Calibri" w:hAnsi="Calibri"/>
                <w:b w:val="0"/>
                <w:i w:val="0"/>
                <w:color w:val="212121"/>
                <w:sz w:val="19"/>
              </w:rPr>
              <w:t>Communities around opencast mines (Odisha)</w:t>
            </w:r>
          </w:p>
        </w:tc>
        <w:tc>
          <w:tcPr>
            <w:tcW w:type="dxa" w:w="4276"/>
            <w:vAlign w:val="top"/>
          </w:tcPr>
          <w:p>
            <w:pPr>
              <w:spacing w:after="60" w:line="259" w:lineRule="auto"/>
            </w:pPr>
            <w:r>
              <w:rPr>
                <w:rFonts w:ascii="Calibri" w:hAnsi="Calibri"/>
                <w:b w:val="0"/>
                <w:i w:val="0"/>
                <w:color w:val="212121"/>
                <w:sz w:val="19"/>
              </w:rPr>
              <w:t>People living within a few kilometres of large opencast mines inhale chronic ambient coal and crustal dust, compounding household biomass smoke and driving a high community burden of chronic airflow obstruction even without occupational mining.</w:t>
            </w:r>
          </w:p>
          <w:p>
            <w:pPr>
              <w:spacing w:after="40" w:before="60" w:line="259" w:lineRule="auto"/>
            </w:pPr>
            <w:r>
              <w:rPr>
                <w:rFonts w:ascii="Calibri" w:hAnsi="Calibri"/>
                <w:b w:val="0"/>
                <w:i w:val="0"/>
                <w:color w:val="212121"/>
                <w:sz w:val="19"/>
              </w:rPr>
              <w:t>COPD prevalence near a Bashundhara (Odisha) opencast mine was 31% overall — 39.8% in women and 20.7% in men — with ambient PM2.5 of 31.9 µg/m³.</w:t>
            </w:r>
          </w:p>
          <w:p>
            <w:pPr>
              <w:spacing w:after="40" w:line="252" w:lineRule="auto"/>
            </w:pPr>
            <w:hyperlink r:id="rId14">
              <w:r>
                <w:rPr>
                  <w:rFonts w:ascii="Calibri" w:hAnsi="Calibri" w:cs="Calibri"/>
                  <w:sz w:val="18"/>
                  <w:color w:val="1155CC"/>
                  <w:u w:val="single"/>
                </w:rPr>
                <w:t xml:space="preserve">springer — opencast mining &amp; respiratory health, India</w:t>
              </w:r>
            </w:hyperlink>
          </w:p>
          <w:p>
            <w:pPr>
              <w:spacing w:before="60" w:after="40"/>
            </w:pPr>
            <w:r>
              <w:rPr>
                <w:rFonts w:ascii="Calibri" w:hAnsi="Calibri"/>
                <w:b w:val="0"/>
                <w:i w:val="0"/>
                <w:color w:val="5A5A5A"/>
                <w:sz w:val="18"/>
              </w:rPr>
              <w:t>#opencast  #ambientdust  #COPD  #Odisha  #community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Occupational exposure</w:t>
            </w:r>
          </w:p>
        </w:tc>
        <w:tc>
          <w:tcPr>
            <w:tcW w:type="dxa" w:w="2160"/>
            <w:vAlign w:val="top"/>
          </w:tcPr>
          <w:p>
            <w:pPr>
              <w:spacing w:after="40" w:before="0" w:line="259" w:lineRule="auto"/>
            </w:pPr>
            <w:r>
              <w:rPr>
                <w:rFonts w:ascii="Calibri" w:hAnsi="Calibri"/>
                <w:b w:val="0"/>
                <w:i w:val="0"/>
                <w:color w:val="212121"/>
                <w:sz w:val="19"/>
              </w:rPr>
              <w:t>Underground &amp; coal-face workers, drillers, crusher operators</w:t>
            </w:r>
          </w:p>
        </w:tc>
        <w:tc>
          <w:tcPr>
            <w:tcW w:type="dxa" w:w="4276"/>
            <w:vAlign w:val="top"/>
          </w:tcPr>
          <w:p>
            <w:pPr>
              <w:spacing w:after="60" w:line="259" w:lineRule="auto"/>
            </w:pPr>
            <w:r>
              <w:rPr>
                <w:rFonts w:ascii="Calibri" w:hAnsi="Calibri"/>
                <w:b w:val="0"/>
                <w:i w:val="0"/>
                <w:color w:val="212121"/>
                <w:sz w:val="19"/>
              </w:rPr>
              <w:t>Respirable-dust concentration is highest at the coal face, in transport roadways and at crushers; underground miners have higher CWP prevalence than surface workers, and dose accumulates with every shift.</w:t>
            </w:r>
          </w:p>
          <w:p>
            <w:pPr>
              <w:spacing w:after="40" w:before="60" w:line="259" w:lineRule="auto"/>
            </w:pPr>
            <w:r>
              <w:rPr>
                <w:rFonts w:ascii="Calibri" w:hAnsi="Calibri"/>
                <w:b w:val="0"/>
                <w:i w:val="0"/>
                <w:color w:val="212121"/>
                <w:sz w:val="19"/>
              </w:rPr>
              <w:t>Measured respirable dust in an eastern-Indian mine was 3.8 mg/m³ at mining sections, 2.5 mg/m³ at crushers and 2.0 mg/m³ at loading zones — mining faces exceeding the 3 mg/m³ limit.</w:t>
            </w:r>
          </w:p>
          <w:p>
            <w:pPr>
              <w:spacing w:after="40" w:line="252" w:lineRule="auto"/>
            </w:pPr>
            <w:hyperlink r:id="rId11">
              <w:r>
                <w:rPr>
                  <w:rFonts w:ascii="Calibri" w:hAnsi="Calibri" w:cs="Calibri"/>
                  <w:sz w:val="18"/>
                  <w:color w:val="1155CC"/>
                  <w:u w:val="single"/>
                </w:rPr>
                <w:t xml:space="preserve">journalofcomprehensivehealth.co.in — respirable dust by work zone</w:t>
              </w:r>
            </w:hyperlink>
          </w:p>
          <w:p>
            <w:pPr>
              <w:spacing w:before="60" w:after="40"/>
            </w:pPr>
            <w:r>
              <w:rPr>
                <w:rFonts w:ascii="Calibri" w:hAnsi="Calibri"/>
                <w:b w:val="0"/>
                <w:i w:val="0"/>
                <w:color w:val="5A5A5A"/>
                <w:sz w:val="18"/>
              </w:rPr>
              <w:t>#coalface  #underground  #respirabledust  #crusher  #dose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Miners who smoke / use bidi &amp; tobacco</w:t>
            </w:r>
          </w:p>
        </w:tc>
        <w:tc>
          <w:tcPr>
            <w:tcW w:type="dxa" w:w="4276"/>
            <w:vAlign w:val="top"/>
          </w:tcPr>
          <w:p>
            <w:pPr>
              <w:spacing w:after="60" w:line="259" w:lineRule="auto"/>
            </w:pPr>
            <w:r>
              <w:rPr>
                <w:rFonts w:ascii="Calibri" w:hAnsi="Calibri"/>
                <w:b w:val="0"/>
                <w:i w:val="0"/>
                <w:color w:val="212121"/>
                <w:sz w:val="19"/>
              </w:rPr>
              <w:t>Smoking does not cause the nodular CWP lesion but is strongly additive with coal dust for emphysema, chronic bronchitis and COPD, worsening symptoms and accelerating FEV1 decline.</w:t>
            </w:r>
          </w:p>
          <w:p>
            <w:pPr>
              <w:spacing w:after="40" w:before="60" w:line="259" w:lineRule="auto"/>
            </w:pPr>
            <w:r>
              <w:rPr>
                <w:rFonts w:ascii="Calibri" w:hAnsi="Calibri"/>
                <w:b w:val="0"/>
                <w:i w:val="0"/>
                <w:color w:val="212121"/>
                <w:sz w:val="19"/>
              </w:rPr>
              <w:t>Dust exposure and cigarette smoking independently and additively increase emphysema severity in coal miners.</w:t>
            </w:r>
          </w:p>
          <w:p>
            <w:pPr>
              <w:spacing w:after="40" w:line="252" w:lineRule="auto"/>
            </w:pPr>
            <w:hyperlink r:id="rId15">
              <w:r>
                <w:rPr>
                  <w:rFonts w:ascii="Calibri" w:hAnsi="Calibri" w:cs="Calibri"/>
                  <w:sz w:val="18"/>
                  <w:color w:val="1155CC"/>
                  <w:u w:val="single"/>
                </w:rPr>
                <w:t xml:space="preserve">atsjournals.org — dust, smoking &amp; emphysema in miners</w:t>
              </w:r>
            </w:hyperlink>
          </w:p>
          <w:p>
            <w:pPr>
              <w:spacing w:before="60" w:after="40"/>
            </w:pPr>
            <w:r>
              <w:rPr>
                <w:rFonts w:ascii="Calibri" w:hAnsi="Calibri"/>
                <w:b w:val="0"/>
                <w:i w:val="0"/>
                <w:color w:val="5A5A5A"/>
                <w:sz w:val="18"/>
              </w:rPr>
              <w:t>#smoking  #bidi  #emphysema  #COPD  #additive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Personal protection</w:t>
            </w:r>
          </w:p>
        </w:tc>
        <w:tc>
          <w:tcPr>
            <w:tcW w:type="dxa" w:w="2160"/>
            <w:vAlign w:val="top"/>
          </w:tcPr>
          <w:p>
            <w:pPr>
              <w:spacing w:after="40" w:before="0" w:line="259" w:lineRule="auto"/>
            </w:pPr>
            <w:r>
              <w:rPr>
                <w:rFonts w:ascii="Calibri" w:hAnsi="Calibri"/>
                <w:b w:val="0"/>
                <w:i w:val="0"/>
                <w:color w:val="212121"/>
                <w:sz w:val="19"/>
              </w:rPr>
              <w:t>Workers not using respirators / dust control</w:t>
            </w:r>
          </w:p>
        </w:tc>
        <w:tc>
          <w:tcPr>
            <w:tcW w:type="dxa" w:w="4276"/>
            <w:vAlign w:val="top"/>
          </w:tcPr>
          <w:p>
            <w:pPr>
              <w:spacing w:after="60" w:line="259" w:lineRule="auto"/>
            </w:pPr>
            <w:r>
              <w:rPr>
                <w:rFonts w:ascii="Calibri" w:hAnsi="Calibri"/>
                <w:b w:val="0"/>
                <w:i w:val="0"/>
                <w:color w:val="212121"/>
                <w:sz w:val="19"/>
              </w:rPr>
              <w:t>Inconsistent respirator use, poor wet-drilling/water-spray dust suppression and inadequate ventilation raise the inhaled respirable-dust dose; respirators give only limited protection and cannot replace engineering controls.</w:t>
            </w:r>
          </w:p>
          <w:p>
            <w:pPr>
              <w:spacing w:after="40" w:before="60" w:line="259" w:lineRule="auto"/>
            </w:pPr>
            <w:r>
              <w:rPr>
                <w:rFonts w:ascii="Calibri" w:hAnsi="Calibri"/>
                <w:b w:val="0"/>
                <w:i w:val="0"/>
                <w:color w:val="212121"/>
                <w:sz w:val="19"/>
              </w:rPr>
              <w:t>Primary prevention relies on engineering controls that reduce respirable-dust exposure; masks provide only limited protection.</w:t>
            </w:r>
          </w:p>
          <w:p>
            <w:pPr>
              <w:spacing w:after="40" w:line="252" w:lineRule="auto"/>
            </w:pPr>
            <w:hyperlink r:id="rId10">
              <w:r>
                <w:rPr>
                  <w:rFonts w:ascii="Calibri" w:hAnsi="Calibri" w:cs="Calibri"/>
                  <w:sz w:val="18"/>
                  <w:color w:val="1155CC"/>
                  <w:u w:val="single"/>
                </w:rPr>
                <w:t xml:space="preserve">merckmanuals.com — prevention of CWP</w:t>
              </w:r>
            </w:hyperlink>
          </w:p>
          <w:p>
            <w:pPr>
              <w:spacing w:before="60" w:after="40"/>
            </w:pPr>
            <w:r>
              <w:rPr>
                <w:rFonts w:ascii="Calibri" w:hAnsi="Calibri"/>
                <w:b w:val="0"/>
                <w:i w:val="0"/>
                <w:color w:val="5A5A5A"/>
                <w:sz w:val="18"/>
              </w:rPr>
              <w:t>#PPE  #respirator  #dustsuppression  #ventilation  #prevention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Antioxidant intake</w:t>
            </w:r>
          </w:p>
        </w:tc>
        <w:tc>
          <w:tcPr>
            <w:tcW w:type="dxa" w:w="2160"/>
            <w:vAlign w:val="top"/>
          </w:tcPr>
          <w:p>
            <w:pPr>
              <w:spacing w:after="40" w:before="0" w:line="259" w:lineRule="auto"/>
            </w:pPr>
            <w:r>
              <w:rPr>
                <w:rFonts w:ascii="Calibri" w:hAnsi="Calibri"/>
                <w:b w:val="0"/>
                <w:i w:val="0"/>
                <w:color w:val="212121"/>
                <w:sz w:val="19"/>
              </w:rPr>
              <w:t>Diets low in fruit, vegetables &amp; antioxidants</w:t>
            </w:r>
          </w:p>
        </w:tc>
        <w:tc>
          <w:tcPr>
            <w:tcW w:type="dxa" w:w="4276"/>
            <w:vAlign w:val="top"/>
          </w:tcPr>
          <w:p>
            <w:pPr>
              <w:spacing w:after="60" w:line="259" w:lineRule="auto"/>
            </w:pPr>
            <w:r>
              <w:rPr>
                <w:rFonts w:ascii="Calibri" w:hAnsi="Calibri"/>
                <w:b w:val="0"/>
                <w:i w:val="0"/>
                <w:color w:val="212121"/>
                <w:sz w:val="19"/>
              </w:rPr>
              <w:t>Coal-dust injury is partly mediated by reactive oxygen species from activated macrophages; a diet poor in antioxidant micronutrients is hypothesised to reduce pulmonary defence, though direct human evidence is limited.</w:t>
            </w:r>
          </w:p>
          <w:p>
            <w:pPr>
              <w:spacing w:before="60" w:after="40"/>
            </w:pPr>
            <w:r>
              <w:rPr>
                <w:rFonts w:ascii="Calibri" w:hAnsi="Calibri"/>
                <w:b w:val="0"/>
                <w:i w:val="0"/>
                <w:color w:val="5A5A5A"/>
                <w:sz w:val="18"/>
              </w:rPr>
              <w:t>#antioxidants  #oxidativestress  #micronutrients  #diet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Undernutrition / low BMI</w:t>
            </w:r>
          </w:p>
        </w:tc>
        <w:tc>
          <w:tcPr>
            <w:tcW w:type="dxa" w:w="2160"/>
            <w:vAlign w:val="top"/>
          </w:tcPr>
          <w:p>
            <w:pPr>
              <w:spacing w:after="40" w:before="0" w:line="259" w:lineRule="auto"/>
            </w:pPr>
            <w:r>
              <w:rPr>
                <w:rFonts w:ascii="Calibri" w:hAnsi="Calibri"/>
                <w:b w:val="0"/>
                <w:i w:val="0"/>
                <w:color w:val="212121"/>
                <w:sz w:val="19"/>
              </w:rPr>
              <w:t>Underweight, undernourished miners</w:t>
            </w:r>
          </w:p>
        </w:tc>
        <w:tc>
          <w:tcPr>
            <w:tcW w:type="dxa" w:w="4276"/>
            <w:vAlign w:val="top"/>
          </w:tcPr>
          <w:p>
            <w:pPr>
              <w:spacing w:after="60" w:line="259" w:lineRule="auto"/>
            </w:pPr>
            <w:r>
              <w:rPr>
                <w:rFonts w:ascii="Calibri" w:hAnsi="Calibri"/>
                <w:b w:val="0"/>
                <w:i w:val="0"/>
                <w:color w:val="212121"/>
                <w:sz w:val="19"/>
              </w:rPr>
              <w:t>Low body-mass index and undernutrition, common in poorer mining communities, impair immunity and markedly raise susceptibility to pulmonary tuberculosis in dust-injured lungs.</w:t>
            </w:r>
          </w:p>
          <w:p>
            <w:pPr>
              <w:spacing w:after="40" w:before="60" w:line="259" w:lineRule="auto"/>
            </w:pPr>
            <w:r>
              <w:rPr>
                <w:rFonts w:ascii="Calibri" w:hAnsi="Calibri"/>
                <w:b w:val="0"/>
                <w:i w:val="0"/>
                <w:color w:val="212121"/>
                <w:sz w:val="19"/>
              </w:rPr>
              <w:t>Silica and coal dust promote fibrosis and increase susceptibility to tuberculosis in exposed workers.</w:t>
            </w:r>
          </w:p>
          <w:p>
            <w:pPr>
              <w:spacing w:after="40" w:line="252" w:lineRule="auto"/>
            </w:pPr>
            <w:hyperlink r:id="rId13">
              <w:r>
                <w:rPr>
                  <w:rFonts w:ascii="Calibri" w:hAnsi="Calibri" w:cs="Calibri"/>
                  <w:sz w:val="18"/>
                  <w:color w:val="1155CC"/>
                  <w:u w:val="single"/>
                </w:rPr>
                <w:t xml:space="preserve">springer — silica, fibrosis &amp; TB risk</w:t>
              </w:r>
            </w:hyperlink>
          </w:p>
          <w:p>
            <w:pPr>
              <w:spacing w:before="60" w:after="40"/>
            </w:pPr>
            <w:r>
              <w:rPr>
                <w:rFonts w:ascii="Calibri" w:hAnsi="Calibri"/>
                <w:b w:val="0"/>
                <w:i w:val="0"/>
                <w:color w:val="5A5A5A"/>
                <w:sz w:val="18"/>
              </w:rPr>
              <w:t>#undernutrition  #lowBMI  #TBrisk  #immunity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Genetic susceptibility</w:t>
            </w:r>
          </w:p>
        </w:tc>
        <w:tc>
          <w:tcPr>
            <w:tcW w:type="dxa" w:w="2160"/>
            <w:vAlign w:val="top"/>
          </w:tcPr>
          <w:p>
            <w:pPr>
              <w:spacing w:after="40" w:before="0" w:line="259" w:lineRule="auto"/>
            </w:pPr>
            <w:r>
              <w:rPr>
                <w:rFonts w:ascii="Calibri" w:hAnsi="Calibri"/>
                <w:b w:val="0"/>
                <w:i w:val="0"/>
                <w:color w:val="212121"/>
                <w:sz w:val="19"/>
              </w:rPr>
              <w:t>Carriers of pro-inflammatory gene variants (e.g., TNF-α-308)</w:t>
            </w:r>
          </w:p>
        </w:tc>
        <w:tc>
          <w:tcPr>
            <w:tcW w:type="dxa" w:w="4276"/>
            <w:vAlign w:val="top"/>
          </w:tcPr>
          <w:p>
            <w:pPr>
              <w:spacing w:after="60" w:line="259" w:lineRule="auto"/>
            </w:pPr>
            <w:r>
              <w:rPr>
                <w:rFonts w:ascii="Calibri" w:hAnsi="Calibri"/>
                <w:b w:val="0"/>
                <w:i w:val="0"/>
                <w:color w:val="212121"/>
                <w:sz w:val="19"/>
              </w:rPr>
              <w:t>Single-nucleotide polymorphisms in cytokine genes such as TNF-α-308 amplify the fibrotic response to a given dust dose, explaining why some miners develop CWP or PMF while similarly exposed colleagues do not.</w:t>
            </w:r>
          </w:p>
          <w:p>
            <w:pPr>
              <w:spacing w:after="40" w:before="60" w:line="259" w:lineRule="auto"/>
            </w:pPr>
            <w:r>
              <w:rPr>
                <w:rFonts w:ascii="Calibri" w:hAnsi="Calibri"/>
                <w:b w:val="0"/>
                <w:i w:val="0"/>
                <w:color w:val="212121"/>
                <w:sz w:val="19"/>
              </w:rPr>
              <w:t>Studies of Belgian and Japanese coal miners found increased TNF-α-308 variants in those with CWP.</w:t>
            </w:r>
          </w:p>
          <w:p>
            <w:pPr>
              <w:spacing w:after="40" w:line="252" w:lineRule="auto"/>
            </w:pPr>
            <w:hyperlink r:id="rId16">
              <w:r>
                <w:rPr>
                  <w:rFonts w:ascii="Calibri" w:hAnsi="Calibri" w:cs="Calibri"/>
                  <w:sz w:val="18"/>
                  <w:color w:val="1155CC"/>
                  <w:u w:val="single"/>
                </w:rPr>
                <w:t xml:space="preserve">emedicine.medscape.com — CWP pathophysiology &amp; genetics</w:t>
              </w:r>
            </w:hyperlink>
          </w:p>
          <w:p>
            <w:pPr>
              <w:spacing w:before="60" w:after="40"/>
            </w:pPr>
            <w:r>
              <w:rPr>
                <w:rFonts w:ascii="Calibri" w:hAnsi="Calibri"/>
                <w:b w:val="0"/>
                <w:i w:val="0"/>
                <w:color w:val="5A5A5A"/>
                <w:sz w:val="18"/>
              </w:rPr>
              <w:t>#TNFalpha  #polymorphism  #susceptibility  #fibrosis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Pre-existing simple CWP</w:t>
            </w:r>
          </w:p>
        </w:tc>
        <w:tc>
          <w:tcPr>
            <w:tcW w:type="dxa" w:w="2160"/>
            <w:vAlign w:val="top"/>
          </w:tcPr>
          <w:p>
            <w:pPr>
              <w:spacing w:after="40" w:before="0" w:line="259" w:lineRule="auto"/>
            </w:pPr>
            <w:r>
              <w:rPr>
                <w:rFonts w:ascii="Calibri" w:hAnsi="Calibri"/>
                <w:b w:val="0"/>
                <w:i w:val="0"/>
                <w:color w:val="212121"/>
                <w:sz w:val="19"/>
              </w:rPr>
              <w:t>Miners with category 2–3 simple CWP</w:t>
            </w:r>
          </w:p>
        </w:tc>
        <w:tc>
          <w:tcPr>
            <w:tcW w:type="dxa" w:w="4276"/>
            <w:vAlign w:val="top"/>
          </w:tcPr>
          <w:p>
            <w:pPr>
              <w:spacing w:after="60" w:line="259" w:lineRule="auto"/>
            </w:pPr>
            <w:r>
              <w:rPr>
                <w:rFonts w:ascii="Calibri" w:hAnsi="Calibri"/>
                <w:b w:val="0"/>
                <w:i w:val="0"/>
                <w:color w:val="212121"/>
                <w:sz w:val="19"/>
              </w:rPr>
              <w:t>Established simple pneumoconiosis, especially higher ILO profusion, is the single strongest predictor of progression to complicated disease and PMF, particularly with continued intense exposure.</w:t>
            </w:r>
          </w:p>
          <w:p>
            <w:pPr>
              <w:spacing w:after="40" w:before="60" w:line="259" w:lineRule="auto"/>
            </w:pPr>
            <w:r>
              <w:rPr>
                <w:rFonts w:ascii="Calibri" w:hAnsi="Calibri"/>
                <w:b w:val="0"/>
                <w:i w:val="0"/>
                <w:color w:val="212121"/>
                <w:sz w:val="19"/>
              </w:rPr>
              <w:t>Early simple CWP is the most significant risk factor for progression to complicated pneumoconiosis.</w:t>
            </w:r>
          </w:p>
          <w:p>
            <w:pPr>
              <w:spacing w:after="40" w:line="252" w:lineRule="auto"/>
            </w:pPr>
            <w:hyperlink r:id="rId16">
              <w:r>
                <w:rPr>
                  <w:rFonts w:ascii="Calibri" w:hAnsi="Calibri" w:cs="Calibri"/>
                  <w:sz w:val="18"/>
                  <w:color w:val="1155CC"/>
                  <w:u w:val="single"/>
                </w:rPr>
                <w:t xml:space="preserve">emedicine.medscape.com — progression to PMF</w:t>
              </w:r>
            </w:hyperlink>
          </w:p>
          <w:p>
            <w:pPr>
              <w:spacing w:before="60" w:after="40"/>
            </w:pPr>
            <w:r>
              <w:rPr>
                <w:rFonts w:ascii="Calibri" w:hAnsi="Calibri"/>
                <w:b w:val="0"/>
                <w:i w:val="0"/>
                <w:color w:val="5A5A5A"/>
                <w:sz w:val="18"/>
              </w:rPr>
              <w:t>#simpleCWP  #profusion  #PMFrisk  #progression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Pulmonary tuberculosis</w:t>
            </w:r>
          </w:p>
        </w:tc>
        <w:tc>
          <w:tcPr>
            <w:tcW w:type="dxa" w:w="2160"/>
            <w:vAlign w:val="top"/>
          </w:tcPr>
          <w:p>
            <w:pPr>
              <w:spacing w:after="40" w:before="0" w:line="259" w:lineRule="auto"/>
            </w:pPr>
            <w:r>
              <w:rPr>
                <w:rFonts w:ascii="Calibri" w:hAnsi="Calibri"/>
                <w:b w:val="0"/>
                <w:i w:val="0"/>
                <w:color w:val="212121"/>
                <w:sz w:val="19"/>
              </w:rPr>
              <w:t>Miners with (silico-)tuberculosis</w:t>
            </w:r>
          </w:p>
        </w:tc>
        <w:tc>
          <w:tcPr>
            <w:tcW w:type="dxa" w:w="4276"/>
            <w:vAlign w:val="top"/>
          </w:tcPr>
          <w:p>
            <w:pPr>
              <w:spacing w:after="60" w:line="259" w:lineRule="auto"/>
            </w:pPr>
            <w:r>
              <w:rPr>
                <w:rFonts w:ascii="Calibri" w:hAnsi="Calibri"/>
                <w:b w:val="0"/>
                <w:i w:val="0"/>
                <w:color w:val="212121"/>
                <w:sz w:val="19"/>
              </w:rPr>
              <w:t>Silica and coal dust impair alveolar-macrophage killing of mycobacteria, so dust-exposed miners have a high risk of pulmonary TB; TB can also mimic or accelerate PMF, a major concern in India.</w:t>
            </w:r>
          </w:p>
          <w:p>
            <w:pPr>
              <w:spacing w:after="40" w:before="60" w:line="259" w:lineRule="auto"/>
            </w:pPr>
            <w:r>
              <w:rPr>
                <w:rFonts w:ascii="Calibri" w:hAnsi="Calibri"/>
                <w:b w:val="0"/>
                <w:i w:val="0"/>
                <w:color w:val="212121"/>
                <w:sz w:val="19"/>
              </w:rPr>
              <w:t>High rates of tuberculosis are reported in Indian coal-mining populations, compounding respiratory risk.</w:t>
            </w:r>
          </w:p>
          <w:p>
            <w:pPr>
              <w:spacing w:after="40" w:line="252" w:lineRule="auto"/>
            </w:pPr>
            <w:hyperlink r:id="rId14">
              <w:r>
                <w:rPr>
                  <w:rFonts w:ascii="Calibri" w:hAnsi="Calibri" w:cs="Calibri"/>
                  <w:sz w:val="18"/>
                  <w:color w:val="1155CC"/>
                  <w:u w:val="single"/>
                </w:rPr>
                <w:t xml:space="preserve">springer — TB burden in Indian mining areas</w:t>
              </w:r>
            </w:hyperlink>
          </w:p>
          <w:p>
            <w:pPr>
              <w:spacing w:before="60" w:after="40"/>
            </w:pPr>
            <w:r>
              <w:rPr>
                <w:rFonts w:ascii="Calibri" w:hAnsi="Calibri"/>
                <w:b w:val="0"/>
                <w:i w:val="0"/>
                <w:color w:val="5A5A5A"/>
                <w:sz w:val="18"/>
              </w:rPr>
              <w:t>#tuberculosis  #silicotuberculosis  #India  #macrophage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COPD / chronic bronchitis</w:t>
            </w:r>
          </w:p>
        </w:tc>
        <w:tc>
          <w:tcPr>
            <w:tcW w:type="dxa" w:w="2160"/>
            <w:vAlign w:val="top"/>
          </w:tcPr>
          <w:p>
            <w:pPr>
              <w:spacing w:after="40" w:before="0" w:line="259" w:lineRule="auto"/>
            </w:pPr>
            <w:r>
              <w:rPr>
                <w:rFonts w:ascii="Calibri" w:hAnsi="Calibri"/>
                <w:b w:val="0"/>
                <w:i w:val="0"/>
                <w:color w:val="212121"/>
                <w:sz w:val="19"/>
              </w:rPr>
              <w:t>Miners with dust-related COPD</w:t>
            </w:r>
          </w:p>
        </w:tc>
        <w:tc>
          <w:tcPr>
            <w:tcW w:type="dxa" w:w="4276"/>
            <w:vAlign w:val="top"/>
          </w:tcPr>
          <w:p>
            <w:pPr>
              <w:spacing w:after="60" w:line="259" w:lineRule="auto"/>
            </w:pPr>
            <w:r>
              <w:rPr>
                <w:rFonts w:ascii="Calibri" w:hAnsi="Calibri"/>
                <w:b w:val="0"/>
                <w:i w:val="0"/>
                <w:color w:val="212121"/>
                <w:sz w:val="19"/>
              </w:rPr>
              <w:t>Coal-mine dust causes chronic bronchitis, emphysema and airflow obstruction independent of smoking; obstructive and mixed spirometric defects are common and add to disability.</w:t>
            </w:r>
          </w:p>
          <w:p>
            <w:pPr>
              <w:spacing w:after="40" w:before="60" w:line="259" w:lineRule="auto"/>
            </w:pPr>
            <w:r>
              <w:rPr>
                <w:rFonts w:ascii="Calibri" w:hAnsi="Calibri"/>
                <w:b w:val="0"/>
                <w:i w:val="0"/>
                <w:color w:val="212121"/>
                <w:sz w:val="19"/>
              </w:rPr>
              <w:t>In an eastern-Indian mine cohort about 7% had an obstructive pattern and ~7% a restrictive pattern, with 17.6% showing borderline FEV1 of 70–80% predicted.</w:t>
            </w:r>
          </w:p>
          <w:p>
            <w:pPr>
              <w:spacing w:after="40" w:line="252" w:lineRule="auto"/>
            </w:pPr>
            <w:hyperlink r:id="rId11">
              <w:r>
                <w:rPr>
                  <w:rFonts w:ascii="Calibri" w:hAnsi="Calibri" w:cs="Calibri"/>
                  <w:sz w:val="18"/>
                  <w:color w:val="1155CC"/>
                  <w:u w:val="single"/>
                </w:rPr>
                <w:t xml:space="preserve">journalofcomprehensivehealth.co.in — spirometry in miners</w:t>
              </w:r>
            </w:hyperlink>
          </w:p>
          <w:p>
            <w:pPr>
              <w:spacing w:before="60" w:after="40"/>
            </w:pPr>
            <w:r>
              <w:rPr>
                <w:rFonts w:ascii="Calibri" w:hAnsi="Calibri"/>
                <w:b w:val="0"/>
                <w:i w:val="0"/>
                <w:color w:val="5A5A5A"/>
                <w:sz w:val="18"/>
              </w:rPr>
              <w:t>#COPD  #chronicbronchitis  #airflowobstruction  #spirometry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Rheumatoid arthritis</w:t>
            </w:r>
          </w:p>
        </w:tc>
        <w:tc>
          <w:tcPr>
            <w:tcW w:type="dxa" w:w="2160"/>
            <w:vAlign w:val="top"/>
          </w:tcPr>
          <w:p>
            <w:pPr>
              <w:spacing w:after="40" w:before="0" w:line="259" w:lineRule="auto"/>
            </w:pPr>
            <w:r>
              <w:rPr>
                <w:rFonts w:ascii="Calibri" w:hAnsi="Calibri"/>
                <w:b w:val="0"/>
                <w:i w:val="0"/>
                <w:color w:val="212121"/>
                <w:sz w:val="19"/>
              </w:rPr>
              <w:t>Miners with RA (Caplan syndrome)</w:t>
            </w:r>
          </w:p>
        </w:tc>
        <w:tc>
          <w:tcPr>
            <w:tcW w:type="dxa" w:w="4276"/>
            <w:vAlign w:val="top"/>
          </w:tcPr>
          <w:p>
            <w:pPr>
              <w:spacing w:after="60" w:line="259" w:lineRule="auto"/>
            </w:pPr>
            <w:r>
              <w:rPr>
                <w:rFonts w:ascii="Calibri" w:hAnsi="Calibri"/>
                <w:b w:val="0"/>
                <w:i w:val="0"/>
                <w:color w:val="212121"/>
                <w:sz w:val="19"/>
              </w:rPr>
              <w:t>Coexisting rheumatoid arthritis produces Caplan syndrome — multiple rapidly appearing, well-defined peripheral pulmonary nodules superimposed on dust exposure.</w:t>
            </w:r>
          </w:p>
          <w:p>
            <w:pPr>
              <w:spacing w:after="40" w:before="60" w:line="259" w:lineRule="auto"/>
            </w:pPr>
            <w:r>
              <w:rPr>
                <w:rFonts w:ascii="Calibri" w:hAnsi="Calibri"/>
                <w:b w:val="0"/>
                <w:i w:val="0"/>
                <w:color w:val="212121"/>
                <w:sz w:val="19"/>
              </w:rPr>
              <w:t>Caplan syndrome (rheumatoid pneumoconiosis) is a recognised complication of CWP in miners with RA.</w:t>
            </w:r>
          </w:p>
          <w:p>
            <w:pPr>
              <w:spacing w:after="40" w:line="252" w:lineRule="auto"/>
            </w:pPr>
            <w:hyperlink r:id="rId17">
              <w:r>
                <w:rPr>
                  <w:rFonts w:ascii="Calibri" w:hAnsi="Calibri" w:cs="Calibri"/>
                  <w:sz w:val="18"/>
                  <w:color w:val="1155CC"/>
                  <w:u w:val="single"/>
                </w:rPr>
                <w:t xml:space="preserve">emedicine.medscape.com — Caplan syndrome</w:t>
              </w:r>
            </w:hyperlink>
          </w:p>
          <w:p>
            <w:pPr>
              <w:spacing w:before="60" w:after="40"/>
            </w:pPr>
            <w:r>
              <w:rPr>
                <w:rFonts w:ascii="Calibri" w:hAnsi="Calibri"/>
                <w:b w:val="0"/>
                <w:i w:val="0"/>
                <w:color w:val="5A5A5A"/>
                <w:sz w:val="18"/>
              </w:rPr>
              <w:t>#Caplan  #rheumatoidarthritis  #nodules  #autoimmune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Cor pulmonale / PH</w:t>
            </w:r>
          </w:p>
        </w:tc>
        <w:tc>
          <w:tcPr>
            <w:tcW w:type="dxa" w:w="2160"/>
            <w:vAlign w:val="top"/>
          </w:tcPr>
          <w:p>
            <w:pPr>
              <w:spacing w:after="40" w:before="0" w:line="259" w:lineRule="auto"/>
            </w:pPr>
            <w:r>
              <w:rPr>
                <w:rFonts w:ascii="Calibri" w:hAnsi="Calibri"/>
                <w:b w:val="0"/>
                <w:i w:val="0"/>
                <w:color w:val="212121"/>
                <w:sz w:val="19"/>
              </w:rPr>
              <w:t>Advanced CWP/PMF with right-heart strain</w:t>
            </w:r>
          </w:p>
        </w:tc>
        <w:tc>
          <w:tcPr>
            <w:tcW w:type="dxa" w:w="4276"/>
            <w:vAlign w:val="top"/>
          </w:tcPr>
          <w:p>
            <w:pPr>
              <w:spacing w:after="60" w:line="259" w:lineRule="auto"/>
            </w:pPr>
            <w:r>
              <w:rPr>
                <w:rFonts w:ascii="Calibri" w:hAnsi="Calibri"/>
                <w:b w:val="0"/>
                <w:i w:val="0"/>
                <w:color w:val="212121"/>
                <w:sz w:val="19"/>
              </w:rPr>
              <w:t>Extensive fibrosis, emphysema and chronic hypoxaemia raise pulmonary vascular resistance, producing pulmonary hypertension and right-heart failure in advanced disease.</w:t>
            </w:r>
          </w:p>
          <w:p>
            <w:pPr>
              <w:spacing w:after="40" w:before="60" w:line="259" w:lineRule="auto"/>
            </w:pPr>
            <w:r>
              <w:rPr>
                <w:rFonts w:ascii="Calibri" w:hAnsi="Calibri"/>
                <w:b w:val="0"/>
                <w:i w:val="0"/>
                <w:color w:val="212121"/>
                <w:sz w:val="19"/>
              </w:rPr>
              <w:t>Pulmonary hypertension and cor pulmonale are established complications of complicated CWP/PMF.</w:t>
            </w:r>
          </w:p>
          <w:p>
            <w:pPr>
              <w:spacing w:after="40" w:line="252" w:lineRule="auto"/>
            </w:pPr>
            <w:hyperlink r:id="rId17">
              <w:r>
                <w:rPr>
                  <w:rFonts w:ascii="Calibri" w:hAnsi="Calibri" w:cs="Calibri"/>
                  <w:sz w:val="18"/>
                  <w:color w:val="1155CC"/>
                  <w:u w:val="single"/>
                </w:rPr>
                <w:t xml:space="preserve">emedicine.medscape.com — complications of CWP</w:t>
              </w:r>
            </w:hyperlink>
          </w:p>
          <w:p>
            <w:pPr>
              <w:spacing w:before="60" w:after="40"/>
            </w:pPr>
            <w:r>
              <w:rPr>
                <w:rFonts w:ascii="Calibri" w:hAnsi="Calibri"/>
                <w:b w:val="0"/>
                <w:i w:val="0"/>
                <w:color w:val="5A5A5A"/>
                <w:sz w:val="18"/>
              </w:rPr>
              <w:t>#corpulmonale  #pulmonaryhypertension  #hypoxaemia  #rightheart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Hypertension / CVD</w:t>
            </w:r>
          </w:p>
        </w:tc>
        <w:tc>
          <w:tcPr>
            <w:tcW w:type="dxa" w:w="2160"/>
            <w:vAlign w:val="top"/>
          </w:tcPr>
          <w:p>
            <w:pPr>
              <w:spacing w:after="40" w:before="0" w:line="259" w:lineRule="auto"/>
            </w:pPr>
            <w:r>
              <w:rPr>
                <w:rFonts w:ascii="Calibri" w:hAnsi="Calibri"/>
                <w:b w:val="0"/>
                <w:i w:val="0"/>
                <w:color w:val="212121"/>
                <w:sz w:val="19"/>
              </w:rPr>
              <w:t>Miners with cardiovascular disease</w:t>
            </w:r>
          </w:p>
        </w:tc>
        <w:tc>
          <w:tcPr>
            <w:tcW w:type="dxa" w:w="4276"/>
            <w:vAlign w:val="top"/>
          </w:tcPr>
          <w:p>
            <w:pPr>
              <w:spacing w:after="60" w:line="259" w:lineRule="auto"/>
            </w:pPr>
            <w:r>
              <w:rPr>
                <w:rFonts w:ascii="Calibri" w:hAnsi="Calibri"/>
                <w:b w:val="0"/>
                <w:i w:val="0"/>
                <w:color w:val="212121"/>
                <w:sz w:val="19"/>
              </w:rPr>
              <w:t>Chronic dust and particulate exposure, smoking and the physiological strain of hypoxaemia contribute to systemic hypertension and cardiovascular risk in mining populations.</w:t>
            </w:r>
          </w:p>
          <w:p>
            <w:pPr>
              <w:spacing w:after="40" w:before="60" w:line="259" w:lineRule="auto"/>
            </w:pPr>
            <w:r>
              <w:rPr>
                <w:rFonts w:ascii="Calibri" w:hAnsi="Calibri"/>
                <w:b w:val="0"/>
                <w:i w:val="0"/>
                <w:color w:val="212121"/>
                <w:sz w:val="19"/>
              </w:rPr>
              <w:t>In an eastern-Indian miner cohort, 9.6% had raised blood pressure (&gt;140/90 mmHg).</w:t>
            </w:r>
          </w:p>
          <w:p>
            <w:pPr>
              <w:spacing w:after="40" w:line="252" w:lineRule="auto"/>
            </w:pPr>
            <w:hyperlink r:id="rId11">
              <w:r>
                <w:rPr>
                  <w:rFonts w:ascii="Calibri" w:hAnsi="Calibri" w:cs="Calibri"/>
                  <w:sz w:val="18"/>
                  <w:color w:val="1155CC"/>
                  <w:u w:val="single"/>
                </w:rPr>
                <w:t xml:space="preserve">journalofcomprehensivehealth.co.in — hypertension in miners</w:t>
              </w:r>
            </w:hyperlink>
          </w:p>
          <w:p>
            <w:pPr>
              <w:spacing w:before="60" w:after="40"/>
            </w:pPr>
            <w:r>
              <w:rPr>
                <w:rFonts w:ascii="Calibri" w:hAnsi="Calibri"/>
                <w:b w:val="0"/>
                <w:i w:val="0"/>
                <w:color w:val="5A5A5A"/>
                <w:sz w:val="18"/>
              </w:rPr>
              <w:t>#hypertension  #cardiovascular  #particulate  #miners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Activity does not cause CWP, but deconditioning worsens exertional dyspnoea; supervised pulmonary rehabilitation and graded aerobic training improve exercise capacity and quality of life in established disease.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 is not causal. Antioxidant-rich intake is hypothesised to mitigate oxidative dust injury (weak evidence), while undernutrition and low BMI raise tuberculosis susceptibility in dust-injured lungs.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link, but advanced CWP with hypoxaemia and cor pulmonale causes nocturnal desaturation and disturbed sleep; overlap with OSA worsens daytime symptoms.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is strongly additive with coal dust for emphysema, chronic bronchitis and COPD and accelerates FEV1 decline, though it is not required for the nodular CWP lesion itself.</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has no causal role in CWP; heavy use in mining communities associates with poorer nutrition, higher tuberculosis risk and reduced treatment adherence.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Progressive breathlessness, disability and loss of livelihood/compensation stress raise rates of anxiety and depression, which reduce adherence and rehabilitation participation.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aids mucociliary clearance and sputum expectoration but has no direct disease link; at the workplace, water spraying and wet drilling are key dust-suppression measures.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established relationship between caffeine intake and coal worker's pneumoconiosis.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Occupational/respiratory hygiene — engineering dust control, ventilation, wet suppression, respirator use and changing dust-laden clothing — is the central determinant of inhaled dose and the main preventable factor.</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Intensity and duration of respirable-dust exposure (concentration × years), high-silica or high-rank coal, and superimposed tuberculosis provoke onset and progression, including to PMF.</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posture does not influence CWP risk or progression.</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Respirable coal-dust concentration (mg/m³)</w:t>
            </w:r>
          </w:p>
        </w:tc>
        <w:tc>
          <w:tcPr>
            <w:tcW w:type="dxa" w:w="1655"/>
            <w:vAlign w:val="top"/>
          </w:tcPr>
          <w:p>
            <w:pPr>
              <w:spacing w:after="40" w:before="0" w:line="259" w:lineRule="auto"/>
            </w:pPr>
            <w:r>
              <w:rPr>
                <w:rFonts w:ascii="Calibri" w:hAnsi="Calibri"/>
                <w:b w:val="0"/>
                <w:i w:val="0"/>
                <w:color w:val="212121"/>
                <w:sz w:val="19"/>
              </w:rPr>
              <w:t>All underground &amp; face workers</w:t>
            </w:r>
          </w:p>
        </w:tc>
        <w:tc>
          <w:tcPr>
            <w:tcW w:type="dxa" w:w="1512"/>
            <w:vAlign w:val="top"/>
          </w:tcPr>
          <w:p>
            <w:pPr>
              <w:spacing w:after="40" w:before="0" w:line="259" w:lineRule="auto"/>
            </w:pPr>
            <w:r>
              <w:rPr>
                <w:rFonts w:ascii="Calibri" w:hAnsi="Calibri"/>
                <w:b w:val="0"/>
                <w:i w:val="0"/>
                <w:color w:val="212121"/>
                <w:sz w:val="19"/>
              </w:rPr>
              <w:t>≤ 3 mg/m³ (DGMS, &lt; 5% silica)</w:t>
            </w:r>
          </w:p>
        </w:tc>
        <w:tc>
          <w:tcPr>
            <w:tcW w:type="dxa" w:w="1512"/>
            <w:vAlign w:val="top"/>
          </w:tcPr>
          <w:p>
            <w:pPr>
              <w:spacing w:after="40" w:before="0" w:line="259" w:lineRule="auto"/>
            </w:pPr>
            <w:r>
              <w:rPr>
                <w:rFonts w:ascii="Calibri" w:hAnsi="Calibri"/>
                <w:b w:val="0"/>
                <w:i w:val="0"/>
                <w:color w:val="212121"/>
                <w:sz w:val="19"/>
              </w:rPr>
              <w:t>&gt; 3 mg/m³ at the workplace</w:t>
            </w:r>
          </w:p>
        </w:tc>
        <w:tc>
          <w:tcPr>
            <w:tcW w:type="dxa" w:w="1468"/>
            <w:vAlign w:val="top"/>
          </w:tcPr>
          <w:p>
            <w:pPr>
              <w:spacing w:after="60" w:line="259" w:lineRule="auto"/>
            </w:pPr>
            <w:r>
              <w:rPr>
                <w:rFonts w:ascii="Calibri" w:hAnsi="Calibri"/>
                <w:b w:val="0"/>
                <w:i w:val="0"/>
                <w:color w:val="212121"/>
                <w:sz w:val="19"/>
              </w:rPr>
              <w:t>Principal driver of inhaled dose; measured up to 3.8 mg/m³ at Indian mining faces</w:t>
            </w:r>
          </w:p>
          <w:p>
            <w:pPr>
              <w:spacing w:after="40" w:line="252" w:lineRule="auto"/>
            </w:pPr>
            <w:hyperlink r:id="rId13">
              <w:r>
                <w:rPr>
                  <w:rFonts w:ascii="Calibri" w:hAnsi="Calibri" w:cs="Calibri"/>
                  <w:sz w:val="18"/>
                  <w:color w:val="1155CC"/>
                  <w:u w:val="single"/>
                </w:rPr>
                <w:t xml:space="preserve">https://link.springer.com/article/10.1186/s12302-022-00651-x</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Free-silica content of dust (%)</w:t>
            </w:r>
          </w:p>
        </w:tc>
        <w:tc>
          <w:tcPr>
            <w:tcW w:type="dxa" w:w="1655"/>
            <w:vAlign w:val="top"/>
          </w:tcPr>
          <w:p>
            <w:pPr>
              <w:spacing w:after="40" w:before="0" w:line="259" w:lineRule="auto"/>
            </w:pPr>
            <w:r>
              <w:rPr>
                <w:rFonts w:ascii="Calibri" w:hAnsi="Calibri"/>
                <w:b w:val="0"/>
                <w:i w:val="0"/>
                <w:color w:val="212121"/>
                <w:sz w:val="19"/>
              </w:rPr>
              <w:t>High-silica coalfields (e.g., Jharia)</w:t>
            </w:r>
          </w:p>
        </w:tc>
        <w:tc>
          <w:tcPr>
            <w:tcW w:type="dxa" w:w="1512"/>
            <w:vAlign w:val="top"/>
          </w:tcPr>
          <w:p>
            <w:pPr>
              <w:spacing w:after="40" w:before="0" w:line="259" w:lineRule="auto"/>
            </w:pPr>
            <w:r>
              <w:rPr>
                <w:rFonts w:ascii="Calibri" w:hAnsi="Calibri"/>
                <w:b w:val="0"/>
                <w:i w:val="0"/>
                <w:color w:val="212121"/>
                <w:sz w:val="19"/>
              </w:rPr>
              <w:t>&lt; 5% silica</w:t>
            </w:r>
          </w:p>
        </w:tc>
        <w:tc>
          <w:tcPr>
            <w:tcW w:type="dxa" w:w="1512"/>
            <w:vAlign w:val="top"/>
          </w:tcPr>
          <w:p>
            <w:pPr>
              <w:spacing w:after="40" w:before="0" w:line="259" w:lineRule="auto"/>
            </w:pPr>
            <w:r>
              <w:rPr>
                <w:rFonts w:ascii="Calibri" w:hAnsi="Calibri"/>
                <w:b w:val="0"/>
                <w:i w:val="0"/>
                <w:color w:val="212121"/>
                <w:sz w:val="19"/>
              </w:rPr>
              <w:t>≥ 5% (limit tightens to 15/silica% mg/m³)</w:t>
            </w:r>
          </w:p>
        </w:tc>
        <w:tc>
          <w:tcPr>
            <w:tcW w:type="dxa" w:w="1468"/>
            <w:vAlign w:val="top"/>
          </w:tcPr>
          <w:p>
            <w:pPr>
              <w:spacing w:after="60" w:line="259" w:lineRule="auto"/>
            </w:pPr>
            <w:r>
              <w:rPr>
                <w:rFonts w:ascii="Calibri" w:hAnsi="Calibri"/>
                <w:b w:val="0"/>
                <w:i w:val="0"/>
                <w:color w:val="212121"/>
                <w:sz w:val="19"/>
              </w:rPr>
              <w:t>Higher silica raises fibrogenicity and TB risk; Jharia dust 15–34% silica</w:t>
            </w:r>
          </w:p>
          <w:p>
            <w:pPr>
              <w:spacing w:after="40" w:line="252" w:lineRule="auto"/>
            </w:pPr>
            <w:hyperlink r:id="rId13">
              <w:r>
                <w:rPr>
                  <w:rFonts w:ascii="Calibri" w:hAnsi="Calibri" w:cs="Calibri"/>
                  <w:sz w:val="18"/>
                  <w:color w:val="1155CC"/>
                  <w:u w:val="single"/>
                </w:rPr>
                <w:t xml:space="preserve">https://link.springer.com/article/10.1186/s12302-022-00651-x</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Cumulative exposure (years underground)</w:t>
            </w:r>
          </w:p>
        </w:tc>
        <w:tc>
          <w:tcPr>
            <w:tcW w:type="dxa" w:w="1655"/>
            <w:vAlign w:val="top"/>
          </w:tcPr>
          <w:p>
            <w:pPr>
              <w:spacing w:after="40" w:before="0" w:line="259" w:lineRule="auto"/>
            </w:pPr>
            <w:r>
              <w:rPr>
                <w:rFonts w:ascii="Calibri" w:hAnsi="Calibri"/>
                <w:b w:val="0"/>
                <w:i w:val="0"/>
                <w:color w:val="212121"/>
                <w:sz w:val="19"/>
              </w:rPr>
              <w:t>Career miners</w:t>
            </w:r>
          </w:p>
        </w:tc>
        <w:tc>
          <w:tcPr>
            <w:tcW w:type="dxa" w:w="1512"/>
            <w:vAlign w:val="top"/>
          </w:tcPr>
          <w:p>
            <w:pPr>
              <w:spacing w:after="40" w:before="0" w:line="259" w:lineRule="auto"/>
            </w:pPr>
            <w:r>
              <w:rPr>
                <w:rFonts w:ascii="Calibri" w:hAnsi="Calibri"/>
                <w:b w:val="0"/>
                <w:i w:val="0"/>
                <w:color w:val="212121"/>
                <w:sz w:val="19"/>
              </w:rPr>
              <w:t>Minimised; adequate rotation</w:t>
            </w:r>
          </w:p>
        </w:tc>
        <w:tc>
          <w:tcPr>
            <w:tcW w:type="dxa" w:w="1512"/>
            <w:vAlign w:val="top"/>
          </w:tcPr>
          <w:p>
            <w:pPr>
              <w:spacing w:after="40" w:before="0" w:line="259" w:lineRule="auto"/>
            </w:pPr>
            <w:r>
              <w:rPr>
                <w:rFonts w:ascii="Calibri" w:hAnsi="Calibri"/>
                <w:b w:val="0"/>
                <w:i w:val="0"/>
                <w:color w:val="212121"/>
                <w:sz w:val="19"/>
              </w:rPr>
              <w:t>≥ 10–20 years' dust exposure</w:t>
            </w:r>
          </w:p>
        </w:tc>
        <w:tc>
          <w:tcPr>
            <w:tcW w:type="dxa" w:w="1468"/>
            <w:vAlign w:val="top"/>
          </w:tcPr>
          <w:p>
            <w:pPr>
              <w:spacing w:after="60" w:line="259" w:lineRule="auto"/>
            </w:pPr>
            <w:r>
              <w:rPr>
                <w:rFonts w:ascii="Calibri" w:hAnsi="Calibri"/>
                <w:b w:val="0"/>
                <w:i w:val="0"/>
                <w:color w:val="212121"/>
                <w:sz w:val="19"/>
              </w:rPr>
              <w:t>CWP usually needs ≥ 10 years' latency; risk rises with total dose</w:t>
            </w:r>
          </w:p>
          <w:p>
            <w:pPr>
              <w:spacing w:after="40" w:line="252" w:lineRule="auto"/>
            </w:pPr>
            <w:hyperlink r:id="rId12">
              <w:r>
                <w:rPr>
                  <w:rFonts w:ascii="Calibri" w:hAnsi="Calibri" w:cs="Calibri"/>
                  <w:sz w:val="18"/>
                  <w:color w:val="1155CC"/>
                  <w:u w:val="single"/>
                </w:rPr>
                <w:t xml:space="preserve">https://link.springer.com/article/10.1007/s11356-022-21966-5</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Respirator / PPE use</w:t>
            </w:r>
          </w:p>
        </w:tc>
        <w:tc>
          <w:tcPr>
            <w:tcW w:type="dxa" w:w="1655"/>
            <w:vAlign w:val="top"/>
          </w:tcPr>
          <w:p>
            <w:pPr>
              <w:spacing w:after="40" w:before="0" w:line="259" w:lineRule="auto"/>
            </w:pPr>
            <w:r>
              <w:rPr>
                <w:rFonts w:ascii="Calibri" w:hAnsi="Calibri"/>
                <w:b w:val="0"/>
                <w:i w:val="0"/>
                <w:color w:val="212121"/>
                <w:sz w:val="19"/>
              </w:rPr>
              <w:t>All exposed workers</w:t>
            </w:r>
          </w:p>
        </w:tc>
        <w:tc>
          <w:tcPr>
            <w:tcW w:type="dxa" w:w="1512"/>
            <w:vAlign w:val="top"/>
          </w:tcPr>
          <w:p>
            <w:pPr>
              <w:spacing w:after="40" w:before="0" w:line="259" w:lineRule="auto"/>
            </w:pPr>
            <w:r>
              <w:rPr>
                <w:rFonts w:ascii="Calibri" w:hAnsi="Calibri"/>
                <w:b w:val="0"/>
                <w:i w:val="0"/>
                <w:color w:val="212121"/>
                <w:sz w:val="19"/>
              </w:rPr>
              <w:t>Consistent, correctly fitted respirator</w:t>
            </w:r>
          </w:p>
        </w:tc>
        <w:tc>
          <w:tcPr>
            <w:tcW w:type="dxa" w:w="1512"/>
            <w:vAlign w:val="top"/>
          </w:tcPr>
          <w:p>
            <w:pPr>
              <w:spacing w:after="40" w:before="0" w:line="259" w:lineRule="auto"/>
            </w:pPr>
            <w:r>
              <w:rPr>
                <w:rFonts w:ascii="Calibri" w:hAnsi="Calibri"/>
                <w:b w:val="0"/>
                <w:i w:val="0"/>
                <w:color w:val="212121"/>
                <w:sz w:val="19"/>
              </w:rPr>
              <w:t>Absent or intermittent use</w:t>
            </w:r>
          </w:p>
        </w:tc>
        <w:tc>
          <w:tcPr>
            <w:tcW w:type="dxa" w:w="1468"/>
            <w:vAlign w:val="top"/>
          </w:tcPr>
          <w:p>
            <w:pPr>
              <w:spacing w:after="40" w:before="0" w:line="259" w:lineRule="auto"/>
            </w:pPr>
            <w:r>
              <w:rPr>
                <w:rFonts w:ascii="Calibri" w:hAnsi="Calibri"/>
                <w:b w:val="0"/>
                <w:i w:val="0"/>
                <w:color w:val="212121"/>
                <w:sz w:val="19"/>
              </w:rPr>
              <w:t>Adjunct only; cannot replace engineering dust control</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Miners, ex-miners</w:t>
            </w:r>
          </w:p>
        </w:tc>
        <w:tc>
          <w:tcPr>
            <w:tcW w:type="dxa" w:w="1512"/>
            <w:vAlign w:val="top"/>
          </w:tcPr>
          <w:p>
            <w:pPr>
              <w:spacing w:after="40" w:before="0" w:line="259" w:lineRule="auto"/>
            </w:pPr>
            <w:r>
              <w:rPr>
                <w:rFonts w:ascii="Calibri" w:hAnsi="Calibri"/>
                <w:b w:val="0"/>
                <w:i w:val="0"/>
                <w:color w:val="212121"/>
                <w:sz w:val="19"/>
              </w:rPr>
              <w:t>0 / day</w:t>
            </w:r>
          </w:p>
        </w:tc>
        <w:tc>
          <w:tcPr>
            <w:tcW w:type="dxa" w:w="1512"/>
            <w:vAlign w:val="top"/>
          </w:tcPr>
          <w:p>
            <w:pPr>
              <w:spacing w:after="40" w:before="0" w:line="259" w:lineRule="auto"/>
            </w:pPr>
            <w:r>
              <w:rPr>
                <w:rFonts w:ascii="Calibri" w:hAnsi="Calibri"/>
                <w:b w:val="0"/>
                <w:i w:val="0"/>
                <w:color w:val="212121"/>
                <w:sz w:val="19"/>
              </w:rPr>
              <w:t>≥ 1 / day</w:t>
            </w:r>
          </w:p>
        </w:tc>
        <w:tc>
          <w:tcPr>
            <w:tcW w:type="dxa" w:w="1468"/>
            <w:vAlign w:val="top"/>
          </w:tcPr>
          <w:p>
            <w:pPr>
              <w:spacing w:after="60" w:line="259" w:lineRule="auto"/>
            </w:pPr>
            <w:r>
              <w:rPr>
                <w:rFonts w:ascii="Calibri" w:hAnsi="Calibri"/>
                <w:b w:val="0"/>
                <w:i w:val="0"/>
                <w:color w:val="212121"/>
                <w:sz w:val="19"/>
              </w:rPr>
              <w:t>Additive with dust for emphysema and COPD</w:t>
            </w:r>
          </w:p>
          <w:p>
            <w:pPr>
              <w:spacing w:after="40" w:line="252" w:lineRule="auto"/>
            </w:pPr>
            <w:hyperlink r:id="rId15">
              <w:r>
                <w:rPr>
                  <w:rFonts w:ascii="Calibri" w:hAnsi="Calibri" w:cs="Calibri"/>
                  <w:sz w:val="18"/>
                  <w:color w:val="1155CC"/>
                  <w:u w:val="single"/>
                </w:rPr>
                <w:t xml:space="preserve">https://www.atsjournals.org/doi/full/10.1164/rccm.200806-840OC</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FEV1 / FVC ratio (spirometry)</w:t>
            </w:r>
          </w:p>
        </w:tc>
        <w:tc>
          <w:tcPr>
            <w:tcW w:type="dxa" w:w="1655"/>
            <w:vAlign w:val="top"/>
          </w:tcPr>
          <w:p>
            <w:pPr>
              <w:spacing w:after="40" w:before="0" w:line="259" w:lineRule="auto"/>
            </w:pPr>
            <w:r>
              <w:rPr>
                <w:rFonts w:ascii="Calibri" w:hAnsi="Calibri"/>
                <w:b w:val="0"/>
                <w:i w:val="0"/>
                <w:color w:val="212121"/>
                <w:sz w:val="19"/>
              </w:rPr>
              <w:t>Miners with symptoms</w:t>
            </w:r>
          </w:p>
        </w:tc>
        <w:tc>
          <w:tcPr>
            <w:tcW w:type="dxa" w:w="1512"/>
            <w:vAlign w:val="top"/>
          </w:tcPr>
          <w:p>
            <w:pPr>
              <w:spacing w:after="40" w:before="0" w:line="259" w:lineRule="auto"/>
            </w:pPr>
            <w:r>
              <w:rPr>
                <w:rFonts w:ascii="Calibri" w:hAnsi="Calibri"/>
                <w:b w:val="0"/>
                <w:i w:val="0"/>
                <w:color w:val="212121"/>
                <w:sz w:val="19"/>
              </w:rPr>
              <w:t>≥ 0.70</w:t>
            </w:r>
          </w:p>
        </w:tc>
        <w:tc>
          <w:tcPr>
            <w:tcW w:type="dxa" w:w="1512"/>
            <w:vAlign w:val="top"/>
          </w:tcPr>
          <w:p>
            <w:pPr>
              <w:spacing w:after="40" w:before="0" w:line="259" w:lineRule="auto"/>
            </w:pPr>
            <w:r>
              <w:rPr>
                <w:rFonts w:ascii="Calibri" w:hAnsi="Calibri"/>
                <w:b w:val="0"/>
                <w:i w:val="0"/>
                <w:color w:val="212121"/>
                <w:sz w:val="19"/>
              </w:rPr>
              <w:t>&lt; 0.70 (airflow obstruction)</w:t>
            </w:r>
          </w:p>
        </w:tc>
        <w:tc>
          <w:tcPr>
            <w:tcW w:type="dxa" w:w="1468"/>
            <w:vAlign w:val="top"/>
          </w:tcPr>
          <w:p>
            <w:pPr>
              <w:spacing w:after="60" w:line="259" w:lineRule="auto"/>
            </w:pPr>
            <w:r>
              <w:rPr>
                <w:rFonts w:ascii="Calibri" w:hAnsi="Calibri"/>
                <w:b w:val="0"/>
                <w:i w:val="0"/>
                <w:color w:val="212121"/>
                <w:sz w:val="19"/>
              </w:rPr>
              <w:t>Detects coal-dust COPD; may occur without radiographic CWP</w:t>
            </w:r>
          </w:p>
          <w:p>
            <w:pPr>
              <w:spacing w:after="40" w:line="252" w:lineRule="auto"/>
            </w:pPr>
            <w:hyperlink r:id="rId11">
              <w:r>
                <w:rPr>
                  <w:rFonts w:ascii="Calibri" w:hAnsi="Calibri" w:cs="Calibri"/>
                  <w:sz w:val="18"/>
                  <w:color w:val="1155CC"/>
                  <w:u w:val="single"/>
                </w:rPr>
                <w:t xml:space="preserve">https://journalofcomprehensivehealth.co.in/health-status-of-the-coal-mine-workers-in-an-open-cast-mine-of-eastern-india/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FEV1 (% predicted)</w:t>
            </w:r>
          </w:p>
        </w:tc>
        <w:tc>
          <w:tcPr>
            <w:tcW w:type="dxa" w:w="1655"/>
            <w:vAlign w:val="top"/>
          </w:tcPr>
          <w:p>
            <w:pPr>
              <w:spacing w:after="40" w:before="0" w:line="259" w:lineRule="auto"/>
            </w:pPr>
            <w:r>
              <w:rPr>
                <w:rFonts w:ascii="Calibri" w:hAnsi="Calibri"/>
                <w:b w:val="0"/>
                <w:i w:val="0"/>
                <w:color w:val="212121"/>
                <w:sz w:val="19"/>
              </w:rPr>
              <w:t>Exposed workers on surveillance</w:t>
            </w:r>
          </w:p>
        </w:tc>
        <w:tc>
          <w:tcPr>
            <w:tcW w:type="dxa" w:w="1512"/>
            <w:vAlign w:val="top"/>
          </w:tcPr>
          <w:p>
            <w:pPr>
              <w:spacing w:after="40" w:before="0" w:line="259" w:lineRule="auto"/>
            </w:pPr>
            <w:r>
              <w:rPr>
                <w:rFonts w:ascii="Calibri" w:hAnsi="Calibri"/>
                <w:b w:val="0"/>
                <w:i w:val="0"/>
                <w:color w:val="212121"/>
                <w:sz w:val="19"/>
              </w:rPr>
              <w:t>≥ 80% predicted</w:t>
            </w:r>
          </w:p>
        </w:tc>
        <w:tc>
          <w:tcPr>
            <w:tcW w:type="dxa" w:w="1512"/>
            <w:vAlign w:val="top"/>
          </w:tcPr>
          <w:p>
            <w:pPr>
              <w:spacing w:after="40" w:before="0" w:line="259" w:lineRule="auto"/>
            </w:pPr>
            <w:r>
              <w:rPr>
                <w:rFonts w:ascii="Calibri" w:hAnsi="Calibri"/>
                <w:b w:val="0"/>
                <w:i w:val="0"/>
                <w:color w:val="212121"/>
                <w:sz w:val="19"/>
              </w:rPr>
              <w:t>&lt; 80% predicted</w:t>
            </w:r>
          </w:p>
        </w:tc>
        <w:tc>
          <w:tcPr>
            <w:tcW w:type="dxa" w:w="1468"/>
            <w:vAlign w:val="top"/>
          </w:tcPr>
          <w:p>
            <w:pPr>
              <w:spacing w:after="60" w:line="259" w:lineRule="auto"/>
            </w:pPr>
            <w:r>
              <w:rPr>
                <w:rFonts w:ascii="Calibri" w:hAnsi="Calibri"/>
                <w:b w:val="0"/>
                <w:i w:val="0"/>
                <w:color w:val="212121"/>
                <w:sz w:val="19"/>
              </w:rPr>
              <w:t>17.6% of an Indian mine cohort had borderline FEV1 70–80%</w:t>
            </w:r>
          </w:p>
          <w:p>
            <w:pPr>
              <w:spacing w:after="40" w:line="252" w:lineRule="auto"/>
            </w:pPr>
            <w:hyperlink r:id="rId11">
              <w:r>
                <w:rPr>
                  <w:rFonts w:ascii="Calibri" w:hAnsi="Calibri" w:cs="Calibri"/>
                  <w:sz w:val="18"/>
                  <w:color w:val="1155CC"/>
                  <w:u w:val="single"/>
                </w:rPr>
                <w:t xml:space="preserve">https://journalofcomprehensivehealth.co.in/health-status-of-the-coal-mine-workers-in-an-open-cast-mine-of-eastern-india/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DLCO (% predicted)</w:t>
            </w:r>
          </w:p>
        </w:tc>
        <w:tc>
          <w:tcPr>
            <w:tcW w:type="dxa" w:w="1655"/>
            <w:vAlign w:val="top"/>
          </w:tcPr>
          <w:p>
            <w:pPr>
              <w:spacing w:after="40" w:before="0" w:line="259" w:lineRule="auto"/>
            </w:pPr>
            <w:r>
              <w:rPr>
                <w:rFonts w:ascii="Calibri" w:hAnsi="Calibri"/>
                <w:b w:val="0"/>
                <w:i w:val="0"/>
                <w:color w:val="212121"/>
                <w:sz w:val="19"/>
              </w:rPr>
              <w:t>Symptomatic / advanced disease</w:t>
            </w:r>
          </w:p>
        </w:tc>
        <w:tc>
          <w:tcPr>
            <w:tcW w:type="dxa" w:w="1512"/>
            <w:vAlign w:val="top"/>
          </w:tcPr>
          <w:p>
            <w:pPr>
              <w:spacing w:after="40" w:before="0" w:line="259" w:lineRule="auto"/>
            </w:pPr>
            <w:r>
              <w:rPr>
                <w:rFonts w:ascii="Calibri" w:hAnsi="Calibri"/>
                <w:b w:val="0"/>
                <w:i w:val="0"/>
                <w:color w:val="212121"/>
                <w:sz w:val="19"/>
              </w:rPr>
              <w:t>≥ 80% predicted</w:t>
            </w:r>
          </w:p>
        </w:tc>
        <w:tc>
          <w:tcPr>
            <w:tcW w:type="dxa" w:w="1512"/>
            <w:vAlign w:val="top"/>
          </w:tcPr>
          <w:p>
            <w:pPr>
              <w:spacing w:after="40" w:before="0" w:line="259" w:lineRule="auto"/>
            </w:pPr>
            <w:r>
              <w:rPr>
                <w:rFonts w:ascii="Calibri" w:hAnsi="Calibri"/>
                <w:b w:val="0"/>
                <w:i w:val="0"/>
                <w:color w:val="212121"/>
                <w:sz w:val="19"/>
              </w:rPr>
              <w:t>&lt; 80% predicted</w:t>
            </w:r>
          </w:p>
        </w:tc>
        <w:tc>
          <w:tcPr>
            <w:tcW w:type="dxa" w:w="1468"/>
            <w:vAlign w:val="top"/>
          </w:tcPr>
          <w:p>
            <w:pPr>
              <w:spacing w:after="60" w:line="259" w:lineRule="auto"/>
            </w:pPr>
            <w:r>
              <w:rPr>
                <w:rFonts w:ascii="Calibri" w:hAnsi="Calibri"/>
                <w:b w:val="0"/>
                <w:i w:val="0"/>
                <w:color w:val="212121"/>
                <w:sz w:val="19"/>
              </w:rPr>
              <w:t>Impaired diffusion may precede radiographic change</w:t>
            </w:r>
          </w:p>
          <w:p>
            <w:pPr>
              <w:spacing w:after="40" w:line="252" w:lineRule="auto"/>
            </w:pPr>
            <w:hyperlink r:id="rId10">
              <w:r>
                <w:rPr>
                  <w:rFonts w:ascii="Calibri" w:hAnsi="Calibri" w:cs="Calibri"/>
                  <w:sz w:val="18"/>
                  <w:color w:val="1155CC"/>
                  <w:u w:val="single"/>
                </w:rPr>
                <w:t xml:space="preserve">https://www.merckmanuals.com/professional/pulmonary-disorders/environmental-and-occupational-pulmonary-diseases/coal-worker-pneumoconiosis</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ILO profusion category (CXR)</w:t>
            </w:r>
          </w:p>
        </w:tc>
        <w:tc>
          <w:tcPr>
            <w:tcW w:type="dxa" w:w="1655"/>
            <w:vAlign w:val="top"/>
          </w:tcPr>
          <w:p>
            <w:pPr>
              <w:spacing w:after="40" w:before="0" w:line="259" w:lineRule="auto"/>
            </w:pPr>
            <w:r>
              <w:rPr>
                <w:rFonts w:ascii="Calibri" w:hAnsi="Calibri"/>
                <w:b w:val="0"/>
                <w:i w:val="0"/>
                <w:color w:val="212121"/>
                <w:sz w:val="19"/>
              </w:rPr>
              <w:t>Screened miners</w:t>
            </w:r>
          </w:p>
        </w:tc>
        <w:tc>
          <w:tcPr>
            <w:tcW w:type="dxa" w:w="1512"/>
            <w:vAlign w:val="top"/>
          </w:tcPr>
          <w:p>
            <w:pPr>
              <w:spacing w:after="40" w:before="0" w:line="259" w:lineRule="auto"/>
            </w:pPr>
            <w:r>
              <w:rPr>
                <w:rFonts w:ascii="Calibri" w:hAnsi="Calibri"/>
                <w:b w:val="0"/>
                <w:i w:val="0"/>
                <w:color w:val="212121"/>
                <w:sz w:val="19"/>
              </w:rPr>
              <w:t>0/0 – 0/1</w:t>
            </w:r>
          </w:p>
        </w:tc>
        <w:tc>
          <w:tcPr>
            <w:tcW w:type="dxa" w:w="1512"/>
            <w:vAlign w:val="top"/>
          </w:tcPr>
          <w:p>
            <w:pPr>
              <w:spacing w:after="40" w:before="0" w:line="259" w:lineRule="auto"/>
            </w:pPr>
            <w:r>
              <w:rPr>
                <w:rFonts w:ascii="Calibri" w:hAnsi="Calibri"/>
                <w:b w:val="0"/>
                <w:i w:val="0"/>
                <w:color w:val="212121"/>
                <w:sz w:val="19"/>
              </w:rPr>
              <w:t>≥ 1/0 (small opacities present)</w:t>
            </w:r>
          </w:p>
        </w:tc>
        <w:tc>
          <w:tcPr>
            <w:tcW w:type="dxa" w:w="1468"/>
            <w:vAlign w:val="top"/>
          </w:tcPr>
          <w:p>
            <w:pPr>
              <w:spacing w:after="60" w:line="259" w:lineRule="auto"/>
            </w:pPr>
            <w:r>
              <w:rPr>
                <w:rFonts w:ascii="Calibri" w:hAnsi="Calibri"/>
                <w:b w:val="0"/>
                <w:i w:val="0"/>
                <w:color w:val="212121"/>
                <w:sz w:val="19"/>
              </w:rPr>
              <w:t>Standardised radiographic grading of simple CWP severity</w:t>
            </w:r>
          </w:p>
          <w:p>
            <w:pPr>
              <w:spacing w:after="40" w:line="252" w:lineRule="auto"/>
            </w:pPr>
            <w:hyperlink r:id="rId18">
              <w:r>
                <w:rPr>
                  <w:rFonts w:ascii="Calibri" w:hAnsi="Calibri" w:cs="Calibri"/>
                  <w:sz w:val="18"/>
                  <w:color w:val="1155CC"/>
                  <w:u w:val="single"/>
                </w:rPr>
                <w:t xml:space="preserve">https://www.cdc.gov/niosh/chestradiography/php/ilo-classification/index.html</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Resting SpO₂ (pulse oximetry)</w:t>
            </w:r>
          </w:p>
        </w:tc>
        <w:tc>
          <w:tcPr>
            <w:tcW w:type="dxa" w:w="1655"/>
            <w:vAlign w:val="top"/>
          </w:tcPr>
          <w:p>
            <w:pPr>
              <w:spacing w:after="40" w:before="0" w:line="259" w:lineRule="auto"/>
            </w:pPr>
            <w:r>
              <w:rPr>
                <w:rFonts w:ascii="Calibri" w:hAnsi="Calibri"/>
                <w:b w:val="0"/>
                <w:i w:val="0"/>
                <w:color w:val="212121"/>
                <w:sz w:val="19"/>
              </w:rPr>
              <w:t>Advanced CWP/PMF</w:t>
            </w:r>
          </w:p>
        </w:tc>
        <w:tc>
          <w:tcPr>
            <w:tcW w:type="dxa" w:w="1512"/>
            <w:vAlign w:val="top"/>
          </w:tcPr>
          <w:p>
            <w:pPr>
              <w:spacing w:after="40" w:before="0" w:line="259" w:lineRule="auto"/>
            </w:pPr>
            <w:r>
              <w:rPr>
                <w:rFonts w:ascii="Calibri" w:hAnsi="Calibri"/>
                <w:b w:val="0"/>
                <w:i w:val="0"/>
                <w:color w:val="212121"/>
                <w:sz w:val="19"/>
              </w:rPr>
              <w:t>≥ 95%</w:t>
            </w:r>
          </w:p>
        </w:tc>
        <w:tc>
          <w:tcPr>
            <w:tcW w:type="dxa" w:w="1512"/>
            <w:vAlign w:val="top"/>
          </w:tcPr>
          <w:p>
            <w:pPr>
              <w:spacing w:after="40" w:before="0" w:line="259" w:lineRule="auto"/>
            </w:pPr>
            <w:r>
              <w:rPr>
                <w:rFonts w:ascii="Calibri" w:hAnsi="Calibri"/>
                <w:b w:val="0"/>
                <w:i w:val="0"/>
                <w:color w:val="212121"/>
                <w:sz w:val="19"/>
              </w:rPr>
              <w:t>&lt; 92% (hypoxaemia)</w:t>
            </w:r>
          </w:p>
        </w:tc>
        <w:tc>
          <w:tcPr>
            <w:tcW w:type="dxa" w:w="1468"/>
            <w:vAlign w:val="top"/>
          </w:tcPr>
          <w:p>
            <w:pPr>
              <w:spacing w:after="40" w:before="0" w:line="259" w:lineRule="auto"/>
            </w:pPr>
            <w:r>
              <w:rPr>
                <w:rFonts w:ascii="Calibri" w:hAnsi="Calibri"/>
                <w:b w:val="0"/>
                <w:i w:val="0"/>
                <w:color w:val="212121"/>
                <w:sz w:val="19"/>
              </w:rPr>
              <w:t>Guides oxygen therapy and screens for cor pulmonale</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Mining-community adults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&lt; 18.5 (undernutrition)</w:t>
            </w:r>
          </w:p>
        </w:tc>
        <w:tc>
          <w:tcPr>
            <w:tcW w:type="dxa" w:w="1468"/>
            <w:vAlign w:val="top"/>
          </w:tcPr>
          <w:p>
            <w:pPr>
              <w:spacing w:after="40" w:before="0" w:line="259" w:lineRule="auto"/>
            </w:pPr>
            <w:r>
              <w:rPr>
                <w:rFonts w:ascii="Calibri" w:hAnsi="Calibri"/>
                <w:b w:val="0"/>
                <w:i w:val="0"/>
                <w:color w:val="212121"/>
                <w:sz w:val="19"/>
              </w:rPr>
              <w:t>Low BMI raises tuberculosis susceptibility in dust-exposed lungs</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Workplace water-spray / wet-drilling use</w:t>
            </w:r>
          </w:p>
        </w:tc>
        <w:tc>
          <w:tcPr>
            <w:tcW w:type="dxa" w:w="1655"/>
            <w:vAlign w:val="top"/>
          </w:tcPr>
          <w:p>
            <w:pPr>
              <w:spacing w:after="40" w:before="0" w:line="259" w:lineRule="auto"/>
            </w:pPr>
            <w:r>
              <w:rPr>
                <w:rFonts w:ascii="Calibri" w:hAnsi="Calibri"/>
                <w:b w:val="0"/>
                <w:i w:val="0"/>
                <w:color w:val="212121"/>
                <w:sz w:val="19"/>
              </w:rPr>
              <w:t>Drilling &amp; cutting operations</w:t>
            </w:r>
          </w:p>
        </w:tc>
        <w:tc>
          <w:tcPr>
            <w:tcW w:type="dxa" w:w="1512"/>
            <w:vAlign w:val="top"/>
          </w:tcPr>
          <w:p>
            <w:pPr>
              <w:spacing w:after="40" w:before="0" w:line="259" w:lineRule="auto"/>
            </w:pPr>
            <w:r>
              <w:rPr>
                <w:rFonts w:ascii="Calibri" w:hAnsi="Calibri"/>
                <w:b w:val="0"/>
                <w:i w:val="0"/>
                <w:color w:val="212121"/>
                <w:sz w:val="19"/>
              </w:rPr>
              <w:t>Continuous dust suppression</w:t>
            </w:r>
          </w:p>
        </w:tc>
        <w:tc>
          <w:tcPr>
            <w:tcW w:type="dxa" w:w="1512"/>
            <w:vAlign w:val="top"/>
          </w:tcPr>
          <w:p>
            <w:pPr>
              <w:spacing w:after="40" w:before="0" w:line="259" w:lineRule="auto"/>
            </w:pPr>
            <w:r>
              <w:rPr>
                <w:rFonts w:ascii="Calibri" w:hAnsi="Calibri"/>
                <w:b w:val="0"/>
                <w:i w:val="0"/>
                <w:color w:val="212121"/>
                <w:sz w:val="19"/>
              </w:rPr>
              <w:t>Dry drilling / no suppression</w:t>
            </w:r>
          </w:p>
        </w:tc>
        <w:tc>
          <w:tcPr>
            <w:tcW w:type="dxa" w:w="1468"/>
            <w:vAlign w:val="top"/>
          </w:tcPr>
          <w:p>
            <w:pPr>
              <w:spacing w:after="40" w:before="0" w:line="259" w:lineRule="auto"/>
            </w:pPr>
            <w:r>
              <w:rPr>
                <w:rFonts w:ascii="Calibri" w:hAnsi="Calibri"/>
                <w:b w:val="0"/>
                <w:i w:val="0"/>
                <w:color w:val="212121"/>
                <w:sz w:val="19"/>
              </w:rPr>
              <w:t>Wet methods substantially cut respirable-dust generation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ILO-classified opacities &amp; profusion</w:t>
            </w:r>
          </w:p>
        </w:tc>
        <w:tc>
          <w:tcPr>
            <w:tcW w:type="dxa" w:w="892"/>
            <w:vAlign w:val="top"/>
          </w:tcPr>
          <w:p>
            <w:pPr>
              <w:spacing w:after="40" w:before="0" w:line="259" w:lineRule="auto"/>
            </w:pPr>
            <w:r>
              <w:rPr>
                <w:rFonts w:ascii="Calibri" w:hAnsi="Calibri"/>
                <w:b w:val="0"/>
                <w:i w:val="0"/>
                <w:color w:val="212121"/>
                <w:sz w:val="16"/>
              </w:rPr>
              <w:t>Chest radiograph (PA)</w:t>
            </w:r>
          </w:p>
        </w:tc>
        <w:tc>
          <w:tcPr>
            <w:tcW w:type="dxa" w:w="950"/>
            <w:vAlign w:val="top"/>
          </w:tcPr>
          <w:p>
            <w:pPr>
              <w:spacing w:after="40" w:before="0" w:line="259" w:lineRule="auto"/>
            </w:pPr>
            <w:r>
              <w:rPr>
                <w:rFonts w:ascii="Calibri" w:hAnsi="Calibri"/>
                <w:b w:val="0"/>
                <w:i w:val="0"/>
                <w:color w:val="212121"/>
                <w:sz w:val="16"/>
              </w:rPr>
              <w:t>Category 0/0–0/1; no large opacity</w:t>
            </w:r>
          </w:p>
        </w:tc>
        <w:tc>
          <w:tcPr>
            <w:tcW w:type="dxa" w:w="950"/>
            <w:vAlign w:val="top"/>
          </w:tcPr>
          <w:p>
            <w:pPr>
              <w:spacing w:after="40" w:before="0" w:line="259" w:lineRule="auto"/>
            </w:pPr>
            <w:r>
              <w:rPr>
                <w:rFonts w:ascii="Calibri" w:hAnsi="Calibri"/>
                <w:b w:val="0"/>
                <w:i w:val="0"/>
                <w:color w:val="212121"/>
                <w:sz w:val="16"/>
              </w:rPr>
              <w:t>≥ 1/0 small opacities or any large opacity &gt; 1 cm</w:t>
            </w:r>
          </w:p>
        </w:tc>
        <w:tc>
          <w:tcPr>
            <w:tcW w:type="dxa" w:w="1036"/>
            <w:vAlign w:val="top"/>
          </w:tcPr>
          <w:p>
            <w:pPr>
              <w:spacing w:after="40" w:before="0" w:line="259" w:lineRule="auto"/>
            </w:pPr>
            <w:r>
              <w:rPr>
                <w:rFonts w:ascii="Calibri" w:hAnsi="Calibri"/>
                <w:b w:val="0"/>
                <w:i w:val="0"/>
                <w:color w:val="212121"/>
                <w:sz w:val="16"/>
              </w:rPr>
              <w:t>Screening and grading of simple CWP and PMF against ILO standard films</w:t>
            </w:r>
          </w:p>
        </w:tc>
        <w:tc>
          <w:tcPr>
            <w:tcW w:type="dxa" w:w="1036"/>
            <w:vAlign w:val="top"/>
          </w:tcPr>
          <w:p>
            <w:pPr>
              <w:spacing w:after="40" w:before="0" w:line="259" w:lineRule="auto"/>
            </w:pPr>
            <w:r>
              <w:rPr>
                <w:rFonts w:ascii="Calibri" w:hAnsi="Calibri"/>
                <w:b w:val="0"/>
                <w:i w:val="0"/>
                <w:color w:val="212121"/>
                <w:sz w:val="16"/>
              </w:rPr>
              <w:t>All exposed &amp; ex-miners on surveillance</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Gold standard screening</w:t>
            </w:r>
          </w:p>
        </w:tc>
        <w:tc>
          <w:tcPr>
            <w:tcW w:type="dxa" w:w="720"/>
            <w:vAlign w:val="top"/>
          </w:tcPr>
          <w:p>
            <w:pPr>
              <w:spacing w:after="40" w:before="0" w:line="259" w:lineRule="auto"/>
            </w:pPr>
            <w:r>
              <w:rPr>
                <w:rFonts w:ascii="Calibri" w:hAnsi="Calibri"/>
                <w:b w:val="0"/>
                <w:i w:val="0"/>
                <w:color w:val="212121"/>
                <w:sz w:val="16"/>
              </w:rPr>
              <w:t>Use B-reader / standardised classification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Micronodules, coalescence, emphysema</w:t>
            </w:r>
          </w:p>
        </w:tc>
        <w:tc>
          <w:tcPr>
            <w:tcW w:type="dxa" w:w="892"/>
            <w:vAlign w:val="top"/>
          </w:tcPr>
          <w:p>
            <w:pPr>
              <w:spacing w:after="40" w:before="0" w:line="259" w:lineRule="auto"/>
            </w:pPr>
            <w:r>
              <w:rPr>
                <w:rFonts w:ascii="Calibri" w:hAnsi="Calibri"/>
                <w:b w:val="0"/>
                <w:i w:val="0"/>
                <w:color w:val="212121"/>
                <w:sz w:val="16"/>
              </w:rPr>
              <w:t>HRCT chest</w:t>
            </w:r>
          </w:p>
        </w:tc>
        <w:tc>
          <w:tcPr>
            <w:tcW w:type="dxa" w:w="950"/>
            <w:vAlign w:val="top"/>
          </w:tcPr>
          <w:p>
            <w:pPr>
              <w:spacing w:after="40" w:before="0" w:line="259" w:lineRule="auto"/>
            </w:pPr>
            <w:r>
              <w:rPr>
                <w:rFonts w:ascii="Calibri" w:hAnsi="Calibri"/>
                <w:b w:val="0"/>
                <w:i w:val="0"/>
                <w:color w:val="212121"/>
                <w:sz w:val="16"/>
              </w:rPr>
              <w:t>No nodular/fibrotic change</w:t>
            </w:r>
          </w:p>
        </w:tc>
        <w:tc>
          <w:tcPr>
            <w:tcW w:type="dxa" w:w="950"/>
            <w:vAlign w:val="top"/>
          </w:tcPr>
          <w:p>
            <w:pPr>
              <w:spacing w:after="40" w:before="0" w:line="259" w:lineRule="auto"/>
            </w:pPr>
            <w:r>
              <w:rPr>
                <w:rFonts w:ascii="Calibri" w:hAnsi="Calibri"/>
                <w:b w:val="0"/>
                <w:i w:val="0"/>
                <w:color w:val="212121"/>
                <w:sz w:val="16"/>
              </w:rPr>
              <w:t>Upper-zone micronodules, PMF masses, emphysema</w:t>
            </w:r>
          </w:p>
        </w:tc>
        <w:tc>
          <w:tcPr>
            <w:tcW w:type="dxa" w:w="1036"/>
            <w:vAlign w:val="top"/>
          </w:tcPr>
          <w:p>
            <w:pPr>
              <w:spacing w:after="40" w:before="0" w:line="259" w:lineRule="auto"/>
            </w:pPr>
            <w:r>
              <w:rPr>
                <w:rFonts w:ascii="Calibri" w:hAnsi="Calibri"/>
                <w:b w:val="0"/>
                <w:i w:val="0"/>
                <w:color w:val="212121"/>
                <w:sz w:val="16"/>
              </w:rPr>
              <w:t>More sensitive than CXR for early disease, PMF and coexisting malignancy</w:t>
            </w:r>
          </w:p>
        </w:tc>
        <w:tc>
          <w:tcPr>
            <w:tcW w:type="dxa" w:w="1036"/>
            <w:vAlign w:val="top"/>
          </w:tcPr>
          <w:p>
            <w:pPr>
              <w:spacing w:after="40" w:before="0" w:line="259" w:lineRule="auto"/>
            </w:pPr>
            <w:r>
              <w:rPr>
                <w:rFonts w:ascii="Calibri" w:hAnsi="Calibri"/>
                <w:b w:val="0"/>
                <w:i w:val="0"/>
                <w:color w:val="212121"/>
                <w:sz w:val="16"/>
              </w:rPr>
              <w:t>Symptomatic miners, CXR-abnormal, PMF workup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 sensitivity</w:t>
            </w:r>
          </w:p>
        </w:tc>
        <w:tc>
          <w:tcPr>
            <w:tcW w:type="dxa" w:w="720"/>
            <w:vAlign w:val="top"/>
          </w:tcPr>
          <w:p>
            <w:pPr>
              <w:spacing w:after="40" w:before="0" w:line="259" w:lineRule="auto"/>
            </w:pPr>
            <w:r>
              <w:rPr>
                <w:rFonts w:ascii="Calibri" w:hAnsi="Calibri"/>
                <w:b w:val="0"/>
                <w:i w:val="0"/>
                <w:color w:val="212121"/>
                <w:sz w:val="16"/>
              </w:rPr>
              <w:t>Also characterises emphysema/complications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Pulmonary function</w:t>
            </w:r>
          </w:p>
        </w:tc>
        <w:tc>
          <w:tcPr>
            <w:tcW w:type="dxa" w:w="1036"/>
            <w:vAlign w:val="top"/>
          </w:tcPr>
          <w:p>
            <w:pPr>
              <w:spacing w:after="40" w:before="0" w:line="259" w:lineRule="auto"/>
            </w:pPr>
            <w:r>
              <w:rPr>
                <w:rFonts w:ascii="Calibri" w:hAnsi="Calibri"/>
                <w:b w:val="0"/>
                <w:i w:val="0"/>
                <w:color w:val="212121"/>
                <w:sz w:val="16"/>
              </w:rPr>
              <w:t>FEV1, FVC, FEV1/FVC</w:t>
            </w:r>
          </w:p>
        </w:tc>
        <w:tc>
          <w:tcPr>
            <w:tcW w:type="dxa" w:w="892"/>
            <w:vAlign w:val="top"/>
          </w:tcPr>
          <w:p>
            <w:pPr>
              <w:spacing w:after="40" w:before="0" w:line="259" w:lineRule="auto"/>
            </w:pPr>
            <w:r>
              <w:rPr>
                <w:rFonts w:ascii="Calibri" w:hAnsi="Calibri"/>
                <w:b w:val="0"/>
                <w:i w:val="0"/>
                <w:color w:val="212121"/>
                <w:sz w:val="16"/>
              </w:rPr>
              <w:t>Spirometry</w:t>
            </w:r>
          </w:p>
        </w:tc>
        <w:tc>
          <w:tcPr>
            <w:tcW w:type="dxa" w:w="950"/>
            <w:vAlign w:val="top"/>
          </w:tcPr>
          <w:p>
            <w:pPr>
              <w:spacing w:after="40" w:before="0" w:line="259" w:lineRule="auto"/>
            </w:pPr>
            <w:r>
              <w:rPr>
                <w:rFonts w:ascii="Calibri" w:hAnsi="Calibri"/>
                <w:b w:val="0"/>
                <w:i w:val="0"/>
                <w:color w:val="212121"/>
                <w:sz w:val="16"/>
              </w:rPr>
              <w:t>FEV1/FVC ≥ 0.70; FEV1 ≥ 80%</w:t>
            </w:r>
          </w:p>
        </w:tc>
        <w:tc>
          <w:tcPr>
            <w:tcW w:type="dxa" w:w="950"/>
            <w:vAlign w:val="top"/>
          </w:tcPr>
          <w:p>
            <w:pPr>
              <w:spacing w:after="40" w:before="0" w:line="259" w:lineRule="auto"/>
            </w:pPr>
            <w:r>
              <w:rPr>
                <w:rFonts w:ascii="Calibri" w:hAnsi="Calibri"/>
                <w:b w:val="0"/>
                <w:i w:val="0"/>
                <w:color w:val="212121"/>
                <w:sz w:val="16"/>
              </w:rPr>
              <w:t>Obstructive, restrictive or mixed defect</w:t>
            </w:r>
          </w:p>
        </w:tc>
        <w:tc>
          <w:tcPr>
            <w:tcW w:type="dxa" w:w="1036"/>
            <w:vAlign w:val="top"/>
          </w:tcPr>
          <w:p>
            <w:pPr>
              <w:spacing w:after="40" w:before="0" w:line="259" w:lineRule="auto"/>
            </w:pPr>
            <w:r>
              <w:rPr>
                <w:rFonts w:ascii="Calibri" w:hAnsi="Calibri"/>
                <w:b w:val="0"/>
                <w:i w:val="0"/>
                <w:color w:val="212121"/>
                <w:sz w:val="16"/>
              </w:rPr>
              <w:t>Quantifies functional impairment and dust-related COPD</w:t>
            </w:r>
          </w:p>
        </w:tc>
        <w:tc>
          <w:tcPr>
            <w:tcW w:type="dxa" w:w="1036"/>
            <w:vAlign w:val="top"/>
          </w:tcPr>
          <w:p>
            <w:pPr>
              <w:spacing w:after="40" w:before="0" w:line="259" w:lineRule="auto"/>
            </w:pPr>
            <w:r>
              <w:rPr>
                <w:rFonts w:ascii="Calibri" w:hAnsi="Calibri"/>
                <w:b w:val="0"/>
                <w:i w:val="0"/>
                <w:color w:val="212121"/>
                <w:sz w:val="16"/>
              </w:rPr>
              <w:t>All symptomatic &amp; surveillance miners</w:t>
            </w:r>
          </w:p>
        </w:tc>
        <w:tc>
          <w:tcPr>
            <w:tcW w:type="dxa" w:w="720"/>
            <w:vAlign w:val="top"/>
          </w:tcPr>
          <w:p>
            <w:pPr>
              <w:spacing w:after="40" w:before="0" w:line="259" w:lineRule="auto"/>
            </w:pPr>
            <w:r>
              <w:rPr>
                <w:rFonts w:ascii="Calibri" w:hAnsi="Calibri"/>
                <w:b w:val="0"/>
                <w:i w:val="0"/>
                <w:color w:val="212121"/>
                <w:sz w:val="16"/>
              </w:rPr>
              <w:t>Physical activity; Smoking</w:t>
            </w:r>
          </w:p>
        </w:tc>
        <w:tc>
          <w:tcPr>
            <w:tcW w:type="dxa" w:w="720"/>
            <w:vAlign w:val="top"/>
          </w:tcPr>
          <w:p>
            <w:pPr>
              <w:spacing w:after="40" w:before="0" w:line="259" w:lineRule="auto"/>
            </w:pPr>
            <w:r>
              <w:rPr>
                <w:rFonts w:ascii="Calibri" w:hAnsi="Calibri"/>
                <w:b w:val="0"/>
                <w:i w:val="0"/>
                <w:color w:val="212121"/>
                <w:sz w:val="16"/>
              </w:rPr>
              <w:t>Functional staging</w:t>
            </w:r>
          </w:p>
        </w:tc>
        <w:tc>
          <w:tcPr>
            <w:tcW w:type="dxa" w:w="720"/>
            <w:vAlign w:val="top"/>
          </w:tcPr>
          <w:p>
            <w:pPr>
              <w:spacing w:after="40" w:before="0" w:line="259" w:lineRule="auto"/>
            </w:pPr>
            <w:r>
              <w:rPr>
                <w:rFonts w:ascii="Calibri" w:hAnsi="Calibri"/>
                <w:b w:val="0"/>
                <w:i w:val="0"/>
                <w:color w:val="212121"/>
                <w:sz w:val="16"/>
              </w:rPr>
              <w:t>Compare against baseline over time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Pulmonary function</w:t>
            </w:r>
          </w:p>
        </w:tc>
        <w:tc>
          <w:tcPr>
            <w:tcW w:type="dxa" w:w="1036"/>
            <w:vAlign w:val="top"/>
          </w:tcPr>
          <w:p>
            <w:pPr>
              <w:spacing w:after="40" w:before="0" w:line="259" w:lineRule="auto"/>
            </w:pPr>
            <w:r>
              <w:rPr>
                <w:rFonts w:ascii="Calibri" w:hAnsi="Calibri"/>
                <w:b w:val="0"/>
                <w:i w:val="0"/>
                <w:color w:val="212121"/>
                <w:sz w:val="16"/>
              </w:rPr>
              <w:t>Diffusing capacity</w:t>
            </w:r>
          </w:p>
        </w:tc>
        <w:tc>
          <w:tcPr>
            <w:tcW w:type="dxa" w:w="892"/>
            <w:vAlign w:val="top"/>
          </w:tcPr>
          <w:p>
            <w:pPr>
              <w:spacing w:after="40" w:before="0" w:line="259" w:lineRule="auto"/>
            </w:pPr>
            <w:r>
              <w:rPr>
                <w:rFonts w:ascii="Calibri" w:hAnsi="Calibri"/>
                <w:b w:val="0"/>
                <w:i w:val="0"/>
                <w:color w:val="212121"/>
                <w:sz w:val="16"/>
              </w:rPr>
              <w:t>DLCO</w:t>
            </w:r>
          </w:p>
        </w:tc>
        <w:tc>
          <w:tcPr>
            <w:tcW w:type="dxa" w:w="950"/>
            <w:vAlign w:val="top"/>
          </w:tcPr>
          <w:p>
            <w:pPr>
              <w:spacing w:after="40" w:before="0" w:line="259" w:lineRule="auto"/>
            </w:pPr>
            <w:r>
              <w:rPr>
                <w:rFonts w:ascii="Calibri" w:hAnsi="Calibri"/>
                <w:b w:val="0"/>
                <w:i w:val="0"/>
                <w:color w:val="212121"/>
                <w:sz w:val="16"/>
              </w:rPr>
              <w:t>≥ 80% predicted</w:t>
            </w:r>
          </w:p>
        </w:tc>
        <w:tc>
          <w:tcPr>
            <w:tcW w:type="dxa" w:w="950"/>
            <w:vAlign w:val="top"/>
          </w:tcPr>
          <w:p>
            <w:pPr>
              <w:spacing w:after="40" w:before="0" w:line="259" w:lineRule="auto"/>
            </w:pPr>
            <w:r>
              <w:rPr>
                <w:rFonts w:ascii="Calibri" w:hAnsi="Calibri"/>
                <w:b w:val="0"/>
                <w:i w:val="0"/>
                <w:color w:val="212121"/>
                <w:sz w:val="16"/>
              </w:rPr>
              <w:t>&lt; 80% predicted</w:t>
            </w:r>
          </w:p>
        </w:tc>
        <w:tc>
          <w:tcPr>
            <w:tcW w:type="dxa" w:w="1036"/>
            <w:vAlign w:val="top"/>
          </w:tcPr>
          <w:p>
            <w:pPr>
              <w:spacing w:after="40" w:before="0" w:line="259" w:lineRule="auto"/>
            </w:pPr>
            <w:r>
              <w:rPr>
                <w:rFonts w:ascii="Calibri" w:hAnsi="Calibri"/>
                <w:b w:val="0"/>
                <w:i w:val="0"/>
                <w:color w:val="212121"/>
                <w:sz w:val="16"/>
              </w:rPr>
              <w:t>Impaired gas transfer; may precede radiographic change</w:t>
            </w:r>
          </w:p>
        </w:tc>
        <w:tc>
          <w:tcPr>
            <w:tcW w:type="dxa" w:w="1036"/>
            <w:vAlign w:val="top"/>
          </w:tcPr>
          <w:p>
            <w:pPr>
              <w:spacing w:after="40" w:before="0" w:line="259" w:lineRule="auto"/>
            </w:pPr>
            <w:r>
              <w:rPr>
                <w:rFonts w:ascii="Calibri" w:hAnsi="Calibri"/>
                <w:b w:val="0"/>
                <w:i w:val="0"/>
                <w:color w:val="212121"/>
                <w:sz w:val="16"/>
              </w:rPr>
              <w:t>Symptomatic / advanced disease</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Early detection</w:t>
            </w:r>
          </w:p>
        </w:tc>
        <w:tc>
          <w:tcPr>
            <w:tcW w:type="dxa" w:w="720"/>
            <w:vAlign w:val="top"/>
          </w:tcPr>
          <w:p>
            <w:pPr>
              <w:spacing w:after="40" w:before="0" w:line="259" w:lineRule="auto"/>
            </w:pPr>
            <w:r>
              <w:rPr>
                <w:rFonts w:ascii="Calibri" w:hAnsi="Calibri"/>
                <w:b w:val="0"/>
                <w:i w:val="0"/>
                <w:color w:val="212121"/>
                <w:sz w:val="16"/>
              </w:rPr>
              <w:t>Low DLCO suggests emphysema/PMF</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Blood gas / oximetry</w:t>
            </w:r>
          </w:p>
        </w:tc>
        <w:tc>
          <w:tcPr>
            <w:tcW w:type="dxa" w:w="1036"/>
            <w:vAlign w:val="top"/>
          </w:tcPr>
          <w:p>
            <w:pPr>
              <w:spacing w:after="40" w:before="0" w:line="259" w:lineRule="auto"/>
            </w:pPr>
            <w:r>
              <w:rPr>
                <w:rFonts w:ascii="Calibri" w:hAnsi="Calibri"/>
                <w:b w:val="0"/>
                <w:i w:val="0"/>
                <w:color w:val="212121"/>
                <w:sz w:val="16"/>
              </w:rPr>
              <w:t>SpO₂, PaO₂, PaCO₂</w:t>
            </w:r>
          </w:p>
        </w:tc>
        <w:tc>
          <w:tcPr>
            <w:tcW w:type="dxa" w:w="892"/>
            <w:vAlign w:val="top"/>
          </w:tcPr>
          <w:p>
            <w:pPr>
              <w:spacing w:after="40" w:before="0" w:line="259" w:lineRule="auto"/>
            </w:pPr>
            <w:r>
              <w:rPr>
                <w:rFonts w:ascii="Calibri" w:hAnsi="Calibri"/>
                <w:b w:val="0"/>
                <w:i w:val="0"/>
                <w:color w:val="212121"/>
                <w:sz w:val="16"/>
              </w:rPr>
              <w:t>Pulse oximetry / ABG</w:t>
            </w:r>
          </w:p>
        </w:tc>
        <w:tc>
          <w:tcPr>
            <w:tcW w:type="dxa" w:w="950"/>
            <w:vAlign w:val="top"/>
          </w:tcPr>
          <w:p>
            <w:pPr>
              <w:spacing w:after="40" w:before="0" w:line="259" w:lineRule="auto"/>
            </w:pPr>
            <w:r>
              <w:rPr>
                <w:rFonts w:ascii="Calibri" w:hAnsi="Calibri"/>
                <w:b w:val="0"/>
                <w:i w:val="0"/>
                <w:color w:val="212121"/>
                <w:sz w:val="16"/>
              </w:rPr>
              <w:t>SpO₂ ≥ 95%</w:t>
            </w:r>
          </w:p>
        </w:tc>
        <w:tc>
          <w:tcPr>
            <w:tcW w:type="dxa" w:w="950"/>
            <w:vAlign w:val="top"/>
          </w:tcPr>
          <w:p>
            <w:pPr>
              <w:spacing w:after="40" w:before="0" w:line="259" w:lineRule="auto"/>
            </w:pPr>
            <w:r>
              <w:rPr>
                <w:rFonts w:ascii="Calibri" w:hAnsi="Calibri"/>
                <w:b w:val="0"/>
                <w:i w:val="0"/>
                <w:color w:val="212121"/>
                <w:sz w:val="16"/>
              </w:rPr>
              <w:t>SpO₂ &lt; 92%; hypoxaemia ± hypercapnia</w:t>
            </w:r>
          </w:p>
        </w:tc>
        <w:tc>
          <w:tcPr>
            <w:tcW w:type="dxa" w:w="1036"/>
            <w:vAlign w:val="top"/>
          </w:tcPr>
          <w:p>
            <w:pPr>
              <w:spacing w:after="40" w:before="0" w:line="259" w:lineRule="auto"/>
            </w:pPr>
            <w:r>
              <w:rPr>
                <w:rFonts w:ascii="Calibri" w:hAnsi="Calibri"/>
                <w:b w:val="0"/>
                <w:i w:val="0"/>
                <w:color w:val="212121"/>
                <w:sz w:val="16"/>
              </w:rPr>
              <w:t>Detects respiratory failure and need for oxygen</w:t>
            </w:r>
          </w:p>
        </w:tc>
        <w:tc>
          <w:tcPr>
            <w:tcW w:type="dxa" w:w="1036"/>
            <w:vAlign w:val="top"/>
          </w:tcPr>
          <w:p>
            <w:pPr>
              <w:spacing w:after="40" w:before="0" w:line="259" w:lineRule="auto"/>
            </w:pPr>
            <w:r>
              <w:rPr>
                <w:rFonts w:ascii="Calibri" w:hAnsi="Calibri"/>
                <w:b w:val="0"/>
                <w:i w:val="0"/>
                <w:color w:val="212121"/>
                <w:sz w:val="16"/>
              </w:rPr>
              <w:t>Advanced CWP/PMF, cor pulmonale</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Guides oxygen therapy</w:t>
            </w:r>
          </w:p>
        </w:tc>
        <w:tc>
          <w:tcPr>
            <w:tcW w:type="dxa" w:w="720"/>
            <w:vAlign w:val="top"/>
          </w:tcPr>
          <w:p>
            <w:pPr>
              <w:spacing w:after="40" w:before="0" w:line="259" w:lineRule="auto"/>
            </w:pPr>
            <w:r>
              <w:rPr>
                <w:rFonts w:ascii="Calibri" w:hAnsi="Calibri"/>
                <w:b w:val="0"/>
                <w:i w:val="0"/>
                <w:color w:val="212121"/>
                <w:sz w:val="16"/>
              </w:rPr>
              <w:t>Hypercapnia predicts poor outcome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AFB smear / CBNAAT (GeneXpert)</w:t>
            </w:r>
          </w:p>
        </w:tc>
        <w:tc>
          <w:tcPr>
            <w:tcW w:type="dxa" w:w="892"/>
            <w:vAlign w:val="top"/>
          </w:tcPr>
          <w:p>
            <w:pPr>
              <w:spacing w:after="40" w:before="0" w:line="259" w:lineRule="auto"/>
            </w:pPr>
            <w:r>
              <w:rPr>
                <w:rFonts w:ascii="Calibri" w:hAnsi="Calibri"/>
                <w:b w:val="0"/>
                <w:i w:val="0"/>
                <w:color w:val="212121"/>
                <w:sz w:val="16"/>
              </w:rPr>
              <w:t>Sputum for tuberculosis</w:t>
            </w:r>
          </w:p>
        </w:tc>
        <w:tc>
          <w:tcPr>
            <w:tcW w:type="dxa" w:w="950"/>
            <w:vAlign w:val="top"/>
          </w:tcPr>
          <w:p>
            <w:pPr>
              <w:spacing w:after="40" w:before="0" w:line="259" w:lineRule="auto"/>
            </w:pPr>
            <w:r>
              <w:rPr>
                <w:rFonts w:ascii="Calibri" w:hAnsi="Calibri"/>
                <w:b w:val="0"/>
                <w:i w:val="0"/>
                <w:color w:val="212121"/>
                <w:sz w:val="16"/>
              </w:rPr>
              <w:t>No mycobacteria detected</w:t>
            </w:r>
          </w:p>
        </w:tc>
        <w:tc>
          <w:tcPr>
            <w:tcW w:type="dxa" w:w="950"/>
            <w:vAlign w:val="top"/>
          </w:tcPr>
          <w:p>
            <w:pPr>
              <w:spacing w:after="40" w:before="0" w:line="259" w:lineRule="auto"/>
            </w:pPr>
            <w:r>
              <w:rPr>
                <w:rFonts w:ascii="Calibri" w:hAnsi="Calibri"/>
                <w:b w:val="0"/>
                <w:i w:val="0"/>
                <w:color w:val="212121"/>
                <w:sz w:val="16"/>
              </w:rPr>
              <w:t>AFB or MTB-positive</w:t>
            </w:r>
          </w:p>
        </w:tc>
        <w:tc>
          <w:tcPr>
            <w:tcW w:type="dxa" w:w="1036"/>
            <w:vAlign w:val="top"/>
          </w:tcPr>
          <w:p>
            <w:pPr>
              <w:spacing w:after="40" w:before="0" w:line="259" w:lineRule="auto"/>
            </w:pPr>
            <w:r>
              <w:rPr>
                <w:rFonts w:ascii="Calibri" w:hAnsi="Calibri"/>
                <w:b w:val="0"/>
                <w:i w:val="0"/>
                <w:color w:val="212121"/>
                <w:sz w:val="16"/>
              </w:rPr>
              <w:t>Excludes/confirms (silico-)tuberculosis mimicking or complicating PMF</w:t>
            </w:r>
          </w:p>
        </w:tc>
        <w:tc>
          <w:tcPr>
            <w:tcW w:type="dxa" w:w="1036"/>
            <w:vAlign w:val="top"/>
          </w:tcPr>
          <w:p>
            <w:pPr>
              <w:spacing w:after="40" w:before="0" w:line="259" w:lineRule="auto"/>
            </w:pPr>
            <w:r>
              <w:rPr>
                <w:rFonts w:ascii="Calibri" w:hAnsi="Calibri"/>
                <w:b w:val="0"/>
                <w:i w:val="0"/>
                <w:color w:val="212121"/>
                <w:sz w:val="16"/>
              </w:rPr>
              <w:t>Miners with fever, weight loss, haemoptysis or new masses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 in India</w:t>
            </w:r>
          </w:p>
        </w:tc>
        <w:tc>
          <w:tcPr>
            <w:tcW w:type="dxa" w:w="720"/>
            <w:vAlign w:val="top"/>
          </w:tcPr>
          <w:p>
            <w:pPr>
              <w:spacing w:after="40" w:before="0" w:line="259" w:lineRule="auto"/>
            </w:pPr>
            <w:r>
              <w:rPr>
                <w:rFonts w:ascii="Calibri" w:hAnsi="Calibri"/>
                <w:b w:val="0"/>
                <w:i w:val="0"/>
                <w:color w:val="212121"/>
                <w:sz w:val="16"/>
              </w:rPr>
              <w:t>High TB risk in dust-exposed miners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Environmental</w:t>
            </w:r>
          </w:p>
        </w:tc>
        <w:tc>
          <w:tcPr>
            <w:tcW w:type="dxa" w:w="1036"/>
            <w:vAlign w:val="top"/>
          </w:tcPr>
          <w:p>
            <w:pPr>
              <w:spacing w:after="40" w:before="0" w:line="259" w:lineRule="auto"/>
            </w:pPr>
            <w:r>
              <w:rPr>
                <w:rFonts w:ascii="Calibri" w:hAnsi="Calibri"/>
                <w:b w:val="0"/>
                <w:i w:val="0"/>
                <w:color w:val="212121"/>
                <w:sz w:val="16"/>
              </w:rPr>
              <w:t>Respirable dust &amp; free-silica</w:t>
            </w:r>
          </w:p>
        </w:tc>
        <w:tc>
          <w:tcPr>
            <w:tcW w:type="dxa" w:w="892"/>
            <w:vAlign w:val="top"/>
          </w:tcPr>
          <w:p>
            <w:pPr>
              <w:spacing w:after="40" w:before="0" w:line="259" w:lineRule="auto"/>
            </w:pPr>
            <w:r>
              <w:rPr>
                <w:rFonts w:ascii="Calibri" w:hAnsi="Calibri"/>
                <w:b w:val="0"/>
                <w:i w:val="0"/>
                <w:color w:val="212121"/>
                <w:sz w:val="16"/>
              </w:rPr>
              <w:t>Personal/area dust monitoring</w:t>
            </w:r>
          </w:p>
        </w:tc>
        <w:tc>
          <w:tcPr>
            <w:tcW w:type="dxa" w:w="950"/>
            <w:vAlign w:val="top"/>
          </w:tcPr>
          <w:p>
            <w:pPr>
              <w:spacing w:after="40" w:before="0" w:line="259" w:lineRule="auto"/>
            </w:pPr>
            <w:r>
              <w:rPr>
                <w:rFonts w:ascii="Calibri" w:hAnsi="Calibri"/>
                <w:b w:val="0"/>
                <w:i w:val="0"/>
                <w:color w:val="212121"/>
                <w:sz w:val="16"/>
              </w:rPr>
              <w:t>≤ 3 mg/m³ (&lt; 5% silica)</w:t>
            </w:r>
          </w:p>
        </w:tc>
        <w:tc>
          <w:tcPr>
            <w:tcW w:type="dxa" w:w="950"/>
            <w:vAlign w:val="top"/>
          </w:tcPr>
          <w:p>
            <w:pPr>
              <w:spacing w:after="40" w:before="0" w:line="259" w:lineRule="auto"/>
            </w:pPr>
            <w:r>
              <w:rPr>
                <w:rFonts w:ascii="Calibri" w:hAnsi="Calibri"/>
                <w:b w:val="0"/>
                <w:i w:val="0"/>
                <w:color w:val="212121"/>
                <w:sz w:val="16"/>
              </w:rPr>
              <w:t>&gt; 3 mg/m³ or silica ≥ 5%</w:t>
            </w:r>
          </w:p>
        </w:tc>
        <w:tc>
          <w:tcPr>
            <w:tcW w:type="dxa" w:w="1036"/>
            <w:vAlign w:val="top"/>
          </w:tcPr>
          <w:p>
            <w:pPr>
              <w:spacing w:after="40" w:before="0" w:line="259" w:lineRule="auto"/>
            </w:pPr>
            <w:r>
              <w:rPr>
                <w:rFonts w:ascii="Calibri" w:hAnsi="Calibri"/>
                <w:b w:val="0"/>
                <w:i w:val="0"/>
                <w:color w:val="212121"/>
                <w:sz w:val="16"/>
              </w:rPr>
              <w:t>Verifies exposure and drives engineering controls</w:t>
            </w:r>
          </w:p>
        </w:tc>
        <w:tc>
          <w:tcPr>
            <w:tcW w:type="dxa" w:w="1036"/>
            <w:vAlign w:val="top"/>
          </w:tcPr>
          <w:p>
            <w:pPr>
              <w:spacing w:after="40" w:before="0" w:line="259" w:lineRule="auto"/>
            </w:pPr>
            <w:r>
              <w:rPr>
                <w:rFonts w:ascii="Calibri" w:hAnsi="Calibri"/>
                <w:b w:val="0"/>
                <w:i w:val="0"/>
                <w:color w:val="212121"/>
                <w:sz w:val="16"/>
              </w:rPr>
              <w:t>Work zones: face, transport, crusher</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Prevention</w:t>
            </w:r>
          </w:p>
        </w:tc>
        <w:tc>
          <w:tcPr>
            <w:tcW w:type="dxa" w:w="720"/>
            <w:vAlign w:val="top"/>
          </w:tcPr>
          <w:p>
            <w:pPr>
              <w:spacing w:after="40" w:before="0" w:line="259" w:lineRule="auto"/>
            </w:pPr>
            <w:r>
              <w:rPr>
                <w:rFonts w:ascii="Calibri" w:hAnsi="Calibri"/>
                <w:b w:val="0"/>
                <w:i w:val="0"/>
                <w:color w:val="212121"/>
                <w:sz w:val="16"/>
              </w:rPr>
              <w:t>DGMS statutory limits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 / serology</w:t>
            </w:r>
          </w:p>
        </w:tc>
        <w:tc>
          <w:tcPr>
            <w:tcW w:type="dxa" w:w="1036"/>
            <w:vAlign w:val="top"/>
          </w:tcPr>
          <w:p>
            <w:pPr>
              <w:spacing w:after="40" w:before="0" w:line="259" w:lineRule="auto"/>
            </w:pPr>
            <w:r>
              <w:rPr>
                <w:rFonts w:ascii="Calibri" w:hAnsi="Calibri"/>
                <w:b w:val="0"/>
                <w:i w:val="0"/>
                <w:color w:val="212121"/>
                <w:sz w:val="16"/>
              </w:rPr>
              <w:t>CBC, ESR, rheumatoid factor</w:t>
            </w:r>
          </w:p>
        </w:tc>
        <w:tc>
          <w:tcPr>
            <w:tcW w:type="dxa" w:w="892"/>
            <w:vAlign w:val="top"/>
          </w:tcPr>
          <w:p>
            <w:pPr>
              <w:spacing w:after="40" w:before="0" w:line="259" w:lineRule="auto"/>
            </w:pPr>
            <w:r>
              <w:rPr>
                <w:rFonts w:ascii="Calibri" w:hAnsi="Calibri"/>
                <w:b w:val="0"/>
                <w:i w:val="0"/>
                <w:color w:val="212121"/>
                <w:sz w:val="16"/>
              </w:rPr>
              <w:t>Blood panel</w:t>
            </w:r>
          </w:p>
        </w:tc>
        <w:tc>
          <w:tcPr>
            <w:tcW w:type="dxa" w:w="950"/>
            <w:vAlign w:val="top"/>
          </w:tcPr>
          <w:p>
            <w:pPr>
              <w:spacing w:after="40" w:before="0" w:line="259" w:lineRule="auto"/>
            </w:pPr>
            <w:r>
              <w:rPr>
                <w:rFonts w:ascii="Calibri" w:hAnsi="Calibri"/>
                <w:b w:val="0"/>
                <w:i w:val="0"/>
                <w:color w:val="212121"/>
                <w:sz w:val="16"/>
              </w:rPr>
              <w:t>Normal indices; RF negative</w:t>
            </w:r>
          </w:p>
        </w:tc>
        <w:tc>
          <w:tcPr>
            <w:tcW w:type="dxa" w:w="950"/>
            <w:vAlign w:val="top"/>
          </w:tcPr>
          <w:p>
            <w:pPr>
              <w:spacing w:after="40" w:before="0" w:line="259" w:lineRule="auto"/>
            </w:pPr>
            <w:r>
              <w:rPr>
                <w:rFonts w:ascii="Calibri" w:hAnsi="Calibri"/>
                <w:b w:val="0"/>
                <w:i w:val="0"/>
                <w:color w:val="212121"/>
                <w:sz w:val="16"/>
              </w:rPr>
              <w:t>Polycythaemia (chronic hypoxia); RF+ with nodules</w:t>
            </w:r>
          </w:p>
        </w:tc>
        <w:tc>
          <w:tcPr>
            <w:tcW w:type="dxa" w:w="1036"/>
            <w:vAlign w:val="top"/>
          </w:tcPr>
          <w:p>
            <w:pPr>
              <w:spacing w:after="40" w:before="0" w:line="259" w:lineRule="auto"/>
            </w:pPr>
            <w:r>
              <w:rPr>
                <w:rFonts w:ascii="Calibri" w:hAnsi="Calibri"/>
                <w:b w:val="0"/>
                <w:i w:val="0"/>
                <w:color w:val="212121"/>
                <w:sz w:val="16"/>
              </w:rPr>
              <w:t>Detects hypoxic polycythaemia and Caplan syndrome</w:t>
            </w:r>
          </w:p>
        </w:tc>
        <w:tc>
          <w:tcPr>
            <w:tcW w:type="dxa" w:w="1036"/>
            <w:vAlign w:val="top"/>
          </w:tcPr>
          <w:p>
            <w:pPr>
              <w:spacing w:after="40" w:before="0" w:line="259" w:lineRule="auto"/>
            </w:pPr>
            <w:r>
              <w:rPr>
                <w:rFonts w:ascii="Calibri" w:hAnsi="Calibri"/>
                <w:b w:val="0"/>
                <w:i w:val="0"/>
                <w:color w:val="212121"/>
                <w:sz w:val="16"/>
              </w:rPr>
              <w:t>Advanced disease; miners with arthritis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Complication screen</w:t>
            </w:r>
          </w:p>
        </w:tc>
        <w:tc>
          <w:tcPr>
            <w:tcW w:type="dxa" w:w="720"/>
            <w:vAlign w:val="top"/>
          </w:tcPr>
          <w:p>
            <w:pPr>
              <w:spacing w:after="40" w:before="0" w:line="259" w:lineRule="auto"/>
            </w:pPr>
            <w:r>
              <w:rPr>
                <w:rFonts w:ascii="Calibri" w:hAnsi="Calibri"/>
                <w:b w:val="0"/>
                <w:i w:val="0"/>
                <w:color w:val="212121"/>
                <w:sz w:val="16"/>
              </w:rPr>
              <w:t>RF+ suggests Caplan syndrome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w:t>
            </w:r>
          </w:p>
        </w:tc>
        <w:tc>
          <w:tcPr>
            <w:tcW w:type="dxa" w:w="1036"/>
            <w:vAlign w:val="top"/>
          </w:tcPr>
          <w:p>
            <w:pPr>
              <w:spacing w:after="40" w:before="0" w:line="259" w:lineRule="auto"/>
            </w:pPr>
            <w:r>
              <w:rPr>
                <w:rFonts w:ascii="Calibri" w:hAnsi="Calibri"/>
                <w:b w:val="0"/>
                <w:i w:val="0"/>
                <w:color w:val="212121"/>
                <w:sz w:val="16"/>
              </w:rPr>
              <w:t>RV strain / pulmonary pressures</w:t>
            </w:r>
          </w:p>
        </w:tc>
        <w:tc>
          <w:tcPr>
            <w:tcW w:type="dxa" w:w="892"/>
            <w:vAlign w:val="top"/>
          </w:tcPr>
          <w:p>
            <w:pPr>
              <w:spacing w:after="40" w:before="0" w:line="259" w:lineRule="auto"/>
            </w:pPr>
            <w:r>
              <w:rPr>
                <w:rFonts w:ascii="Calibri" w:hAnsi="Calibri"/>
                <w:b w:val="0"/>
                <w:i w:val="0"/>
                <w:color w:val="212121"/>
                <w:sz w:val="16"/>
              </w:rPr>
              <w:t>ECG &amp; echocardiography</w:t>
            </w:r>
          </w:p>
        </w:tc>
        <w:tc>
          <w:tcPr>
            <w:tcW w:type="dxa" w:w="950"/>
            <w:vAlign w:val="top"/>
          </w:tcPr>
          <w:p>
            <w:pPr>
              <w:spacing w:after="40" w:before="0" w:line="259" w:lineRule="auto"/>
            </w:pPr>
            <w:r>
              <w:rPr>
                <w:rFonts w:ascii="Calibri" w:hAnsi="Calibri"/>
                <w:b w:val="0"/>
                <w:i w:val="0"/>
                <w:color w:val="212121"/>
                <w:sz w:val="16"/>
              </w:rPr>
              <w:t>No RV strain; normal PASP</w:t>
            </w:r>
          </w:p>
        </w:tc>
        <w:tc>
          <w:tcPr>
            <w:tcW w:type="dxa" w:w="950"/>
            <w:vAlign w:val="top"/>
          </w:tcPr>
          <w:p>
            <w:pPr>
              <w:spacing w:after="40" w:before="0" w:line="259" w:lineRule="auto"/>
            </w:pPr>
            <w:r>
              <w:rPr>
                <w:rFonts w:ascii="Calibri" w:hAnsi="Calibri"/>
                <w:b w:val="0"/>
                <w:i w:val="0"/>
                <w:color w:val="212121"/>
                <w:sz w:val="16"/>
              </w:rPr>
              <w:t>RV hypertrophy, elevated pulmonary pressures</w:t>
            </w:r>
          </w:p>
        </w:tc>
        <w:tc>
          <w:tcPr>
            <w:tcW w:type="dxa" w:w="1036"/>
            <w:vAlign w:val="top"/>
          </w:tcPr>
          <w:p>
            <w:pPr>
              <w:spacing w:after="40" w:before="0" w:line="259" w:lineRule="auto"/>
            </w:pPr>
            <w:r>
              <w:rPr>
                <w:rFonts w:ascii="Calibri" w:hAnsi="Calibri"/>
                <w:b w:val="0"/>
                <w:i w:val="0"/>
                <w:color w:val="212121"/>
                <w:sz w:val="16"/>
              </w:rPr>
              <w:t>Identifies pulmonary hypertension and cor pulmonale</w:t>
            </w:r>
          </w:p>
        </w:tc>
        <w:tc>
          <w:tcPr>
            <w:tcW w:type="dxa" w:w="1036"/>
            <w:vAlign w:val="top"/>
          </w:tcPr>
          <w:p>
            <w:pPr>
              <w:spacing w:after="40" w:before="0" w:line="259" w:lineRule="auto"/>
            </w:pPr>
            <w:r>
              <w:rPr>
                <w:rFonts w:ascii="Calibri" w:hAnsi="Calibri"/>
                <w:b w:val="0"/>
                <w:i w:val="0"/>
                <w:color w:val="212121"/>
                <w:sz w:val="16"/>
              </w:rPr>
              <w:t>Advanced CWP/PMF with hypoxaemia</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Loud P2, oedema clinically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Occupational history</w:t>
            </w:r>
          </w:p>
        </w:tc>
        <w:tc>
          <w:tcPr>
            <w:tcW w:type="dxa" w:w="979"/>
            <w:vAlign w:val="top"/>
          </w:tcPr>
          <w:p>
            <w:pPr>
              <w:spacing w:after="40" w:before="0" w:line="259" w:lineRule="auto"/>
            </w:pPr>
            <w:r>
              <w:rPr>
                <w:rFonts w:ascii="Calibri" w:hAnsi="Calibri"/>
                <w:b w:val="0"/>
                <w:i w:val="0"/>
                <w:color w:val="212121"/>
                <w:sz w:val="16"/>
              </w:rPr>
              <w:t>Years mined, job, mine type, dust control</w:t>
            </w:r>
          </w:p>
        </w:tc>
        <w:tc>
          <w:tcPr>
            <w:tcW w:type="dxa" w:w="950"/>
            <w:vAlign w:val="top"/>
          </w:tcPr>
          <w:p>
            <w:pPr>
              <w:spacing w:after="40" w:before="0" w:line="259" w:lineRule="auto"/>
            </w:pPr>
            <w:r>
              <w:rPr>
                <w:rFonts w:ascii="Calibri" w:hAnsi="Calibri"/>
                <w:b w:val="0"/>
                <w:i w:val="0"/>
                <w:color w:val="212121"/>
                <w:sz w:val="16"/>
              </w:rPr>
              <w:t>No/short dust exposure</w:t>
            </w:r>
          </w:p>
        </w:tc>
        <w:tc>
          <w:tcPr>
            <w:tcW w:type="dxa" w:w="950"/>
            <w:vAlign w:val="top"/>
          </w:tcPr>
          <w:p>
            <w:pPr>
              <w:spacing w:after="40" w:before="0" w:line="259" w:lineRule="auto"/>
            </w:pPr>
            <w:r>
              <w:rPr>
                <w:rFonts w:ascii="Calibri" w:hAnsi="Calibri"/>
                <w:b w:val="0"/>
                <w:i w:val="0"/>
                <w:color w:val="212121"/>
                <w:sz w:val="16"/>
              </w:rPr>
              <w:t>≥ 10 years' respirable coal-dust exposure</w:t>
            </w:r>
          </w:p>
        </w:tc>
        <w:tc>
          <w:tcPr>
            <w:tcW w:type="dxa" w:w="1036"/>
            <w:vAlign w:val="top"/>
          </w:tcPr>
          <w:p>
            <w:pPr>
              <w:spacing w:after="40" w:before="0" w:line="259" w:lineRule="auto"/>
            </w:pPr>
            <w:r>
              <w:rPr>
                <w:rFonts w:ascii="Calibri" w:hAnsi="Calibri"/>
                <w:b w:val="0"/>
                <w:i w:val="0"/>
                <w:color w:val="212121"/>
                <w:sz w:val="16"/>
              </w:rPr>
              <w:t>Establishes exposure and latency — the cornerstone of diagnosis</w:t>
            </w:r>
          </w:p>
        </w:tc>
        <w:tc>
          <w:tcPr>
            <w:tcW w:type="dxa" w:w="1036"/>
            <w:vAlign w:val="top"/>
          </w:tcPr>
          <w:p>
            <w:pPr>
              <w:spacing w:after="40" w:before="0" w:line="259" w:lineRule="auto"/>
            </w:pPr>
            <w:r>
              <w:rPr>
                <w:rFonts w:ascii="Calibri" w:hAnsi="Calibri"/>
                <w:b w:val="0"/>
                <w:i w:val="0"/>
                <w:color w:val="212121"/>
                <w:sz w:val="16"/>
              </w:rPr>
              <w:t>All miners &amp; ex-miners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Diagnostic cornerstone</w:t>
            </w:r>
          </w:p>
        </w:tc>
        <w:tc>
          <w:tcPr>
            <w:tcW w:type="dxa" w:w="720"/>
            <w:vAlign w:val="top"/>
          </w:tcPr>
          <w:p>
            <w:pPr>
              <w:spacing w:after="40" w:before="0" w:line="259" w:lineRule="auto"/>
            </w:pPr>
            <w:r>
              <w:rPr>
                <w:rFonts w:ascii="Calibri" w:hAnsi="Calibri"/>
                <w:b w:val="0"/>
                <w:i w:val="0"/>
                <w:color w:val="212121"/>
                <w:sz w:val="16"/>
              </w:rPr>
              <w:t>Record coalfield and PPE use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Respiratory symptoms</w:t>
            </w:r>
          </w:p>
        </w:tc>
        <w:tc>
          <w:tcPr>
            <w:tcW w:type="dxa" w:w="979"/>
            <w:vAlign w:val="top"/>
          </w:tcPr>
          <w:p>
            <w:pPr>
              <w:spacing w:after="40" w:before="0" w:line="259" w:lineRule="auto"/>
            </w:pPr>
            <w:r>
              <w:rPr>
                <w:rFonts w:ascii="Calibri" w:hAnsi="Calibri"/>
                <w:b w:val="0"/>
                <w:i w:val="0"/>
                <w:color w:val="212121"/>
                <w:sz w:val="16"/>
              </w:rPr>
              <w:t>Cough, sputum (± black), dyspnoea (mMRC)</w:t>
            </w:r>
          </w:p>
        </w:tc>
        <w:tc>
          <w:tcPr>
            <w:tcW w:type="dxa" w:w="950"/>
            <w:vAlign w:val="top"/>
          </w:tcPr>
          <w:p>
            <w:pPr>
              <w:spacing w:after="40" w:before="0" w:line="259" w:lineRule="auto"/>
            </w:pPr>
            <w:r>
              <w:rPr>
                <w:rFonts w:ascii="Calibri" w:hAnsi="Calibri"/>
                <w:b w:val="0"/>
                <w:i w:val="0"/>
                <w:color w:val="212121"/>
                <w:sz w:val="16"/>
              </w:rPr>
              <w:t>No respiratory symptoms</w:t>
            </w:r>
          </w:p>
        </w:tc>
        <w:tc>
          <w:tcPr>
            <w:tcW w:type="dxa" w:w="950"/>
            <w:vAlign w:val="top"/>
          </w:tcPr>
          <w:p>
            <w:pPr>
              <w:spacing w:after="40" w:before="0" w:line="259" w:lineRule="auto"/>
            </w:pPr>
            <w:r>
              <w:rPr>
                <w:rFonts w:ascii="Calibri" w:hAnsi="Calibri"/>
                <w:b w:val="0"/>
                <w:i w:val="0"/>
                <w:color w:val="212121"/>
                <w:sz w:val="16"/>
              </w:rPr>
              <w:t>Chronic cough/sputum, progressive dyspnoea</w:t>
            </w:r>
          </w:p>
        </w:tc>
        <w:tc>
          <w:tcPr>
            <w:tcW w:type="dxa" w:w="1036"/>
            <w:vAlign w:val="top"/>
          </w:tcPr>
          <w:p>
            <w:pPr>
              <w:spacing w:after="40" w:before="0" w:line="259" w:lineRule="auto"/>
            </w:pPr>
            <w:r>
              <w:rPr>
                <w:rFonts w:ascii="Calibri" w:hAnsi="Calibri"/>
                <w:b w:val="0"/>
                <w:i w:val="0"/>
                <w:color w:val="212121"/>
                <w:sz w:val="16"/>
              </w:rPr>
              <w:t>Graded breathlessness tracks functional impairment</w:t>
            </w:r>
          </w:p>
        </w:tc>
        <w:tc>
          <w:tcPr>
            <w:tcW w:type="dxa" w:w="1036"/>
            <w:vAlign w:val="top"/>
          </w:tcPr>
          <w:p>
            <w:pPr>
              <w:spacing w:after="40" w:before="0" w:line="259" w:lineRule="auto"/>
            </w:pPr>
            <w:r>
              <w:rPr>
                <w:rFonts w:ascii="Calibri" w:hAnsi="Calibri"/>
                <w:b w:val="0"/>
                <w:i w:val="0"/>
                <w:color w:val="212121"/>
                <w:sz w:val="16"/>
              </w:rPr>
              <w:t>Symptomatic miners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Melanoptysis suggests advanced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Smoking history</w:t>
            </w:r>
          </w:p>
        </w:tc>
        <w:tc>
          <w:tcPr>
            <w:tcW w:type="dxa" w:w="979"/>
            <w:vAlign w:val="top"/>
          </w:tcPr>
          <w:p>
            <w:pPr>
              <w:spacing w:after="40" w:before="0" w:line="259" w:lineRule="auto"/>
            </w:pPr>
            <w:r>
              <w:rPr>
                <w:rFonts w:ascii="Calibri" w:hAnsi="Calibri"/>
                <w:b w:val="0"/>
                <w:i w:val="0"/>
                <w:color w:val="212121"/>
                <w:sz w:val="16"/>
              </w:rPr>
              <w:t>Pack-years / bidi use</w:t>
            </w:r>
          </w:p>
        </w:tc>
        <w:tc>
          <w:tcPr>
            <w:tcW w:type="dxa" w:w="950"/>
            <w:vAlign w:val="top"/>
          </w:tcPr>
          <w:p>
            <w:pPr>
              <w:spacing w:after="40" w:before="0" w:line="259" w:lineRule="auto"/>
            </w:pPr>
            <w:r>
              <w:rPr>
                <w:rFonts w:ascii="Calibri" w:hAnsi="Calibri"/>
                <w:b w:val="0"/>
                <w:i w:val="0"/>
                <w:color w:val="212121"/>
                <w:sz w:val="16"/>
              </w:rPr>
              <w:t>Never-smoker</w:t>
            </w:r>
          </w:p>
        </w:tc>
        <w:tc>
          <w:tcPr>
            <w:tcW w:type="dxa" w:w="950"/>
            <w:vAlign w:val="top"/>
          </w:tcPr>
          <w:p>
            <w:pPr>
              <w:spacing w:after="40" w:before="0" w:line="259" w:lineRule="auto"/>
            </w:pPr>
            <w:r>
              <w:rPr>
                <w:rFonts w:ascii="Calibri" w:hAnsi="Calibri"/>
                <w:b w:val="0"/>
                <w:i w:val="0"/>
                <w:color w:val="212121"/>
                <w:sz w:val="16"/>
              </w:rPr>
              <w:t>Current or heavy past smoking</w:t>
            </w:r>
          </w:p>
        </w:tc>
        <w:tc>
          <w:tcPr>
            <w:tcW w:type="dxa" w:w="1036"/>
            <w:vAlign w:val="top"/>
          </w:tcPr>
          <w:p>
            <w:pPr>
              <w:spacing w:after="40" w:before="0" w:line="259" w:lineRule="auto"/>
            </w:pPr>
            <w:r>
              <w:rPr>
                <w:rFonts w:ascii="Calibri" w:hAnsi="Calibri"/>
                <w:b w:val="0"/>
                <w:i w:val="0"/>
                <w:color w:val="212121"/>
                <w:sz w:val="16"/>
              </w:rPr>
              <w:t>Quantifies additive COPD/emphysema risk</w:t>
            </w:r>
          </w:p>
        </w:tc>
        <w:tc>
          <w:tcPr>
            <w:tcW w:type="dxa" w:w="1036"/>
            <w:vAlign w:val="top"/>
          </w:tcPr>
          <w:p>
            <w:pPr>
              <w:spacing w:after="40" w:before="0" w:line="259" w:lineRule="auto"/>
            </w:pPr>
            <w:r>
              <w:rPr>
                <w:rFonts w:ascii="Calibri" w:hAnsi="Calibri"/>
                <w:b w:val="0"/>
                <w:i w:val="0"/>
                <w:color w:val="212121"/>
                <w:sz w:val="16"/>
              </w:rPr>
              <w:t>Miners who smoke</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Target for cessation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Constitutional / TB screen</w:t>
            </w:r>
          </w:p>
        </w:tc>
        <w:tc>
          <w:tcPr>
            <w:tcW w:type="dxa" w:w="979"/>
            <w:vAlign w:val="top"/>
          </w:tcPr>
          <w:p>
            <w:pPr>
              <w:spacing w:after="40" w:before="0" w:line="259" w:lineRule="auto"/>
            </w:pPr>
            <w:r>
              <w:rPr>
                <w:rFonts w:ascii="Calibri" w:hAnsi="Calibri"/>
                <w:b w:val="0"/>
                <w:i w:val="0"/>
                <w:color w:val="212121"/>
                <w:sz w:val="16"/>
              </w:rPr>
              <w:t>Fever, weight loss, haemoptysis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Flags tuberculosis or malignancy needing workup</w:t>
            </w:r>
          </w:p>
        </w:tc>
        <w:tc>
          <w:tcPr>
            <w:tcW w:type="dxa" w:w="1036"/>
            <w:vAlign w:val="top"/>
          </w:tcPr>
          <w:p>
            <w:pPr>
              <w:spacing w:after="40" w:before="0" w:line="259" w:lineRule="auto"/>
            </w:pPr>
            <w:r>
              <w:rPr>
                <w:rFonts w:ascii="Calibri" w:hAnsi="Calibri"/>
                <w:b w:val="0"/>
                <w:i w:val="0"/>
                <w:color w:val="212121"/>
                <w:sz w:val="16"/>
              </w:rPr>
              <w:t>Miners with new systemic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Red-flag screening</w:t>
            </w:r>
          </w:p>
        </w:tc>
        <w:tc>
          <w:tcPr>
            <w:tcW w:type="dxa" w:w="720"/>
            <w:vAlign w:val="top"/>
          </w:tcPr>
          <w:p>
            <w:pPr>
              <w:spacing w:after="40" w:before="0" w:line="259" w:lineRule="auto"/>
            </w:pPr>
            <w:r>
              <w:rPr>
                <w:rFonts w:ascii="Calibri" w:hAnsi="Calibri"/>
                <w:b w:val="0"/>
                <w:i w:val="0"/>
                <w:color w:val="212121"/>
                <w:sz w:val="16"/>
              </w:rPr>
              <w:t>Common in Indian miners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Respiratory examination</w:t>
            </w:r>
          </w:p>
        </w:tc>
        <w:tc>
          <w:tcPr>
            <w:tcW w:type="dxa" w:w="979"/>
            <w:vAlign w:val="top"/>
          </w:tcPr>
          <w:p>
            <w:pPr>
              <w:spacing w:after="40" w:before="0" w:line="259" w:lineRule="auto"/>
            </w:pPr>
            <w:r>
              <w:rPr>
                <w:rFonts w:ascii="Calibri" w:hAnsi="Calibri"/>
                <w:b w:val="0"/>
                <w:i w:val="0"/>
                <w:color w:val="212121"/>
                <w:sz w:val="16"/>
              </w:rPr>
              <w:t>Breath sounds, crackles, wheeze, expansion</w:t>
            </w:r>
          </w:p>
        </w:tc>
        <w:tc>
          <w:tcPr>
            <w:tcW w:type="dxa" w:w="950"/>
            <w:vAlign w:val="top"/>
          </w:tcPr>
          <w:p>
            <w:pPr>
              <w:spacing w:after="40" w:before="0" w:line="259" w:lineRule="auto"/>
            </w:pPr>
            <w:r>
              <w:rPr>
                <w:rFonts w:ascii="Calibri" w:hAnsi="Calibri"/>
                <w:b w:val="0"/>
                <w:i w:val="0"/>
                <w:color w:val="212121"/>
                <w:sz w:val="16"/>
              </w:rPr>
              <w:t>Clear, normal expansion</w:t>
            </w:r>
          </w:p>
        </w:tc>
        <w:tc>
          <w:tcPr>
            <w:tcW w:type="dxa" w:w="950"/>
            <w:vAlign w:val="top"/>
          </w:tcPr>
          <w:p>
            <w:pPr>
              <w:spacing w:after="40" w:before="0" w:line="259" w:lineRule="auto"/>
            </w:pPr>
            <w:r>
              <w:rPr>
                <w:rFonts w:ascii="Calibri" w:hAnsi="Calibri"/>
                <w:b w:val="0"/>
                <w:i w:val="0"/>
                <w:color w:val="212121"/>
                <w:sz w:val="16"/>
              </w:rPr>
              <w:t>Reduced breath sounds, crackles, prolonged expiration</w:t>
            </w:r>
          </w:p>
        </w:tc>
        <w:tc>
          <w:tcPr>
            <w:tcW w:type="dxa" w:w="1036"/>
            <w:vAlign w:val="top"/>
          </w:tcPr>
          <w:p>
            <w:pPr>
              <w:spacing w:after="40" w:before="0" w:line="259" w:lineRule="auto"/>
            </w:pPr>
            <w:r>
              <w:rPr>
                <w:rFonts w:ascii="Calibri" w:hAnsi="Calibri"/>
                <w:b w:val="0"/>
                <w:i w:val="0"/>
                <w:color w:val="212121"/>
                <w:sz w:val="16"/>
              </w:rPr>
              <w:t>Reflects fibrosis, emphysema and airflow obstruction</w:t>
            </w:r>
          </w:p>
        </w:tc>
        <w:tc>
          <w:tcPr>
            <w:tcW w:type="dxa" w:w="1036"/>
            <w:vAlign w:val="top"/>
          </w:tcPr>
          <w:p>
            <w:pPr>
              <w:spacing w:after="40" w:before="0" w:line="259" w:lineRule="auto"/>
            </w:pPr>
            <w:r>
              <w:rPr>
                <w:rFonts w:ascii="Calibri" w:hAnsi="Calibri"/>
                <w:b w:val="0"/>
                <w:i w:val="0"/>
                <w:color w:val="212121"/>
                <w:sz w:val="16"/>
              </w:rPr>
              <w:t>Established CWP</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Bedside assessment</w:t>
            </w:r>
          </w:p>
        </w:tc>
        <w:tc>
          <w:tcPr>
            <w:tcW w:type="dxa" w:w="720"/>
            <w:vAlign w:val="top"/>
          </w:tcPr>
          <w:p>
            <w:pPr>
              <w:spacing w:after="40" w:before="0" w:line="259" w:lineRule="auto"/>
            </w:pPr>
            <w:r>
              <w:rPr>
                <w:rFonts w:ascii="Calibri" w:hAnsi="Calibri"/>
                <w:b w:val="0"/>
                <w:i w:val="0"/>
                <w:color w:val="212121"/>
                <w:sz w:val="16"/>
              </w:rPr>
              <w:t>May be normal in simple CWP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Signs of cor pulmonale</w:t>
            </w:r>
          </w:p>
        </w:tc>
        <w:tc>
          <w:tcPr>
            <w:tcW w:type="dxa" w:w="979"/>
            <w:vAlign w:val="top"/>
          </w:tcPr>
          <w:p>
            <w:pPr>
              <w:spacing w:after="40" w:before="0" w:line="259" w:lineRule="auto"/>
            </w:pPr>
            <w:r>
              <w:rPr>
                <w:rFonts w:ascii="Calibri" w:hAnsi="Calibri"/>
                <w:b w:val="0"/>
                <w:i w:val="0"/>
                <w:color w:val="212121"/>
                <w:sz w:val="16"/>
              </w:rPr>
              <w:t>JVP, P2, pedal oedema, hepatomegaly</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Raised JVP, loud P2, oedema</w:t>
            </w:r>
          </w:p>
        </w:tc>
        <w:tc>
          <w:tcPr>
            <w:tcW w:type="dxa" w:w="1036"/>
            <w:vAlign w:val="top"/>
          </w:tcPr>
          <w:p>
            <w:pPr>
              <w:spacing w:after="40" w:before="0" w:line="259" w:lineRule="auto"/>
            </w:pPr>
            <w:r>
              <w:rPr>
                <w:rFonts w:ascii="Calibri" w:hAnsi="Calibri"/>
                <w:b w:val="0"/>
                <w:i w:val="0"/>
                <w:color w:val="212121"/>
                <w:sz w:val="16"/>
              </w:rPr>
              <w:t>Indicates pulmonary hypertension / right-heart failure</w:t>
            </w:r>
          </w:p>
        </w:tc>
        <w:tc>
          <w:tcPr>
            <w:tcW w:type="dxa" w:w="1036"/>
            <w:vAlign w:val="top"/>
          </w:tcPr>
          <w:p>
            <w:pPr>
              <w:spacing w:after="40" w:before="0" w:line="259" w:lineRule="auto"/>
            </w:pPr>
            <w:r>
              <w:rPr>
                <w:rFonts w:ascii="Calibri" w:hAnsi="Calibri"/>
                <w:b w:val="0"/>
                <w:i w:val="0"/>
                <w:color w:val="212121"/>
                <w:sz w:val="16"/>
              </w:rPr>
              <w:t>Advanced CWP/PMF</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Late, serious sign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Oxygenation &amp; cyanosis</w:t>
            </w:r>
          </w:p>
        </w:tc>
        <w:tc>
          <w:tcPr>
            <w:tcW w:type="dxa" w:w="979"/>
            <w:vAlign w:val="top"/>
          </w:tcPr>
          <w:p>
            <w:pPr>
              <w:spacing w:after="40" w:before="0" w:line="259" w:lineRule="auto"/>
            </w:pPr>
            <w:r>
              <w:rPr>
                <w:rFonts w:ascii="Calibri" w:hAnsi="Calibri"/>
                <w:b w:val="0"/>
                <w:i w:val="0"/>
                <w:color w:val="212121"/>
                <w:sz w:val="16"/>
              </w:rPr>
              <w:t>Central cyanosis, SpO₂</w:t>
            </w:r>
          </w:p>
        </w:tc>
        <w:tc>
          <w:tcPr>
            <w:tcW w:type="dxa" w:w="950"/>
            <w:vAlign w:val="top"/>
          </w:tcPr>
          <w:p>
            <w:pPr>
              <w:spacing w:after="40" w:before="0" w:line="259" w:lineRule="auto"/>
            </w:pPr>
            <w:r>
              <w:rPr>
                <w:rFonts w:ascii="Calibri" w:hAnsi="Calibri"/>
                <w:b w:val="0"/>
                <w:i w:val="0"/>
                <w:color w:val="212121"/>
                <w:sz w:val="16"/>
              </w:rPr>
              <w:t>Pink, SpO₂ ≥ 95%</w:t>
            </w:r>
          </w:p>
        </w:tc>
        <w:tc>
          <w:tcPr>
            <w:tcW w:type="dxa" w:w="950"/>
            <w:vAlign w:val="top"/>
          </w:tcPr>
          <w:p>
            <w:pPr>
              <w:spacing w:after="40" w:before="0" w:line="259" w:lineRule="auto"/>
            </w:pPr>
            <w:r>
              <w:rPr>
                <w:rFonts w:ascii="Calibri" w:hAnsi="Calibri"/>
                <w:b w:val="0"/>
                <w:i w:val="0"/>
                <w:color w:val="212121"/>
                <w:sz w:val="16"/>
              </w:rPr>
              <w:t>Central cyanosis, SpO₂ &lt; 92%</w:t>
            </w:r>
          </w:p>
        </w:tc>
        <w:tc>
          <w:tcPr>
            <w:tcW w:type="dxa" w:w="1036"/>
            <w:vAlign w:val="top"/>
          </w:tcPr>
          <w:p>
            <w:pPr>
              <w:spacing w:after="40" w:before="0" w:line="259" w:lineRule="auto"/>
            </w:pPr>
            <w:r>
              <w:rPr>
                <w:rFonts w:ascii="Calibri" w:hAnsi="Calibri"/>
                <w:b w:val="0"/>
                <w:i w:val="0"/>
                <w:color w:val="212121"/>
                <w:sz w:val="16"/>
              </w:rPr>
              <w:t>Marks significant hypoxaemia</w:t>
            </w:r>
          </w:p>
        </w:tc>
        <w:tc>
          <w:tcPr>
            <w:tcW w:type="dxa" w:w="1036"/>
            <w:vAlign w:val="top"/>
          </w:tcPr>
          <w:p>
            <w:pPr>
              <w:spacing w:after="40" w:before="0" w:line="259" w:lineRule="auto"/>
            </w:pPr>
            <w:r>
              <w:rPr>
                <w:rFonts w:ascii="Calibri" w:hAnsi="Calibri"/>
                <w:b w:val="0"/>
                <w:i w:val="0"/>
                <w:color w:val="212121"/>
                <w:sz w:val="16"/>
              </w:rPr>
              <w:t>Advanced disease</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Triage</w:t>
            </w:r>
          </w:p>
        </w:tc>
        <w:tc>
          <w:tcPr>
            <w:tcW w:type="dxa" w:w="720"/>
            <w:vAlign w:val="top"/>
          </w:tcPr>
          <w:p>
            <w:pPr>
              <w:spacing w:after="40" w:before="0" w:line="259" w:lineRule="auto"/>
            </w:pPr>
            <w:r>
              <w:rPr>
                <w:rFonts w:ascii="Calibri" w:hAnsi="Calibri"/>
                <w:b w:val="0"/>
                <w:i w:val="0"/>
                <w:color w:val="212121"/>
                <w:sz w:val="16"/>
              </w:rPr>
              <w:t>Confirm with oximetry/ABG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Functional</w:t>
            </w:r>
          </w:p>
        </w:tc>
        <w:tc>
          <w:tcPr>
            <w:tcW w:type="dxa" w:w="950"/>
            <w:vAlign w:val="top"/>
          </w:tcPr>
          <w:p>
            <w:pPr>
              <w:spacing w:after="40" w:before="0" w:line="259" w:lineRule="auto"/>
            </w:pPr>
            <w:r>
              <w:rPr>
                <w:rFonts w:ascii="Calibri" w:hAnsi="Calibri"/>
                <w:b w:val="0"/>
                <w:i w:val="0"/>
                <w:color w:val="212121"/>
                <w:sz w:val="16"/>
              </w:rPr>
              <w:t>Exercise capacity</w:t>
            </w:r>
          </w:p>
        </w:tc>
        <w:tc>
          <w:tcPr>
            <w:tcW w:type="dxa" w:w="979"/>
            <w:vAlign w:val="top"/>
          </w:tcPr>
          <w:p>
            <w:pPr>
              <w:spacing w:after="40" w:before="0" w:line="259" w:lineRule="auto"/>
            </w:pPr>
            <w:r>
              <w:rPr>
                <w:rFonts w:ascii="Calibri" w:hAnsi="Calibri"/>
                <w:b w:val="0"/>
                <w:i w:val="0"/>
                <w:color w:val="212121"/>
                <w:sz w:val="16"/>
              </w:rPr>
              <w:t>mMRC dyspnoea, 6-minute walk distance</w:t>
            </w:r>
          </w:p>
        </w:tc>
        <w:tc>
          <w:tcPr>
            <w:tcW w:type="dxa" w:w="950"/>
            <w:vAlign w:val="top"/>
          </w:tcPr>
          <w:p>
            <w:pPr>
              <w:spacing w:after="40" w:before="0" w:line="259" w:lineRule="auto"/>
            </w:pPr>
            <w:r>
              <w:rPr>
                <w:rFonts w:ascii="Calibri" w:hAnsi="Calibri"/>
                <w:b w:val="0"/>
                <w:i w:val="0"/>
                <w:color w:val="212121"/>
                <w:sz w:val="16"/>
              </w:rPr>
              <w:t>mMRC 0–1; normal walk distance</w:t>
            </w:r>
          </w:p>
        </w:tc>
        <w:tc>
          <w:tcPr>
            <w:tcW w:type="dxa" w:w="950"/>
            <w:vAlign w:val="top"/>
          </w:tcPr>
          <w:p>
            <w:pPr>
              <w:spacing w:after="40" w:before="0" w:line="259" w:lineRule="auto"/>
            </w:pPr>
            <w:r>
              <w:rPr>
                <w:rFonts w:ascii="Calibri" w:hAnsi="Calibri"/>
                <w:b w:val="0"/>
                <w:i w:val="0"/>
                <w:color w:val="212121"/>
                <w:sz w:val="16"/>
              </w:rPr>
              <w:t>High mMRC; desaturation on 6MWT</w:t>
            </w:r>
          </w:p>
        </w:tc>
        <w:tc>
          <w:tcPr>
            <w:tcW w:type="dxa" w:w="1036"/>
            <w:vAlign w:val="top"/>
          </w:tcPr>
          <w:p>
            <w:pPr>
              <w:spacing w:after="40" w:before="0" w:line="259" w:lineRule="auto"/>
            </w:pPr>
            <w:r>
              <w:rPr>
                <w:rFonts w:ascii="Calibri" w:hAnsi="Calibri"/>
                <w:b w:val="0"/>
                <w:i w:val="0"/>
                <w:color w:val="212121"/>
                <w:sz w:val="16"/>
              </w:rPr>
              <w:t>Objective functional status for rehab and disability</w:t>
            </w:r>
          </w:p>
        </w:tc>
        <w:tc>
          <w:tcPr>
            <w:tcW w:type="dxa" w:w="1036"/>
            <w:vAlign w:val="top"/>
          </w:tcPr>
          <w:p>
            <w:pPr>
              <w:spacing w:after="40" w:before="0" w:line="259" w:lineRule="auto"/>
            </w:pPr>
            <w:r>
              <w:rPr>
                <w:rFonts w:ascii="Calibri" w:hAnsi="Calibri"/>
                <w:b w:val="0"/>
                <w:i w:val="0"/>
                <w:color w:val="212121"/>
                <w:sz w:val="16"/>
              </w:rPr>
              <w:t>Symptomatic / disability assessment</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Rehab planning</w:t>
            </w:r>
          </w:p>
        </w:tc>
        <w:tc>
          <w:tcPr>
            <w:tcW w:type="dxa" w:w="720"/>
            <w:vAlign w:val="top"/>
          </w:tcPr>
          <w:p>
            <w:pPr>
              <w:spacing w:after="40" w:before="0" w:line="259" w:lineRule="auto"/>
            </w:pPr>
            <w:r>
              <w:rPr>
                <w:rFonts w:ascii="Calibri" w:hAnsi="Calibri"/>
                <w:b w:val="0"/>
                <w:i w:val="0"/>
                <w:color w:val="212121"/>
                <w:sz w:val="16"/>
              </w:rPr>
              <w:t>Guides pulmonary rehabilitation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Exertional breathlessness (dyspnoea)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 over years; the dominant symptom as fibrosis, emphysema and airflow obstruction advance.</w:t>
            </w:r>
          </w:p>
        </w:tc>
      </w:tr>
      <w:tr>
        <w:trPr>
          <w:cantSplit/>
        </w:trPr>
        <w:tc>
          <w:tcPr>
            <w:tcW w:type="dxa" w:w="2304"/>
            <w:vAlign w:val="top"/>
          </w:tcPr>
          <w:p>
            <w:pPr>
              <w:spacing w:after="40" w:before="0" w:line="259" w:lineRule="auto"/>
            </w:pPr>
            <w:r>
              <w:rPr>
                <w:rFonts w:ascii="Calibri" w:hAnsi="Calibri"/>
                <w:b/>
                <w:i w:val="0"/>
                <w:color w:val="212121"/>
                <w:sz w:val="19"/>
              </w:rPr>
              <w:t>Chronic cough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cough from dust-induced chronic bronchitis and airway irritation.</w:t>
            </w:r>
          </w:p>
        </w:tc>
      </w:tr>
      <w:tr>
        <w:trPr>
          <w:cantSplit/>
        </w:trPr>
        <w:tc>
          <w:tcPr>
            <w:tcW w:type="dxa" w:w="2304"/>
            <w:vAlign w:val="top"/>
          </w:tcPr>
          <w:p>
            <w:pPr>
              <w:spacing w:after="40" w:before="0" w:line="259" w:lineRule="auto"/>
            </w:pPr>
            <w:r>
              <w:rPr>
                <w:rFonts w:ascii="Calibri" w:hAnsi="Calibri"/>
                <w:b/>
                <w:i w:val="0"/>
                <w:color w:val="212121"/>
                <w:sz w:val="19"/>
              </w:rPr>
              <w:t>Sputum production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Mucoid sputum; may be grey/black in advanced disease as retained coal dust is expectorated.</w:t>
            </w:r>
          </w:p>
        </w:tc>
      </w:tr>
      <w:tr>
        <w:trPr>
          <w:cantSplit/>
        </w:trPr>
        <w:tc>
          <w:tcPr>
            <w:tcW w:type="dxa" w:w="2304"/>
            <w:vAlign w:val="top"/>
          </w:tcPr>
          <w:p>
            <w:pPr>
              <w:spacing w:after="40" w:before="0" w:line="259" w:lineRule="auto"/>
            </w:pPr>
            <w:r>
              <w:rPr>
                <w:rFonts w:ascii="Calibri" w:hAnsi="Calibri"/>
                <w:b/>
                <w:i w:val="0"/>
                <w:color w:val="212121"/>
                <w:sz w:val="19"/>
              </w:rPr>
              <w:t>Chest tightness / wheeze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coexisting airflow obstruction and dust-related COPD.</w:t>
            </w:r>
          </w:p>
        </w:tc>
      </w:tr>
      <w:tr>
        <w:trPr>
          <w:cantSplit/>
        </w:trPr>
        <w:tc>
          <w:tcPr>
            <w:tcW w:type="dxa" w:w="2304"/>
            <w:vAlign w:val="top"/>
          </w:tcPr>
          <w:p>
            <w:pPr>
              <w:spacing w:after="40" w:before="0" w:line="259" w:lineRule="auto"/>
            </w:pPr>
            <w:r>
              <w:rPr>
                <w:rFonts w:ascii="Calibri" w:hAnsi="Calibri"/>
                <w:b/>
                <w:i w:val="0"/>
                <w:color w:val="212121"/>
                <w:sz w:val="19"/>
              </w:rPr>
              <w:t>Reduced exercise tolerance / 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Impaired gas exchange and ventilatory limitation reduce effort capacity.</w:t>
            </w:r>
          </w:p>
        </w:tc>
      </w:tr>
      <w:tr>
        <w:trPr>
          <w:cantSplit/>
        </w:trPr>
        <w:tc>
          <w:tcPr>
            <w:tcW w:type="dxa" w:w="2304"/>
            <w:vAlign w:val="top"/>
          </w:tcPr>
          <w:p>
            <w:pPr>
              <w:spacing w:after="40" w:before="0" w:line="259" w:lineRule="auto"/>
            </w:pPr>
            <w:r>
              <w:rPr>
                <w:rFonts w:ascii="Calibri" w:hAnsi="Calibri"/>
                <w:b/>
                <w:i w:val="0"/>
                <w:color w:val="212121"/>
                <w:sz w:val="19"/>
              </w:rPr>
              <w:t>Often asymptomatic (simple CWP)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Simple pneumoconiosis is frequently silent and detected only on surveillance chest radiographs.</w:t>
            </w:r>
          </w:p>
        </w:tc>
      </w:tr>
      <w:tr>
        <w:trPr>
          <w:cantSplit/>
        </w:trPr>
        <w:tc>
          <w:tcPr>
            <w:tcW w:type="dxa" w:w="2304"/>
            <w:vAlign w:val="top"/>
          </w:tcPr>
          <w:p>
            <w:pPr>
              <w:spacing w:after="40" w:before="0" w:line="259" w:lineRule="auto"/>
            </w:pPr>
            <w:r>
              <w:rPr>
                <w:rFonts w:ascii="Calibri" w:hAnsi="Calibri"/>
                <w:b/>
                <w:i w:val="0"/>
                <w:color w:val="212121"/>
                <w:sz w:val="19"/>
              </w:rPr>
              <w:t>Melanoptysis (black sputum)</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Expectoration of frank black material, characteristic of complicated CWP/PMF cavitation.</w:t>
            </w:r>
          </w:p>
        </w:tc>
      </w:tr>
      <w:tr>
        <w:trPr>
          <w:cantSplit/>
        </w:trPr>
        <w:tc>
          <w:tcPr>
            <w:tcW w:type="dxa" w:w="2304"/>
            <w:vAlign w:val="top"/>
          </w:tcPr>
          <w:p>
            <w:pPr>
              <w:spacing w:after="40" w:before="0" w:line="259" w:lineRule="auto"/>
            </w:pPr>
            <w:r>
              <w:rPr>
                <w:rFonts w:ascii="Calibri" w:hAnsi="Calibri"/>
                <w:b/>
                <w:i w:val="0"/>
                <w:color w:val="212121"/>
                <w:sz w:val="19"/>
              </w:rPr>
              <w:t>Haemoptysis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occur in PMF; always prompts exclusion of tuberculosis and malignancy.</w:t>
            </w:r>
          </w:p>
        </w:tc>
      </w:tr>
      <w:tr>
        <w:trPr>
          <w:cantSplit/>
        </w:trPr>
        <w:tc>
          <w:tcPr>
            <w:tcW w:type="dxa" w:w="2304"/>
            <w:vAlign w:val="top"/>
          </w:tcPr>
          <w:p>
            <w:pPr>
              <w:spacing w:after="40" w:before="0" w:line="259" w:lineRule="auto"/>
            </w:pPr>
            <w:r>
              <w:rPr>
                <w:rFonts w:ascii="Calibri" w:hAnsi="Calibri"/>
                <w:b/>
                <w:i w:val="0"/>
                <w:color w:val="212121"/>
                <w:sz w:val="19"/>
              </w:rPr>
              <w:t>Weight loss / anorexia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Raises suspicion of superimposed tuberculosis or lung cancer.</w:t>
            </w:r>
          </w:p>
        </w:tc>
      </w:tr>
      <w:tr>
        <w:trPr>
          <w:cantSplit/>
        </w:trPr>
        <w:tc>
          <w:tcPr>
            <w:tcW w:type="dxa" w:w="2304"/>
            <w:vAlign w:val="top"/>
          </w:tcPr>
          <w:p>
            <w:pPr>
              <w:spacing w:after="40" w:before="0" w:line="259" w:lineRule="auto"/>
            </w:pPr>
            <w:r>
              <w:rPr>
                <w:rFonts w:ascii="Calibri" w:hAnsi="Calibri"/>
                <w:b/>
                <w:i w:val="0"/>
                <w:color w:val="212121"/>
                <w:sz w:val="19"/>
              </w:rPr>
              <w:t>Recurrent chest infections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Impaired clearance and structural lung damage predispose to repeated infections.</w:t>
            </w:r>
          </w:p>
        </w:tc>
      </w:tr>
      <w:tr>
        <w:trPr>
          <w:cantSplit/>
        </w:trPr>
        <w:tc>
          <w:tcPr>
            <w:tcW w:type="dxa" w:w="2304"/>
            <w:vAlign w:val="top"/>
          </w:tcPr>
          <w:p>
            <w:pPr>
              <w:spacing w:after="40" w:before="0" w:line="259" w:lineRule="auto"/>
            </w:pPr>
            <w:r>
              <w:rPr>
                <w:rFonts w:ascii="Calibri" w:hAnsi="Calibri"/>
                <w:b/>
                <w:i w:val="0"/>
                <w:color w:val="212121"/>
                <w:sz w:val="19"/>
              </w:rPr>
              <w:t>Ankle / leg swelling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Sign of fluid retention from cor pulmonale in advanced disease.</w:t>
            </w:r>
          </w:p>
        </w:tc>
      </w:tr>
      <w:tr>
        <w:trPr>
          <w:cantSplit/>
        </w:trPr>
        <w:tc>
          <w:tcPr>
            <w:tcW w:type="dxa" w:w="2304"/>
            <w:vAlign w:val="top"/>
          </w:tcPr>
          <w:p>
            <w:pPr>
              <w:spacing w:after="40" w:before="0" w:line="259" w:lineRule="auto"/>
            </w:pPr>
            <w:r>
              <w:rPr>
                <w:rFonts w:ascii="Calibri" w:hAnsi="Calibri"/>
                <w:b/>
                <w:i w:val="0"/>
                <w:color w:val="212121"/>
                <w:sz w:val="19"/>
              </w:rPr>
              <w:t>Pleuritic or dull chest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accompany PMF, infection or pneumothorax.</w:t>
            </w:r>
          </w:p>
        </w:tc>
      </w:tr>
      <w:tr>
        <w:trPr>
          <w:cantSplit/>
        </w:trPr>
        <w:tc>
          <w:tcPr>
            <w:tcW w:type="dxa" w:w="2304"/>
            <w:vAlign w:val="top"/>
          </w:tcPr>
          <w:p>
            <w:pPr>
              <w:spacing w:after="40" w:before="0" w:line="259" w:lineRule="auto"/>
            </w:pPr>
            <w:r>
              <w:rPr>
                <w:rFonts w:ascii="Calibri" w:hAnsi="Calibri"/>
                <w:b/>
                <w:i w:val="0"/>
                <w:color w:val="212121"/>
                <w:sz w:val="19"/>
              </w:rPr>
              <w:t>Resting breathlessness / orthopnoea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Seen only in end-stage disease with respiratory failure or right-heart failure.</w:t>
            </w:r>
          </w:p>
        </w:tc>
      </w:tr>
      <w:tr>
        <w:trPr>
          <w:cantSplit/>
        </w:trPr>
        <w:tc>
          <w:tcPr>
            <w:tcW w:type="dxa" w:w="2304"/>
            <w:vAlign w:val="top"/>
          </w:tcPr>
          <w:p>
            <w:pPr>
              <w:spacing w:after="40" w:before="0" w:line="259" w:lineRule="auto"/>
            </w:pPr>
            <w:r>
              <w:rPr>
                <w:rFonts w:ascii="Calibri" w:hAnsi="Calibri"/>
                <w:b/>
                <w:i w:val="0"/>
                <w:color w:val="212121"/>
                <w:sz w:val="19"/>
              </w:rPr>
              <w:t>Cyanosis at rest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Indicates severe chronic hypoxaemia in advanced CWP/PMF.</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Tachypnoea / increased work of breathing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Rapid, laboured breathing with accessory-muscle use in significant disease.</w:t>
            </w:r>
          </w:p>
        </w:tc>
      </w:tr>
      <w:tr>
        <w:trPr>
          <w:cantSplit/>
        </w:trPr>
        <w:tc>
          <w:tcPr>
            <w:tcW w:type="dxa" w:w="3456"/>
            <w:vAlign w:val="top"/>
          </w:tcPr>
          <w:p>
            <w:pPr>
              <w:spacing w:after="40" w:before="0" w:line="259" w:lineRule="auto"/>
            </w:pPr>
            <w:r>
              <w:rPr>
                <w:rFonts w:ascii="Calibri" w:hAnsi="Calibri"/>
                <w:b/>
                <w:i w:val="0"/>
                <w:color w:val="212121"/>
                <w:sz w:val="19"/>
              </w:rPr>
              <w:t>Bibasal / diffuse inspiratory crackles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Auscultatory sign of interstitial fibrosis.</w:t>
            </w:r>
          </w:p>
        </w:tc>
      </w:tr>
      <w:tr>
        <w:trPr>
          <w:cantSplit/>
        </w:trPr>
        <w:tc>
          <w:tcPr>
            <w:tcW w:type="dxa" w:w="3456"/>
            <w:vAlign w:val="top"/>
          </w:tcPr>
          <w:p>
            <w:pPr>
              <w:spacing w:after="40" w:before="0" w:line="259" w:lineRule="auto"/>
            </w:pPr>
            <w:r>
              <w:rPr>
                <w:rFonts w:ascii="Calibri" w:hAnsi="Calibri"/>
                <w:b/>
                <w:i w:val="0"/>
                <w:color w:val="212121"/>
                <w:sz w:val="19"/>
              </w:rPr>
              <w:t>Reduced breath sounds &amp; prolonged expiration/wheeze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coexisting emphysema and airflow obstruction.</w:t>
            </w:r>
          </w:p>
        </w:tc>
      </w:tr>
      <w:tr>
        <w:trPr>
          <w:cantSplit/>
        </w:trPr>
        <w:tc>
          <w:tcPr>
            <w:tcW w:type="dxa" w:w="3456"/>
            <w:vAlign w:val="top"/>
          </w:tcPr>
          <w:p>
            <w:pPr>
              <w:spacing w:after="40" w:before="0" w:line="259" w:lineRule="auto"/>
            </w:pPr>
            <w:r>
              <w:rPr>
                <w:rFonts w:ascii="Calibri" w:hAnsi="Calibri"/>
                <w:b/>
                <w:i w:val="0"/>
                <w:color w:val="212121"/>
                <w:sz w:val="19"/>
              </w:rPr>
              <w:t>Low SpO₂ on pulse oximetry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hypoxaemia, especially on exertion, in advanced disease.</w:t>
            </w:r>
          </w:p>
        </w:tc>
      </w:tr>
      <w:tr>
        <w:trPr>
          <w:cantSplit/>
        </w:trPr>
        <w:tc>
          <w:tcPr>
            <w:tcW w:type="dxa" w:w="3456"/>
            <w:vAlign w:val="top"/>
          </w:tcPr>
          <w:p>
            <w:pPr>
              <w:spacing w:after="40" w:before="0" w:line="259" w:lineRule="auto"/>
            </w:pPr>
            <w:r>
              <w:rPr>
                <w:rFonts w:ascii="Calibri" w:hAnsi="Calibri"/>
                <w:b/>
                <w:i w:val="0"/>
                <w:color w:val="212121"/>
                <w:sz w:val="19"/>
              </w:rPr>
              <w:t>Reduced chest expansion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Restrictive component from extensive fibrosis/PMF.</w:t>
            </w:r>
          </w:p>
        </w:tc>
      </w:tr>
      <w:tr>
        <w:trPr>
          <w:cantSplit/>
        </w:trPr>
        <w:tc>
          <w:tcPr>
            <w:tcW w:type="dxa" w:w="3456"/>
            <w:vAlign w:val="top"/>
          </w:tcPr>
          <w:p>
            <w:pPr>
              <w:spacing w:after="40" w:before="0" w:line="259" w:lineRule="auto"/>
            </w:pPr>
            <w:r>
              <w:rPr>
                <w:rFonts w:ascii="Calibri" w:hAnsi="Calibri"/>
                <w:b/>
                <w:i w:val="0"/>
                <w:color w:val="212121"/>
                <w:sz w:val="19"/>
              </w:rPr>
              <w:t>Melanoptysis (black sputum expectorated)</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Highly characteristic of complicated CWP/PMF.</w:t>
            </w:r>
          </w:p>
        </w:tc>
      </w:tr>
      <w:tr>
        <w:trPr>
          <w:cantSplit/>
        </w:trPr>
        <w:tc>
          <w:tcPr>
            <w:tcW w:type="dxa" w:w="3456"/>
            <w:vAlign w:val="top"/>
          </w:tcPr>
          <w:p>
            <w:pPr>
              <w:spacing w:after="40" w:before="0" w:line="259" w:lineRule="auto"/>
            </w:pPr>
            <w:r>
              <w:rPr>
                <w:rFonts w:ascii="Calibri" w:hAnsi="Calibri"/>
                <w:b/>
                <w:i w:val="0"/>
                <w:color w:val="212121"/>
                <w:sz w:val="19"/>
              </w:rPr>
              <w:t>Central cyanosis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Bluish lips/tongue from severe chronic hypoxaemia.</w:t>
            </w:r>
          </w:p>
        </w:tc>
      </w:tr>
      <w:tr>
        <w:trPr>
          <w:cantSplit/>
        </w:trPr>
        <w:tc>
          <w:tcPr>
            <w:tcW w:type="dxa" w:w="3456"/>
            <w:vAlign w:val="top"/>
          </w:tcPr>
          <w:p>
            <w:pPr>
              <w:spacing w:after="40" w:before="0" w:line="259" w:lineRule="auto"/>
            </w:pPr>
            <w:r>
              <w:rPr>
                <w:rFonts w:ascii="Calibri" w:hAnsi="Calibri"/>
                <w:b/>
                <w:i w:val="0"/>
                <w:color w:val="212121"/>
                <w:sz w:val="19"/>
              </w:rPr>
              <w:t>Signs of cor pulmonale (raised JVP, loud P2, pedal oedema, hepatomegaly)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Right-heart failure secondary to pulmonary hypertension.</w:t>
            </w:r>
          </w:p>
        </w:tc>
      </w:tr>
      <w:tr>
        <w:trPr>
          <w:cantSplit/>
        </w:trPr>
        <w:tc>
          <w:tcPr>
            <w:tcW w:type="dxa" w:w="3456"/>
            <w:vAlign w:val="top"/>
          </w:tcPr>
          <w:p>
            <w:pPr>
              <w:spacing w:after="40" w:before="0" w:line="259" w:lineRule="auto"/>
            </w:pPr>
            <w:r>
              <w:rPr>
                <w:rFonts w:ascii="Calibri" w:hAnsi="Calibri"/>
                <w:b/>
                <w:i w:val="0"/>
                <w:color w:val="212121"/>
                <w:sz w:val="19"/>
              </w:rPr>
              <w:t>Weight loss / cachexia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Suggests advanced disease, tuberculosis or malignancy.</w:t>
            </w:r>
          </w:p>
        </w:tc>
      </w:tr>
      <w:tr>
        <w:trPr>
          <w:cantSplit/>
        </w:trPr>
        <w:tc>
          <w:tcPr>
            <w:tcW w:type="dxa" w:w="3456"/>
            <w:vAlign w:val="top"/>
          </w:tcPr>
          <w:p>
            <w:pPr>
              <w:spacing w:after="40" w:before="0" w:line="259" w:lineRule="auto"/>
            </w:pPr>
            <w:r>
              <w:rPr>
                <w:rFonts w:ascii="Calibri" w:hAnsi="Calibri"/>
                <w:b/>
                <w:i w:val="0"/>
                <w:color w:val="212121"/>
                <w:sz w:val="19"/>
              </w:rPr>
              <w:t>Rheumatoid nodules with joint disease (Caplan)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Multiple peripheral lung nodules with rheumatoid arthritis — Caplan syndrome.</w:t>
            </w:r>
          </w:p>
        </w:tc>
      </w:tr>
      <w:tr>
        <w:trPr>
          <w:cantSplit/>
        </w:trPr>
        <w:tc>
          <w:tcPr>
            <w:tcW w:type="dxa" w:w="3456"/>
            <w:vAlign w:val="top"/>
          </w:tcPr>
          <w:p>
            <w:pPr>
              <w:spacing w:after="40" w:before="0" w:line="259" w:lineRule="auto"/>
            </w:pPr>
            <w:r>
              <w:rPr>
                <w:rFonts w:ascii="Calibri" w:hAnsi="Calibri"/>
                <w:b/>
                <w:i w:val="0"/>
                <w:color w:val="212121"/>
                <w:sz w:val="19"/>
              </w:rPr>
              <w:t>Finger clubbing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Not typical of CWP; when present, actively search for lung cancer or another cause.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of simple CWP to complicated CWP / progressive massive fibrosis (PMF)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Dust-related chronic bronchitis and emphysema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airflow obstruction (coal-dust COPD)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Fixed restrictive/mixed ventilatory impairment</w:t>
            </w:r>
          </w:p>
        </w:tc>
        <w:tc>
          <w:tcPr>
            <w:tcW w:type="dxa" w:w="2980"/>
            <w:vAlign w:val="top"/>
          </w:tcPr>
          <w:p>
            <w:pPr>
              <w:spacing w:after="40" w:before="0" w:line="259" w:lineRule="auto"/>
            </w:pPr>
            <w:r>
              <w:rPr>
                <w:rFonts w:ascii="Calibri" w:hAnsi="Calibri"/>
                <w:b w:val="0"/>
                <w:i w:val="0"/>
                <w:color w:val="212121"/>
                <w:sz w:val="19"/>
              </w:rPr>
              <w:t>Direct fibrotic and airway consequences of retained respirable coal-mine dust; can progress after exposure stops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tuberculosis / silico-tuberculosis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lower-respiratory-tract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hypertension and cor pulmonale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Caplan syndrome (with rheumatoid arthritis)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Spontaneous pneumothorax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risk of lung cancer (higher with silica co-exposure)</w:t>
            </w:r>
          </w:p>
        </w:tc>
        <w:tc>
          <w:tcPr>
            <w:tcW w:type="dxa" w:w="2980"/>
            <w:vAlign w:val="top"/>
          </w:tcPr>
          <w:p>
            <w:pPr>
              <w:spacing w:after="40" w:before="0" w:line="259" w:lineRule="auto"/>
            </w:pPr>
            <w:r>
              <w:rPr>
                <w:rFonts w:ascii="Calibri" w:hAnsi="Calibri"/>
                <w:b w:val="0"/>
                <w:i w:val="0"/>
                <w:color w:val="212121"/>
                <w:sz w:val="19"/>
              </w:rPr>
              <w:t>Arise from impaired immune clearance, chronic hypoxaemia and structural lung damage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respiratory failure requiring long-term oxygen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Right-heart failure (decompensated cor pulmonale)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lung disease / lung-transplant candidacy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disability and loss of livelihood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death</w:t>
            </w:r>
          </w:p>
        </w:tc>
        <w:tc>
          <w:tcPr>
            <w:tcW w:type="dxa" w:w="2980"/>
            <w:vAlign w:val="top"/>
          </w:tcPr>
          <w:p>
            <w:pPr>
              <w:spacing w:after="40" w:before="0" w:line="259" w:lineRule="auto"/>
            </w:pPr>
            <w:r>
              <w:rPr>
                <w:rFonts w:ascii="Calibri" w:hAnsi="Calibri"/>
                <w:b w:val="0"/>
                <w:i w:val="0"/>
                <w:color w:val="212121"/>
                <w:sz w:val="19"/>
              </w:rPr>
              <w:t>Irreversible, disabling outcomes of long-standing complicated disease; no curative therapy exists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Chronic bronchitis / coal-dust COPD</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Coal-mine dust causes chronic bronchitis and airflow obstruction independent of smoking; obstructive/restrictive defects are common.</w:t>
            </w:r>
          </w:p>
        </w:tc>
      </w:tr>
      <w:tr>
        <w:trPr>
          <w:cantSplit/>
        </w:trPr>
        <w:tc>
          <w:tcPr>
            <w:tcW w:type="dxa" w:w="2232"/>
            <w:vAlign w:val="top"/>
          </w:tcPr>
          <w:p>
            <w:pPr>
              <w:spacing w:after="40" w:before="0" w:line="259" w:lineRule="auto"/>
            </w:pPr>
            <w:r>
              <w:rPr>
                <w:rFonts w:ascii="Calibri" w:hAnsi="Calibri"/>
                <w:b/>
                <w:i w:val="0"/>
                <w:color w:val="212121"/>
                <w:sz w:val="19"/>
              </w:rPr>
              <w:t>Emphysema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Focal (dust) and, when smoking coexists, additive centriacinar emphysema; both raise emphysema severity.</w:t>
            </w:r>
          </w:p>
        </w:tc>
      </w:tr>
      <w:tr>
        <w:trPr>
          <w:cantSplit/>
        </w:trPr>
        <w:tc>
          <w:tcPr>
            <w:tcW w:type="dxa" w:w="2232"/>
            <w:vAlign w:val="top"/>
          </w:tcPr>
          <w:p>
            <w:pPr>
              <w:spacing w:after="40" w:before="0" w:line="259" w:lineRule="auto"/>
            </w:pPr>
            <w:r>
              <w:rPr>
                <w:rFonts w:ascii="Calibri" w:hAnsi="Calibri"/>
                <w:b/>
                <w:i w:val="0"/>
                <w:color w:val="212121"/>
                <w:sz w:val="19"/>
              </w:rPr>
              <w:t>Pulmonary tuberculosis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Dust-impaired macrophage function markedly raises TB risk; silico-tuberculosis can mimic or accelerate PMF, a key issue in India.</w:t>
            </w:r>
          </w:p>
        </w:tc>
      </w:tr>
      <w:tr>
        <w:trPr>
          <w:cantSplit/>
        </w:trPr>
        <w:tc>
          <w:tcPr>
            <w:tcW w:type="dxa" w:w="2232"/>
            <w:vAlign w:val="top"/>
          </w:tcPr>
          <w:p>
            <w:pPr>
              <w:spacing w:after="40" w:before="0" w:line="259" w:lineRule="auto"/>
            </w:pPr>
            <w:r>
              <w:rPr>
                <w:rFonts w:ascii="Calibri" w:hAnsi="Calibri"/>
                <w:b/>
                <w:i w:val="0"/>
                <w:color w:val="212121"/>
                <w:sz w:val="19"/>
              </w:rPr>
              <w:t>Silicosis (mixed coal-silica dust)</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High-silica coalfields (e.g., Jharia, 15–34% silica) produce anthracosilicosis with greater fibrogenicity.</w:t>
            </w:r>
          </w:p>
        </w:tc>
      </w:tr>
      <w:tr>
        <w:trPr>
          <w:cantSplit/>
        </w:trPr>
        <w:tc>
          <w:tcPr>
            <w:tcW w:type="dxa" w:w="2232"/>
            <w:vAlign w:val="top"/>
          </w:tcPr>
          <w:p>
            <w:pPr>
              <w:spacing w:after="40" w:before="0" w:line="259" w:lineRule="auto"/>
            </w:pPr>
            <w:r>
              <w:rPr>
                <w:rFonts w:ascii="Calibri" w:hAnsi="Calibri"/>
                <w:b/>
                <w:i w:val="0"/>
                <w:color w:val="212121"/>
                <w:sz w:val="19"/>
              </w:rPr>
              <w:t>Pulmonary hypertension / cor pulmonale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Chronic hypoxaemia and fibrotic vascular loss raise pulmonary pressures and cause right-heart failure.</w:t>
            </w:r>
          </w:p>
        </w:tc>
      </w:tr>
      <w:tr>
        <w:trPr>
          <w:cantSplit/>
        </w:trPr>
        <w:tc>
          <w:tcPr>
            <w:tcW w:type="dxa" w:w="2232"/>
            <w:vAlign w:val="top"/>
          </w:tcPr>
          <w:p>
            <w:pPr>
              <w:spacing w:after="40" w:before="0" w:line="259" w:lineRule="auto"/>
            </w:pPr>
            <w:r>
              <w:rPr>
                <w:rFonts w:ascii="Calibri" w:hAnsi="Calibri"/>
                <w:b/>
                <w:i w:val="0"/>
                <w:color w:val="212121"/>
                <w:sz w:val="19"/>
              </w:rPr>
              <w:t>Rheumatoid arthritis (Caplan syndrome)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RA plus CWP yields multiple rapidly appearing peripheral pulmonary nodules.</w:t>
            </w:r>
          </w:p>
        </w:tc>
      </w:tr>
      <w:tr>
        <w:trPr>
          <w:cantSplit/>
        </w:trPr>
        <w:tc>
          <w:tcPr>
            <w:tcW w:type="dxa" w:w="2232"/>
            <w:vAlign w:val="top"/>
          </w:tcPr>
          <w:p>
            <w:pPr>
              <w:spacing w:after="40" w:before="0" w:line="259" w:lineRule="auto"/>
            </w:pPr>
            <w:r>
              <w:rPr>
                <w:rFonts w:ascii="Calibri" w:hAnsi="Calibri"/>
                <w:b/>
                <w:i w:val="0"/>
                <w:color w:val="212121"/>
                <w:sz w:val="19"/>
              </w:rPr>
              <w:t>Lung cancer</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Elevated risk, particularly with significant silica co-exposure and concurrent smoking.</w:t>
            </w:r>
          </w:p>
        </w:tc>
      </w:tr>
      <w:tr>
        <w:trPr>
          <w:cantSplit/>
        </w:trPr>
        <w:tc>
          <w:tcPr>
            <w:tcW w:type="dxa" w:w="2232"/>
            <w:vAlign w:val="top"/>
          </w:tcPr>
          <w:p>
            <w:pPr>
              <w:spacing w:after="40" w:before="0" w:line="259" w:lineRule="auto"/>
            </w:pPr>
            <w:r>
              <w:rPr>
                <w:rFonts w:ascii="Calibri" w:hAnsi="Calibri"/>
                <w:b/>
                <w:i w:val="0"/>
                <w:color w:val="212121"/>
                <w:sz w:val="19"/>
              </w:rPr>
              <w:t>Systemic hypertension / cardiovascular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Particulate exposure, smoking and hypoxaemia contribute; 9.6% of an Indian miner cohort were hypertensive.</w:t>
            </w:r>
          </w:p>
          <w:p>
            <w:pPr>
              <w:spacing w:after="40" w:before="0" w:line="259" w:lineRule="auto"/>
            </w:pPr>
            <w:r>
              <w:rPr>
                <w:rFonts w:ascii="Calibri" w:hAnsi="Calibri"/>
                <w:b/>
                <w:i w:val="0"/>
                <w:color w:val="212121"/>
                <w:sz w:val="19"/>
              </w:rPr>
              <w:t>~9.6% (miner cohort)</w:t>
            </w:r>
          </w:p>
        </w:tc>
      </w:tr>
      <w:tr>
        <w:trPr>
          <w:cantSplit/>
        </w:trPr>
        <w:tc>
          <w:tcPr>
            <w:tcW w:type="dxa" w:w="2232"/>
            <w:vAlign w:val="top"/>
          </w:tcPr>
          <w:p>
            <w:pPr>
              <w:spacing w:after="40" w:before="0" w:line="259" w:lineRule="auto"/>
            </w:pPr>
            <w:r>
              <w:rPr>
                <w:rFonts w:ascii="Calibri" w:hAnsi="Calibri"/>
                <w:b/>
                <w:i w:val="0"/>
                <w:color w:val="212121"/>
                <w:sz w:val="19"/>
              </w:rPr>
              <w:t>Anxiety / depression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Progressive disability, breathlessness and livelihood/compensation stress raise psychological morbidity.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Enforce statutory respirable-dust limits (DGMS: 3 mg/m³ for &lt; 5% silica; tighter above 5%) with regular personal and area dust monitoring.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engineering controls — ventilation, wet drilling, water sprays, dust extraction and enclosed cabs — as the primary defence; respirators are an adjunct only.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correctly fitted respirators, dust-free rest areas and changing/showering to avoid taking dust home.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statutory pre-placement and periodic medical examinations with ILO-standard chest radiographs for early detection.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Educate workers to recognise early symptoms (cough, breathlessness) and to attend surveillance and tuberculosis screening.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influenza, pneumococcal and COVID-19 vaccination and active TB case-finding in mining communities.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coal miners &amp; ex-miners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Underground &amp; face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Informal / small-mine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Coalfield communities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Remove the worker from further respirable-dust exposure once CWP is diagnosed to slow progression.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 lifelong follow-up, since PMF can develop and progress after exposure ends.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promptly treat pulmonary tuberculosis, which is common and can accelerate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vaccinations current and provide COPD-directed inhaled therapy when obstruction is present.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Facilitate disability certification, compensation and occupational rehabilitation/redeployment.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CWP/PMF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Symptomatic miners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dust-related COPD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Ex-miners on surveillance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Enrol symptomatic patients in structured pulmonary rehabilitation to improve exercise capacity and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breathing techniques (pursed-lip, diaphragmatic breathing) and airway-clearance exercises.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Undertake graded aerobic activity (e.g., regular walking) within symptom tolerance.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energy-conservation and paced-activity strategies to manage breathlessness in daily tasks.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supplemental oxygen during exertion where resting or exertional hypoxaemia is confirmed.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Symptomatic CWP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Dust-related COPD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Advanced CWP/PMF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Rehabilitation candidates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balanced, protein- and calorie-adequate diet to prevent undernutrition and lower tuberculosis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antioxidant-rich fruits, vegetables and whole grains to support pulmonary antioxidant defence.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healthy body-mass index (18.5–24.9 kg/m²); avoid being underweight.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hydration to aid mucociliary clearance and sputum expectoration.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miners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Underweight / undernourished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Coalfield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cough</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advanced patients for nocturnal hypoxaemia and obstructive sleep apnoea.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head-of-bed elevation and, where indicated, nocturnal oxygen for desaturation.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bronchodilator timing and treat reflux/secretions that disturb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sleep hygiene to support daytime function and rehabilitation.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Advanced CWP/PMF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cor pulmonale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Overlap COPD/OSA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Hypoxaemic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complete cessation of cigarettes and bidis, as smoking is strongly additive with coal dust for emphysema and COPD.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behavioural counselling plus pharmacotherapy (nicotine replacement, bupropion or varenicline) where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all tobacco and minimise second-hand smoke and household biomass-smoke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Link cessation to workplace health programmes and periodic medical examinations.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Miners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Ex-miners with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dust-related COPD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Coalfield households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which worsens nutrition and immunity and raises tuberculosis risk in mining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drinking that can reduce adherence to TB and respiratory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on interactions between alcohol and anti-tubercular / respiratory medications.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Miners with heavy alcohol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TB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Coalfield communities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anxiety and depression driven by progressive breathlessness, disability and income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counselling, peer/support groups and, where needed, pharmacological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compensation, livelihood and redeployment stress as part of holistic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Integrate psychological support within pulmonary rehabilitation programmes.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progressive/disabling CWP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Ex-miners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facing job/income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Rehabilitation participants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jstage.jst.go.jp/article/indhealth1963/35/4/35_4_467/_article" TargetMode="External"/><Relationship Id="rId10" Type="http://schemas.openxmlformats.org/officeDocument/2006/relationships/hyperlink" Target="https://www.merckmanuals.com/professional/pulmonary-disorders/environmental-and-occupational-pulmonary-diseases/coal-worker-pneumoconiosis" TargetMode="External"/><Relationship Id="rId11" Type="http://schemas.openxmlformats.org/officeDocument/2006/relationships/hyperlink" Target="https://journalofcomprehensivehealth.co.in/health-status-of-the-coal-mine-workers-in-an-open-cast-mine-of-eastern-india/" TargetMode="External"/><Relationship Id="rId12" Type="http://schemas.openxmlformats.org/officeDocument/2006/relationships/hyperlink" Target="https://link.springer.com/article/10.1007/s11356-022-21966-5" TargetMode="External"/><Relationship Id="rId13" Type="http://schemas.openxmlformats.org/officeDocument/2006/relationships/hyperlink" Target="https://link.springer.com/article/10.1186/s12302-022-00651-x" TargetMode="External"/><Relationship Id="rId14" Type="http://schemas.openxmlformats.org/officeDocument/2006/relationships/hyperlink" Target="https://link.springer.com/article/10.1007/s11869-025-01847-9" TargetMode="External"/><Relationship Id="rId15" Type="http://schemas.openxmlformats.org/officeDocument/2006/relationships/hyperlink" Target="https://www.atsjournals.org/doi/full/10.1164/rccm.200806-840OC" TargetMode="External"/><Relationship Id="rId16" Type="http://schemas.openxmlformats.org/officeDocument/2006/relationships/hyperlink" Target="https://emedicine.medscape.com/article/297887-overview" TargetMode="External"/><Relationship Id="rId17" Type="http://schemas.openxmlformats.org/officeDocument/2006/relationships/hyperlink" Target="https://emedicine.medscape.com/article/297887-clinical" TargetMode="External"/><Relationship Id="rId18" Type="http://schemas.openxmlformats.org/officeDocument/2006/relationships/hyperlink" Target="https://www.cdc.gov/niosh/chestradiography/php/ilo-classification/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