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Occupational Asthma</w:t>
      </w:r>
    </w:p>
    <w:p>
      <w:pPr>
        <w:spacing w:before="0" w:after="160"/>
      </w:pPr>
      <w:r>
        <w:rPr>
          <w:rFonts w:ascii="Calibri" w:hAnsi="Calibri"/>
          <w:b/>
          <w:i w:val="0"/>
          <w:color w:val="212121"/>
          <w:sz w:val="22"/>
        </w:rPr>
        <w:t xml:space="preserve">AKA </w:t>
      </w:r>
      <w:r>
        <w:rPr>
          <w:rFonts w:ascii="Calibri" w:hAnsi="Calibri"/>
          <w:b w:val="0"/>
          <w:i w:val="0"/>
          <w:color w:val="212121"/>
          <w:sz w:val="22"/>
        </w:rPr>
        <w:t>i.e., Work-related asthma (occupational subtype); occupational sensitizer-induced asthma; irritant-induced asthma / Reactive Airways Dysfunction Syndrome (RADS); named forms such as baker's asthma, isocyanate (spray-painter's) asthma and cotton-dust/byssinotic airway disease; lay Hindi “kaam se hone waala dama” (work-related wheezing) (lay + clinical)</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Occupational asthma (OA) is asthma that is caused by exposure to a specific agent inhaled at the workplace, characterised by variable airflow limitation and/or airway hyperresponsiveness that is attributable to that work environment rather than to stimuli encountered outside work. It has two principal forms: sensitizer-induced OA, which develops after a latency period of weeks to years during which the airways become immunologically sensitised to a high- or low-molecular-weight agent, and irritant-induced OA (including Reactive Airways Dysfunction Syndrome, RADS), which follows single or repeated high-level exposure to an airway irritant without prior sensitisation and can begin within 24 hours of exposure. OA is distinct from work-exacerbated asthma (pre-existing asthma merely made worse by work), and is the most common chronic occupational lung disease in industrialised settings. Because early diagnosis and removal from exposure strongly influence recovery, a work history is essential in every adult with new-onset or worsening asthma.</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Asthma itself is common in India: the Global Asthma Network survey found current wheeze in about 3.30% of adults, and critically about 82% of adult wheezers and 70% of those with severe symptoms had never been clinically diagnosed — so any occupational contribution is heavily under-recognised. Globally, systematic reviews attribute roughly 15% (population-attributable fraction about 16–18%, and by some estimates up to 20%) of adult-onset asthma to workplace exposures, and occupational bodies likewise put the figure at as many as 15% of adult-onset cases, of which about 90% are sensitizer-induced. India's very large and largely unregulated manufacturing, textile, agro-processing and construction workforce carries a substantial but poorly quantified burden: a 2026 Hyderabad study of automobile paint-shop workers found occupational asthma in 13.1%, byssinotic airway disease remains prevalent among cotton textile workers, and Indian burden analyses record measurable occupational-asthma mortality and disability-adjusted life years in adults aged 15 and older. The World Health Organization estimates asthma affected about 363 million people worldwide in 2023 and caused roughly 442,000 deaths, and lists occupational exposure to chemicals, fumes and dust among its key modifiable triggers.</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Diagnosis rests on first confirming asthma objectively and then establishing that it is caused by, or clearly worse at, work. A structured work-up combines a detailed occupational history with physiological and immunological testing:</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Confirm asthma — demonstrate variable airflow obstruction on spirometry with significant bronchodilator reversibility (a rise in FEV1 of ≥ 12% and ≥ 200 mL), or airway hyperresponsiveness on a methacholine/histamine challenge (PC20), or excessive diurnal peak-flow variability;</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Take a precise occupational history — job, processes, specific agents/materials (with Safety Data Sheets), latency between starting work and symptoms, use of respiratory protection, and whether coworkers are affected;</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Establish the work relationship by temporal pattern — symptoms that worsen on workdays and improve on rest days, weekends and holidays, and recur on return to work;</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Serial peak expiratory flow (PEF) monitoring — readings taken at least four times a day for about three to four weeks across periods at and away from work, analysed (e.g. with OASYS) for a work-related pattern;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Specific immunological testing — skin-prick tests and/or specific serum IgE to the suspected high-molecular-weight allergen (e.g. flour, latex, enzymes, animal proteins) to confirm sensitisation;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Cross-shift and cross-workweek spirometry, and fractional exhaled nitric oxide (FeNO) where available, to document work-related change in lung function and eosinophilic airway inflammation;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Specific inhalation challenge (SIC) in a specialised laboratory — the reference (“gold”) standard when the diagnosis or the causative agent is uncertain, reproducing a controlled exposure and measuring the fall in FEV1;</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Exclude mimics and coexisting disease — chest radiography and, where indicated, further imaging to rule out hypersensitivity pneumonitis, COPD, byssinosis or other occupational lung disease.</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Occupational asthma is classified by the underlying mechanism, by the molecular weight of the causative agent, and by its distinction from pre-existing asthma aggravated at work:</w:t>
      </w:r>
    </w:p>
    <w:p>
      <w:pPr>
        <w:spacing w:before="0" w:after="80"/>
      </w:pPr>
      <w:r>
        <w:rPr>
          <w:rFonts w:ascii="Calibri" w:hAnsi="Calibri"/>
          <w:b w:val="0"/>
          <w:i w:val="0"/>
          <w:color w:val="212121"/>
          <w:sz w:val="21"/>
        </w:rPr>
        <w:t>(1) Sensitizer-induced (immunological) OA — by far the commonest form (about 90% of cases); it develops after a latency period during which the immune system becomes sensitised to a workplace agent, and thereafter even low-level exposure provokes asthma;</w:t>
      </w:r>
    </w:p>
    <w:p>
      <w:pPr>
        <w:spacing w:before="0" w:after="80"/>
      </w:pPr>
      <w:r>
        <w:rPr>
          <w:rFonts w:ascii="Calibri" w:hAnsi="Calibri"/>
          <w:b w:val="0"/>
          <w:i w:val="0"/>
          <w:color w:val="212121"/>
          <w:sz w:val="21"/>
        </w:rPr>
        <w:t>(2) High-molecular-weight (HMW) agents — proteins such as flour and grain dust, natural rubber latex, animal dander and proteolytic/baking enzymes; these act through a classic IgE-mediated allergic mechanism and cause disease most readily in atopic individuals;</w:t>
      </w:r>
    </w:p>
    <w:p>
      <w:pPr>
        <w:spacing w:before="0" w:after="80"/>
      </w:pPr>
      <w:r>
        <w:rPr>
          <w:rFonts w:ascii="Calibri" w:hAnsi="Calibri"/>
          <w:b w:val="0"/>
          <w:i w:val="0"/>
          <w:color w:val="212121"/>
          <w:sz w:val="21"/>
        </w:rPr>
        <w:t>(3) Low-molecular-weight (LMW) agents — reactive chemicals such as isocyanates (in twin-pack spray paints and polyurethane foam), acid anhydrides and epoxy resins, persulfate hair bleaches, platinum salts, certain metals, some drugs and reactive wood dusts (e.g. western red cedar); these often act through non-IgE or mixed mechanisms;</w:t>
      </w:r>
    </w:p>
    <w:p>
      <w:pPr>
        <w:spacing w:before="0" w:after="80"/>
      </w:pPr>
      <w:r>
        <w:rPr>
          <w:rFonts w:ascii="Calibri" w:hAnsi="Calibri"/>
          <w:b w:val="0"/>
          <w:i w:val="0"/>
          <w:color w:val="212121"/>
          <w:sz w:val="21"/>
        </w:rPr>
        <w:t>(4) Irritant-induced OA, including Reactive Airways Dysfunction Syndrome (RADS) — new-onset asthma without latency following single or repeated high-level exposure to an irritant gas, vapour, fume or smoke (e.g. chlorine, ammonia, acids), classically beginning within 24 hours of a high-level exposure;</w:t>
      </w:r>
    </w:p>
    <w:p>
      <w:pPr>
        <w:spacing w:before="0" w:after="80"/>
      </w:pPr>
      <w:r>
        <w:rPr>
          <w:rFonts w:ascii="Calibri" w:hAnsi="Calibri"/>
          <w:b w:val="0"/>
          <w:i w:val="0"/>
          <w:color w:val="212121"/>
          <w:sz w:val="21"/>
        </w:rPr>
        <w:t>(5) Work-exacerbated asthma (WEA) — pre-existing or concurrent asthma that is triggered or worsened by non-specific workplace conditions (dusts, cold air, exertion, irritants) but is not caused de novo by a workplace agent; it is part of the broader category of work-related asthma but is managed differently from true OA.</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High-molecular-weight sensitizers: Flour and grain dust, natural rubber latex, animal proteins and baking/detergent enzymes provoke IgE-mediated sensitisation, especially in atopic workers such as bakers, farmers, animal handlers and healthcare staff.</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Low-molecular-weight sensitizers: Reactive chemicals — isocyanates, acid anhydrides, epoxy resins, persulfates, platinum and other metal salts, and reactive wood dusts — cause OA in painters, foam and plastics workers, hairdressers, electroplaters and woodworkers.</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Airway irritants: High-level exposure to chlorine, ammonia, acids, combustion products, smoke and other corrosive gases or fumes can cause irritant-induced asthma/RADS without prior sensitisation.</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Atopy: A personal or family history of allergy is the strongest host risk factor for HMW sensitizer-induced OA and greatly increases the likelihood of becoming sensitised.</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Tobacco smoking: Smoking increases airway permeability and can enhance IgE sensitisation to some agents (e.g. platinum salts, anhydrides), and is associated with a worse prognosis.</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Exposure intensity and duration: Higher airborne concentrations, poor ventilation and absent or misused respiratory protection raise both the risk and severity of sensitisation and irritant injury.</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Genetic susceptibility: Certain HLA class II alleles and antioxidant (e.g. glutathione-S-transferase) genotypes modulate individual risk of developing OA to specific LMW agents.</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Adults (working-age, ~20–50 years)</w:t>
            </w:r>
          </w:p>
        </w:tc>
        <w:tc>
          <w:tcPr>
            <w:tcW w:type="dxa" w:w="4276"/>
            <w:vAlign w:val="top"/>
          </w:tcPr>
          <w:p>
            <w:pPr>
              <w:spacing w:after="60" w:line="259" w:lineRule="auto"/>
            </w:pPr>
            <w:r>
              <w:rPr>
                <w:rFonts w:ascii="Calibri" w:hAnsi="Calibri"/>
                <w:b w:val="0"/>
                <w:i w:val="0"/>
                <w:color w:val="212121"/>
                <w:sz w:val="19"/>
              </w:rPr>
              <w:t>OA is a disease of the working years, arising during peak occupational exposure. New-onset asthma in a working-age adult, or asthma that improves away from work, should always prompt a search for a workplace cause.</w:t>
            </w:r>
          </w:p>
          <w:p>
            <w:pPr>
              <w:spacing w:after="40" w:before="60" w:line="259" w:lineRule="auto"/>
            </w:pPr>
            <w:r>
              <w:rPr>
                <w:rFonts w:ascii="Calibri" w:hAnsi="Calibri"/>
                <w:b w:val="0"/>
                <w:i w:val="0"/>
                <w:color w:val="212121"/>
                <w:sz w:val="19"/>
              </w:rPr>
              <w:t>Occupational exposures account for as many as 15% of cases of adult-onset asthma, of which about 90% are sensitizer-induced.</w:t>
            </w:r>
          </w:p>
          <w:p>
            <w:pPr>
              <w:spacing w:after="40" w:line="252" w:lineRule="auto"/>
            </w:pPr>
            <w:hyperlink r:id="rId9">
              <w:r>
                <w:rPr>
                  <w:rFonts w:ascii="Calibri" w:hAnsi="Calibri" w:cs="Calibri"/>
                  <w:sz w:val="18"/>
                  <w:color w:val="1155CC"/>
                  <w:u w:val="single"/>
                </w:rPr>
                <w:t xml:space="preserve">som.org.uk — Work-related and occupational asthma (Society of Occupational Medicine)</w:t>
              </w:r>
            </w:hyperlink>
          </w:p>
          <w:p>
            <w:pPr>
              <w:spacing w:before="60" w:after="40"/>
            </w:pPr>
            <w:r>
              <w:rPr>
                <w:rFonts w:ascii="Calibri" w:hAnsi="Calibri"/>
                <w:b w:val="0"/>
                <w:i w:val="0"/>
                <w:color w:val="5A5A5A"/>
                <w:sz w:val="18"/>
              </w:rPr>
              <w:t>#occupationalasthma  #adultonsetasthma  #workrelated  #sensitizer</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Older / long-service workers (≥ 50 years)</w:t>
            </w:r>
          </w:p>
        </w:tc>
        <w:tc>
          <w:tcPr>
            <w:tcW w:type="dxa" w:w="4276"/>
            <w:vAlign w:val="top"/>
          </w:tcPr>
          <w:p>
            <w:pPr>
              <w:spacing w:after="60" w:line="259" w:lineRule="auto"/>
            </w:pPr>
            <w:r>
              <w:rPr>
                <w:rFonts w:ascii="Calibri" w:hAnsi="Calibri"/>
                <w:b w:val="0"/>
                <w:i w:val="0"/>
                <w:color w:val="212121"/>
                <w:sz w:val="19"/>
              </w:rPr>
              <w:t>Longer cumulative exposure and delayed recognition mean older workers are more likely to have persistent asthma and fixed airflow obstruction by the time OA is diagnosed; many continue in the exposing job despite symptoms.</w:t>
            </w:r>
          </w:p>
          <w:p>
            <w:pPr>
              <w:spacing w:after="40" w:before="60" w:line="259" w:lineRule="auto"/>
            </w:pPr>
            <w:r>
              <w:rPr>
                <w:rFonts w:ascii="Calibri" w:hAnsi="Calibri"/>
                <w:b w:val="0"/>
                <w:i w:val="0"/>
                <w:color w:val="212121"/>
                <w:sz w:val="19"/>
              </w:rPr>
              <w:t>Recovery is best when the worker is removed from exposure within about a year of symptoms developing; longer exposure after onset predicts persistent disease.</w:t>
            </w:r>
          </w:p>
          <w:p>
            <w:pPr>
              <w:spacing w:after="40" w:line="252" w:lineRule="auto"/>
            </w:pPr>
            <w:hyperlink r:id="rId9">
              <w:r>
                <w:rPr>
                  <w:rFonts w:ascii="Calibri" w:hAnsi="Calibri" w:cs="Calibri"/>
                  <w:sz w:val="18"/>
                  <w:color w:val="1155CC"/>
                  <w:u w:val="single"/>
                </w:rPr>
                <w:t xml:space="preserve">som.org.uk — Work-related and occupational asthma (early removal &amp; prognosis)</w:t>
              </w:r>
            </w:hyperlink>
          </w:p>
          <w:p>
            <w:pPr>
              <w:spacing w:before="60" w:after="40"/>
            </w:pPr>
            <w:r>
              <w:rPr>
                <w:rFonts w:ascii="Calibri" w:hAnsi="Calibri"/>
                <w:b w:val="0"/>
                <w:i w:val="0"/>
                <w:color w:val="5A5A5A"/>
                <w:sz w:val="18"/>
              </w:rPr>
              <w:t>#longexposure  #fixedobstruction  #delayeddiagnosis  #olderworkers</w:t>
            </w:r>
          </w:p>
        </w:tc>
      </w:tr>
      <w:tr>
        <w:trPr>
          <w:cantSplit/>
        </w:trPr>
        <w:tc>
          <w:tcPr>
            <w:tcW w:type="dxa" w:w="1512"/>
            <w:vMerge/>
            <w:vAlign w:val="top"/>
          </w:tcPr>
          <w:p>
            <w:pPr>
              <w:spacing w:after="40" w:before="0" w:line="259" w:lineRule="auto"/>
            </w:pPr>
          </w:p>
        </w:tc>
        <w:tc>
          <w:tcPr>
            <w:tcW w:type="dxa" w:w="1655"/>
            <w:vMerge w:val="restart"/>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Male (heavy industry, spray painting, welding)</w:t>
            </w:r>
          </w:p>
        </w:tc>
        <w:tc>
          <w:tcPr>
            <w:tcW w:type="dxa" w:w="4276"/>
            <w:vAlign w:val="top"/>
          </w:tcPr>
          <w:p>
            <w:pPr>
              <w:spacing w:after="60" w:line="259" w:lineRule="auto"/>
            </w:pPr>
            <w:r>
              <w:rPr>
                <w:rFonts w:ascii="Calibri" w:hAnsi="Calibri"/>
                <w:b w:val="0"/>
                <w:i w:val="0"/>
                <w:color w:val="212121"/>
                <w:sz w:val="19"/>
              </w:rPr>
              <w:t>Men predominate in isocyanate spray painting, welding, construction, plastics and chemical work, giving high exposure to low-molecular-weight sensitizers and irritant fumes.</w:t>
            </w:r>
          </w:p>
          <w:p>
            <w:pPr>
              <w:spacing w:after="40" w:before="60" w:line="259" w:lineRule="auto"/>
            </w:pPr>
            <w:r>
              <w:rPr>
                <w:rFonts w:ascii="Calibri" w:hAnsi="Calibri"/>
                <w:b w:val="0"/>
                <w:i w:val="0"/>
                <w:color w:val="212121"/>
                <w:sz w:val="19"/>
              </w:rPr>
              <w:t>A 2026 study of 130 (predominantly male) automobile paint-shop workers in Hyderabad found occupational asthma in 13.1%, linked to isocyanates and volatile organic compounds.</w:t>
            </w:r>
          </w:p>
          <w:p>
            <w:pPr>
              <w:spacing w:after="40" w:line="252" w:lineRule="auto"/>
            </w:pPr>
            <w:hyperlink r:id="rId10">
              <w:r>
                <w:rPr>
                  <w:rFonts w:ascii="Calibri" w:hAnsi="Calibri" w:cs="Calibri"/>
                  <w:sz w:val="18"/>
                  <w:color w:val="1155CC"/>
                  <w:u w:val="single"/>
                </w:rPr>
                <w:t xml:space="preserve">medicaldialogues.in — Occupational asthma in auto paint-shop workers, Hyderabad</w:t>
              </w:r>
            </w:hyperlink>
          </w:p>
          <w:p>
            <w:pPr>
              <w:spacing w:before="60" w:after="40"/>
            </w:pPr>
            <w:r>
              <w:rPr>
                <w:rFonts w:ascii="Calibri" w:hAnsi="Calibri"/>
                <w:b w:val="0"/>
                <w:i w:val="0"/>
                <w:color w:val="5A5A5A"/>
                <w:sz w:val="18"/>
              </w:rPr>
              <w:t>#isocyanates  #spraypainters  #welders  #malesex  #VOCs</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Female (cleaning, healthcare, bakery, textiles, salons)</w:t>
            </w:r>
          </w:p>
        </w:tc>
        <w:tc>
          <w:tcPr>
            <w:tcW w:type="dxa" w:w="4276"/>
            <w:vAlign w:val="top"/>
          </w:tcPr>
          <w:p>
            <w:pPr>
              <w:spacing w:after="60" w:line="259" w:lineRule="auto"/>
            </w:pPr>
            <w:r>
              <w:rPr>
                <w:rFonts w:ascii="Calibri" w:hAnsi="Calibri"/>
                <w:b w:val="0"/>
                <w:i w:val="0"/>
                <w:color w:val="212121"/>
                <w:sz w:val="19"/>
              </w:rPr>
              <w:t>Women are over-represented in cleaning, healthcare (latex and disinfectants), bakeries, textile units and hairdressing/beauty work, with exposure to high-molecular-weight allergens and persulfate bleaches; occupational rhinitis is common.</w:t>
            </w:r>
          </w:p>
          <w:p>
            <w:pPr>
              <w:spacing w:after="40" w:before="60" w:line="259" w:lineRule="auto"/>
            </w:pPr>
            <w:r>
              <w:rPr>
                <w:rFonts w:ascii="Calibri" w:hAnsi="Calibri"/>
                <w:b w:val="0"/>
                <w:i w:val="0"/>
                <w:color w:val="212121"/>
                <w:sz w:val="19"/>
              </w:rPr>
              <w:t>Cleaners, nurses, healthcare workers, bakers, food processors and hairdressers are among the occupations at greatest risk of occupational asthma.</w:t>
            </w:r>
          </w:p>
          <w:p>
            <w:pPr>
              <w:spacing w:after="40" w:line="252" w:lineRule="auto"/>
            </w:pPr>
            <w:hyperlink r:id="rId9">
              <w:r>
                <w:rPr>
                  <w:rFonts w:ascii="Calibri" w:hAnsi="Calibri" w:cs="Calibri"/>
                  <w:sz w:val="18"/>
                  <w:color w:val="1155CC"/>
                  <w:u w:val="single"/>
                </w:rPr>
                <w:t xml:space="preserve">som.org.uk — High-risk occupations for occupational asthma</w:t>
              </w:r>
            </w:hyperlink>
          </w:p>
          <w:p>
            <w:pPr>
              <w:spacing w:before="60" w:after="40"/>
            </w:pPr>
            <w:r>
              <w:rPr>
                <w:rFonts w:ascii="Calibri" w:hAnsi="Calibri"/>
                <w:b w:val="0"/>
                <w:i w:val="0"/>
                <w:color w:val="5A5A5A"/>
                <w:sz w:val="18"/>
              </w:rPr>
              <w:t>#cleaners  #healthcare  #latex  #persulfates  #femaleworkers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Informal / unorganised-sector workers</w:t>
            </w:r>
          </w:p>
        </w:tc>
        <w:tc>
          <w:tcPr>
            <w:tcW w:type="dxa" w:w="4276"/>
            <w:vAlign w:val="top"/>
          </w:tcPr>
          <w:p>
            <w:pPr>
              <w:spacing w:after="60" w:line="259" w:lineRule="auto"/>
            </w:pPr>
            <w:r>
              <w:rPr>
                <w:rFonts w:ascii="Calibri" w:hAnsi="Calibri"/>
                <w:b w:val="0"/>
                <w:i w:val="0"/>
                <w:color w:val="212121"/>
                <w:sz w:val="19"/>
              </w:rPr>
              <w:t>India's vast unorganised sector — small welding and paint units, powerlooms, spice and rice mills, brick kilns — typically lacks exposure monitoring, ventilation, protective equipment and medical surveillance, so sensitisation and irritant injury go undetected.</w:t>
            </w:r>
          </w:p>
          <w:p>
            <w:pPr>
              <w:spacing w:after="40" w:before="60" w:line="259" w:lineRule="auto"/>
            </w:pPr>
            <w:r>
              <w:rPr>
                <w:rFonts w:ascii="Calibri" w:hAnsi="Calibri"/>
                <w:b w:val="0"/>
                <w:i w:val="0"/>
                <w:color w:val="212121"/>
                <w:sz w:val="19"/>
              </w:rPr>
              <w:t>In the same paint-shop study, respiratory illness affected 55.3% of workers who lacked proper protective gear versus only 11.1% of those consistently using comprehensive protection.</w:t>
            </w:r>
          </w:p>
          <w:p>
            <w:pPr>
              <w:spacing w:after="40" w:line="252" w:lineRule="auto"/>
            </w:pPr>
            <w:hyperlink r:id="rId10">
              <w:r>
                <w:rPr>
                  <w:rFonts w:ascii="Calibri" w:hAnsi="Calibri" w:cs="Calibri"/>
                  <w:sz w:val="18"/>
                  <w:color w:val="1155CC"/>
                  <w:u w:val="single"/>
                </w:rPr>
                <w:t xml:space="preserve">medicaldialogues.in — Protective equipment and respiratory illness in paint workers</w:t>
              </w:r>
            </w:hyperlink>
          </w:p>
          <w:p>
            <w:pPr>
              <w:spacing w:before="60" w:after="40"/>
            </w:pPr>
            <w:r>
              <w:rPr>
                <w:rFonts w:ascii="Calibri" w:hAnsi="Calibri"/>
                <w:b w:val="0"/>
                <w:i w:val="0"/>
                <w:color w:val="5A5A5A"/>
                <w:sz w:val="18"/>
              </w:rPr>
              <w:t>#informalsector  #noPPE  #unregulated  #lowincome  #India</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Merge w:val="restart"/>
            <w:vAlign w:val="center"/>
          </w:tcPr>
          <w:p>
            <w:pPr>
              <w:spacing w:after="40"/>
            </w:pPr>
            <w:r>
              <w:rPr>
                <w:rFonts w:ascii="Calibri" w:hAnsi="Calibri"/>
                <w:b w:val="0"/>
                <w:i w:val="0"/>
                <w:color w:val="212121"/>
                <w:sz w:val="19"/>
              </w:rPr>
              <w:t>Region / occupation geography</w:t>
            </w:r>
          </w:p>
        </w:tc>
        <w:tc>
          <w:tcPr>
            <w:tcW w:type="dxa" w:w="2160"/>
            <w:vAlign w:val="top"/>
          </w:tcPr>
          <w:p>
            <w:pPr>
              <w:spacing w:after="40" w:before="0" w:line="259" w:lineRule="auto"/>
            </w:pPr>
            <w:r>
              <w:rPr>
                <w:rFonts w:ascii="Calibri" w:hAnsi="Calibri"/>
                <w:b w:val="0"/>
                <w:i w:val="0"/>
                <w:color w:val="212121"/>
                <w:sz w:val="19"/>
              </w:rPr>
              <w:t>Cotton textile belts (Tirupur, Coimbatore, Ahmedabad, Mumbai)</w:t>
            </w:r>
          </w:p>
        </w:tc>
        <w:tc>
          <w:tcPr>
            <w:tcW w:type="dxa" w:w="4276"/>
            <w:vAlign w:val="top"/>
          </w:tcPr>
          <w:p>
            <w:pPr>
              <w:spacing w:after="60" w:line="259" w:lineRule="auto"/>
            </w:pPr>
            <w:r>
              <w:rPr>
                <w:rFonts w:ascii="Calibri" w:hAnsi="Calibri"/>
                <w:b w:val="0"/>
                <w:i w:val="0"/>
                <w:color w:val="212121"/>
                <w:sz w:val="19"/>
              </w:rPr>
              <w:t>Ginning, spinning, powerloom and mill workers inhale cotton, flax and hemp dust, which causes byssinotic airway narrowing (classic Monday chest-tightness) and work-related obstructive symptoms overlapping with occupational asthma.</w:t>
            </w:r>
          </w:p>
          <w:p>
            <w:pPr>
              <w:spacing w:after="40" w:before="60" w:line="259" w:lineRule="auto"/>
            </w:pPr>
            <w:r>
              <w:rPr>
                <w:rFonts w:ascii="Calibri" w:hAnsi="Calibri"/>
                <w:b w:val="0"/>
                <w:i w:val="0"/>
                <w:color w:val="212121"/>
                <w:sz w:val="19"/>
              </w:rPr>
              <w:t>Byssinosis and work-related respiratory symptoms remain prevalent among Indian cotton textile workers, as summarised in a pooled Indian systematic review.</w:t>
            </w:r>
          </w:p>
          <w:p>
            <w:pPr>
              <w:spacing w:after="40" w:line="252" w:lineRule="auto"/>
            </w:pPr>
            <w:hyperlink r:id="rId11">
              <w:r>
                <w:rPr>
                  <w:rFonts w:ascii="Calibri" w:hAnsi="Calibri" w:cs="Calibri"/>
                  <w:sz w:val="18"/>
                  <w:color w:val="1155CC"/>
                  <w:u w:val="single"/>
                </w:rPr>
                <w:t xml:space="preserve">journals.lww.com (JATN) — Pooled prevalence of byssinosis in India (systematic review)</w:t>
              </w:r>
            </w:hyperlink>
          </w:p>
          <w:p>
            <w:pPr>
              <w:spacing w:before="60" w:after="40"/>
            </w:pPr>
            <w:r>
              <w:rPr>
                <w:rFonts w:ascii="Calibri" w:hAnsi="Calibri"/>
                <w:b w:val="0"/>
                <w:i w:val="0"/>
                <w:color w:val="5A5A5A"/>
                <w:sz w:val="18"/>
              </w:rPr>
              <w:t>#byssinosis  #cottondust  #textileworkers  #powerloom  #India</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Agro-processing &amp; spice-grinding hubs, grain markets</w:t>
            </w:r>
          </w:p>
        </w:tc>
        <w:tc>
          <w:tcPr>
            <w:tcW w:type="dxa" w:w="4276"/>
            <w:vAlign w:val="top"/>
          </w:tcPr>
          <w:p>
            <w:pPr>
              <w:spacing w:after="60" w:line="259" w:lineRule="auto"/>
            </w:pPr>
            <w:r>
              <w:rPr>
                <w:rFonts w:ascii="Calibri" w:hAnsi="Calibri"/>
                <w:b w:val="0"/>
                <w:i w:val="0"/>
                <w:color w:val="212121"/>
                <w:sz w:val="19"/>
              </w:rPr>
              <w:t>India is a major producer and processor of spices and grain; chilli, turmeric and garlic dust and grain/flour dust are potent respiratory sensitizers and irritants for mill, mandi and food-processing workers.</w:t>
            </w:r>
          </w:p>
          <w:p>
            <w:pPr>
              <w:spacing w:after="40" w:before="60" w:line="259" w:lineRule="auto"/>
            </w:pPr>
            <w:r>
              <w:rPr>
                <w:rFonts w:ascii="Calibri" w:hAnsi="Calibri"/>
                <w:b w:val="0"/>
                <w:i w:val="0"/>
                <w:color w:val="212121"/>
                <w:sz w:val="19"/>
              </w:rPr>
              <w:t>Certain occupations show a higher prevalence of self-reported asthma among Indian adults, consistent with airborne organic-dust exposure in agro-processing work.</w:t>
            </w:r>
          </w:p>
          <w:p>
            <w:pPr>
              <w:spacing w:after="40" w:line="252" w:lineRule="auto"/>
            </w:pPr>
            <w:hyperlink r:id="rId12">
              <w:r>
                <w:rPr>
                  <w:rFonts w:ascii="Calibri" w:hAnsi="Calibri" w:cs="Calibri"/>
                  <w:sz w:val="18"/>
                  <w:color w:val="1155CC"/>
                  <w:u w:val="single"/>
                </w:rPr>
                <w:t xml:space="preserve">ncbi.nlm.nih.gov/pmc/PMC4196548 — Occupations with increased self-reported asthma in Indian adults</w:t>
              </w:r>
            </w:hyperlink>
          </w:p>
          <w:p>
            <w:pPr>
              <w:spacing w:before="60" w:after="40"/>
            </w:pPr>
            <w:r>
              <w:rPr>
                <w:rFonts w:ascii="Calibri" w:hAnsi="Calibri"/>
                <w:b w:val="0"/>
                <w:i w:val="0"/>
                <w:color w:val="5A5A5A"/>
                <w:sz w:val="18"/>
              </w:rPr>
              <w:t>#spicedust  #chilli  #graindust  #agroprocessing  #India</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Occupational exposure &amp; PPE use</w:t>
            </w:r>
          </w:p>
        </w:tc>
        <w:tc>
          <w:tcPr>
            <w:tcW w:type="dxa" w:w="2160"/>
            <w:vAlign w:val="top"/>
          </w:tcPr>
          <w:p>
            <w:pPr>
              <w:spacing w:after="40" w:before="0" w:line="259" w:lineRule="auto"/>
            </w:pPr>
            <w:r>
              <w:rPr>
                <w:rFonts w:ascii="Calibri" w:hAnsi="Calibri"/>
                <w:b w:val="0"/>
                <w:i w:val="0"/>
                <w:color w:val="212121"/>
                <w:sz w:val="19"/>
              </w:rPr>
              <w:t>Workers without respiratory protection</w:t>
            </w:r>
          </w:p>
        </w:tc>
        <w:tc>
          <w:tcPr>
            <w:tcW w:type="dxa" w:w="4276"/>
            <w:vAlign w:val="top"/>
          </w:tcPr>
          <w:p>
            <w:pPr>
              <w:spacing w:after="60" w:line="259" w:lineRule="auto"/>
            </w:pPr>
            <w:r>
              <w:rPr>
                <w:rFonts w:ascii="Calibri" w:hAnsi="Calibri"/>
                <w:b w:val="0"/>
                <w:i w:val="0"/>
                <w:color w:val="212121"/>
                <w:sz w:val="19"/>
              </w:rPr>
              <w:t>Absence of respirators, local exhaust ventilation or enclosure allows repeated inhalation of the sensitizing or irritant agent, driving both immunological sensitisation and irritant airway injury.</w:t>
            </w:r>
          </w:p>
          <w:p>
            <w:pPr>
              <w:spacing w:after="40" w:before="60" w:line="259" w:lineRule="auto"/>
            </w:pPr>
            <w:r>
              <w:rPr>
                <w:rFonts w:ascii="Calibri" w:hAnsi="Calibri"/>
                <w:b w:val="0"/>
                <w:i w:val="0"/>
                <w:color w:val="212121"/>
                <w:sz w:val="19"/>
              </w:rPr>
              <w:t>Consistent use of comprehensive protective equipment was associated with far lower respiratory illness (11.1%) than working without proper gear (55.3%).</w:t>
            </w:r>
          </w:p>
          <w:p>
            <w:pPr>
              <w:spacing w:after="40" w:line="252" w:lineRule="auto"/>
            </w:pPr>
            <w:hyperlink r:id="rId10">
              <w:r>
                <w:rPr>
                  <w:rFonts w:ascii="Calibri" w:hAnsi="Calibri" w:cs="Calibri"/>
                  <w:sz w:val="18"/>
                  <w:color w:val="1155CC"/>
                  <w:u w:val="single"/>
                </w:rPr>
                <w:t xml:space="preserve">medicaldialogues.in — PPE use and respiratory illness in paint workers</w:t>
              </w:r>
            </w:hyperlink>
          </w:p>
          <w:p>
            <w:pPr>
              <w:spacing w:before="60" w:after="40"/>
            </w:pPr>
            <w:r>
              <w:rPr>
                <w:rFonts w:ascii="Calibri" w:hAnsi="Calibri"/>
                <w:b w:val="0"/>
                <w:i w:val="0"/>
                <w:color w:val="5A5A5A"/>
                <w:sz w:val="18"/>
              </w:rPr>
              <w:t>#PPE  #respirators  #ventilation  #exposurecontrol</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Smokers in exposed jobs</w:t>
            </w:r>
          </w:p>
        </w:tc>
        <w:tc>
          <w:tcPr>
            <w:tcW w:type="dxa" w:w="4276"/>
            <w:vAlign w:val="top"/>
          </w:tcPr>
          <w:p>
            <w:pPr>
              <w:spacing w:after="60" w:line="259" w:lineRule="auto"/>
            </w:pPr>
            <w:r>
              <w:rPr>
                <w:rFonts w:ascii="Calibri" w:hAnsi="Calibri"/>
                <w:b w:val="0"/>
                <w:i w:val="0"/>
                <w:color w:val="212121"/>
                <w:sz w:val="19"/>
              </w:rPr>
              <w:t>Tobacco smoke increases airway epithelial permeability and can enhance IgE sensitisation to some agents (e.g. platinum salts and acid anhydrides), and smokers with OA tend to have a worse course.</w:t>
            </w:r>
          </w:p>
          <w:p>
            <w:pPr>
              <w:spacing w:after="40" w:before="60" w:line="259" w:lineRule="auto"/>
            </w:pPr>
            <w:r>
              <w:rPr>
                <w:rFonts w:ascii="Calibri" w:hAnsi="Calibri"/>
                <w:b w:val="0"/>
                <w:i w:val="0"/>
                <w:color w:val="212121"/>
                <w:sz w:val="19"/>
              </w:rPr>
              <w:t>Smoking is recognised as a host factor that can promote sensitisation to certain occupational agents and worsen outcomes (general clinical association).</w:t>
            </w:r>
          </w:p>
          <w:p>
            <w:pPr>
              <w:spacing w:before="60" w:after="40"/>
            </w:pPr>
            <w:r>
              <w:rPr>
                <w:rFonts w:ascii="Calibri" w:hAnsi="Calibri"/>
                <w:b w:val="0"/>
                <w:i w:val="0"/>
                <w:color w:val="5A5A5A"/>
                <w:sz w:val="18"/>
              </w:rPr>
              <w:t>#smoking  #sensitisation  #airwaypermeability  #prognosis</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Overweight / obesity</w:t>
            </w:r>
          </w:p>
        </w:tc>
        <w:tc>
          <w:tcPr>
            <w:tcW w:type="dxa" w:w="2160"/>
            <w:vAlign w:val="top"/>
          </w:tcPr>
          <w:p>
            <w:pPr>
              <w:spacing w:after="40" w:before="0" w:line="259" w:lineRule="auto"/>
            </w:pPr>
            <w:r>
              <w:rPr>
                <w:rFonts w:ascii="Calibri" w:hAnsi="Calibri"/>
                <w:b w:val="0"/>
                <w:i w:val="0"/>
                <w:color w:val="212121"/>
                <w:sz w:val="19"/>
              </w:rPr>
              <w:t>Overweight &amp; obese exposed workers</w:t>
            </w:r>
          </w:p>
        </w:tc>
        <w:tc>
          <w:tcPr>
            <w:tcW w:type="dxa" w:w="4276"/>
            <w:vAlign w:val="top"/>
          </w:tcPr>
          <w:p>
            <w:pPr>
              <w:spacing w:after="60" w:line="259" w:lineRule="auto"/>
            </w:pPr>
            <w:r>
              <w:rPr>
                <w:rFonts w:ascii="Calibri" w:hAnsi="Calibri"/>
                <w:b w:val="0"/>
                <w:i w:val="0"/>
                <w:color w:val="212121"/>
                <w:sz w:val="19"/>
              </w:rPr>
              <w:t>Obesity worsens asthma control and severity and reduces response to inhaled steroids; the urban dietary transition in India is increasing the number of overweight workers with poorer asthma control.</w:t>
            </w:r>
          </w:p>
          <w:p>
            <w:pPr>
              <w:spacing w:after="40" w:before="60" w:line="259" w:lineRule="auto"/>
            </w:pPr>
            <w:r>
              <w:rPr>
                <w:rFonts w:ascii="Calibri" w:hAnsi="Calibri"/>
                <w:b w:val="0"/>
                <w:i w:val="0"/>
                <w:color w:val="212121"/>
                <w:sz w:val="19"/>
              </w:rPr>
              <w:t>Obesity is an established modifier of asthma severity and treatment response (general clinical association).</w:t>
            </w:r>
          </w:p>
          <w:p>
            <w:pPr>
              <w:spacing w:before="60" w:after="40"/>
            </w:pPr>
            <w:r>
              <w:rPr>
                <w:rFonts w:ascii="Calibri" w:hAnsi="Calibri"/>
                <w:b w:val="0"/>
                <w:i w:val="0"/>
                <w:color w:val="5A5A5A"/>
                <w:sz w:val="18"/>
              </w:rPr>
              <w:t>#obesity  #asthmacontrol  #metabolic  #urbandiet</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Antioxidant / vitamin D intake</w:t>
            </w:r>
          </w:p>
        </w:tc>
        <w:tc>
          <w:tcPr>
            <w:tcW w:type="dxa" w:w="2160"/>
            <w:vAlign w:val="top"/>
          </w:tcPr>
          <w:p>
            <w:pPr>
              <w:spacing w:after="40" w:before="0" w:line="259" w:lineRule="auto"/>
            </w:pPr>
            <w:r>
              <w:rPr>
                <w:rFonts w:ascii="Calibri" w:hAnsi="Calibri"/>
                <w:b w:val="0"/>
                <w:i w:val="0"/>
                <w:color w:val="212121"/>
                <w:sz w:val="19"/>
              </w:rPr>
              <w:t>Diets low in fruit, vegetables &amp; vitamin D</w:t>
            </w:r>
          </w:p>
        </w:tc>
        <w:tc>
          <w:tcPr>
            <w:tcW w:type="dxa" w:w="4276"/>
            <w:vAlign w:val="top"/>
          </w:tcPr>
          <w:p>
            <w:pPr>
              <w:spacing w:after="60" w:line="259" w:lineRule="auto"/>
            </w:pPr>
            <w:r>
              <w:rPr>
                <w:rFonts w:ascii="Calibri" w:hAnsi="Calibri"/>
                <w:b w:val="0"/>
                <w:i w:val="0"/>
                <w:color w:val="212121"/>
                <w:sz w:val="19"/>
              </w:rPr>
              <w:t>Low dietary intake of antioxidants and vitamin D is associated with higher asthma risk and poorer control; such gaps are common in parts of the Indian population and may aggravate airway inflammation.</w:t>
            </w:r>
          </w:p>
          <w:p>
            <w:pPr>
              <w:spacing w:after="40" w:before="60" w:line="259" w:lineRule="auto"/>
            </w:pPr>
            <w:r>
              <w:rPr>
                <w:rFonts w:ascii="Calibri" w:hAnsi="Calibri"/>
                <w:b w:val="0"/>
                <w:i w:val="0"/>
                <w:color w:val="212121"/>
                <w:sz w:val="19"/>
              </w:rPr>
              <w:t>Diets rich in fruit and vegetables are associated with better asthma outcomes (general clinical association).</w:t>
            </w:r>
          </w:p>
          <w:p>
            <w:pPr>
              <w:spacing w:before="60" w:after="40"/>
            </w:pPr>
            <w:r>
              <w:rPr>
                <w:rFonts w:ascii="Calibri" w:hAnsi="Calibri"/>
                <w:b w:val="0"/>
                <w:i w:val="0"/>
                <w:color w:val="5A5A5A"/>
                <w:sz w:val="18"/>
              </w:rPr>
              <w:t>#antioxidants  #vitaminD  #fruitveg  #airwayinflammation</w:t>
            </w:r>
          </w:p>
        </w:tc>
      </w:tr>
      <w:tr>
        <w:trPr>
          <w:cantSplit/>
        </w:trPr>
        <w:tc>
          <w:tcPr>
            <w:tcW w:type="dxa" w:w="1512"/>
            <w:vMerge w:val="restart"/>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Atopy</w:t>
            </w:r>
          </w:p>
        </w:tc>
        <w:tc>
          <w:tcPr>
            <w:tcW w:type="dxa" w:w="2160"/>
            <w:vAlign w:val="top"/>
          </w:tcPr>
          <w:p>
            <w:pPr>
              <w:spacing w:after="40" w:before="0" w:line="259" w:lineRule="auto"/>
            </w:pPr>
            <w:r>
              <w:rPr>
                <w:rFonts w:ascii="Calibri" w:hAnsi="Calibri"/>
                <w:b w:val="0"/>
                <w:i w:val="0"/>
                <w:color w:val="212121"/>
                <w:sz w:val="19"/>
              </w:rPr>
              <w:t>Atopic (allergic) individuals</w:t>
            </w:r>
          </w:p>
        </w:tc>
        <w:tc>
          <w:tcPr>
            <w:tcW w:type="dxa" w:w="4276"/>
            <w:vAlign w:val="top"/>
          </w:tcPr>
          <w:p>
            <w:pPr>
              <w:spacing w:after="60" w:line="259" w:lineRule="auto"/>
            </w:pPr>
            <w:r>
              <w:rPr>
                <w:rFonts w:ascii="Calibri" w:hAnsi="Calibri"/>
                <w:b w:val="0"/>
                <w:i w:val="0"/>
                <w:color w:val="212121"/>
                <w:sz w:val="19"/>
              </w:rPr>
              <w:t>Atopy — a predisposition to IgE-mediated allergy — is the strongest host risk factor for high-molecular-weight sensitizer-induced OA, so atopic bakers, animal handlers and latex-exposed staff are especially vulnerable.</w:t>
            </w:r>
          </w:p>
          <w:p>
            <w:pPr>
              <w:spacing w:after="40" w:before="60" w:line="259" w:lineRule="auto"/>
            </w:pPr>
            <w:r>
              <w:rPr>
                <w:rFonts w:ascii="Calibri" w:hAnsi="Calibri"/>
                <w:b w:val="0"/>
                <w:i w:val="0"/>
                <w:color w:val="212121"/>
                <w:sz w:val="19"/>
              </w:rPr>
              <w:t>Occupational exposure risk for baker's asthma is highest among workers who are atopic.</w:t>
            </w:r>
          </w:p>
          <w:p>
            <w:pPr>
              <w:spacing w:after="40" w:line="252" w:lineRule="auto"/>
            </w:pPr>
            <w:hyperlink r:id="rId13">
              <w:r>
                <w:rPr>
                  <w:rFonts w:ascii="Calibri" w:hAnsi="Calibri" w:cs="Calibri"/>
                  <w:sz w:val="18"/>
                  <w:color w:val="1155CC"/>
                  <w:u w:val="single"/>
                </w:rPr>
                <w:t xml:space="preserve">worldallergy.net — Baker's asthma (atopy and risk)</w:t>
              </w:r>
            </w:hyperlink>
          </w:p>
          <w:p>
            <w:pPr>
              <w:spacing w:before="60" w:after="40"/>
            </w:pPr>
            <w:r>
              <w:rPr>
                <w:rFonts w:ascii="Calibri" w:hAnsi="Calibri"/>
                <w:b w:val="0"/>
                <w:i w:val="0"/>
                <w:color w:val="5A5A5A"/>
                <w:sz w:val="18"/>
              </w:rPr>
              <w:t>#atopy  #IgE  #allergicmarch  #HMWagents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HLA &amp; genetic susceptibility</w:t>
            </w:r>
          </w:p>
        </w:tc>
        <w:tc>
          <w:tcPr>
            <w:tcW w:type="dxa" w:w="2160"/>
            <w:vAlign w:val="top"/>
          </w:tcPr>
          <w:p>
            <w:pPr>
              <w:spacing w:after="40" w:before="0" w:line="259" w:lineRule="auto"/>
            </w:pPr>
            <w:r>
              <w:rPr>
                <w:rFonts w:ascii="Calibri" w:hAnsi="Calibri"/>
                <w:b w:val="0"/>
                <w:i w:val="0"/>
                <w:color w:val="212121"/>
                <w:sz w:val="19"/>
              </w:rPr>
              <w:t>Carriers of specific HLA class II / GST genotypes</w:t>
            </w:r>
          </w:p>
        </w:tc>
        <w:tc>
          <w:tcPr>
            <w:tcW w:type="dxa" w:w="4276"/>
            <w:vAlign w:val="top"/>
          </w:tcPr>
          <w:p>
            <w:pPr>
              <w:spacing w:after="60" w:line="259" w:lineRule="auto"/>
            </w:pPr>
            <w:r>
              <w:rPr>
                <w:rFonts w:ascii="Calibri" w:hAnsi="Calibri"/>
                <w:b w:val="0"/>
                <w:i w:val="0"/>
                <w:color w:val="212121"/>
                <w:sz w:val="19"/>
              </w:rPr>
              <w:t>Polymorphisms in HLA class II genes and in antioxidant enzymes (e.g. glutathione-S-transferase) modulate individual susceptibility to low-molecular-weight agents such as isocyanates, acid anhydrides, platinum salts and western red cedar.</w:t>
            </w:r>
          </w:p>
          <w:p>
            <w:pPr>
              <w:spacing w:after="40" w:before="60" w:line="259" w:lineRule="auto"/>
            </w:pPr>
            <w:r>
              <w:rPr>
                <w:rFonts w:ascii="Calibri" w:hAnsi="Calibri"/>
                <w:b w:val="0"/>
                <w:i w:val="0"/>
                <w:color w:val="212121"/>
                <w:sz w:val="19"/>
              </w:rPr>
              <w:t>Genetic (HLA and antioxidant-enzyme) variation is a recognised host determinant of LMW occupational asthma (general clinical association).</w:t>
            </w:r>
          </w:p>
          <w:p>
            <w:pPr>
              <w:spacing w:before="60" w:after="40"/>
            </w:pPr>
            <w:r>
              <w:rPr>
                <w:rFonts w:ascii="Calibri" w:hAnsi="Calibri"/>
                <w:b w:val="0"/>
                <w:i w:val="0"/>
                <w:color w:val="5A5A5A"/>
                <w:sz w:val="18"/>
              </w:rPr>
              <w:t>#HLA  #genetics  #GST  #LMWagents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Family history</w:t>
            </w:r>
          </w:p>
        </w:tc>
        <w:tc>
          <w:tcPr>
            <w:tcW w:type="dxa" w:w="2160"/>
            <w:vAlign w:val="top"/>
          </w:tcPr>
          <w:p>
            <w:pPr>
              <w:spacing w:after="40" w:before="0" w:line="259" w:lineRule="auto"/>
            </w:pPr>
            <w:r>
              <w:rPr>
                <w:rFonts w:ascii="Calibri" w:hAnsi="Calibri"/>
                <w:b w:val="0"/>
                <w:i w:val="0"/>
                <w:color w:val="212121"/>
                <w:sz w:val="19"/>
              </w:rPr>
              <w:t>Family history of asthma or allergy</w:t>
            </w:r>
          </w:p>
        </w:tc>
        <w:tc>
          <w:tcPr>
            <w:tcW w:type="dxa" w:w="4276"/>
            <w:vAlign w:val="top"/>
          </w:tcPr>
          <w:p>
            <w:pPr>
              <w:spacing w:after="60" w:line="259" w:lineRule="auto"/>
            </w:pPr>
            <w:r>
              <w:rPr>
                <w:rFonts w:ascii="Calibri" w:hAnsi="Calibri"/>
                <w:b w:val="0"/>
                <w:i w:val="0"/>
                <w:color w:val="212121"/>
                <w:sz w:val="19"/>
              </w:rPr>
              <w:t>A family history of asthma, allergic rhinitis or eczema reflects an inherited atopic tendency that raises the likelihood of becoming sensitised to workplace allergens.</w:t>
            </w:r>
          </w:p>
          <w:p>
            <w:pPr>
              <w:spacing w:after="40" w:before="60" w:line="259" w:lineRule="auto"/>
            </w:pPr>
            <w:r>
              <w:rPr>
                <w:rFonts w:ascii="Calibri" w:hAnsi="Calibri"/>
                <w:b w:val="0"/>
                <w:i w:val="0"/>
                <w:color w:val="212121"/>
                <w:sz w:val="19"/>
              </w:rPr>
              <w:t>Familial atopy predisposes to allergic sensitisation, including to occupational agents (general clinical association).</w:t>
            </w:r>
          </w:p>
          <w:p>
            <w:pPr>
              <w:spacing w:before="60" w:after="40"/>
            </w:pPr>
            <w:r>
              <w:rPr>
                <w:rFonts w:ascii="Calibri" w:hAnsi="Calibri"/>
                <w:b w:val="0"/>
                <w:i w:val="0"/>
                <w:color w:val="5A5A5A"/>
                <w:sz w:val="18"/>
              </w:rPr>
              <w:t>#familyhistory  #atopy  #inherited  #allergy</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Occupational rhinitis / rhinoconjunctivitis</w:t>
            </w:r>
          </w:p>
        </w:tc>
        <w:tc>
          <w:tcPr>
            <w:tcW w:type="dxa" w:w="2160"/>
            <w:vAlign w:val="top"/>
          </w:tcPr>
          <w:p>
            <w:pPr>
              <w:spacing w:after="40" w:before="0" w:line="259" w:lineRule="auto"/>
            </w:pPr>
            <w:r>
              <w:rPr>
                <w:rFonts w:ascii="Calibri" w:hAnsi="Calibri"/>
                <w:b w:val="0"/>
                <w:i w:val="0"/>
                <w:color w:val="212121"/>
                <w:sz w:val="19"/>
              </w:rPr>
              <w:t>Workers with work-related nasal &amp; eye symptoms</w:t>
            </w:r>
          </w:p>
        </w:tc>
        <w:tc>
          <w:tcPr>
            <w:tcW w:type="dxa" w:w="4276"/>
            <w:vAlign w:val="top"/>
          </w:tcPr>
          <w:p>
            <w:pPr>
              <w:spacing w:after="60" w:line="259" w:lineRule="auto"/>
            </w:pPr>
            <w:r>
              <w:rPr>
                <w:rFonts w:ascii="Calibri" w:hAnsi="Calibri"/>
                <w:b w:val="0"/>
                <w:i w:val="0"/>
                <w:color w:val="212121"/>
                <w:sz w:val="19"/>
              </w:rPr>
              <w:t>Work-related rhinitis and conjunctivitis frequently precede occupational asthma and are an important early-warning marker; sensitisation of the upper airway commonly comes first.</w:t>
            </w:r>
          </w:p>
          <w:p>
            <w:pPr>
              <w:spacing w:after="40" w:before="60" w:line="259" w:lineRule="auto"/>
            </w:pPr>
            <w:r>
              <w:rPr>
                <w:rFonts w:ascii="Calibri" w:hAnsi="Calibri"/>
                <w:b w:val="0"/>
                <w:i w:val="0"/>
                <w:color w:val="212121"/>
                <w:sz w:val="19"/>
              </w:rPr>
              <w:t>Rhinitis and conjunctivitis may develop with, or precede, occupational asthma by as long as one year.</w:t>
            </w:r>
          </w:p>
          <w:p>
            <w:pPr>
              <w:spacing w:after="40" w:line="252" w:lineRule="auto"/>
            </w:pPr>
            <w:hyperlink r:id="rId9">
              <w:r>
                <w:rPr>
                  <w:rFonts w:ascii="Calibri" w:hAnsi="Calibri" w:cs="Calibri"/>
                  <w:sz w:val="18"/>
                  <w:color w:val="1155CC"/>
                  <w:u w:val="single"/>
                </w:rPr>
                <w:t xml:space="preserve">som.org.uk — Occupational rhinitis preceding asthma</w:t>
              </w:r>
            </w:hyperlink>
          </w:p>
          <w:p>
            <w:pPr>
              <w:spacing w:before="60" w:after="40"/>
            </w:pPr>
            <w:r>
              <w:rPr>
                <w:rFonts w:ascii="Calibri" w:hAnsi="Calibri"/>
                <w:b w:val="0"/>
                <w:i w:val="0"/>
                <w:color w:val="5A5A5A"/>
                <w:sz w:val="18"/>
              </w:rPr>
              <w:t>#rhinitis  #conjunctivitis  #earlywarning  #upperairway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Pre-existing asthma</w:t>
            </w:r>
          </w:p>
        </w:tc>
        <w:tc>
          <w:tcPr>
            <w:tcW w:type="dxa" w:w="2160"/>
            <w:vAlign w:val="top"/>
          </w:tcPr>
          <w:p>
            <w:pPr>
              <w:spacing w:after="40" w:before="0" w:line="259" w:lineRule="auto"/>
            </w:pPr>
            <w:r>
              <w:rPr>
                <w:rFonts w:ascii="Calibri" w:hAnsi="Calibri"/>
                <w:b w:val="0"/>
                <w:i w:val="0"/>
                <w:color w:val="212121"/>
                <w:sz w:val="19"/>
              </w:rPr>
              <w:t>Workers with prior asthma (work-exacerbated asthma)</w:t>
            </w:r>
          </w:p>
        </w:tc>
        <w:tc>
          <w:tcPr>
            <w:tcW w:type="dxa" w:w="4276"/>
            <w:vAlign w:val="top"/>
          </w:tcPr>
          <w:p>
            <w:pPr>
              <w:spacing w:after="60" w:line="259" w:lineRule="auto"/>
            </w:pPr>
            <w:r>
              <w:rPr>
                <w:rFonts w:ascii="Calibri" w:hAnsi="Calibri"/>
                <w:b w:val="0"/>
                <w:i w:val="0"/>
                <w:color w:val="212121"/>
                <w:sz w:val="19"/>
              </w:rPr>
              <w:t>Workers who already have asthma may develop work-exacerbated asthma — non-specific worsening from dusts, fumes, cold air or exertion — which is common and must be distinguished from true sensitizer-induced OA because management differs.</w:t>
            </w:r>
          </w:p>
          <w:p>
            <w:pPr>
              <w:spacing w:after="40" w:before="60" w:line="259" w:lineRule="auto"/>
            </w:pPr>
            <w:r>
              <w:rPr>
                <w:rFonts w:ascii="Calibri" w:hAnsi="Calibri"/>
                <w:b w:val="0"/>
                <w:i w:val="0"/>
                <w:color w:val="212121"/>
                <w:sz w:val="19"/>
              </w:rPr>
              <w:t>Work-related asthma includes both occupational asthma (new disease caused by work) and work-exacerbated asthma (pre-existing asthma worsened by work).</w:t>
            </w:r>
          </w:p>
          <w:p>
            <w:pPr>
              <w:spacing w:after="40" w:line="252" w:lineRule="auto"/>
            </w:pPr>
            <w:hyperlink r:id="rId14">
              <w:r>
                <w:rPr>
                  <w:rFonts w:ascii="Calibri" w:hAnsi="Calibri" w:cs="Calibri"/>
                  <w:sz w:val="18"/>
                  <w:color w:val="1155CC"/>
                  <w:u w:val="single"/>
                </w:rPr>
                <w:t xml:space="preserve">merckmanuals.com — Work-related asthma (OA vs work-exacerbated asthma)</w:t>
              </w:r>
            </w:hyperlink>
          </w:p>
          <w:p>
            <w:pPr>
              <w:spacing w:before="60" w:after="40"/>
            </w:pPr>
            <w:r>
              <w:rPr>
                <w:rFonts w:ascii="Calibri" w:hAnsi="Calibri"/>
                <w:b w:val="0"/>
                <w:i w:val="0"/>
                <w:color w:val="5A5A5A"/>
                <w:sz w:val="18"/>
              </w:rPr>
              <w:t>#workexacerbated  #preexistingasthma  #WEA  #differentialdx</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Atopic dermatitis / latex allergy</w:t>
            </w:r>
          </w:p>
        </w:tc>
        <w:tc>
          <w:tcPr>
            <w:tcW w:type="dxa" w:w="2160"/>
            <w:vAlign w:val="top"/>
          </w:tcPr>
          <w:p>
            <w:pPr>
              <w:spacing w:after="40" w:before="0" w:line="259" w:lineRule="auto"/>
            </w:pPr>
            <w:r>
              <w:rPr>
                <w:rFonts w:ascii="Calibri" w:hAnsi="Calibri"/>
                <w:b w:val="0"/>
                <w:i w:val="0"/>
                <w:color w:val="212121"/>
                <w:sz w:val="19"/>
              </w:rPr>
              <w:t>Atopic eczema and latex-sensitised workers</w:t>
            </w:r>
          </w:p>
        </w:tc>
        <w:tc>
          <w:tcPr>
            <w:tcW w:type="dxa" w:w="4276"/>
            <w:vAlign w:val="top"/>
          </w:tcPr>
          <w:p>
            <w:pPr>
              <w:spacing w:after="60" w:line="259" w:lineRule="auto"/>
            </w:pPr>
            <w:r>
              <w:rPr>
                <w:rFonts w:ascii="Calibri" w:hAnsi="Calibri"/>
                <w:b w:val="0"/>
                <w:i w:val="0"/>
                <w:color w:val="212121"/>
                <w:sz w:val="19"/>
              </w:rPr>
              <w:t>Atopic dermatitis is part of the allergic march, and latex sensitisation in healthcare and rubber-industry workers can progress from contact urticaria to occupational asthma and even anaphylaxis.</w:t>
            </w:r>
          </w:p>
          <w:p>
            <w:pPr>
              <w:spacing w:after="40" w:before="60" w:line="259" w:lineRule="auto"/>
            </w:pPr>
            <w:r>
              <w:rPr>
                <w:rFonts w:ascii="Calibri" w:hAnsi="Calibri"/>
                <w:b w:val="0"/>
                <w:i w:val="0"/>
                <w:color w:val="212121"/>
                <w:sz w:val="19"/>
              </w:rPr>
              <w:t>Natural rubber latex is a recognised high-molecular-weight cause of occupational asthma, particularly in healthcare workers.</w:t>
            </w:r>
          </w:p>
          <w:p>
            <w:pPr>
              <w:spacing w:after="40" w:line="252" w:lineRule="auto"/>
            </w:pPr>
            <w:hyperlink r:id="rId9">
              <w:r>
                <w:rPr>
                  <w:rFonts w:ascii="Calibri" w:hAnsi="Calibri" w:cs="Calibri"/>
                  <w:sz w:val="18"/>
                  <w:color w:val="1155CC"/>
                  <w:u w:val="single"/>
                </w:rPr>
                <w:t xml:space="preserve">som.org.uk — Latex among high-molecular-weight causes of OA</w:t>
              </w:r>
            </w:hyperlink>
          </w:p>
          <w:p>
            <w:pPr>
              <w:spacing w:before="60" w:after="40"/>
            </w:pPr>
            <w:r>
              <w:rPr>
                <w:rFonts w:ascii="Calibri" w:hAnsi="Calibri"/>
                <w:b w:val="0"/>
                <w:i w:val="0"/>
                <w:color w:val="5A5A5A"/>
                <w:sz w:val="18"/>
              </w:rPr>
              <w:t>#latex  #eczema  #contacturticaria  #anaphylaxis  #healthcare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Chronic rhinosinusitis / GERD</w:t>
            </w:r>
          </w:p>
        </w:tc>
        <w:tc>
          <w:tcPr>
            <w:tcW w:type="dxa" w:w="2160"/>
            <w:vAlign w:val="top"/>
          </w:tcPr>
          <w:p>
            <w:pPr>
              <w:spacing w:after="40" w:before="0" w:line="259" w:lineRule="auto"/>
            </w:pPr>
            <w:r>
              <w:rPr>
                <w:rFonts w:ascii="Calibri" w:hAnsi="Calibri"/>
                <w:b w:val="0"/>
                <w:i w:val="0"/>
                <w:color w:val="212121"/>
                <w:sz w:val="19"/>
              </w:rPr>
              <w:t>Comorbid upper-airway disease &amp; reflux</w:t>
            </w:r>
          </w:p>
        </w:tc>
        <w:tc>
          <w:tcPr>
            <w:tcW w:type="dxa" w:w="4276"/>
            <w:vAlign w:val="top"/>
          </w:tcPr>
          <w:p>
            <w:pPr>
              <w:spacing w:after="60" w:line="259" w:lineRule="auto"/>
            </w:pPr>
            <w:r>
              <w:rPr>
                <w:rFonts w:ascii="Calibri" w:hAnsi="Calibri"/>
                <w:b w:val="0"/>
                <w:i w:val="0"/>
                <w:color w:val="212121"/>
                <w:sz w:val="19"/>
              </w:rPr>
              <w:t>Chronic rhinosinusitis, nasal polyps and gastro-oesophageal reflux worsen asthma control and can confound the assessment of work-relatedness, so they should be identified and treated.</w:t>
            </w:r>
          </w:p>
          <w:p>
            <w:pPr>
              <w:spacing w:after="40" w:before="60" w:line="259" w:lineRule="auto"/>
            </w:pPr>
            <w:r>
              <w:rPr>
                <w:rFonts w:ascii="Calibri" w:hAnsi="Calibri"/>
                <w:b w:val="0"/>
                <w:i w:val="0"/>
                <w:color w:val="212121"/>
                <w:sz w:val="19"/>
              </w:rPr>
              <w:t>Upper-airway disease and reflux are common comorbidities that aggravate asthma control (general clinical association).</w:t>
            </w:r>
          </w:p>
          <w:p>
            <w:pPr>
              <w:spacing w:before="60" w:after="40"/>
            </w:pPr>
            <w:r>
              <w:rPr>
                <w:rFonts w:ascii="Calibri" w:hAnsi="Calibri"/>
                <w:b w:val="0"/>
                <w:i w:val="0"/>
                <w:color w:val="5A5A5A"/>
                <w:sz w:val="18"/>
              </w:rPr>
              <w:t>#sinusitis  #nasalpolyps  #GERD  #asthmacontrol</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Regular aerobic activity improves overall asthma control, fitness and weight, whereas deconditioning worsens breathlessness; exercise itself can transiently trigger bronchoconstriction, so it is best done with good baseline control.</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Obesity and diets low in antioxidants and vitamin D are associated with poorer asthma control and reduced steroid response, while a balanced fruit-and-vegetable-rich diet supports airway health; food-derived allergens can also be occupational agents (flour, enzymes, spices).</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Late asthmatic responses and nocturnal symptoms disturb sleep, and poor or short sleep and coexisting obstructive sleep apnoea are linked to worse asthma control and more frequent exacerbations.</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Smoking increases airway permeability, can enhance IgE sensitisation to certain occupational agents, accelerates loss of lung function and is associated with a worse prognosis in occupational asthma.</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Alcohol has a minor role overall, but sulfite-containing wines, beers and spirits can trigger bronchoconstriction in sensitive asthmatics.</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OA carries a real threat of job loss and income insecurity; anxiety and depression are common and stress can worsen symptom perception and control, while dysfunctional breathing can mimic asthma.</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Adequate hydration and airway humidification have only a minor, indirect role; cold, dry air is a stronger non-specific trigger than hydration status.</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Caffeine is a weak bronchodilator chemically related to theophylline and can modestly and transiently improve lung function, but the clinical effect is negligible and it can confound methacholine testing if taken beforehand.</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Workplace and respiratory hygiene — dust suppression, housekeeping, clean and well-fitted respirators, and washing hands and face after handling agents — reduces the effective inhaled dose; poor hygiene increases exposure and sensitisation.</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The inhaled workplace sensitizer or irritant is the direct cause; once sensitised, even very low-level re-exposure provokes attacks, and non-specific triggers (cold air, exercise, respiratory infections, dusts and fumes) further worsen symptoms.</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Posture is not a cause, but confined-space, overhead or bent-over tasks (e.g. spray painting in enclosures) can raise the inhaled dose; upright positioning and pursed-lip breathing help during acute breathlessness.</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Isocyanate exposure (8-hour TWA, as –NCO)</w:t>
            </w:r>
          </w:p>
        </w:tc>
        <w:tc>
          <w:tcPr>
            <w:tcW w:type="dxa" w:w="1655"/>
            <w:vAlign w:val="top"/>
          </w:tcPr>
          <w:p>
            <w:pPr>
              <w:spacing w:after="40" w:before="0" w:line="259" w:lineRule="auto"/>
            </w:pPr>
            <w:r>
              <w:rPr>
                <w:rFonts w:ascii="Calibri" w:hAnsi="Calibri"/>
                <w:b w:val="0"/>
                <w:i w:val="0"/>
                <w:color w:val="212121"/>
                <w:sz w:val="19"/>
              </w:rPr>
              <w:t>Spray painters, PU foam &amp; plastics workers</w:t>
            </w:r>
          </w:p>
        </w:tc>
        <w:tc>
          <w:tcPr>
            <w:tcW w:type="dxa" w:w="1512"/>
            <w:vAlign w:val="top"/>
          </w:tcPr>
          <w:p>
            <w:pPr>
              <w:spacing w:after="40" w:before="0" w:line="259" w:lineRule="auto"/>
            </w:pPr>
            <w:r>
              <w:rPr>
                <w:rFonts w:ascii="Calibri" w:hAnsi="Calibri"/>
                <w:b w:val="0"/>
                <w:i w:val="0"/>
                <w:color w:val="212121"/>
                <w:sz w:val="19"/>
              </w:rPr>
              <w:t>As low as reasonably achievable; below occupational limits (order of 0.005 ppm / 0.02 mg/m³)</w:t>
            </w:r>
          </w:p>
        </w:tc>
        <w:tc>
          <w:tcPr>
            <w:tcW w:type="dxa" w:w="1512"/>
            <w:vAlign w:val="top"/>
          </w:tcPr>
          <w:p>
            <w:pPr>
              <w:spacing w:after="40" w:before="0" w:line="259" w:lineRule="auto"/>
            </w:pPr>
            <w:r>
              <w:rPr>
                <w:rFonts w:ascii="Calibri" w:hAnsi="Calibri"/>
                <w:b w:val="0"/>
                <w:i w:val="0"/>
                <w:color w:val="212121"/>
                <w:sz w:val="19"/>
              </w:rPr>
              <w:t>Detectable/peak exposure or exceedance of the limit</w:t>
            </w:r>
          </w:p>
        </w:tc>
        <w:tc>
          <w:tcPr>
            <w:tcW w:type="dxa" w:w="1468"/>
            <w:vAlign w:val="top"/>
          </w:tcPr>
          <w:p>
            <w:pPr>
              <w:spacing w:after="40" w:before="0" w:line="259" w:lineRule="auto"/>
            </w:pPr>
            <w:r>
              <w:rPr>
                <w:rFonts w:ascii="Calibri" w:hAnsi="Calibri"/>
                <w:b w:val="0"/>
                <w:i w:val="0"/>
                <w:color w:val="212121"/>
                <w:sz w:val="19"/>
              </w:rPr>
              <w:t>Isocyanates are a leading LMW cause; once sensitised, even trace exposure triggers OA.</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Flour / grain dust (inhalable)</w:t>
            </w:r>
          </w:p>
        </w:tc>
        <w:tc>
          <w:tcPr>
            <w:tcW w:type="dxa" w:w="1655"/>
            <w:vAlign w:val="top"/>
          </w:tcPr>
          <w:p>
            <w:pPr>
              <w:spacing w:after="40" w:before="0" w:line="259" w:lineRule="auto"/>
            </w:pPr>
            <w:r>
              <w:rPr>
                <w:rFonts w:ascii="Calibri" w:hAnsi="Calibri"/>
                <w:b w:val="0"/>
                <w:i w:val="0"/>
                <w:color w:val="212121"/>
                <w:sz w:val="19"/>
              </w:rPr>
              <w:t>Bakers, millers, grain handlers</w:t>
            </w:r>
          </w:p>
        </w:tc>
        <w:tc>
          <w:tcPr>
            <w:tcW w:type="dxa" w:w="1512"/>
            <w:vAlign w:val="top"/>
          </w:tcPr>
          <w:p>
            <w:pPr>
              <w:spacing w:after="40" w:before="0" w:line="259" w:lineRule="auto"/>
            </w:pPr>
            <w:r>
              <w:rPr>
                <w:rFonts w:ascii="Calibri" w:hAnsi="Calibri"/>
                <w:b w:val="0"/>
                <w:i w:val="0"/>
                <w:color w:val="212121"/>
                <w:sz w:val="19"/>
              </w:rPr>
              <w:t>Kept as low as reasonably practicable (well below ~1 mg/m³)</w:t>
            </w:r>
          </w:p>
        </w:tc>
        <w:tc>
          <w:tcPr>
            <w:tcW w:type="dxa" w:w="1512"/>
            <w:vAlign w:val="top"/>
          </w:tcPr>
          <w:p>
            <w:pPr>
              <w:spacing w:after="40" w:before="0" w:line="259" w:lineRule="auto"/>
            </w:pPr>
            <w:r>
              <w:rPr>
                <w:rFonts w:ascii="Calibri" w:hAnsi="Calibri"/>
                <w:b w:val="0"/>
                <w:i w:val="0"/>
                <w:color w:val="212121"/>
                <w:sz w:val="19"/>
              </w:rPr>
              <w:t>Visible dust clouds / high inhalable dust</w:t>
            </w:r>
          </w:p>
        </w:tc>
        <w:tc>
          <w:tcPr>
            <w:tcW w:type="dxa" w:w="1468"/>
            <w:vAlign w:val="top"/>
          </w:tcPr>
          <w:p>
            <w:pPr>
              <w:spacing w:after="60" w:line="259" w:lineRule="auto"/>
            </w:pPr>
            <w:r>
              <w:rPr>
                <w:rFonts w:ascii="Calibri" w:hAnsi="Calibri"/>
                <w:b w:val="0"/>
                <w:i w:val="0"/>
                <w:color w:val="212121"/>
                <w:sz w:val="19"/>
              </w:rPr>
              <w:t>Wheat flour and fungal α-amylase are classic HMW sensitizers causing baker's asthma.</w:t>
            </w:r>
          </w:p>
          <w:p>
            <w:pPr>
              <w:spacing w:after="40" w:line="252" w:lineRule="auto"/>
            </w:pPr>
            <w:hyperlink r:id="rId13">
              <w:r>
                <w:rPr>
                  <w:rFonts w:ascii="Calibri" w:hAnsi="Calibri" w:cs="Calibri"/>
                  <w:sz w:val="18"/>
                  <w:color w:val="1155CC"/>
                  <w:u w:val="single"/>
                </w:rPr>
                <w:t xml:space="preserve">https://worldallergy.net/component/content/article/bakers-asthma?catid=17&amp;Itemid=101</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Cotton / organic dust (textile)</w:t>
            </w:r>
          </w:p>
        </w:tc>
        <w:tc>
          <w:tcPr>
            <w:tcW w:type="dxa" w:w="1655"/>
            <w:vAlign w:val="top"/>
          </w:tcPr>
          <w:p>
            <w:pPr>
              <w:spacing w:after="40" w:before="0" w:line="259" w:lineRule="auto"/>
            </w:pPr>
            <w:r>
              <w:rPr>
                <w:rFonts w:ascii="Calibri" w:hAnsi="Calibri"/>
                <w:b w:val="0"/>
                <w:i w:val="0"/>
                <w:color w:val="212121"/>
                <w:sz w:val="19"/>
              </w:rPr>
              <w:t>Cotton mill, ginning &amp; powerloom workers</w:t>
            </w:r>
          </w:p>
        </w:tc>
        <w:tc>
          <w:tcPr>
            <w:tcW w:type="dxa" w:w="1512"/>
            <w:vAlign w:val="top"/>
          </w:tcPr>
          <w:p>
            <w:pPr>
              <w:spacing w:after="40" w:before="0" w:line="259" w:lineRule="auto"/>
            </w:pPr>
            <w:r>
              <w:rPr>
                <w:rFonts w:ascii="Calibri" w:hAnsi="Calibri"/>
                <w:b w:val="0"/>
                <w:i w:val="0"/>
                <w:color w:val="212121"/>
                <w:sz w:val="19"/>
              </w:rPr>
              <w:t>Kept below the cotton-dust standard (order of 0.2 mg/m³)</w:t>
            </w:r>
          </w:p>
        </w:tc>
        <w:tc>
          <w:tcPr>
            <w:tcW w:type="dxa" w:w="1512"/>
            <w:vAlign w:val="top"/>
          </w:tcPr>
          <w:p>
            <w:pPr>
              <w:spacing w:after="40" w:before="0" w:line="259" w:lineRule="auto"/>
            </w:pPr>
            <w:r>
              <w:rPr>
                <w:rFonts w:ascii="Calibri" w:hAnsi="Calibri"/>
                <w:b w:val="0"/>
                <w:i w:val="0"/>
                <w:color w:val="212121"/>
                <w:sz w:val="19"/>
              </w:rPr>
              <w:t>High cotton/flax dust; Monday chest tightness</w:t>
            </w:r>
          </w:p>
        </w:tc>
        <w:tc>
          <w:tcPr>
            <w:tcW w:type="dxa" w:w="1468"/>
            <w:vAlign w:val="top"/>
          </w:tcPr>
          <w:p>
            <w:pPr>
              <w:spacing w:after="60" w:line="259" w:lineRule="auto"/>
            </w:pPr>
            <w:r>
              <w:rPr>
                <w:rFonts w:ascii="Calibri" w:hAnsi="Calibri"/>
                <w:b w:val="0"/>
                <w:i w:val="0"/>
                <w:color w:val="212121"/>
                <w:sz w:val="19"/>
              </w:rPr>
              <w:t>Cotton dust causes byssinotic airway narrowing overlapping with OA in Indian textile belts.</w:t>
            </w:r>
          </w:p>
          <w:p>
            <w:pPr>
              <w:spacing w:after="40" w:line="252" w:lineRule="auto"/>
            </w:pPr>
            <w:hyperlink r:id="rId11">
              <w:r>
                <w:rPr>
                  <w:rFonts w:ascii="Calibri" w:hAnsi="Calibri" w:cs="Calibri"/>
                  <w:sz w:val="18"/>
                  <w:color w:val="1155CC"/>
                  <w:u w:val="single"/>
                </w:rPr>
                <w:t xml:space="preserve">https://journals.lww.com/jatn/fulltext/2024/07010/pooled_prevalence_of_byssinosis_in_india__a.4.aspx</w:t>
              </w:r>
            </w:hyperlink>
          </w:p>
        </w:tc>
      </w:tr>
      <w:tr>
        <w:trPr>
          <w:cantSplit/>
        </w:trPr>
        <w:tc>
          <w:tcPr>
            <w:tcW w:type="dxa" w:w="1512"/>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Body Mass Index (kg/m²)</w:t>
            </w:r>
          </w:p>
        </w:tc>
        <w:tc>
          <w:tcPr>
            <w:tcW w:type="dxa" w:w="1655"/>
            <w:vAlign w:val="top"/>
          </w:tcPr>
          <w:p>
            <w:pPr>
              <w:spacing w:after="40" w:before="0" w:line="259" w:lineRule="auto"/>
            </w:pPr>
            <w:r>
              <w:rPr>
                <w:rFonts w:ascii="Calibri" w:hAnsi="Calibri"/>
                <w:b w:val="0"/>
                <w:i w:val="0"/>
                <w:color w:val="212121"/>
                <w:sz w:val="19"/>
              </w:rPr>
              <w:t>Exposed adults</w:t>
            </w:r>
          </w:p>
        </w:tc>
        <w:tc>
          <w:tcPr>
            <w:tcW w:type="dxa" w:w="1512"/>
            <w:vAlign w:val="top"/>
          </w:tcPr>
          <w:p>
            <w:pPr>
              <w:spacing w:after="40" w:before="0" w:line="259" w:lineRule="auto"/>
            </w:pPr>
            <w:r>
              <w:rPr>
                <w:rFonts w:ascii="Calibri" w:hAnsi="Calibri"/>
                <w:b w:val="0"/>
                <w:i w:val="0"/>
                <w:color w:val="212121"/>
                <w:sz w:val="19"/>
              </w:rPr>
              <w:t>18.5–24.9 kg/m² (Asian cut-off 18.5–22.9)</w:t>
            </w:r>
          </w:p>
        </w:tc>
        <w:tc>
          <w:tcPr>
            <w:tcW w:type="dxa" w:w="1512"/>
            <w:vAlign w:val="top"/>
          </w:tcPr>
          <w:p>
            <w:pPr>
              <w:spacing w:after="40" w:before="0" w:line="259" w:lineRule="auto"/>
            </w:pPr>
            <w:r>
              <w:rPr>
                <w:rFonts w:ascii="Calibri" w:hAnsi="Calibri"/>
                <w:b w:val="0"/>
                <w:i w:val="0"/>
                <w:color w:val="212121"/>
                <w:sz w:val="19"/>
              </w:rPr>
              <w:t>≥ 25 (overweight); ≥ 30 (obesity)</w:t>
            </w:r>
          </w:p>
        </w:tc>
        <w:tc>
          <w:tcPr>
            <w:tcW w:type="dxa" w:w="1468"/>
            <w:vAlign w:val="top"/>
          </w:tcPr>
          <w:p>
            <w:pPr>
              <w:spacing w:after="40" w:before="0" w:line="259" w:lineRule="auto"/>
            </w:pPr>
            <w:r>
              <w:rPr>
                <w:rFonts w:ascii="Calibri" w:hAnsi="Calibri"/>
                <w:b w:val="0"/>
                <w:i w:val="0"/>
                <w:color w:val="212121"/>
                <w:sz w:val="19"/>
              </w:rPr>
              <w:t>Obesity worsens asthma control and reduces inhaled-steroid response.</w:t>
            </w:r>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FEV1 (% predicted)</w:t>
            </w:r>
          </w:p>
        </w:tc>
        <w:tc>
          <w:tcPr>
            <w:tcW w:type="dxa" w:w="1655"/>
            <w:vAlign w:val="top"/>
          </w:tcPr>
          <w:p>
            <w:pPr>
              <w:spacing w:after="40" w:before="0" w:line="259" w:lineRule="auto"/>
            </w:pPr>
            <w:r>
              <w:rPr>
                <w:rFonts w:ascii="Calibri" w:hAnsi="Calibri"/>
                <w:b w:val="0"/>
                <w:i w:val="0"/>
                <w:color w:val="212121"/>
                <w:sz w:val="19"/>
              </w:rPr>
              <w:t>All workers with suspected OA</w:t>
            </w:r>
          </w:p>
        </w:tc>
        <w:tc>
          <w:tcPr>
            <w:tcW w:type="dxa" w:w="1512"/>
            <w:vAlign w:val="top"/>
          </w:tcPr>
          <w:p>
            <w:pPr>
              <w:spacing w:after="40" w:before="0" w:line="259" w:lineRule="auto"/>
            </w:pPr>
            <w:r>
              <w:rPr>
                <w:rFonts w:ascii="Calibri" w:hAnsi="Calibri"/>
                <w:b w:val="0"/>
                <w:i w:val="0"/>
                <w:color w:val="212121"/>
                <w:sz w:val="19"/>
              </w:rPr>
              <w:t>≥ 80% predicted</w:t>
            </w:r>
          </w:p>
        </w:tc>
        <w:tc>
          <w:tcPr>
            <w:tcW w:type="dxa" w:w="1512"/>
            <w:vAlign w:val="top"/>
          </w:tcPr>
          <w:p>
            <w:pPr>
              <w:spacing w:after="40" w:before="0" w:line="259" w:lineRule="auto"/>
            </w:pPr>
            <w:r>
              <w:rPr>
                <w:rFonts w:ascii="Calibri" w:hAnsi="Calibri"/>
                <w:b w:val="0"/>
                <w:i w:val="0"/>
                <w:color w:val="212121"/>
                <w:sz w:val="19"/>
              </w:rPr>
              <w:t>&lt; 80% predicted (airflow obstruction)</w:t>
            </w:r>
          </w:p>
        </w:tc>
        <w:tc>
          <w:tcPr>
            <w:tcW w:type="dxa" w:w="1468"/>
            <w:vAlign w:val="top"/>
          </w:tcPr>
          <w:p>
            <w:pPr>
              <w:spacing w:after="40" w:before="0" w:line="259" w:lineRule="auto"/>
            </w:pPr>
            <w:r>
              <w:rPr>
                <w:rFonts w:ascii="Calibri" w:hAnsi="Calibri"/>
                <w:b w:val="0"/>
                <w:i w:val="0"/>
                <w:color w:val="212121"/>
                <w:sz w:val="19"/>
              </w:rPr>
              <w:t>Falls across the shift/workweek and improves away from work in OA.</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FEV1/FVC ratio</w:t>
            </w:r>
          </w:p>
        </w:tc>
        <w:tc>
          <w:tcPr>
            <w:tcW w:type="dxa" w:w="1655"/>
            <w:vAlign w:val="top"/>
          </w:tcPr>
          <w:p>
            <w:pPr>
              <w:spacing w:after="40" w:before="0" w:line="259" w:lineRule="auto"/>
            </w:pPr>
            <w:r>
              <w:rPr>
                <w:rFonts w:ascii="Calibri" w:hAnsi="Calibri"/>
                <w:b w:val="0"/>
                <w:i w:val="0"/>
                <w:color w:val="212121"/>
                <w:sz w:val="19"/>
              </w:rPr>
              <w:t>All workers with suspected OA</w:t>
            </w:r>
          </w:p>
        </w:tc>
        <w:tc>
          <w:tcPr>
            <w:tcW w:type="dxa" w:w="1512"/>
            <w:vAlign w:val="top"/>
          </w:tcPr>
          <w:p>
            <w:pPr>
              <w:spacing w:after="40" w:before="0" w:line="259" w:lineRule="auto"/>
            </w:pPr>
            <w:r>
              <w:rPr>
                <w:rFonts w:ascii="Calibri" w:hAnsi="Calibri"/>
                <w:b w:val="0"/>
                <w:i w:val="0"/>
                <w:color w:val="212121"/>
                <w:sz w:val="19"/>
              </w:rPr>
              <w:t>&gt; 0.70 (or above lower limit of normal)</w:t>
            </w:r>
          </w:p>
        </w:tc>
        <w:tc>
          <w:tcPr>
            <w:tcW w:type="dxa" w:w="1512"/>
            <w:vAlign w:val="top"/>
          </w:tcPr>
          <w:p>
            <w:pPr>
              <w:spacing w:after="40" w:before="0" w:line="259" w:lineRule="auto"/>
            </w:pPr>
            <w:r>
              <w:rPr>
                <w:rFonts w:ascii="Calibri" w:hAnsi="Calibri"/>
                <w:b w:val="0"/>
                <w:i w:val="0"/>
                <w:color w:val="212121"/>
                <w:sz w:val="19"/>
              </w:rPr>
              <w:t>&lt; 0.70 (obstructive pattern)</w:t>
            </w:r>
          </w:p>
        </w:tc>
        <w:tc>
          <w:tcPr>
            <w:tcW w:type="dxa" w:w="1468"/>
            <w:vAlign w:val="top"/>
          </w:tcPr>
          <w:p>
            <w:pPr>
              <w:spacing w:after="40" w:before="0" w:line="259" w:lineRule="auto"/>
            </w:pPr>
            <w:r>
              <w:rPr>
                <w:rFonts w:ascii="Calibri" w:hAnsi="Calibri"/>
                <w:b w:val="0"/>
                <w:i w:val="0"/>
                <w:color w:val="212121"/>
                <w:sz w:val="19"/>
              </w:rPr>
              <w:t>Confirms obstruction; reversibility of ≥ 12% and ≥ 200 mL supports asthma.</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Peak expiratory flow (PEF) diurnal variability</w:t>
            </w:r>
          </w:p>
        </w:tc>
        <w:tc>
          <w:tcPr>
            <w:tcW w:type="dxa" w:w="1655"/>
            <w:vAlign w:val="top"/>
          </w:tcPr>
          <w:p>
            <w:pPr>
              <w:spacing w:after="40" w:before="0" w:line="259" w:lineRule="auto"/>
            </w:pPr>
            <w:r>
              <w:rPr>
                <w:rFonts w:ascii="Calibri" w:hAnsi="Calibri"/>
                <w:b w:val="0"/>
                <w:i w:val="0"/>
                <w:color w:val="212121"/>
                <w:sz w:val="19"/>
              </w:rPr>
              <w:t>Workers self-monitoring PEF</w:t>
            </w:r>
          </w:p>
        </w:tc>
        <w:tc>
          <w:tcPr>
            <w:tcW w:type="dxa" w:w="1512"/>
            <w:vAlign w:val="top"/>
          </w:tcPr>
          <w:p>
            <w:pPr>
              <w:spacing w:after="40" w:before="0" w:line="259" w:lineRule="auto"/>
            </w:pPr>
            <w:r>
              <w:rPr>
                <w:rFonts w:ascii="Calibri" w:hAnsi="Calibri"/>
                <w:b w:val="0"/>
                <w:i w:val="0"/>
                <w:color w:val="212121"/>
                <w:sz w:val="19"/>
              </w:rPr>
              <w:t>&lt; 10–20% variability</w:t>
            </w:r>
          </w:p>
        </w:tc>
        <w:tc>
          <w:tcPr>
            <w:tcW w:type="dxa" w:w="1512"/>
            <w:vAlign w:val="top"/>
          </w:tcPr>
          <w:p>
            <w:pPr>
              <w:spacing w:after="40" w:before="0" w:line="259" w:lineRule="auto"/>
            </w:pPr>
            <w:r>
              <w:rPr>
                <w:rFonts w:ascii="Calibri" w:hAnsi="Calibri"/>
                <w:b w:val="0"/>
                <w:i w:val="0"/>
                <w:color w:val="212121"/>
                <w:sz w:val="19"/>
              </w:rPr>
              <w:t>&gt; 20% variability with a work-related pattern</w:t>
            </w:r>
          </w:p>
        </w:tc>
        <w:tc>
          <w:tcPr>
            <w:tcW w:type="dxa" w:w="1468"/>
            <w:vAlign w:val="top"/>
          </w:tcPr>
          <w:p>
            <w:pPr>
              <w:spacing w:after="60" w:line="259" w:lineRule="auto"/>
            </w:pPr>
            <w:r>
              <w:rPr>
                <w:rFonts w:ascii="Calibri" w:hAnsi="Calibri"/>
                <w:b w:val="0"/>
                <w:i w:val="0"/>
                <w:color w:val="212121"/>
                <w:sz w:val="19"/>
              </w:rPr>
              <w:t>Serial 4-times-daily PEF (OASYS) links variability to workdays.</w:t>
            </w:r>
          </w:p>
          <w:p>
            <w:pPr>
              <w:spacing w:after="40" w:line="252" w:lineRule="auto"/>
            </w:pPr>
            <w:hyperlink r:id="rId15">
              <w:r>
                <w:rPr>
                  <w:rFonts w:ascii="Calibri" w:hAnsi="Calibri" w:cs="Calibri"/>
                  <w:sz w:val="18"/>
                  <w:color w:val="1155CC"/>
                  <w:u w:val="single"/>
                </w:rPr>
                <w:t xml:space="preserve">https://www.cdc.gov/niosh/asthma/hcp/diagnosing/index.html</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Cross-shift fall in FEV1/PEF</w:t>
            </w:r>
          </w:p>
        </w:tc>
        <w:tc>
          <w:tcPr>
            <w:tcW w:type="dxa" w:w="1655"/>
            <w:vAlign w:val="top"/>
          </w:tcPr>
          <w:p>
            <w:pPr>
              <w:spacing w:after="40" w:before="0" w:line="259" w:lineRule="auto"/>
            </w:pPr>
            <w:r>
              <w:rPr>
                <w:rFonts w:ascii="Calibri" w:hAnsi="Calibri"/>
                <w:b w:val="0"/>
                <w:i w:val="0"/>
                <w:color w:val="212121"/>
                <w:sz w:val="19"/>
              </w:rPr>
              <w:t>Exposed workers</w:t>
            </w:r>
          </w:p>
        </w:tc>
        <w:tc>
          <w:tcPr>
            <w:tcW w:type="dxa" w:w="1512"/>
            <w:vAlign w:val="top"/>
          </w:tcPr>
          <w:p>
            <w:pPr>
              <w:spacing w:after="40" w:before="0" w:line="259" w:lineRule="auto"/>
            </w:pPr>
            <w:r>
              <w:rPr>
                <w:rFonts w:ascii="Calibri" w:hAnsi="Calibri"/>
                <w:b w:val="0"/>
                <w:i w:val="0"/>
                <w:color w:val="212121"/>
                <w:sz w:val="19"/>
              </w:rPr>
              <w:t>&lt; 10% fall across a shift</w:t>
            </w:r>
          </w:p>
        </w:tc>
        <w:tc>
          <w:tcPr>
            <w:tcW w:type="dxa" w:w="1512"/>
            <w:vAlign w:val="top"/>
          </w:tcPr>
          <w:p>
            <w:pPr>
              <w:spacing w:after="40" w:before="0" w:line="259" w:lineRule="auto"/>
            </w:pPr>
            <w:r>
              <w:rPr>
                <w:rFonts w:ascii="Calibri" w:hAnsi="Calibri"/>
                <w:b w:val="0"/>
                <w:i w:val="0"/>
                <w:color w:val="212121"/>
                <w:sz w:val="19"/>
              </w:rPr>
              <w:t>≥ 10–20% fall over a work shift/week</w:t>
            </w:r>
          </w:p>
        </w:tc>
        <w:tc>
          <w:tcPr>
            <w:tcW w:type="dxa" w:w="1468"/>
            <w:vAlign w:val="top"/>
          </w:tcPr>
          <w:p>
            <w:pPr>
              <w:spacing w:after="40" w:before="0" w:line="259" w:lineRule="auto"/>
            </w:pPr>
            <w:r>
              <w:rPr>
                <w:rFonts w:ascii="Calibri" w:hAnsi="Calibri"/>
                <w:b w:val="0"/>
                <w:i w:val="0"/>
                <w:color w:val="212121"/>
                <w:sz w:val="19"/>
              </w:rPr>
              <w:t>Objective marker of a work-related effect on airways.</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Methacholine PC20 (airway responsiveness)</w:t>
            </w:r>
          </w:p>
        </w:tc>
        <w:tc>
          <w:tcPr>
            <w:tcW w:type="dxa" w:w="1655"/>
            <w:vAlign w:val="top"/>
          </w:tcPr>
          <w:p>
            <w:pPr>
              <w:spacing w:after="40" w:before="0" w:line="259" w:lineRule="auto"/>
            </w:pPr>
            <w:r>
              <w:rPr>
                <w:rFonts w:ascii="Calibri" w:hAnsi="Calibri"/>
                <w:b w:val="0"/>
                <w:i w:val="0"/>
                <w:color w:val="212121"/>
                <w:sz w:val="19"/>
              </w:rPr>
              <w:t>Suspected OA with normal spirometry</w:t>
            </w:r>
          </w:p>
        </w:tc>
        <w:tc>
          <w:tcPr>
            <w:tcW w:type="dxa" w:w="1512"/>
            <w:vAlign w:val="top"/>
          </w:tcPr>
          <w:p>
            <w:pPr>
              <w:spacing w:after="40" w:before="0" w:line="259" w:lineRule="auto"/>
            </w:pPr>
            <w:r>
              <w:rPr>
                <w:rFonts w:ascii="Calibri" w:hAnsi="Calibri"/>
                <w:b w:val="0"/>
                <w:i w:val="0"/>
                <w:color w:val="212121"/>
                <w:sz w:val="19"/>
              </w:rPr>
              <w:t>&gt; 16 mg/mL (no hyperresponsiveness)</w:t>
            </w:r>
          </w:p>
        </w:tc>
        <w:tc>
          <w:tcPr>
            <w:tcW w:type="dxa" w:w="1512"/>
            <w:vAlign w:val="top"/>
          </w:tcPr>
          <w:p>
            <w:pPr>
              <w:spacing w:after="40" w:before="0" w:line="259" w:lineRule="auto"/>
            </w:pPr>
            <w:r>
              <w:rPr>
                <w:rFonts w:ascii="Calibri" w:hAnsi="Calibri"/>
                <w:b w:val="0"/>
                <w:i w:val="0"/>
                <w:color w:val="212121"/>
                <w:sz w:val="19"/>
              </w:rPr>
              <w:t>≤ 8 mg/mL, worsening from off-work to at-work</w:t>
            </w:r>
          </w:p>
        </w:tc>
        <w:tc>
          <w:tcPr>
            <w:tcW w:type="dxa" w:w="1468"/>
            <w:vAlign w:val="top"/>
          </w:tcPr>
          <w:p>
            <w:pPr>
              <w:spacing w:after="60" w:line="259" w:lineRule="auto"/>
            </w:pPr>
            <w:r>
              <w:rPr>
                <w:rFonts w:ascii="Calibri" w:hAnsi="Calibri"/>
                <w:b w:val="0"/>
                <w:i w:val="0"/>
                <w:color w:val="212121"/>
                <w:sz w:val="19"/>
              </w:rPr>
              <w:t>Non-specific bronchial hyperresponsiveness that improves away from work supports OA.</w:t>
            </w:r>
          </w:p>
          <w:p>
            <w:pPr>
              <w:spacing w:after="40" w:line="252" w:lineRule="auto"/>
            </w:pPr>
            <w:hyperlink r:id="rId15">
              <w:r>
                <w:rPr>
                  <w:rFonts w:ascii="Calibri" w:hAnsi="Calibri" w:cs="Calibri"/>
                  <w:sz w:val="18"/>
                  <w:color w:val="1155CC"/>
                  <w:u w:val="single"/>
                </w:rPr>
                <w:t xml:space="preserve">https://www.cdc.gov/niosh/asthma/hcp/diagnosing/index.html</w:t>
              </w:r>
            </w:hyperlink>
          </w:p>
        </w:tc>
      </w:tr>
      <w:tr>
        <w:trPr>
          <w:cantSplit/>
        </w:trPr>
        <w:tc>
          <w:tcPr>
            <w:tcW w:type="dxa" w:w="1512"/>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Fractional exhaled nitric oxide (FeNO)</w:t>
            </w:r>
          </w:p>
        </w:tc>
        <w:tc>
          <w:tcPr>
            <w:tcW w:type="dxa" w:w="1655"/>
            <w:vAlign w:val="top"/>
          </w:tcPr>
          <w:p>
            <w:pPr>
              <w:spacing w:after="40" w:before="0" w:line="259" w:lineRule="auto"/>
            </w:pPr>
            <w:r>
              <w:rPr>
                <w:rFonts w:ascii="Calibri" w:hAnsi="Calibri"/>
                <w:b w:val="0"/>
                <w:i w:val="0"/>
                <w:color w:val="212121"/>
                <w:sz w:val="19"/>
              </w:rPr>
              <w:t>Workers with suspected eosinophilic OA</w:t>
            </w:r>
          </w:p>
        </w:tc>
        <w:tc>
          <w:tcPr>
            <w:tcW w:type="dxa" w:w="1512"/>
            <w:vAlign w:val="top"/>
          </w:tcPr>
          <w:p>
            <w:pPr>
              <w:spacing w:after="40" w:before="0" w:line="259" w:lineRule="auto"/>
            </w:pPr>
            <w:r>
              <w:rPr>
                <w:rFonts w:ascii="Calibri" w:hAnsi="Calibri"/>
                <w:b w:val="0"/>
                <w:i w:val="0"/>
                <w:color w:val="212121"/>
                <w:sz w:val="19"/>
              </w:rPr>
              <w:t>&lt; 25 ppb</w:t>
            </w:r>
          </w:p>
        </w:tc>
        <w:tc>
          <w:tcPr>
            <w:tcW w:type="dxa" w:w="1512"/>
            <w:vAlign w:val="top"/>
          </w:tcPr>
          <w:p>
            <w:pPr>
              <w:spacing w:after="40" w:before="0" w:line="259" w:lineRule="auto"/>
            </w:pPr>
            <w:r>
              <w:rPr>
                <w:rFonts w:ascii="Calibri" w:hAnsi="Calibri"/>
                <w:b w:val="0"/>
                <w:i w:val="0"/>
                <w:color w:val="212121"/>
                <w:sz w:val="19"/>
              </w:rPr>
              <w:t>≥ 50 ppb (or a work-related rise)</w:t>
            </w:r>
          </w:p>
        </w:tc>
        <w:tc>
          <w:tcPr>
            <w:tcW w:type="dxa" w:w="1468"/>
            <w:vAlign w:val="top"/>
          </w:tcPr>
          <w:p>
            <w:pPr>
              <w:spacing w:after="40" w:before="0" w:line="259" w:lineRule="auto"/>
            </w:pPr>
            <w:r>
              <w:rPr>
                <w:rFonts w:ascii="Calibri" w:hAnsi="Calibri"/>
                <w:b w:val="0"/>
                <w:i w:val="0"/>
                <w:color w:val="212121"/>
                <w:sz w:val="19"/>
              </w:rPr>
              <w:t>Marker of eosinophilic airway inflammation, often with HMW IgE-mediated OA.</w:t>
            </w:r>
          </w:p>
        </w:tc>
      </w:tr>
      <w:tr>
        <w:trPr>
          <w:cantSplit/>
        </w:trPr>
        <w:tc>
          <w:tcPr>
            <w:tcW w:type="dxa" w:w="1512"/>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Specific IgE / skin-prick test</w:t>
            </w:r>
          </w:p>
        </w:tc>
        <w:tc>
          <w:tcPr>
            <w:tcW w:type="dxa" w:w="1655"/>
            <w:vAlign w:val="top"/>
          </w:tcPr>
          <w:p>
            <w:pPr>
              <w:spacing w:after="40" w:before="0" w:line="259" w:lineRule="auto"/>
            </w:pPr>
            <w:r>
              <w:rPr>
                <w:rFonts w:ascii="Calibri" w:hAnsi="Calibri"/>
                <w:b w:val="0"/>
                <w:i w:val="0"/>
                <w:color w:val="212121"/>
                <w:sz w:val="19"/>
              </w:rPr>
              <w:t>HMW-agent-exposed workers (flour, latex, animals, enzymes)</w:t>
            </w:r>
          </w:p>
        </w:tc>
        <w:tc>
          <w:tcPr>
            <w:tcW w:type="dxa" w:w="1512"/>
            <w:vAlign w:val="top"/>
          </w:tcPr>
          <w:p>
            <w:pPr>
              <w:spacing w:after="40" w:before="0" w:line="259" w:lineRule="auto"/>
            </w:pPr>
            <w:r>
              <w:rPr>
                <w:rFonts w:ascii="Calibri" w:hAnsi="Calibri"/>
                <w:b w:val="0"/>
                <w:i w:val="0"/>
                <w:color w:val="212121"/>
                <w:sz w:val="19"/>
              </w:rPr>
              <w:t>Negative to the occupational allergen</w:t>
            </w:r>
          </w:p>
        </w:tc>
        <w:tc>
          <w:tcPr>
            <w:tcW w:type="dxa" w:w="1512"/>
            <w:vAlign w:val="top"/>
          </w:tcPr>
          <w:p>
            <w:pPr>
              <w:spacing w:after="40" w:before="0" w:line="259" w:lineRule="auto"/>
            </w:pPr>
            <w:r>
              <w:rPr>
                <w:rFonts w:ascii="Calibri" w:hAnsi="Calibri"/>
                <w:b w:val="0"/>
                <w:i w:val="0"/>
                <w:color w:val="212121"/>
                <w:sz w:val="19"/>
              </w:rPr>
              <w:t>Positive specific IgE or skin-prick reaction</w:t>
            </w:r>
          </w:p>
        </w:tc>
        <w:tc>
          <w:tcPr>
            <w:tcW w:type="dxa" w:w="1468"/>
            <w:vAlign w:val="top"/>
          </w:tcPr>
          <w:p>
            <w:pPr>
              <w:spacing w:after="60" w:line="259" w:lineRule="auto"/>
            </w:pPr>
            <w:r>
              <w:rPr>
                <w:rFonts w:ascii="Calibri" w:hAnsi="Calibri"/>
                <w:b w:val="0"/>
                <w:i w:val="0"/>
                <w:color w:val="212121"/>
                <w:sz w:val="19"/>
              </w:rPr>
              <w:t>Confirms immunological sensitisation to a high-molecular-weight agent.</w:t>
            </w:r>
          </w:p>
          <w:p>
            <w:pPr>
              <w:spacing w:after="40" w:line="252" w:lineRule="auto"/>
            </w:pPr>
            <w:hyperlink r:id="rId15">
              <w:r>
                <w:rPr>
                  <w:rFonts w:ascii="Calibri" w:hAnsi="Calibri" w:cs="Calibri"/>
                  <w:sz w:val="18"/>
                  <w:color w:val="1155CC"/>
                  <w:u w:val="single"/>
                </w:rPr>
                <w:t xml:space="preserve">https://www.cdc.gov/niosh/asthma/hcp/diagnosing/index.html</w:t>
              </w:r>
            </w:hyperlink>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Cigarettes / bidis per day</w:t>
            </w:r>
          </w:p>
        </w:tc>
        <w:tc>
          <w:tcPr>
            <w:tcW w:type="dxa" w:w="1655"/>
            <w:vAlign w:val="top"/>
          </w:tcPr>
          <w:p>
            <w:pPr>
              <w:spacing w:after="40" w:before="0" w:line="259" w:lineRule="auto"/>
            </w:pPr>
            <w:r>
              <w:rPr>
                <w:rFonts w:ascii="Calibri" w:hAnsi="Calibri"/>
                <w:b w:val="0"/>
                <w:i w:val="0"/>
                <w:color w:val="212121"/>
                <w:sz w:val="19"/>
              </w:rPr>
              <w:t>Exposed adults</w:t>
            </w:r>
          </w:p>
        </w:tc>
        <w:tc>
          <w:tcPr>
            <w:tcW w:type="dxa" w:w="1512"/>
            <w:vAlign w:val="top"/>
          </w:tcPr>
          <w:p>
            <w:pPr>
              <w:spacing w:after="40" w:before="0" w:line="259" w:lineRule="auto"/>
            </w:pPr>
            <w:r>
              <w:rPr>
                <w:rFonts w:ascii="Calibri" w:hAnsi="Calibri"/>
                <w:b w:val="0"/>
                <w:i w:val="0"/>
                <w:color w:val="212121"/>
                <w:sz w:val="19"/>
              </w:rPr>
              <w:t>0 (non-smoker)</w:t>
            </w:r>
          </w:p>
        </w:tc>
        <w:tc>
          <w:tcPr>
            <w:tcW w:type="dxa" w:w="1512"/>
            <w:vAlign w:val="top"/>
          </w:tcPr>
          <w:p>
            <w:pPr>
              <w:spacing w:after="40" w:before="0" w:line="259" w:lineRule="auto"/>
            </w:pPr>
            <w:r>
              <w:rPr>
                <w:rFonts w:ascii="Calibri" w:hAnsi="Calibri"/>
                <w:b w:val="0"/>
                <w:i w:val="0"/>
                <w:color w:val="212121"/>
                <w:sz w:val="19"/>
              </w:rPr>
              <w:t>≥ 1 per day</w:t>
            </w:r>
          </w:p>
        </w:tc>
        <w:tc>
          <w:tcPr>
            <w:tcW w:type="dxa" w:w="1468"/>
            <w:vAlign w:val="top"/>
          </w:tcPr>
          <w:p>
            <w:pPr>
              <w:spacing w:after="40" w:before="0" w:line="259" w:lineRule="auto"/>
            </w:pPr>
            <w:r>
              <w:rPr>
                <w:rFonts w:ascii="Calibri" w:hAnsi="Calibri"/>
                <w:b w:val="0"/>
                <w:i w:val="0"/>
                <w:color w:val="212121"/>
                <w:sz w:val="19"/>
              </w:rPr>
              <w:t>Smoking promotes sensitisation to some agents and worsens prognosis.</w:t>
            </w:r>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Pulmonary function</w:t>
            </w:r>
          </w:p>
        </w:tc>
        <w:tc>
          <w:tcPr>
            <w:tcW w:type="dxa" w:w="1036"/>
            <w:vAlign w:val="top"/>
          </w:tcPr>
          <w:p>
            <w:pPr>
              <w:spacing w:after="40" w:before="0" w:line="259" w:lineRule="auto"/>
            </w:pPr>
            <w:r>
              <w:rPr>
                <w:rFonts w:ascii="Calibri" w:hAnsi="Calibri"/>
                <w:b w:val="0"/>
                <w:i w:val="0"/>
                <w:color w:val="212121"/>
                <w:sz w:val="16"/>
              </w:rPr>
              <w:t>Spirometry with bronchodilator reversibility</w:t>
            </w:r>
          </w:p>
        </w:tc>
        <w:tc>
          <w:tcPr>
            <w:tcW w:type="dxa" w:w="892"/>
            <w:vAlign w:val="top"/>
          </w:tcPr>
          <w:p>
            <w:pPr>
              <w:spacing w:after="40" w:before="0" w:line="259" w:lineRule="auto"/>
            </w:pPr>
            <w:r>
              <w:rPr>
                <w:rFonts w:ascii="Calibri" w:hAnsi="Calibri"/>
                <w:b w:val="0"/>
                <w:i w:val="0"/>
                <w:color w:val="212121"/>
                <w:sz w:val="16"/>
              </w:rPr>
              <w:t>Pre- and post-bronchodilator spirometry</w:t>
            </w:r>
          </w:p>
        </w:tc>
        <w:tc>
          <w:tcPr>
            <w:tcW w:type="dxa" w:w="950"/>
            <w:vAlign w:val="top"/>
          </w:tcPr>
          <w:p>
            <w:pPr>
              <w:spacing w:after="40" w:before="0" w:line="259" w:lineRule="auto"/>
            </w:pPr>
            <w:r>
              <w:rPr>
                <w:rFonts w:ascii="Calibri" w:hAnsi="Calibri"/>
                <w:b w:val="0"/>
                <w:i w:val="0"/>
                <w:color w:val="212121"/>
                <w:sz w:val="16"/>
              </w:rPr>
              <w:t>FEV1/FVC &gt; 0.70; FEV1 ≥ 80% predicted</w:t>
            </w:r>
          </w:p>
        </w:tc>
        <w:tc>
          <w:tcPr>
            <w:tcW w:type="dxa" w:w="950"/>
            <w:vAlign w:val="top"/>
          </w:tcPr>
          <w:p>
            <w:pPr>
              <w:spacing w:after="40" w:before="0" w:line="259" w:lineRule="auto"/>
            </w:pPr>
            <w:r>
              <w:rPr>
                <w:rFonts w:ascii="Calibri" w:hAnsi="Calibri"/>
                <w:b w:val="0"/>
                <w:i w:val="0"/>
                <w:color w:val="212121"/>
                <w:sz w:val="16"/>
              </w:rPr>
              <w:t>Obstruction with FEV1 rise ≥ 12% and ≥ 200 mL after bronchodilator</w:t>
            </w:r>
          </w:p>
        </w:tc>
        <w:tc>
          <w:tcPr>
            <w:tcW w:type="dxa" w:w="1036"/>
            <w:vAlign w:val="top"/>
          </w:tcPr>
          <w:p>
            <w:pPr>
              <w:spacing w:after="40" w:before="0" w:line="259" w:lineRule="auto"/>
            </w:pPr>
            <w:r>
              <w:rPr>
                <w:rFonts w:ascii="Calibri" w:hAnsi="Calibri"/>
                <w:b w:val="0"/>
                <w:i w:val="0"/>
                <w:color w:val="212121"/>
                <w:sz w:val="16"/>
              </w:rPr>
              <w:t>Confirms variable airflow obstruction — the objective basis for an asthma diagnosis</w:t>
            </w:r>
          </w:p>
        </w:tc>
        <w:tc>
          <w:tcPr>
            <w:tcW w:type="dxa" w:w="1036"/>
            <w:vAlign w:val="top"/>
          </w:tcPr>
          <w:p>
            <w:pPr>
              <w:spacing w:after="40" w:before="0" w:line="259" w:lineRule="auto"/>
            </w:pPr>
            <w:r>
              <w:rPr>
                <w:rFonts w:ascii="Calibri" w:hAnsi="Calibri"/>
                <w:b w:val="0"/>
                <w:i w:val="0"/>
                <w:color w:val="212121"/>
                <w:sz w:val="16"/>
              </w:rPr>
              <w:t>All workers with suspected OA</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Gold standard (asthma confirmation)</w:t>
            </w:r>
          </w:p>
        </w:tc>
        <w:tc>
          <w:tcPr>
            <w:tcW w:type="dxa" w:w="720"/>
            <w:vAlign w:val="top"/>
          </w:tcPr>
          <w:p>
            <w:pPr>
              <w:spacing w:after="40" w:before="0" w:line="259" w:lineRule="auto"/>
            </w:pPr>
            <w:r>
              <w:rPr>
                <w:rFonts w:ascii="Calibri" w:hAnsi="Calibri"/>
                <w:b w:val="0"/>
                <w:i w:val="0"/>
                <w:color w:val="212121"/>
                <w:sz w:val="16"/>
              </w:rPr>
              <w:t>May be normal between exposures; repeat at and away from work.</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Pulmonary function</w:t>
            </w:r>
          </w:p>
        </w:tc>
        <w:tc>
          <w:tcPr>
            <w:tcW w:type="dxa" w:w="1036"/>
            <w:vAlign w:val="top"/>
          </w:tcPr>
          <w:p>
            <w:pPr>
              <w:spacing w:after="40" w:before="0" w:line="259" w:lineRule="auto"/>
            </w:pPr>
            <w:r>
              <w:rPr>
                <w:rFonts w:ascii="Calibri" w:hAnsi="Calibri"/>
                <w:b w:val="0"/>
                <w:i w:val="0"/>
                <w:color w:val="212121"/>
                <w:sz w:val="16"/>
              </w:rPr>
              <w:t>Serial peak expiratory flow monitoring</w:t>
            </w:r>
          </w:p>
        </w:tc>
        <w:tc>
          <w:tcPr>
            <w:tcW w:type="dxa" w:w="892"/>
            <w:vAlign w:val="top"/>
          </w:tcPr>
          <w:p>
            <w:pPr>
              <w:spacing w:after="40" w:before="0" w:line="259" w:lineRule="auto"/>
            </w:pPr>
            <w:r>
              <w:rPr>
                <w:rFonts w:ascii="Calibri" w:hAnsi="Calibri"/>
                <w:b w:val="0"/>
                <w:i w:val="0"/>
                <w:color w:val="212121"/>
                <w:sz w:val="16"/>
              </w:rPr>
              <w:t>PEF diary (≥ 4x/day for 3–4 weeks), OASYS analysis</w:t>
            </w:r>
          </w:p>
        </w:tc>
        <w:tc>
          <w:tcPr>
            <w:tcW w:type="dxa" w:w="950"/>
            <w:vAlign w:val="top"/>
          </w:tcPr>
          <w:p>
            <w:pPr>
              <w:spacing w:after="40" w:before="0" w:line="259" w:lineRule="auto"/>
            </w:pPr>
            <w:r>
              <w:rPr>
                <w:rFonts w:ascii="Calibri" w:hAnsi="Calibri"/>
                <w:b w:val="0"/>
                <w:i w:val="0"/>
                <w:color w:val="212121"/>
                <w:sz w:val="16"/>
              </w:rPr>
              <w:t>Diurnal variability &lt; 20%; no work pattern</w:t>
            </w:r>
          </w:p>
        </w:tc>
        <w:tc>
          <w:tcPr>
            <w:tcW w:type="dxa" w:w="950"/>
            <w:vAlign w:val="top"/>
          </w:tcPr>
          <w:p>
            <w:pPr>
              <w:spacing w:after="40" w:before="0" w:line="259" w:lineRule="auto"/>
            </w:pPr>
            <w:r>
              <w:rPr>
                <w:rFonts w:ascii="Calibri" w:hAnsi="Calibri"/>
                <w:b w:val="0"/>
                <w:i w:val="0"/>
                <w:color w:val="212121"/>
                <w:sz w:val="16"/>
              </w:rPr>
              <w:t>Variability &gt; 20% with deterioration on workdays and recovery on rest days</w:t>
            </w:r>
          </w:p>
        </w:tc>
        <w:tc>
          <w:tcPr>
            <w:tcW w:type="dxa" w:w="1036"/>
            <w:vAlign w:val="top"/>
          </w:tcPr>
          <w:p>
            <w:pPr>
              <w:spacing w:after="40" w:before="0" w:line="259" w:lineRule="auto"/>
            </w:pPr>
            <w:r>
              <w:rPr>
                <w:rFonts w:ascii="Calibri" w:hAnsi="Calibri"/>
                <w:b w:val="0"/>
                <w:i w:val="0"/>
                <w:color w:val="212121"/>
                <w:sz w:val="16"/>
              </w:rPr>
              <w:t>Demonstrates the work-related pattern that distinguishes OA from non-occupational asthma</w:t>
            </w:r>
          </w:p>
        </w:tc>
        <w:tc>
          <w:tcPr>
            <w:tcW w:type="dxa" w:w="1036"/>
            <w:vAlign w:val="top"/>
          </w:tcPr>
          <w:p>
            <w:pPr>
              <w:spacing w:after="40" w:before="0" w:line="259" w:lineRule="auto"/>
            </w:pPr>
            <w:r>
              <w:rPr>
                <w:rFonts w:ascii="Calibri" w:hAnsi="Calibri"/>
                <w:b w:val="0"/>
                <w:i w:val="0"/>
                <w:color w:val="212121"/>
                <w:sz w:val="16"/>
              </w:rPr>
              <w:t>Cooperative workers still in the exposing job</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Key diagnostic</w:t>
            </w:r>
          </w:p>
        </w:tc>
        <w:tc>
          <w:tcPr>
            <w:tcW w:type="dxa" w:w="720"/>
            <w:vAlign w:val="top"/>
          </w:tcPr>
          <w:p>
            <w:pPr>
              <w:spacing w:after="40" w:before="0" w:line="259" w:lineRule="auto"/>
            </w:pPr>
            <w:r>
              <w:rPr>
                <w:rFonts w:ascii="Calibri" w:hAnsi="Calibri"/>
                <w:b w:val="0"/>
                <w:i w:val="0"/>
                <w:color w:val="212121"/>
                <w:sz w:val="16"/>
              </w:rPr>
              <w:t>Requires periods both at and away from work.</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Bronchial challenge</w:t>
            </w:r>
          </w:p>
        </w:tc>
        <w:tc>
          <w:tcPr>
            <w:tcW w:type="dxa" w:w="1036"/>
            <w:vAlign w:val="top"/>
          </w:tcPr>
          <w:p>
            <w:pPr>
              <w:spacing w:after="40" w:before="0" w:line="259" w:lineRule="auto"/>
            </w:pPr>
            <w:r>
              <w:rPr>
                <w:rFonts w:ascii="Calibri" w:hAnsi="Calibri"/>
                <w:b w:val="0"/>
                <w:i w:val="0"/>
                <w:color w:val="212121"/>
                <w:sz w:val="16"/>
              </w:rPr>
              <w:t>Methacholine/histamine PC20</w:t>
            </w:r>
          </w:p>
        </w:tc>
        <w:tc>
          <w:tcPr>
            <w:tcW w:type="dxa" w:w="892"/>
            <w:vAlign w:val="top"/>
          </w:tcPr>
          <w:p>
            <w:pPr>
              <w:spacing w:after="40" w:before="0" w:line="259" w:lineRule="auto"/>
            </w:pPr>
            <w:r>
              <w:rPr>
                <w:rFonts w:ascii="Calibri" w:hAnsi="Calibri"/>
                <w:b w:val="0"/>
                <w:i w:val="0"/>
                <w:color w:val="212121"/>
                <w:sz w:val="16"/>
              </w:rPr>
              <w:t>Non-specific bronchial provocation test</w:t>
            </w:r>
          </w:p>
        </w:tc>
        <w:tc>
          <w:tcPr>
            <w:tcW w:type="dxa" w:w="950"/>
            <w:vAlign w:val="top"/>
          </w:tcPr>
          <w:p>
            <w:pPr>
              <w:spacing w:after="40" w:before="0" w:line="259" w:lineRule="auto"/>
            </w:pPr>
            <w:r>
              <w:rPr>
                <w:rFonts w:ascii="Calibri" w:hAnsi="Calibri"/>
                <w:b w:val="0"/>
                <w:i w:val="0"/>
                <w:color w:val="212121"/>
                <w:sz w:val="16"/>
              </w:rPr>
              <w:t>PC20 &gt; 16 mg/mL</w:t>
            </w:r>
          </w:p>
        </w:tc>
        <w:tc>
          <w:tcPr>
            <w:tcW w:type="dxa" w:w="950"/>
            <w:vAlign w:val="top"/>
          </w:tcPr>
          <w:p>
            <w:pPr>
              <w:spacing w:after="40" w:before="0" w:line="259" w:lineRule="auto"/>
            </w:pPr>
            <w:r>
              <w:rPr>
                <w:rFonts w:ascii="Calibri" w:hAnsi="Calibri"/>
                <w:b w:val="0"/>
                <w:i w:val="0"/>
                <w:color w:val="212121"/>
                <w:sz w:val="16"/>
              </w:rPr>
              <w:t>PC20 ≤ 8 mg/mL; improvement away from work</w:t>
            </w:r>
          </w:p>
        </w:tc>
        <w:tc>
          <w:tcPr>
            <w:tcW w:type="dxa" w:w="1036"/>
            <w:vAlign w:val="top"/>
          </w:tcPr>
          <w:p>
            <w:pPr>
              <w:spacing w:after="40" w:before="0" w:line="259" w:lineRule="auto"/>
            </w:pPr>
            <w:r>
              <w:rPr>
                <w:rFonts w:ascii="Calibri" w:hAnsi="Calibri"/>
                <w:b w:val="0"/>
                <w:i w:val="0"/>
                <w:color w:val="212121"/>
                <w:sz w:val="16"/>
              </w:rPr>
              <w:t>Documents airway hyperresponsiveness; a fall at work and rise away from work supports OA</w:t>
            </w:r>
          </w:p>
        </w:tc>
        <w:tc>
          <w:tcPr>
            <w:tcW w:type="dxa" w:w="1036"/>
            <w:vAlign w:val="top"/>
          </w:tcPr>
          <w:p>
            <w:pPr>
              <w:spacing w:after="40" w:before="0" w:line="259" w:lineRule="auto"/>
            </w:pPr>
            <w:r>
              <w:rPr>
                <w:rFonts w:ascii="Calibri" w:hAnsi="Calibri"/>
                <w:b w:val="0"/>
                <w:i w:val="0"/>
                <w:color w:val="212121"/>
                <w:sz w:val="16"/>
              </w:rPr>
              <w:t>Suspected OA with normal resting spirometry</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Withhold caffeine and bronchodilators beforehand.</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Specific challenge</w:t>
            </w:r>
          </w:p>
        </w:tc>
        <w:tc>
          <w:tcPr>
            <w:tcW w:type="dxa" w:w="1036"/>
            <w:vAlign w:val="top"/>
          </w:tcPr>
          <w:p>
            <w:pPr>
              <w:spacing w:after="40" w:before="0" w:line="259" w:lineRule="auto"/>
            </w:pPr>
            <w:r>
              <w:rPr>
                <w:rFonts w:ascii="Calibri" w:hAnsi="Calibri"/>
                <w:b w:val="0"/>
                <w:i w:val="0"/>
                <w:color w:val="212121"/>
                <w:sz w:val="16"/>
              </w:rPr>
              <w:t>Specific inhalation challenge (SIC)</w:t>
            </w:r>
          </w:p>
        </w:tc>
        <w:tc>
          <w:tcPr>
            <w:tcW w:type="dxa" w:w="892"/>
            <w:vAlign w:val="top"/>
          </w:tcPr>
          <w:p>
            <w:pPr>
              <w:spacing w:after="40" w:before="0" w:line="259" w:lineRule="auto"/>
            </w:pPr>
            <w:r>
              <w:rPr>
                <w:rFonts w:ascii="Calibri" w:hAnsi="Calibri"/>
                <w:b w:val="0"/>
                <w:i w:val="0"/>
                <w:color w:val="212121"/>
                <w:sz w:val="16"/>
              </w:rPr>
              <w:t>Controlled laboratory exposure to the suspected agent</w:t>
            </w:r>
          </w:p>
        </w:tc>
        <w:tc>
          <w:tcPr>
            <w:tcW w:type="dxa" w:w="950"/>
            <w:vAlign w:val="top"/>
          </w:tcPr>
          <w:p>
            <w:pPr>
              <w:spacing w:after="40" w:before="0" w:line="259" w:lineRule="auto"/>
            </w:pPr>
            <w:r>
              <w:rPr>
                <w:rFonts w:ascii="Calibri" w:hAnsi="Calibri"/>
                <w:b w:val="0"/>
                <w:i w:val="0"/>
                <w:color w:val="212121"/>
                <w:sz w:val="16"/>
              </w:rPr>
              <w:t>No significant fall in FEV1</w:t>
            </w:r>
          </w:p>
        </w:tc>
        <w:tc>
          <w:tcPr>
            <w:tcW w:type="dxa" w:w="950"/>
            <w:vAlign w:val="top"/>
          </w:tcPr>
          <w:p>
            <w:pPr>
              <w:spacing w:after="40" w:before="0" w:line="259" w:lineRule="auto"/>
            </w:pPr>
            <w:r>
              <w:rPr>
                <w:rFonts w:ascii="Calibri" w:hAnsi="Calibri"/>
                <w:b w:val="0"/>
                <w:i w:val="0"/>
                <w:color w:val="212121"/>
                <w:sz w:val="16"/>
              </w:rPr>
              <w:t>≥ 15–20% fall in FEV1 (early and/or late response)</w:t>
            </w:r>
          </w:p>
        </w:tc>
        <w:tc>
          <w:tcPr>
            <w:tcW w:type="dxa" w:w="1036"/>
            <w:vAlign w:val="top"/>
          </w:tcPr>
          <w:p>
            <w:pPr>
              <w:spacing w:after="40" w:before="0" w:line="259" w:lineRule="auto"/>
            </w:pPr>
            <w:r>
              <w:rPr>
                <w:rFonts w:ascii="Calibri" w:hAnsi="Calibri"/>
                <w:b w:val="0"/>
                <w:i w:val="0"/>
                <w:color w:val="212121"/>
                <w:sz w:val="16"/>
              </w:rPr>
              <w:t>Reference standard confirming the specific causative agent</w:t>
            </w:r>
          </w:p>
        </w:tc>
        <w:tc>
          <w:tcPr>
            <w:tcW w:type="dxa" w:w="1036"/>
            <w:vAlign w:val="top"/>
          </w:tcPr>
          <w:p>
            <w:pPr>
              <w:spacing w:after="40" w:before="0" w:line="259" w:lineRule="auto"/>
            </w:pPr>
            <w:r>
              <w:rPr>
                <w:rFonts w:ascii="Calibri" w:hAnsi="Calibri"/>
                <w:b w:val="0"/>
                <w:i w:val="0"/>
                <w:color w:val="212121"/>
                <w:sz w:val="16"/>
              </w:rPr>
              <w:t>Uncertain diagnosis or agent; medicolegal cases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Reference (gold) standard</w:t>
            </w:r>
          </w:p>
        </w:tc>
        <w:tc>
          <w:tcPr>
            <w:tcW w:type="dxa" w:w="720"/>
            <w:vAlign w:val="top"/>
          </w:tcPr>
          <w:p>
            <w:pPr>
              <w:spacing w:after="40" w:before="0" w:line="259" w:lineRule="auto"/>
            </w:pPr>
            <w:r>
              <w:rPr>
                <w:rFonts w:ascii="Calibri" w:hAnsi="Calibri"/>
                <w:b w:val="0"/>
                <w:i w:val="0"/>
                <w:color w:val="212121"/>
                <w:sz w:val="16"/>
              </w:rPr>
              <w:t>Specialised centres only; done under close supervision.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Immunology</w:t>
            </w:r>
          </w:p>
        </w:tc>
        <w:tc>
          <w:tcPr>
            <w:tcW w:type="dxa" w:w="1036"/>
            <w:vAlign w:val="top"/>
          </w:tcPr>
          <w:p>
            <w:pPr>
              <w:spacing w:after="40" w:before="0" w:line="259" w:lineRule="auto"/>
            </w:pPr>
            <w:r>
              <w:rPr>
                <w:rFonts w:ascii="Calibri" w:hAnsi="Calibri"/>
                <w:b w:val="0"/>
                <w:i w:val="0"/>
                <w:color w:val="212121"/>
                <w:sz w:val="16"/>
              </w:rPr>
              <w:t>Specific IgE / skin-prick testing</w:t>
            </w:r>
          </w:p>
        </w:tc>
        <w:tc>
          <w:tcPr>
            <w:tcW w:type="dxa" w:w="892"/>
            <w:vAlign w:val="top"/>
          </w:tcPr>
          <w:p>
            <w:pPr>
              <w:spacing w:after="40" w:before="0" w:line="259" w:lineRule="auto"/>
            </w:pPr>
            <w:r>
              <w:rPr>
                <w:rFonts w:ascii="Calibri" w:hAnsi="Calibri"/>
                <w:b w:val="0"/>
                <w:i w:val="0"/>
                <w:color w:val="212121"/>
                <w:sz w:val="16"/>
              </w:rPr>
              <w:t>Allergen-specific IgE (serology) and skin-prick tests</w:t>
            </w:r>
          </w:p>
        </w:tc>
        <w:tc>
          <w:tcPr>
            <w:tcW w:type="dxa" w:w="950"/>
            <w:vAlign w:val="top"/>
          </w:tcPr>
          <w:p>
            <w:pPr>
              <w:spacing w:after="40" w:before="0" w:line="259" w:lineRule="auto"/>
            </w:pPr>
            <w:r>
              <w:rPr>
                <w:rFonts w:ascii="Calibri" w:hAnsi="Calibri"/>
                <w:b w:val="0"/>
                <w:i w:val="0"/>
                <w:color w:val="212121"/>
                <w:sz w:val="16"/>
              </w:rPr>
              <w:t>Negative to occupational allergens</w:t>
            </w:r>
          </w:p>
        </w:tc>
        <w:tc>
          <w:tcPr>
            <w:tcW w:type="dxa" w:w="950"/>
            <w:vAlign w:val="top"/>
          </w:tcPr>
          <w:p>
            <w:pPr>
              <w:spacing w:after="40" w:before="0" w:line="259" w:lineRule="auto"/>
            </w:pPr>
            <w:r>
              <w:rPr>
                <w:rFonts w:ascii="Calibri" w:hAnsi="Calibri"/>
                <w:b w:val="0"/>
                <w:i w:val="0"/>
                <w:color w:val="212121"/>
                <w:sz w:val="16"/>
              </w:rPr>
              <w:t>Positive to flour, latex, animal or enzyme allergens</w:t>
            </w:r>
          </w:p>
        </w:tc>
        <w:tc>
          <w:tcPr>
            <w:tcW w:type="dxa" w:w="1036"/>
            <w:vAlign w:val="top"/>
          </w:tcPr>
          <w:p>
            <w:pPr>
              <w:spacing w:after="40" w:before="0" w:line="259" w:lineRule="auto"/>
            </w:pPr>
            <w:r>
              <w:rPr>
                <w:rFonts w:ascii="Calibri" w:hAnsi="Calibri"/>
                <w:b w:val="0"/>
                <w:i w:val="0"/>
                <w:color w:val="212121"/>
                <w:sz w:val="16"/>
              </w:rPr>
              <w:t>Confirms IgE sensitisation to high-molecular-weight agents</w:t>
            </w:r>
          </w:p>
        </w:tc>
        <w:tc>
          <w:tcPr>
            <w:tcW w:type="dxa" w:w="1036"/>
            <w:vAlign w:val="top"/>
          </w:tcPr>
          <w:p>
            <w:pPr>
              <w:spacing w:after="40" w:before="0" w:line="259" w:lineRule="auto"/>
            </w:pPr>
            <w:r>
              <w:rPr>
                <w:rFonts w:ascii="Calibri" w:hAnsi="Calibri"/>
                <w:b w:val="0"/>
                <w:i w:val="0"/>
                <w:color w:val="212121"/>
                <w:sz w:val="16"/>
              </w:rPr>
              <w:t>HMW-exposed workers (bakers, animal handlers, healthcare)</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Sensitisation is not proof of disease; interpret with clinical picture.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Airway inflammation</w:t>
            </w:r>
          </w:p>
        </w:tc>
        <w:tc>
          <w:tcPr>
            <w:tcW w:type="dxa" w:w="1036"/>
            <w:vAlign w:val="top"/>
          </w:tcPr>
          <w:p>
            <w:pPr>
              <w:spacing w:after="40" w:before="0" w:line="259" w:lineRule="auto"/>
            </w:pPr>
            <w:r>
              <w:rPr>
                <w:rFonts w:ascii="Calibri" w:hAnsi="Calibri"/>
                <w:b w:val="0"/>
                <w:i w:val="0"/>
                <w:color w:val="212121"/>
                <w:sz w:val="16"/>
              </w:rPr>
              <w:t>Fractional exhaled nitric oxide (FeNO)</w:t>
            </w:r>
          </w:p>
        </w:tc>
        <w:tc>
          <w:tcPr>
            <w:tcW w:type="dxa" w:w="892"/>
            <w:vAlign w:val="top"/>
          </w:tcPr>
          <w:p>
            <w:pPr>
              <w:spacing w:after="40" w:before="0" w:line="259" w:lineRule="auto"/>
            </w:pPr>
            <w:r>
              <w:rPr>
                <w:rFonts w:ascii="Calibri" w:hAnsi="Calibri"/>
                <w:b w:val="0"/>
                <w:i w:val="0"/>
                <w:color w:val="212121"/>
                <w:sz w:val="16"/>
              </w:rPr>
              <w:t>Exhaled nitric oxide measurement</w:t>
            </w:r>
          </w:p>
        </w:tc>
        <w:tc>
          <w:tcPr>
            <w:tcW w:type="dxa" w:w="950"/>
            <w:vAlign w:val="top"/>
          </w:tcPr>
          <w:p>
            <w:pPr>
              <w:spacing w:after="40" w:before="0" w:line="259" w:lineRule="auto"/>
            </w:pPr>
            <w:r>
              <w:rPr>
                <w:rFonts w:ascii="Calibri" w:hAnsi="Calibri"/>
                <w:b w:val="0"/>
                <w:i w:val="0"/>
                <w:color w:val="212121"/>
                <w:sz w:val="16"/>
              </w:rPr>
              <w:t>&lt; 25 ppb</w:t>
            </w:r>
          </w:p>
        </w:tc>
        <w:tc>
          <w:tcPr>
            <w:tcW w:type="dxa" w:w="950"/>
            <w:vAlign w:val="top"/>
          </w:tcPr>
          <w:p>
            <w:pPr>
              <w:spacing w:after="40" w:before="0" w:line="259" w:lineRule="auto"/>
            </w:pPr>
            <w:r>
              <w:rPr>
                <w:rFonts w:ascii="Calibri" w:hAnsi="Calibri"/>
                <w:b w:val="0"/>
                <w:i w:val="0"/>
                <w:color w:val="212121"/>
                <w:sz w:val="16"/>
              </w:rPr>
              <w:t>≥ 50 ppb or a work-related rise</w:t>
            </w:r>
          </w:p>
        </w:tc>
        <w:tc>
          <w:tcPr>
            <w:tcW w:type="dxa" w:w="1036"/>
            <w:vAlign w:val="top"/>
          </w:tcPr>
          <w:p>
            <w:pPr>
              <w:spacing w:after="40" w:before="0" w:line="259" w:lineRule="auto"/>
            </w:pPr>
            <w:r>
              <w:rPr>
                <w:rFonts w:ascii="Calibri" w:hAnsi="Calibri"/>
                <w:b w:val="0"/>
                <w:i w:val="0"/>
                <w:color w:val="212121"/>
                <w:sz w:val="16"/>
              </w:rPr>
              <w:t>Indicates eosinophilic (often steroid-responsive) airway inflammation</w:t>
            </w:r>
          </w:p>
        </w:tc>
        <w:tc>
          <w:tcPr>
            <w:tcW w:type="dxa" w:w="1036"/>
            <w:vAlign w:val="top"/>
          </w:tcPr>
          <w:p>
            <w:pPr>
              <w:spacing w:after="40" w:before="0" w:line="259" w:lineRule="auto"/>
            </w:pPr>
            <w:r>
              <w:rPr>
                <w:rFonts w:ascii="Calibri" w:hAnsi="Calibri"/>
                <w:b w:val="0"/>
                <w:i w:val="0"/>
                <w:color w:val="212121"/>
                <w:sz w:val="16"/>
              </w:rPr>
              <w:t>Suspected eosinophilic/HMW OA</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Adjunctive</w:t>
            </w:r>
          </w:p>
        </w:tc>
        <w:tc>
          <w:tcPr>
            <w:tcW w:type="dxa" w:w="720"/>
            <w:vAlign w:val="top"/>
          </w:tcPr>
          <w:p>
            <w:pPr>
              <w:spacing w:after="40" w:before="0" w:line="259" w:lineRule="auto"/>
            </w:pPr>
            <w:r>
              <w:rPr>
                <w:rFonts w:ascii="Calibri" w:hAnsi="Calibri"/>
                <w:b w:val="0"/>
                <w:i w:val="0"/>
                <w:color w:val="212121"/>
                <w:sz w:val="16"/>
              </w:rPr>
              <w:t>Complements PEF and challenge testing where available.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Haematology</w:t>
            </w:r>
          </w:p>
        </w:tc>
        <w:tc>
          <w:tcPr>
            <w:tcW w:type="dxa" w:w="1036"/>
            <w:vAlign w:val="top"/>
          </w:tcPr>
          <w:p>
            <w:pPr>
              <w:spacing w:after="40" w:before="0" w:line="259" w:lineRule="auto"/>
            </w:pPr>
            <w:r>
              <w:rPr>
                <w:rFonts w:ascii="Calibri" w:hAnsi="Calibri"/>
                <w:b w:val="0"/>
                <w:i w:val="0"/>
                <w:color w:val="212121"/>
                <w:sz w:val="16"/>
              </w:rPr>
              <w:t>Blood eosinophils / total IgE</w:t>
            </w:r>
          </w:p>
        </w:tc>
        <w:tc>
          <w:tcPr>
            <w:tcW w:type="dxa" w:w="892"/>
            <w:vAlign w:val="top"/>
          </w:tcPr>
          <w:p>
            <w:pPr>
              <w:spacing w:after="40" w:before="0" w:line="259" w:lineRule="auto"/>
            </w:pPr>
            <w:r>
              <w:rPr>
                <w:rFonts w:ascii="Calibri" w:hAnsi="Calibri"/>
                <w:b w:val="0"/>
                <w:i w:val="0"/>
                <w:color w:val="212121"/>
                <w:sz w:val="16"/>
              </w:rPr>
              <w:t>Full blood count and total serum IgE</w:t>
            </w:r>
          </w:p>
        </w:tc>
        <w:tc>
          <w:tcPr>
            <w:tcW w:type="dxa" w:w="950"/>
            <w:vAlign w:val="top"/>
          </w:tcPr>
          <w:p>
            <w:pPr>
              <w:spacing w:after="40" w:before="0" w:line="259" w:lineRule="auto"/>
            </w:pPr>
            <w:r>
              <w:rPr>
                <w:rFonts w:ascii="Calibri" w:hAnsi="Calibri"/>
                <w:b w:val="0"/>
                <w:i w:val="0"/>
                <w:color w:val="212121"/>
                <w:sz w:val="16"/>
              </w:rPr>
              <w:t>Eosinophils within reference range; IgE not elevated</w:t>
            </w:r>
          </w:p>
        </w:tc>
        <w:tc>
          <w:tcPr>
            <w:tcW w:type="dxa" w:w="950"/>
            <w:vAlign w:val="top"/>
          </w:tcPr>
          <w:p>
            <w:pPr>
              <w:spacing w:after="40" w:before="0" w:line="259" w:lineRule="auto"/>
            </w:pPr>
            <w:r>
              <w:rPr>
                <w:rFonts w:ascii="Calibri" w:hAnsi="Calibri"/>
                <w:b w:val="0"/>
                <w:i w:val="0"/>
                <w:color w:val="212121"/>
                <w:sz w:val="16"/>
              </w:rPr>
              <w:t>Eosinophilia and/or raised total IgE</w:t>
            </w:r>
          </w:p>
        </w:tc>
        <w:tc>
          <w:tcPr>
            <w:tcW w:type="dxa" w:w="1036"/>
            <w:vAlign w:val="top"/>
          </w:tcPr>
          <w:p>
            <w:pPr>
              <w:spacing w:after="40" w:before="0" w:line="259" w:lineRule="auto"/>
            </w:pPr>
            <w:r>
              <w:rPr>
                <w:rFonts w:ascii="Calibri" w:hAnsi="Calibri"/>
                <w:b w:val="0"/>
                <w:i w:val="0"/>
                <w:color w:val="212121"/>
                <w:sz w:val="16"/>
              </w:rPr>
              <w:t>Supports an atopic/allergic phenotype</w:t>
            </w:r>
          </w:p>
        </w:tc>
        <w:tc>
          <w:tcPr>
            <w:tcW w:type="dxa" w:w="1036"/>
            <w:vAlign w:val="top"/>
          </w:tcPr>
          <w:p>
            <w:pPr>
              <w:spacing w:after="40" w:before="0" w:line="259" w:lineRule="auto"/>
            </w:pPr>
            <w:r>
              <w:rPr>
                <w:rFonts w:ascii="Calibri" w:hAnsi="Calibri"/>
                <w:b w:val="0"/>
                <w:i w:val="0"/>
                <w:color w:val="212121"/>
                <w:sz w:val="16"/>
              </w:rPr>
              <w:t>Atopic workers, HMW-sensitised</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Adjunctive</w:t>
            </w:r>
          </w:p>
        </w:tc>
        <w:tc>
          <w:tcPr>
            <w:tcW w:type="dxa" w:w="720"/>
            <w:vAlign w:val="top"/>
          </w:tcPr>
          <w:p>
            <w:pPr>
              <w:spacing w:after="40" w:before="0" w:line="259" w:lineRule="auto"/>
            </w:pPr>
            <w:r>
              <w:rPr>
                <w:rFonts w:ascii="Calibri" w:hAnsi="Calibri"/>
                <w:b w:val="0"/>
                <w:i w:val="0"/>
                <w:color w:val="212121"/>
                <w:sz w:val="16"/>
              </w:rPr>
              <w:t>Non-specific; supports but does not confirm OA.</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Chest radiograph (± HRCT)</w:t>
            </w:r>
          </w:p>
        </w:tc>
        <w:tc>
          <w:tcPr>
            <w:tcW w:type="dxa" w:w="892"/>
            <w:vAlign w:val="top"/>
          </w:tcPr>
          <w:p>
            <w:pPr>
              <w:spacing w:after="40" w:before="0" w:line="259" w:lineRule="auto"/>
            </w:pPr>
            <w:r>
              <w:rPr>
                <w:rFonts w:ascii="Calibri" w:hAnsi="Calibri"/>
                <w:b w:val="0"/>
                <w:i w:val="0"/>
                <w:color w:val="212121"/>
                <w:sz w:val="16"/>
              </w:rPr>
              <w:t>Chest X-ray, HRCT if indicated</w:t>
            </w:r>
          </w:p>
        </w:tc>
        <w:tc>
          <w:tcPr>
            <w:tcW w:type="dxa" w:w="950"/>
            <w:vAlign w:val="top"/>
          </w:tcPr>
          <w:p>
            <w:pPr>
              <w:spacing w:after="40" w:before="0" w:line="259" w:lineRule="auto"/>
            </w:pPr>
            <w:r>
              <w:rPr>
                <w:rFonts w:ascii="Calibri" w:hAnsi="Calibri"/>
                <w:b w:val="0"/>
                <w:i w:val="0"/>
                <w:color w:val="212121"/>
                <w:sz w:val="16"/>
              </w:rPr>
              <w:t>Usually normal in uncomplicated asthma</w:t>
            </w:r>
          </w:p>
        </w:tc>
        <w:tc>
          <w:tcPr>
            <w:tcW w:type="dxa" w:w="950"/>
            <w:vAlign w:val="top"/>
          </w:tcPr>
          <w:p>
            <w:pPr>
              <w:spacing w:after="40" w:before="0" w:line="259" w:lineRule="auto"/>
            </w:pPr>
            <w:r>
              <w:rPr>
                <w:rFonts w:ascii="Calibri" w:hAnsi="Calibri"/>
                <w:b w:val="0"/>
                <w:i w:val="0"/>
                <w:color w:val="212121"/>
                <w:sz w:val="16"/>
              </w:rPr>
              <w:t>Hyperinflation; features of alternative disease</w:t>
            </w:r>
          </w:p>
        </w:tc>
        <w:tc>
          <w:tcPr>
            <w:tcW w:type="dxa" w:w="1036"/>
            <w:vAlign w:val="top"/>
          </w:tcPr>
          <w:p>
            <w:pPr>
              <w:spacing w:after="40" w:before="0" w:line="259" w:lineRule="auto"/>
            </w:pPr>
            <w:r>
              <w:rPr>
                <w:rFonts w:ascii="Calibri" w:hAnsi="Calibri"/>
                <w:b w:val="0"/>
                <w:i w:val="0"/>
                <w:color w:val="212121"/>
                <w:sz w:val="16"/>
              </w:rPr>
              <w:t>Excludes hypersensitivity pneumonitis, byssinosis, COPD or fibrosis</w:t>
            </w:r>
          </w:p>
        </w:tc>
        <w:tc>
          <w:tcPr>
            <w:tcW w:type="dxa" w:w="1036"/>
            <w:vAlign w:val="top"/>
          </w:tcPr>
          <w:p>
            <w:pPr>
              <w:spacing w:after="40" w:before="0" w:line="259" w:lineRule="auto"/>
            </w:pPr>
            <w:r>
              <w:rPr>
                <w:rFonts w:ascii="Calibri" w:hAnsi="Calibri"/>
                <w:b w:val="0"/>
                <w:i w:val="0"/>
                <w:color w:val="212121"/>
                <w:sz w:val="16"/>
              </w:rPr>
              <w:t>Workers with atypical features or organic-dust exposure</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Exclusionary</w:t>
            </w:r>
          </w:p>
        </w:tc>
        <w:tc>
          <w:tcPr>
            <w:tcW w:type="dxa" w:w="720"/>
            <w:vAlign w:val="top"/>
          </w:tcPr>
          <w:p>
            <w:pPr>
              <w:spacing w:after="40" w:before="0" w:line="259" w:lineRule="auto"/>
            </w:pPr>
            <w:r>
              <w:rPr>
                <w:rFonts w:ascii="Calibri" w:hAnsi="Calibri"/>
                <w:b w:val="0"/>
                <w:i w:val="0"/>
                <w:color w:val="212121"/>
                <w:sz w:val="16"/>
              </w:rPr>
              <w:t>Used to rule out mimics rather than to confirm asthma.</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Detailed occupational history</w:t>
            </w:r>
          </w:p>
        </w:tc>
        <w:tc>
          <w:tcPr>
            <w:tcW w:type="dxa" w:w="979"/>
            <w:vAlign w:val="top"/>
          </w:tcPr>
          <w:p>
            <w:pPr>
              <w:spacing w:after="40" w:before="0" w:line="259" w:lineRule="auto"/>
            </w:pPr>
            <w:r>
              <w:rPr>
                <w:rFonts w:ascii="Calibri" w:hAnsi="Calibri"/>
                <w:b w:val="0"/>
                <w:i w:val="0"/>
                <w:color w:val="212121"/>
                <w:sz w:val="16"/>
              </w:rPr>
              <w:t>Job, processes, specific agents/SDS, latency, PPE, affected coworkers</w:t>
            </w:r>
          </w:p>
        </w:tc>
        <w:tc>
          <w:tcPr>
            <w:tcW w:type="dxa" w:w="950"/>
            <w:vAlign w:val="top"/>
          </w:tcPr>
          <w:p>
            <w:pPr>
              <w:spacing w:after="40" w:before="0" w:line="259" w:lineRule="auto"/>
            </w:pPr>
            <w:r>
              <w:rPr>
                <w:rFonts w:ascii="Calibri" w:hAnsi="Calibri"/>
                <w:b w:val="0"/>
                <w:i w:val="0"/>
                <w:color w:val="212121"/>
                <w:sz w:val="16"/>
              </w:rPr>
              <w:t>No relevant workplace exposure</w:t>
            </w:r>
          </w:p>
        </w:tc>
        <w:tc>
          <w:tcPr>
            <w:tcW w:type="dxa" w:w="950"/>
            <w:vAlign w:val="top"/>
          </w:tcPr>
          <w:p>
            <w:pPr>
              <w:spacing w:after="40" w:before="0" w:line="259" w:lineRule="auto"/>
            </w:pPr>
            <w:r>
              <w:rPr>
                <w:rFonts w:ascii="Calibri" w:hAnsi="Calibri"/>
                <w:b w:val="0"/>
                <w:i w:val="0"/>
                <w:color w:val="212121"/>
                <w:sz w:val="16"/>
              </w:rPr>
              <w:t>Exposure to a known sensitizer/irritant with compatible latency</w:t>
            </w:r>
          </w:p>
        </w:tc>
        <w:tc>
          <w:tcPr>
            <w:tcW w:type="dxa" w:w="1036"/>
            <w:vAlign w:val="top"/>
          </w:tcPr>
          <w:p>
            <w:pPr>
              <w:spacing w:after="40" w:before="0" w:line="259" w:lineRule="auto"/>
            </w:pPr>
            <w:r>
              <w:rPr>
                <w:rFonts w:ascii="Calibri" w:hAnsi="Calibri"/>
                <w:b w:val="0"/>
                <w:i w:val="0"/>
                <w:color w:val="212121"/>
                <w:sz w:val="16"/>
              </w:rPr>
              <w:t>Identifies the likely causative agent and setting</w:t>
            </w:r>
          </w:p>
        </w:tc>
        <w:tc>
          <w:tcPr>
            <w:tcW w:type="dxa" w:w="1036"/>
            <w:vAlign w:val="top"/>
          </w:tcPr>
          <w:p>
            <w:pPr>
              <w:spacing w:after="40" w:before="0" w:line="259" w:lineRule="auto"/>
            </w:pPr>
            <w:r>
              <w:rPr>
                <w:rFonts w:ascii="Calibri" w:hAnsi="Calibri"/>
                <w:b w:val="0"/>
                <w:i w:val="0"/>
                <w:color w:val="212121"/>
                <w:sz w:val="16"/>
              </w:rPr>
              <w:t>All patients with adult-onset or worsening asthma</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 (essential)</w:t>
            </w:r>
          </w:p>
        </w:tc>
        <w:tc>
          <w:tcPr>
            <w:tcW w:type="dxa" w:w="720"/>
            <w:vAlign w:val="top"/>
          </w:tcPr>
          <w:p>
            <w:pPr>
              <w:spacing w:after="40" w:before="0" w:line="259" w:lineRule="auto"/>
            </w:pPr>
            <w:r>
              <w:rPr>
                <w:rFonts w:ascii="Calibri" w:hAnsi="Calibri"/>
                <w:b w:val="0"/>
                <w:i w:val="0"/>
                <w:color w:val="212121"/>
                <w:sz w:val="16"/>
              </w:rPr>
              <w:t>Ask specifically about materials and Safety Data Sheets.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Temporal (work) pattern</w:t>
            </w:r>
          </w:p>
        </w:tc>
        <w:tc>
          <w:tcPr>
            <w:tcW w:type="dxa" w:w="979"/>
            <w:vAlign w:val="top"/>
          </w:tcPr>
          <w:p>
            <w:pPr>
              <w:spacing w:after="40" w:before="0" w:line="259" w:lineRule="auto"/>
            </w:pPr>
            <w:r>
              <w:rPr>
                <w:rFonts w:ascii="Calibri" w:hAnsi="Calibri"/>
                <w:b w:val="0"/>
                <w:i w:val="0"/>
                <w:color w:val="212121"/>
                <w:sz w:val="16"/>
              </w:rPr>
              <w:t>Symptoms on workdays vs rest days, holidays and return to work</w:t>
            </w:r>
          </w:p>
        </w:tc>
        <w:tc>
          <w:tcPr>
            <w:tcW w:type="dxa" w:w="950"/>
            <w:vAlign w:val="top"/>
          </w:tcPr>
          <w:p>
            <w:pPr>
              <w:spacing w:after="40" w:before="0" w:line="259" w:lineRule="auto"/>
            </w:pPr>
            <w:r>
              <w:rPr>
                <w:rFonts w:ascii="Calibri" w:hAnsi="Calibri"/>
                <w:b w:val="0"/>
                <w:i w:val="0"/>
                <w:color w:val="212121"/>
                <w:sz w:val="16"/>
              </w:rPr>
              <w:t>No relation to work</w:t>
            </w:r>
          </w:p>
        </w:tc>
        <w:tc>
          <w:tcPr>
            <w:tcW w:type="dxa" w:w="950"/>
            <w:vAlign w:val="top"/>
          </w:tcPr>
          <w:p>
            <w:pPr>
              <w:spacing w:after="40" w:before="0" w:line="259" w:lineRule="auto"/>
            </w:pPr>
            <w:r>
              <w:rPr>
                <w:rFonts w:ascii="Calibri" w:hAnsi="Calibri"/>
                <w:b w:val="0"/>
                <w:i w:val="0"/>
                <w:color w:val="212121"/>
                <w:sz w:val="16"/>
              </w:rPr>
              <w:t>Worse at work; better on days off/holidays; recur on return</w:t>
            </w:r>
          </w:p>
        </w:tc>
        <w:tc>
          <w:tcPr>
            <w:tcW w:type="dxa" w:w="1036"/>
            <w:vAlign w:val="top"/>
          </w:tcPr>
          <w:p>
            <w:pPr>
              <w:spacing w:after="40" w:before="0" w:line="259" w:lineRule="auto"/>
            </w:pPr>
            <w:r>
              <w:rPr>
                <w:rFonts w:ascii="Calibri" w:hAnsi="Calibri"/>
                <w:b w:val="0"/>
                <w:i w:val="0"/>
                <w:color w:val="212121"/>
                <w:sz w:val="16"/>
              </w:rPr>
              <w:t>Establishes the work-relatedness central to OA</w:t>
            </w:r>
          </w:p>
        </w:tc>
        <w:tc>
          <w:tcPr>
            <w:tcW w:type="dxa" w:w="1036"/>
            <w:vAlign w:val="top"/>
          </w:tcPr>
          <w:p>
            <w:pPr>
              <w:spacing w:after="40" w:before="0" w:line="259" w:lineRule="auto"/>
            </w:pPr>
            <w:r>
              <w:rPr>
                <w:rFonts w:ascii="Calibri" w:hAnsi="Calibri"/>
                <w:b w:val="0"/>
                <w:i w:val="0"/>
                <w:color w:val="212121"/>
                <w:sz w:val="16"/>
              </w:rPr>
              <w:t>Workers still in the exposing job</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Improvement on holidays is a strong clue.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complaints</w:t>
            </w:r>
          </w:p>
        </w:tc>
        <w:tc>
          <w:tcPr>
            <w:tcW w:type="dxa" w:w="979"/>
            <w:vAlign w:val="top"/>
          </w:tcPr>
          <w:p>
            <w:pPr>
              <w:spacing w:after="40" w:before="0" w:line="259" w:lineRule="auto"/>
            </w:pPr>
            <w:r>
              <w:rPr>
                <w:rFonts w:ascii="Calibri" w:hAnsi="Calibri"/>
                <w:b w:val="0"/>
                <w:i w:val="0"/>
                <w:color w:val="212121"/>
                <w:sz w:val="16"/>
              </w:rPr>
              <w:t>Wheeze, chest tightness, breathlessness, cough (often nocturnal)</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One or more present, work-related</w:t>
            </w:r>
          </w:p>
        </w:tc>
        <w:tc>
          <w:tcPr>
            <w:tcW w:type="dxa" w:w="1036"/>
            <w:vAlign w:val="top"/>
          </w:tcPr>
          <w:p>
            <w:pPr>
              <w:spacing w:after="40" w:before="0" w:line="259" w:lineRule="auto"/>
            </w:pPr>
            <w:r>
              <w:rPr>
                <w:rFonts w:ascii="Calibri" w:hAnsi="Calibri"/>
                <w:b w:val="0"/>
                <w:i w:val="0"/>
                <w:color w:val="212121"/>
                <w:sz w:val="16"/>
              </w:rPr>
              <w:t>Cardinal symptoms of asthma; late responses common hours after exposure</w:t>
            </w:r>
          </w:p>
        </w:tc>
        <w:tc>
          <w:tcPr>
            <w:tcW w:type="dxa" w:w="1036"/>
            <w:vAlign w:val="top"/>
          </w:tcPr>
          <w:p>
            <w:pPr>
              <w:spacing w:after="40" w:before="0" w:line="259" w:lineRule="auto"/>
            </w:pPr>
            <w:r>
              <w:rPr>
                <w:rFonts w:ascii="Calibri" w:hAnsi="Calibri"/>
                <w:b w:val="0"/>
                <w:i w:val="0"/>
                <w:color w:val="212121"/>
                <w:sz w:val="16"/>
              </w:rPr>
              <w:t>Exposed workers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Late asthmatic response may occur 4–12 h after leaving work.</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Associated rhinoconjunctivitis &amp; atopy</w:t>
            </w:r>
          </w:p>
        </w:tc>
        <w:tc>
          <w:tcPr>
            <w:tcW w:type="dxa" w:w="979"/>
            <w:vAlign w:val="top"/>
          </w:tcPr>
          <w:p>
            <w:pPr>
              <w:spacing w:after="40" w:before="0" w:line="259" w:lineRule="auto"/>
            </w:pPr>
            <w:r>
              <w:rPr>
                <w:rFonts w:ascii="Calibri" w:hAnsi="Calibri"/>
                <w:b w:val="0"/>
                <w:i w:val="0"/>
                <w:color w:val="212121"/>
                <w:sz w:val="16"/>
              </w:rPr>
              <w:t>Work-related nasal/eye symptoms; personal/family atopy</w:t>
            </w:r>
          </w:p>
        </w:tc>
        <w:tc>
          <w:tcPr>
            <w:tcW w:type="dxa" w:w="950"/>
            <w:vAlign w:val="top"/>
          </w:tcPr>
          <w:p>
            <w:pPr>
              <w:spacing w:after="40" w:before="0" w:line="259" w:lineRule="auto"/>
            </w:pPr>
            <w:r>
              <w:rPr>
                <w:rFonts w:ascii="Calibri" w:hAnsi="Calibri"/>
                <w:b w:val="0"/>
                <w:i w:val="0"/>
                <w:color w:val="212121"/>
                <w:sz w:val="16"/>
              </w:rPr>
              <w:t>No allergic history</w:t>
            </w:r>
          </w:p>
        </w:tc>
        <w:tc>
          <w:tcPr>
            <w:tcW w:type="dxa" w:w="950"/>
            <w:vAlign w:val="top"/>
          </w:tcPr>
          <w:p>
            <w:pPr>
              <w:spacing w:after="40" w:before="0" w:line="259" w:lineRule="auto"/>
            </w:pPr>
            <w:r>
              <w:rPr>
                <w:rFonts w:ascii="Calibri" w:hAnsi="Calibri"/>
                <w:b w:val="0"/>
                <w:i w:val="0"/>
                <w:color w:val="212121"/>
                <w:sz w:val="16"/>
              </w:rPr>
              <w:t>Occupational rhinitis/conjunctivitis; atopic background</w:t>
            </w:r>
          </w:p>
        </w:tc>
        <w:tc>
          <w:tcPr>
            <w:tcW w:type="dxa" w:w="1036"/>
            <w:vAlign w:val="top"/>
          </w:tcPr>
          <w:p>
            <w:pPr>
              <w:spacing w:after="40" w:before="0" w:line="259" w:lineRule="auto"/>
            </w:pPr>
            <w:r>
              <w:rPr>
                <w:rFonts w:ascii="Calibri" w:hAnsi="Calibri"/>
                <w:b w:val="0"/>
                <w:i w:val="0"/>
                <w:color w:val="212121"/>
                <w:sz w:val="16"/>
              </w:rPr>
              <w:t>Upper-airway sensitisation often precedes OA and flags risk</w:t>
            </w:r>
          </w:p>
        </w:tc>
        <w:tc>
          <w:tcPr>
            <w:tcW w:type="dxa" w:w="1036"/>
            <w:vAlign w:val="top"/>
          </w:tcPr>
          <w:p>
            <w:pPr>
              <w:spacing w:after="40" w:before="0" w:line="259" w:lineRule="auto"/>
            </w:pPr>
            <w:r>
              <w:rPr>
                <w:rFonts w:ascii="Calibri" w:hAnsi="Calibri"/>
                <w:b w:val="0"/>
                <w:i w:val="0"/>
                <w:color w:val="212121"/>
                <w:sz w:val="16"/>
              </w:rPr>
              <w:t>Atopic and HMW-exposed workers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Rhinitis can precede asthma by up to a year.</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Chest auscultation</w:t>
            </w:r>
          </w:p>
        </w:tc>
        <w:tc>
          <w:tcPr>
            <w:tcW w:type="dxa" w:w="979"/>
            <w:vAlign w:val="top"/>
          </w:tcPr>
          <w:p>
            <w:pPr>
              <w:spacing w:after="40" w:before="0" w:line="259" w:lineRule="auto"/>
            </w:pPr>
            <w:r>
              <w:rPr>
                <w:rFonts w:ascii="Calibri" w:hAnsi="Calibri"/>
                <w:b w:val="0"/>
                <w:i w:val="0"/>
                <w:color w:val="212121"/>
                <w:sz w:val="16"/>
              </w:rPr>
              <w:t>Wheeze, prolonged expiration, air entry</w:t>
            </w:r>
          </w:p>
        </w:tc>
        <w:tc>
          <w:tcPr>
            <w:tcW w:type="dxa" w:w="950"/>
            <w:vAlign w:val="top"/>
          </w:tcPr>
          <w:p>
            <w:pPr>
              <w:spacing w:after="40" w:before="0" w:line="259" w:lineRule="auto"/>
            </w:pPr>
            <w:r>
              <w:rPr>
                <w:rFonts w:ascii="Calibri" w:hAnsi="Calibri"/>
                <w:b w:val="0"/>
                <w:i w:val="0"/>
                <w:color w:val="212121"/>
                <w:sz w:val="16"/>
              </w:rPr>
              <w:t>Clear chest, vesicular breath sounds</w:t>
            </w:r>
          </w:p>
        </w:tc>
        <w:tc>
          <w:tcPr>
            <w:tcW w:type="dxa" w:w="950"/>
            <w:vAlign w:val="top"/>
          </w:tcPr>
          <w:p>
            <w:pPr>
              <w:spacing w:after="40" w:before="0" w:line="259" w:lineRule="auto"/>
            </w:pPr>
            <w:r>
              <w:rPr>
                <w:rFonts w:ascii="Calibri" w:hAnsi="Calibri"/>
                <w:b w:val="0"/>
                <w:i w:val="0"/>
                <w:color w:val="212121"/>
                <w:sz w:val="16"/>
              </w:rPr>
              <w:t>Expiratory polyphonic wheeze/rhonchi; prolonged expiration</w:t>
            </w:r>
          </w:p>
        </w:tc>
        <w:tc>
          <w:tcPr>
            <w:tcW w:type="dxa" w:w="1036"/>
            <w:vAlign w:val="top"/>
          </w:tcPr>
          <w:p>
            <w:pPr>
              <w:spacing w:after="40" w:before="0" w:line="259" w:lineRule="auto"/>
            </w:pPr>
            <w:r>
              <w:rPr>
                <w:rFonts w:ascii="Calibri" w:hAnsi="Calibri"/>
                <w:b w:val="0"/>
                <w:i w:val="0"/>
                <w:color w:val="212121"/>
                <w:sz w:val="16"/>
              </w:rPr>
              <w:t>Confirms airflow obstruction; may be normal between attacks</w:t>
            </w:r>
          </w:p>
        </w:tc>
        <w:tc>
          <w:tcPr>
            <w:tcW w:type="dxa" w:w="1036"/>
            <w:vAlign w:val="top"/>
          </w:tcPr>
          <w:p>
            <w:pPr>
              <w:spacing w:after="40" w:before="0" w:line="259" w:lineRule="auto"/>
            </w:pPr>
            <w:r>
              <w:rPr>
                <w:rFonts w:ascii="Calibri" w:hAnsi="Calibri"/>
                <w:b w:val="0"/>
                <w:i w:val="0"/>
                <w:color w:val="212121"/>
                <w:sz w:val="16"/>
              </w:rPr>
              <w:t>Symptomatic workers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A normal chest between exposures does not exclude OA.</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Upper-airway &amp; skin examination</w:t>
            </w:r>
          </w:p>
        </w:tc>
        <w:tc>
          <w:tcPr>
            <w:tcW w:type="dxa" w:w="979"/>
            <w:vAlign w:val="top"/>
          </w:tcPr>
          <w:p>
            <w:pPr>
              <w:spacing w:after="40" w:before="0" w:line="259" w:lineRule="auto"/>
            </w:pPr>
            <w:r>
              <w:rPr>
                <w:rFonts w:ascii="Calibri" w:hAnsi="Calibri"/>
                <w:b w:val="0"/>
                <w:i w:val="0"/>
                <w:color w:val="212121"/>
                <w:sz w:val="16"/>
              </w:rPr>
              <w:t>Nasal mucosa, conjunctivae, skin (eczema/urticaria)</w:t>
            </w:r>
          </w:p>
        </w:tc>
        <w:tc>
          <w:tcPr>
            <w:tcW w:type="dxa" w:w="950"/>
            <w:vAlign w:val="top"/>
          </w:tcPr>
          <w:p>
            <w:pPr>
              <w:spacing w:after="40" w:before="0" w:line="259" w:lineRule="auto"/>
            </w:pPr>
            <w:r>
              <w:rPr>
                <w:rFonts w:ascii="Calibri" w:hAnsi="Calibri"/>
                <w:b w:val="0"/>
                <w:i w:val="0"/>
                <w:color w:val="212121"/>
                <w:sz w:val="16"/>
              </w:rPr>
              <w:t>Normal mucosa and skin</w:t>
            </w:r>
          </w:p>
        </w:tc>
        <w:tc>
          <w:tcPr>
            <w:tcW w:type="dxa" w:w="950"/>
            <w:vAlign w:val="top"/>
          </w:tcPr>
          <w:p>
            <w:pPr>
              <w:spacing w:after="40" w:before="0" w:line="259" w:lineRule="auto"/>
            </w:pPr>
            <w:r>
              <w:rPr>
                <w:rFonts w:ascii="Calibri" w:hAnsi="Calibri"/>
                <w:b w:val="0"/>
                <w:i w:val="0"/>
                <w:color w:val="212121"/>
                <w:sz w:val="16"/>
              </w:rPr>
              <w:t>Pale boggy nasal mucosa; conjunctival injection; contact urticaria (e.g. latex, flour)</w:t>
            </w:r>
          </w:p>
        </w:tc>
        <w:tc>
          <w:tcPr>
            <w:tcW w:type="dxa" w:w="1036"/>
            <w:vAlign w:val="top"/>
          </w:tcPr>
          <w:p>
            <w:pPr>
              <w:spacing w:after="40" w:before="0" w:line="259" w:lineRule="auto"/>
            </w:pPr>
            <w:r>
              <w:rPr>
                <w:rFonts w:ascii="Calibri" w:hAnsi="Calibri"/>
                <w:b w:val="0"/>
                <w:i w:val="0"/>
                <w:color w:val="212121"/>
                <w:sz w:val="16"/>
              </w:rPr>
              <w:t>Signs of associated allergic disease supporting a sensitizer cause</w:t>
            </w:r>
          </w:p>
        </w:tc>
        <w:tc>
          <w:tcPr>
            <w:tcW w:type="dxa" w:w="1036"/>
            <w:vAlign w:val="top"/>
          </w:tcPr>
          <w:p>
            <w:pPr>
              <w:spacing w:after="40" w:before="0" w:line="259" w:lineRule="auto"/>
            </w:pPr>
            <w:r>
              <w:rPr>
                <w:rFonts w:ascii="Calibri" w:hAnsi="Calibri"/>
                <w:b w:val="0"/>
                <w:i w:val="0"/>
                <w:color w:val="212121"/>
                <w:sz w:val="16"/>
              </w:rPr>
              <w:t>Atopic, latex- or flour-exposed workers</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Latex contact urticaria may precede latex asthma.</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Review</w:t>
            </w:r>
          </w:p>
        </w:tc>
        <w:tc>
          <w:tcPr>
            <w:tcW w:type="dxa" w:w="950"/>
            <w:vAlign w:val="top"/>
          </w:tcPr>
          <w:p>
            <w:pPr>
              <w:spacing w:after="40" w:before="0" w:line="259" w:lineRule="auto"/>
            </w:pPr>
            <w:r>
              <w:rPr>
                <w:rFonts w:ascii="Calibri" w:hAnsi="Calibri"/>
                <w:b w:val="0"/>
                <w:i w:val="0"/>
                <w:color w:val="212121"/>
                <w:sz w:val="16"/>
              </w:rPr>
              <w:t>Symptom &amp; PEF diary review</w:t>
            </w:r>
          </w:p>
        </w:tc>
        <w:tc>
          <w:tcPr>
            <w:tcW w:type="dxa" w:w="979"/>
            <w:vAlign w:val="top"/>
          </w:tcPr>
          <w:p>
            <w:pPr>
              <w:spacing w:after="40" w:before="0" w:line="259" w:lineRule="auto"/>
            </w:pPr>
            <w:r>
              <w:rPr>
                <w:rFonts w:ascii="Calibri" w:hAnsi="Calibri"/>
                <w:b w:val="0"/>
                <w:i w:val="0"/>
                <w:color w:val="212121"/>
                <w:sz w:val="16"/>
              </w:rPr>
              <w:t>Correlation of a symptom/PEF diary with work shifts</w:t>
            </w:r>
          </w:p>
        </w:tc>
        <w:tc>
          <w:tcPr>
            <w:tcW w:type="dxa" w:w="950"/>
            <w:vAlign w:val="top"/>
          </w:tcPr>
          <w:p>
            <w:pPr>
              <w:spacing w:after="40" w:before="0" w:line="259" w:lineRule="auto"/>
            </w:pPr>
            <w:r>
              <w:rPr>
                <w:rFonts w:ascii="Calibri" w:hAnsi="Calibri"/>
                <w:b w:val="0"/>
                <w:i w:val="0"/>
                <w:color w:val="212121"/>
                <w:sz w:val="16"/>
              </w:rPr>
              <w:t>No work correlation</w:t>
            </w:r>
          </w:p>
        </w:tc>
        <w:tc>
          <w:tcPr>
            <w:tcW w:type="dxa" w:w="950"/>
            <w:vAlign w:val="top"/>
          </w:tcPr>
          <w:p>
            <w:pPr>
              <w:spacing w:after="40" w:before="0" w:line="259" w:lineRule="auto"/>
            </w:pPr>
            <w:r>
              <w:rPr>
                <w:rFonts w:ascii="Calibri" w:hAnsi="Calibri"/>
                <w:b w:val="0"/>
                <w:i w:val="0"/>
                <w:color w:val="212121"/>
                <w:sz w:val="16"/>
              </w:rPr>
              <w:t>Clear deterioration linked to work periods</w:t>
            </w:r>
          </w:p>
        </w:tc>
        <w:tc>
          <w:tcPr>
            <w:tcW w:type="dxa" w:w="1036"/>
            <w:vAlign w:val="top"/>
          </w:tcPr>
          <w:p>
            <w:pPr>
              <w:spacing w:after="40" w:before="0" w:line="259" w:lineRule="auto"/>
            </w:pPr>
            <w:r>
              <w:rPr>
                <w:rFonts w:ascii="Calibri" w:hAnsi="Calibri"/>
                <w:b w:val="0"/>
                <w:i w:val="0"/>
                <w:color w:val="212121"/>
                <w:sz w:val="16"/>
              </w:rPr>
              <w:t>Objectively links symptoms and lung function to the workplace</w:t>
            </w:r>
          </w:p>
        </w:tc>
        <w:tc>
          <w:tcPr>
            <w:tcW w:type="dxa" w:w="1036"/>
            <w:vAlign w:val="top"/>
          </w:tcPr>
          <w:p>
            <w:pPr>
              <w:spacing w:after="40" w:before="0" w:line="259" w:lineRule="auto"/>
            </w:pPr>
            <w:r>
              <w:rPr>
                <w:rFonts w:ascii="Calibri" w:hAnsi="Calibri"/>
                <w:b w:val="0"/>
                <w:i w:val="0"/>
                <w:color w:val="212121"/>
                <w:sz w:val="16"/>
              </w:rPr>
              <w:t>Workers self-monitoring</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Underpins OASYS analysis of serial PEF.</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Workplace assessment</w:t>
            </w:r>
          </w:p>
        </w:tc>
        <w:tc>
          <w:tcPr>
            <w:tcW w:type="dxa" w:w="950"/>
            <w:vAlign w:val="top"/>
          </w:tcPr>
          <w:p>
            <w:pPr>
              <w:spacing w:after="40" w:before="0" w:line="259" w:lineRule="auto"/>
            </w:pPr>
            <w:r>
              <w:rPr>
                <w:rFonts w:ascii="Calibri" w:hAnsi="Calibri"/>
                <w:b w:val="0"/>
                <w:i w:val="0"/>
                <w:color w:val="212121"/>
                <w:sz w:val="16"/>
              </w:rPr>
              <w:t>Exposure &amp; control review</w:t>
            </w:r>
          </w:p>
        </w:tc>
        <w:tc>
          <w:tcPr>
            <w:tcW w:type="dxa" w:w="979"/>
            <w:vAlign w:val="top"/>
          </w:tcPr>
          <w:p>
            <w:pPr>
              <w:spacing w:after="40" w:before="0" w:line="259" w:lineRule="auto"/>
            </w:pPr>
            <w:r>
              <w:rPr>
                <w:rFonts w:ascii="Calibri" w:hAnsi="Calibri"/>
                <w:b w:val="0"/>
                <w:i w:val="0"/>
                <w:color w:val="212121"/>
                <w:sz w:val="16"/>
              </w:rPr>
              <w:t>Ventilation, enclosure, respiratory protection, exposure levels</w:t>
            </w:r>
          </w:p>
        </w:tc>
        <w:tc>
          <w:tcPr>
            <w:tcW w:type="dxa" w:w="950"/>
            <w:vAlign w:val="top"/>
          </w:tcPr>
          <w:p>
            <w:pPr>
              <w:spacing w:after="40" w:before="0" w:line="259" w:lineRule="auto"/>
            </w:pPr>
            <w:r>
              <w:rPr>
                <w:rFonts w:ascii="Calibri" w:hAnsi="Calibri"/>
                <w:b w:val="0"/>
                <w:i w:val="0"/>
                <w:color w:val="212121"/>
                <w:sz w:val="16"/>
              </w:rPr>
              <w:t>Well-controlled exposure</w:t>
            </w:r>
          </w:p>
        </w:tc>
        <w:tc>
          <w:tcPr>
            <w:tcW w:type="dxa" w:w="950"/>
            <w:vAlign w:val="top"/>
          </w:tcPr>
          <w:p>
            <w:pPr>
              <w:spacing w:after="40" w:before="0" w:line="259" w:lineRule="auto"/>
            </w:pPr>
            <w:r>
              <w:rPr>
                <w:rFonts w:ascii="Calibri" w:hAnsi="Calibri"/>
                <w:b w:val="0"/>
                <w:i w:val="0"/>
                <w:color w:val="212121"/>
                <w:sz w:val="16"/>
              </w:rPr>
              <w:t>Inadequate ventilation/PPE; high measured exposure</w:t>
            </w:r>
          </w:p>
        </w:tc>
        <w:tc>
          <w:tcPr>
            <w:tcW w:type="dxa" w:w="1036"/>
            <w:vAlign w:val="top"/>
          </w:tcPr>
          <w:p>
            <w:pPr>
              <w:spacing w:after="40" w:before="0" w:line="259" w:lineRule="auto"/>
            </w:pPr>
            <w:r>
              <w:rPr>
                <w:rFonts w:ascii="Calibri" w:hAnsi="Calibri"/>
                <w:b w:val="0"/>
                <w:i w:val="0"/>
                <w:color w:val="212121"/>
                <w:sz w:val="16"/>
              </w:rPr>
              <w:t>Guides removal from exposure and workplace control measures</w:t>
            </w:r>
          </w:p>
        </w:tc>
        <w:tc>
          <w:tcPr>
            <w:tcW w:type="dxa" w:w="1036"/>
            <w:vAlign w:val="top"/>
          </w:tcPr>
          <w:p>
            <w:pPr>
              <w:spacing w:after="40" w:before="0" w:line="259" w:lineRule="auto"/>
            </w:pPr>
            <w:r>
              <w:rPr>
                <w:rFonts w:ascii="Calibri" w:hAnsi="Calibri"/>
                <w:b w:val="0"/>
                <w:i w:val="0"/>
                <w:color w:val="212121"/>
                <w:sz w:val="16"/>
              </w:rPr>
              <w:t>Informal-sector and high-exposure workers</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Management-defining</w:t>
            </w:r>
          </w:p>
        </w:tc>
        <w:tc>
          <w:tcPr>
            <w:tcW w:type="dxa" w:w="720"/>
            <w:vAlign w:val="top"/>
          </w:tcPr>
          <w:p>
            <w:pPr>
              <w:spacing w:after="40" w:before="0" w:line="259" w:lineRule="auto"/>
            </w:pPr>
            <w:r>
              <w:rPr>
                <w:rFonts w:ascii="Calibri" w:hAnsi="Calibri"/>
                <w:b w:val="0"/>
                <w:i w:val="0"/>
                <w:color w:val="212121"/>
                <w:sz w:val="16"/>
              </w:rPr>
              <w:t>Absent/misused PPE strongly raises risk.</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Wheezing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Whistling breath sound from airflow obstruction, characteristically worse at or after work.</w:t>
            </w:r>
          </w:p>
        </w:tc>
      </w:tr>
      <w:tr>
        <w:trPr>
          <w:cantSplit/>
        </w:trPr>
        <w:tc>
          <w:tcPr>
            <w:tcW w:type="dxa" w:w="2304"/>
            <w:vAlign w:val="top"/>
          </w:tcPr>
          <w:p>
            <w:pPr>
              <w:spacing w:after="40" w:before="0" w:line="259" w:lineRule="auto"/>
            </w:pPr>
            <w:r>
              <w:rPr>
                <w:rFonts w:ascii="Calibri" w:hAnsi="Calibri"/>
                <w:b/>
                <w:i w:val="0"/>
                <w:color w:val="212121"/>
                <w:sz w:val="19"/>
              </w:rPr>
              <w:t>Chest tightness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 constricted feeling in the chest, classically on returning to work after a break (“Monday” tightness in textile dust).</w:t>
            </w:r>
          </w:p>
        </w:tc>
      </w:tr>
      <w:tr>
        <w:trPr>
          <w:cantSplit/>
        </w:trPr>
        <w:tc>
          <w:tcPr>
            <w:tcW w:type="dxa" w:w="2304"/>
            <w:vAlign w:val="top"/>
          </w:tcPr>
          <w:p>
            <w:pPr>
              <w:spacing w:after="40" w:before="0" w:line="259" w:lineRule="auto"/>
            </w:pPr>
            <w:r>
              <w:rPr>
                <w:rFonts w:ascii="Calibri" w:hAnsi="Calibri"/>
                <w:b/>
                <w:i w:val="0"/>
                <w:color w:val="212121"/>
                <w:sz w:val="19"/>
              </w:rPr>
              <w:t>Breathlessness (dyspnoea)</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Difficulty breathing on exertion or at rest, related to the work shift.</w:t>
            </w:r>
          </w:p>
        </w:tc>
      </w:tr>
      <w:tr>
        <w:trPr>
          <w:cantSplit/>
        </w:trPr>
        <w:tc>
          <w:tcPr>
            <w:tcW w:type="dxa" w:w="2304"/>
            <w:vAlign w:val="top"/>
          </w:tcPr>
          <w:p>
            <w:pPr>
              <w:spacing w:after="40" w:before="0" w:line="259" w:lineRule="auto"/>
            </w:pPr>
            <w:r>
              <w:rPr>
                <w:rFonts w:ascii="Calibri" w:hAnsi="Calibri"/>
                <w:b/>
                <w:i w:val="0"/>
                <w:color w:val="212121"/>
                <w:sz w:val="19"/>
              </w:rPr>
              <w:t>Cough (often dry and nocturnal)</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 persistent cough, frequently worse at night after a day's exposure.</w:t>
            </w:r>
          </w:p>
        </w:tc>
      </w:tr>
      <w:tr>
        <w:trPr>
          <w:cantSplit/>
        </w:trPr>
        <w:tc>
          <w:tcPr>
            <w:tcW w:type="dxa" w:w="2304"/>
            <w:vAlign w:val="top"/>
          </w:tcPr>
          <w:p>
            <w:pPr>
              <w:spacing w:after="40" w:before="0" w:line="259" w:lineRule="auto"/>
            </w:pPr>
            <w:r>
              <w:rPr>
                <w:rFonts w:ascii="Calibri" w:hAnsi="Calibri"/>
                <w:b/>
                <w:i w:val="0"/>
                <w:color w:val="212121"/>
                <w:sz w:val="19"/>
              </w:rPr>
              <w:t>Symptoms worse at work / during a shift</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Deterioration during or shortly after the working day is the hallmark of occupational asthma.</w:t>
            </w:r>
          </w:p>
        </w:tc>
      </w:tr>
      <w:tr>
        <w:trPr>
          <w:cantSplit/>
        </w:trPr>
        <w:tc>
          <w:tcPr>
            <w:tcW w:type="dxa" w:w="2304"/>
            <w:vAlign w:val="top"/>
          </w:tcPr>
          <w:p>
            <w:pPr>
              <w:spacing w:after="40" w:before="0" w:line="259" w:lineRule="auto"/>
            </w:pPr>
            <w:r>
              <w:rPr>
                <w:rFonts w:ascii="Calibri" w:hAnsi="Calibri"/>
                <w:b/>
                <w:i w:val="0"/>
                <w:color w:val="212121"/>
                <w:sz w:val="19"/>
              </w:rPr>
              <w:t>Improvement on rest days, weekends and holidays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Symptoms ease away from work and recur on return — a key diagnostic clue.</w:t>
            </w:r>
          </w:p>
        </w:tc>
      </w:tr>
      <w:tr>
        <w:trPr>
          <w:cantSplit/>
        </w:trPr>
        <w:tc>
          <w:tcPr>
            <w:tcW w:type="dxa" w:w="2304"/>
            <w:vAlign w:val="top"/>
          </w:tcPr>
          <w:p>
            <w:pPr>
              <w:spacing w:after="40" w:before="0" w:line="259" w:lineRule="auto"/>
            </w:pPr>
            <w:r>
              <w:rPr>
                <w:rFonts w:ascii="Calibri" w:hAnsi="Calibri"/>
                <w:b/>
                <w:i w:val="0"/>
                <w:color w:val="212121"/>
                <w:sz w:val="19"/>
              </w:rPr>
              <w:t>Work-related nasal symptoms (sneezing, runny/blocked nose)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Occupational rhinitis often accompanies or precedes the asthma.</w:t>
            </w:r>
          </w:p>
        </w:tc>
      </w:tr>
      <w:tr>
        <w:trPr>
          <w:cantSplit/>
        </w:trPr>
        <w:tc>
          <w:tcPr>
            <w:tcW w:type="dxa" w:w="2304"/>
            <w:vAlign w:val="top"/>
          </w:tcPr>
          <w:p>
            <w:pPr>
              <w:spacing w:after="40" w:before="0" w:line="259" w:lineRule="auto"/>
            </w:pPr>
            <w:r>
              <w:rPr>
                <w:rFonts w:ascii="Calibri" w:hAnsi="Calibri"/>
                <w:b/>
                <w:i w:val="0"/>
                <w:color w:val="212121"/>
                <w:sz w:val="19"/>
              </w:rPr>
              <w:t>Itchy, watery or red eyes (conjunctivitis)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Allergic conjunctivitis from the same workplace allergen, especially with HMW agents.</w:t>
            </w:r>
          </w:p>
        </w:tc>
      </w:tr>
      <w:tr>
        <w:trPr>
          <w:cantSplit/>
        </w:trPr>
        <w:tc>
          <w:tcPr>
            <w:tcW w:type="dxa" w:w="2304"/>
            <w:vAlign w:val="top"/>
          </w:tcPr>
          <w:p>
            <w:pPr>
              <w:spacing w:after="40" w:before="0" w:line="259" w:lineRule="auto"/>
            </w:pPr>
            <w:r>
              <w:rPr>
                <w:rFonts w:ascii="Calibri" w:hAnsi="Calibri"/>
                <w:b/>
                <w:i w:val="0"/>
                <w:color w:val="212121"/>
                <w:sz w:val="19"/>
              </w:rPr>
              <w:t>Late asthmatic response (symptoms 4–12 h after exposure)</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Delayed wheeze/tightness hours after leaving work, often at night, easily missed.</w:t>
            </w:r>
          </w:p>
        </w:tc>
      </w:tr>
      <w:tr>
        <w:trPr>
          <w:cantSplit/>
        </w:trPr>
        <w:tc>
          <w:tcPr>
            <w:tcW w:type="dxa" w:w="2304"/>
            <w:vAlign w:val="top"/>
          </w:tcPr>
          <w:p>
            <w:pPr>
              <w:spacing w:after="40" w:before="0" w:line="259" w:lineRule="auto"/>
            </w:pPr>
            <w:r>
              <w:rPr>
                <w:rFonts w:ascii="Calibri" w:hAnsi="Calibri"/>
                <w:b/>
                <w:i w:val="0"/>
                <w:color w:val="212121"/>
                <w:sz w:val="19"/>
              </w:rPr>
              <w:t>Sputum production</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Mucus production reflecting airway inflammation.</w:t>
            </w:r>
          </w:p>
        </w:tc>
      </w:tr>
      <w:tr>
        <w:trPr>
          <w:cantSplit/>
        </w:trPr>
        <w:tc>
          <w:tcPr>
            <w:tcW w:type="dxa" w:w="2304"/>
            <w:vAlign w:val="top"/>
          </w:tcPr>
          <w:p>
            <w:pPr>
              <w:spacing w:after="40" w:before="0" w:line="259" w:lineRule="auto"/>
            </w:pPr>
            <w:r>
              <w:rPr>
                <w:rFonts w:ascii="Calibri" w:hAnsi="Calibri"/>
                <w:b/>
                <w:i w:val="0"/>
                <w:color w:val="212121"/>
                <w:sz w:val="19"/>
              </w:rPr>
              <w:t>Exercise or exertional intolerance</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Reduced capacity for physical work as airflow obstruction progresses.</w:t>
            </w:r>
          </w:p>
        </w:tc>
      </w:tr>
      <w:tr>
        <w:trPr>
          <w:cantSplit/>
        </w:trPr>
        <w:tc>
          <w:tcPr>
            <w:tcW w:type="dxa" w:w="2304"/>
            <w:vAlign w:val="top"/>
          </w:tcPr>
          <w:p>
            <w:pPr>
              <w:spacing w:after="40" w:before="0" w:line="259" w:lineRule="auto"/>
            </w:pPr>
            <w:r>
              <w:rPr>
                <w:rFonts w:ascii="Calibri" w:hAnsi="Calibri"/>
                <w:b/>
                <w:i w:val="0"/>
                <w:color w:val="212121"/>
                <w:sz w:val="19"/>
              </w:rPr>
              <w:t>Recurrent “chest colds” / bronchitis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Repeated lower-respiratory symptoms that may mask underlying OA.</w:t>
            </w:r>
          </w:p>
        </w:tc>
      </w:tr>
      <w:tr>
        <w:trPr>
          <w:cantSplit/>
        </w:trPr>
        <w:tc>
          <w:tcPr>
            <w:tcW w:type="dxa" w:w="2304"/>
            <w:vAlign w:val="top"/>
          </w:tcPr>
          <w:p>
            <w:pPr>
              <w:spacing w:after="40" w:before="0" w:line="259" w:lineRule="auto"/>
            </w:pPr>
            <w:r>
              <w:rPr>
                <w:rFonts w:ascii="Calibri" w:hAnsi="Calibri"/>
                <w:b/>
                <w:i w:val="0"/>
                <w:color w:val="212121"/>
                <w:sz w:val="19"/>
              </w:rPr>
              <w:t>Skin itching or hives (contact urticaria)</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Seen with latex or flour handling and may herald respiratory sensitisation.</w:t>
            </w:r>
          </w:p>
        </w:tc>
      </w:tr>
      <w:tr>
        <w:trPr>
          <w:cantSplit/>
        </w:trPr>
        <w:tc>
          <w:tcPr>
            <w:tcW w:type="dxa" w:w="2304"/>
            <w:vAlign w:val="top"/>
          </w:tcPr>
          <w:p>
            <w:pPr>
              <w:spacing w:after="40" w:before="0" w:line="259" w:lineRule="auto"/>
            </w:pPr>
            <w:r>
              <w:rPr>
                <w:rFonts w:ascii="Calibri" w:hAnsi="Calibri"/>
                <w:b/>
                <w:i w:val="0"/>
                <w:color w:val="212121"/>
                <w:sz w:val="19"/>
              </w:rPr>
              <w:t>Acute severe (life-threatening) attack</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Severe bronchospasm — including latex-related anaphylaxis — requiring emergency care.</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Expiratory wheeze / polyphonic rhonchi on auscultation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Audible airflow obstruction, often present at work and cleared away from it.</w:t>
            </w:r>
          </w:p>
        </w:tc>
      </w:tr>
      <w:tr>
        <w:trPr>
          <w:cantSplit/>
        </w:trPr>
        <w:tc>
          <w:tcPr>
            <w:tcW w:type="dxa" w:w="3456"/>
            <w:vAlign w:val="top"/>
          </w:tcPr>
          <w:p>
            <w:pPr>
              <w:spacing w:after="40" w:before="0" w:line="259" w:lineRule="auto"/>
            </w:pPr>
            <w:r>
              <w:rPr>
                <w:rFonts w:ascii="Calibri" w:hAnsi="Calibri"/>
                <w:b/>
                <w:i w:val="0"/>
                <w:color w:val="212121"/>
                <w:sz w:val="19"/>
              </w:rPr>
              <w:t>Prolonged expiratory phase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A longer expiratory time indicating obstruction to airflow.</w:t>
            </w:r>
          </w:p>
        </w:tc>
      </w:tr>
      <w:tr>
        <w:trPr>
          <w:cantSplit/>
        </w:trPr>
        <w:tc>
          <w:tcPr>
            <w:tcW w:type="dxa" w:w="3456"/>
            <w:vAlign w:val="top"/>
          </w:tcPr>
          <w:p>
            <w:pPr>
              <w:spacing w:after="40" w:before="0" w:line="259" w:lineRule="auto"/>
            </w:pPr>
            <w:r>
              <w:rPr>
                <w:rFonts w:ascii="Calibri" w:hAnsi="Calibri"/>
                <w:b/>
                <w:i w:val="0"/>
                <w:color w:val="212121"/>
                <w:sz w:val="19"/>
              </w:rPr>
              <w:t>Reduced FEV1 and FEV1/FVC on spirometry</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Objective obstructive pattern confirming asthma.</w:t>
            </w:r>
          </w:p>
        </w:tc>
      </w:tr>
      <w:tr>
        <w:trPr>
          <w:cantSplit/>
        </w:trPr>
        <w:tc>
          <w:tcPr>
            <w:tcW w:type="dxa" w:w="3456"/>
            <w:vAlign w:val="top"/>
          </w:tcPr>
          <w:p>
            <w:pPr>
              <w:spacing w:after="40" w:before="0" w:line="259" w:lineRule="auto"/>
            </w:pPr>
            <w:r>
              <w:rPr>
                <w:rFonts w:ascii="Calibri" w:hAnsi="Calibri"/>
                <w:b/>
                <w:i w:val="0"/>
                <w:color w:val="212121"/>
                <w:sz w:val="19"/>
              </w:rPr>
              <w:t>Bronchodilator reversibility (≥ 12% and ≥ 200 mL)</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Significant improvement after a bronchodilator supports asthma.</w:t>
            </w:r>
          </w:p>
        </w:tc>
      </w:tr>
      <w:tr>
        <w:trPr>
          <w:cantSplit/>
        </w:trPr>
        <w:tc>
          <w:tcPr>
            <w:tcW w:type="dxa" w:w="3456"/>
            <w:vAlign w:val="top"/>
          </w:tcPr>
          <w:p>
            <w:pPr>
              <w:spacing w:after="40" w:before="0" w:line="259" w:lineRule="auto"/>
            </w:pPr>
            <w:r>
              <w:rPr>
                <w:rFonts w:ascii="Calibri" w:hAnsi="Calibri"/>
                <w:b/>
                <w:i w:val="0"/>
                <w:color w:val="212121"/>
                <w:sz w:val="19"/>
              </w:rPr>
              <w:t>Excessive diurnal PEF variability (&gt; 20%) with a work pattern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Peak-flow swings that track the working week point to OA.</w:t>
            </w:r>
          </w:p>
        </w:tc>
      </w:tr>
      <w:tr>
        <w:trPr>
          <w:cantSplit/>
        </w:trPr>
        <w:tc>
          <w:tcPr>
            <w:tcW w:type="dxa" w:w="3456"/>
            <w:vAlign w:val="top"/>
          </w:tcPr>
          <w:p>
            <w:pPr>
              <w:spacing w:after="40" w:before="0" w:line="259" w:lineRule="auto"/>
            </w:pPr>
            <w:r>
              <w:rPr>
                <w:rFonts w:ascii="Calibri" w:hAnsi="Calibri"/>
                <w:b/>
                <w:i w:val="0"/>
                <w:color w:val="212121"/>
                <w:sz w:val="19"/>
              </w:rPr>
              <w:t>Airway hyperresponsiveness that improves away from work</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A lower methacholine PC20 at work than on holiday supports a work cause.</w:t>
            </w:r>
          </w:p>
        </w:tc>
      </w:tr>
      <w:tr>
        <w:trPr>
          <w:cantSplit/>
        </w:trPr>
        <w:tc>
          <w:tcPr>
            <w:tcW w:type="dxa" w:w="3456"/>
            <w:vAlign w:val="top"/>
          </w:tcPr>
          <w:p>
            <w:pPr>
              <w:spacing w:after="40" w:before="0" w:line="259" w:lineRule="auto"/>
            </w:pPr>
            <w:r>
              <w:rPr>
                <w:rFonts w:ascii="Calibri" w:hAnsi="Calibri"/>
                <w:b/>
                <w:i w:val="0"/>
                <w:color w:val="212121"/>
                <w:sz w:val="19"/>
              </w:rPr>
              <w:t>Cross-shift fall in FEV1 or PEF</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A measurable decline across the work shift objectively links airways to work.</w:t>
            </w:r>
          </w:p>
        </w:tc>
      </w:tr>
      <w:tr>
        <w:trPr>
          <w:cantSplit/>
        </w:trPr>
        <w:tc>
          <w:tcPr>
            <w:tcW w:type="dxa" w:w="3456"/>
            <w:vAlign w:val="top"/>
          </w:tcPr>
          <w:p>
            <w:pPr>
              <w:spacing w:after="40" w:before="0" w:line="259" w:lineRule="auto"/>
            </w:pPr>
            <w:r>
              <w:rPr>
                <w:rFonts w:ascii="Calibri" w:hAnsi="Calibri"/>
                <w:b/>
                <w:i w:val="0"/>
                <w:color w:val="212121"/>
                <w:sz w:val="19"/>
              </w:rPr>
              <w:t>Signs of allergic rhinitis (pale, boggy nasal mucosa)</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Associated upper-airway allergy from the same agent.</w:t>
            </w:r>
          </w:p>
        </w:tc>
      </w:tr>
      <w:tr>
        <w:trPr>
          <w:cantSplit/>
        </w:trPr>
        <w:tc>
          <w:tcPr>
            <w:tcW w:type="dxa" w:w="3456"/>
            <w:vAlign w:val="top"/>
          </w:tcPr>
          <w:p>
            <w:pPr>
              <w:spacing w:after="40" w:before="0" w:line="259" w:lineRule="auto"/>
            </w:pPr>
            <w:r>
              <w:rPr>
                <w:rFonts w:ascii="Calibri" w:hAnsi="Calibri"/>
                <w:b/>
                <w:i w:val="0"/>
                <w:color w:val="212121"/>
                <w:sz w:val="19"/>
              </w:rPr>
              <w:t>Tachypnoea and accessory-muscle use</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Signs of a moderate-to-severe acute attack.</w:t>
            </w:r>
          </w:p>
        </w:tc>
      </w:tr>
      <w:tr>
        <w:trPr>
          <w:cantSplit/>
        </w:trPr>
        <w:tc>
          <w:tcPr>
            <w:tcW w:type="dxa" w:w="3456"/>
            <w:vAlign w:val="top"/>
          </w:tcPr>
          <w:p>
            <w:pPr>
              <w:spacing w:after="40" w:before="0" w:line="259" w:lineRule="auto"/>
            </w:pPr>
            <w:r>
              <w:rPr>
                <w:rFonts w:ascii="Calibri" w:hAnsi="Calibri"/>
                <w:b/>
                <w:i w:val="0"/>
                <w:color w:val="212121"/>
                <w:sz w:val="19"/>
              </w:rPr>
              <w:t>Chest hyperinflation</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Seen with chronic, poorly controlled or long-standing disease.</w:t>
            </w:r>
          </w:p>
        </w:tc>
      </w:tr>
      <w:tr>
        <w:trPr>
          <w:cantSplit/>
        </w:trPr>
        <w:tc>
          <w:tcPr>
            <w:tcW w:type="dxa" w:w="3456"/>
            <w:vAlign w:val="top"/>
          </w:tcPr>
          <w:p>
            <w:pPr>
              <w:spacing w:after="40" w:before="0" w:line="259" w:lineRule="auto"/>
            </w:pPr>
            <w:r>
              <w:rPr>
                <w:rFonts w:ascii="Calibri" w:hAnsi="Calibri"/>
                <w:b/>
                <w:i w:val="0"/>
                <w:color w:val="212121"/>
                <w:sz w:val="19"/>
              </w:rPr>
              <w:t>Contact urticaria or eczema (latex, flour)</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Cutaneous evidence of sensitisation to a workplace allergen.</w:t>
            </w:r>
          </w:p>
        </w:tc>
      </w:tr>
      <w:tr>
        <w:trPr>
          <w:cantSplit/>
        </w:trPr>
        <w:tc>
          <w:tcPr>
            <w:tcW w:type="dxa" w:w="3456"/>
            <w:vAlign w:val="top"/>
          </w:tcPr>
          <w:p>
            <w:pPr>
              <w:spacing w:after="40" w:before="0" w:line="259" w:lineRule="auto"/>
            </w:pPr>
            <w:r>
              <w:rPr>
                <w:rFonts w:ascii="Calibri" w:hAnsi="Calibri"/>
                <w:b/>
                <w:i w:val="0"/>
                <w:color w:val="212121"/>
                <w:sz w:val="19"/>
              </w:rPr>
              <w:t>Cyanosis or silent chest</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Ominous signs of life-threatening bronchospasm requiring immediate treatment.</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Acute asthma exacerbations and attacks triggered at work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Late (delayed) asthmatic responses hours after exposure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Occupational rhinitis and allergic conjunctivitis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Reactive Airways Dysfunction Syndrome (RADS) after high-level irritant exposure</w:t>
            </w:r>
          </w:p>
        </w:tc>
        <w:tc>
          <w:tcPr>
            <w:tcW w:type="dxa" w:w="2980"/>
            <w:vAlign w:val="top"/>
          </w:tcPr>
          <w:p>
            <w:pPr>
              <w:spacing w:after="40" w:before="0" w:line="259" w:lineRule="auto"/>
            </w:pPr>
            <w:r>
              <w:rPr>
                <w:rFonts w:ascii="Calibri" w:hAnsi="Calibri"/>
                <w:b w:val="0"/>
                <w:i w:val="0"/>
                <w:color w:val="212121"/>
                <w:sz w:val="19"/>
              </w:rPr>
              <w:t>Direct, immediate airway consequences of the workplace sensitizer or irritant.</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Persistent asthma that continues even after removal from exposure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Airway remodelling with progression toward fixed airflow obstruction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Recurrent exacerbations, frequent medication use and reduced quality of life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Loss of the job or need to change occupation, with income loss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Latex-related contact urticaria progressing to anaphylaxis</w:t>
            </w:r>
          </w:p>
        </w:tc>
        <w:tc>
          <w:tcPr>
            <w:tcW w:type="dxa" w:w="2980"/>
            <w:vAlign w:val="top"/>
          </w:tcPr>
          <w:p>
            <w:pPr>
              <w:spacing w:after="40" w:before="0" w:line="259" w:lineRule="auto"/>
            </w:pPr>
            <w:r>
              <w:rPr>
                <w:rFonts w:ascii="Calibri" w:hAnsi="Calibri"/>
                <w:b w:val="0"/>
                <w:i w:val="0"/>
                <w:color w:val="212121"/>
                <w:sz w:val="19"/>
              </w:rPr>
              <w:t>Consequences of ongoing or inadequately treated disease and of leaving/losing the exposing job.</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irreversible airflow limitation and respiratory disability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Acute severe asthma / respiratory failure, occasionally fatal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Long-term unemployment and socioeconomic hardship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Permanent respiratory impairment attracting disability/compensation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Anxiety and depression from chronic illness and job loss</w:t>
            </w:r>
          </w:p>
        </w:tc>
        <w:tc>
          <w:tcPr>
            <w:tcW w:type="dxa" w:w="2980"/>
            <w:vAlign w:val="top"/>
          </w:tcPr>
          <w:p>
            <w:pPr>
              <w:spacing w:after="40" w:before="0" w:line="259" w:lineRule="auto"/>
            </w:pPr>
            <w:r>
              <w:rPr>
                <w:rFonts w:ascii="Calibri" w:hAnsi="Calibri"/>
                <w:b w:val="0"/>
                <w:i w:val="0"/>
                <w:color w:val="212121"/>
                <w:sz w:val="19"/>
              </w:rPr>
              <w:t>Long-term, often irreversible outcomes of severe, persistent or late-diagnosed occupational asthma.</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Occupational / allergic rhinitis</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Very frequently coexists and often precedes the asthma by up to a year; a key early-warning marker.</w:t>
            </w:r>
          </w:p>
        </w:tc>
      </w:tr>
      <w:tr>
        <w:trPr>
          <w:cantSplit/>
        </w:trPr>
        <w:tc>
          <w:tcPr>
            <w:tcW w:type="dxa" w:w="2232"/>
            <w:vAlign w:val="top"/>
          </w:tcPr>
          <w:p>
            <w:pPr>
              <w:spacing w:after="40" w:before="0" w:line="259" w:lineRule="auto"/>
            </w:pPr>
            <w:r>
              <w:rPr>
                <w:rFonts w:ascii="Calibri" w:hAnsi="Calibri"/>
                <w:b/>
                <w:i w:val="0"/>
                <w:color w:val="212121"/>
                <w:sz w:val="19"/>
              </w:rPr>
              <w:t>Allergic conjunctivitis</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Itchy, watery eyes from the same high-molecular-weight allergen.</w:t>
            </w:r>
          </w:p>
        </w:tc>
      </w:tr>
      <w:tr>
        <w:trPr>
          <w:cantSplit/>
        </w:trPr>
        <w:tc>
          <w:tcPr>
            <w:tcW w:type="dxa" w:w="2232"/>
            <w:vAlign w:val="top"/>
          </w:tcPr>
          <w:p>
            <w:pPr>
              <w:spacing w:after="40" w:before="0" w:line="259" w:lineRule="auto"/>
            </w:pPr>
            <w:r>
              <w:rPr>
                <w:rFonts w:ascii="Calibri" w:hAnsi="Calibri"/>
                <w:b/>
                <w:i w:val="0"/>
                <w:color w:val="212121"/>
                <w:sz w:val="19"/>
              </w:rPr>
              <w:t>Chronic rhinosinusitis and nasal polyps</w:t>
            </w:r>
          </w:p>
        </w:tc>
        <w:tc>
          <w:tcPr>
            <w:tcW w:type="dxa" w:w="2520"/>
            <w:vAlign w:val="top"/>
          </w:tcPr>
          <w:p>
            <w:pPr>
              <w:spacing w:after="40" w:before="0" w:line="259" w:lineRule="auto"/>
            </w:pPr>
            <w:r>
              <w:rPr>
                <w:rFonts w:ascii="Calibri" w:hAnsi="Calibri"/>
                <w:b w:val="0"/>
                <w:i w:val="0"/>
                <w:color w:val="212121"/>
                <w:sz w:val="18"/>
              </w:rPr>
              <w:t>Shared Pathophysiology</w:t>
            </w:r>
          </w:p>
        </w:tc>
        <w:tc>
          <w:tcPr>
            <w:tcW w:type="dxa" w:w="4852"/>
            <w:vAlign w:val="top"/>
          </w:tcPr>
          <w:p>
            <w:pPr>
              <w:spacing w:after="40" w:before="0" w:line="259" w:lineRule="auto"/>
            </w:pPr>
            <w:r>
              <w:rPr>
                <w:rFonts w:ascii="Calibri" w:hAnsi="Calibri"/>
                <w:b w:val="0"/>
                <w:i w:val="0"/>
                <w:color w:val="212121"/>
                <w:sz w:val="19"/>
              </w:rPr>
              <w:t>Upper-airway inflammation that worsens asthma control.</w:t>
            </w:r>
          </w:p>
        </w:tc>
      </w:tr>
      <w:tr>
        <w:trPr>
          <w:cantSplit/>
        </w:trPr>
        <w:tc>
          <w:tcPr>
            <w:tcW w:type="dxa" w:w="2232"/>
            <w:vAlign w:val="top"/>
          </w:tcPr>
          <w:p>
            <w:pPr>
              <w:spacing w:after="40" w:before="0" w:line="259" w:lineRule="auto"/>
            </w:pPr>
            <w:r>
              <w:rPr>
                <w:rFonts w:ascii="Calibri" w:hAnsi="Calibri"/>
                <w:b/>
                <w:i w:val="0"/>
                <w:color w:val="212121"/>
                <w:sz w:val="19"/>
              </w:rPr>
              <w:t>Atopic dermatitis / eczema</w:t>
            </w:r>
          </w:p>
        </w:tc>
        <w:tc>
          <w:tcPr>
            <w:tcW w:type="dxa" w:w="2520"/>
            <w:vAlign w:val="top"/>
          </w:tcPr>
          <w:p>
            <w:pPr>
              <w:spacing w:after="40" w:before="0" w:line="259" w:lineRule="auto"/>
            </w:pPr>
            <w:r>
              <w:rPr>
                <w:rFonts w:ascii="Calibri" w:hAnsi="Calibri"/>
                <w:b w:val="0"/>
                <w:i w:val="0"/>
                <w:color w:val="212121"/>
                <w:sz w:val="18"/>
              </w:rPr>
              <w:t>Predisposes To</w:t>
            </w:r>
          </w:p>
        </w:tc>
        <w:tc>
          <w:tcPr>
            <w:tcW w:type="dxa" w:w="4852"/>
            <w:vAlign w:val="top"/>
          </w:tcPr>
          <w:p>
            <w:pPr>
              <w:spacing w:after="40" w:before="0" w:line="259" w:lineRule="auto"/>
            </w:pPr>
            <w:r>
              <w:rPr>
                <w:rFonts w:ascii="Calibri" w:hAnsi="Calibri"/>
                <w:b w:val="0"/>
                <w:i w:val="0"/>
                <w:color w:val="212121"/>
                <w:sz w:val="19"/>
              </w:rPr>
              <w:t>Part of the atopic march that predisposes to allergic sensitisation.</w:t>
            </w:r>
          </w:p>
        </w:tc>
      </w:tr>
      <w:tr>
        <w:trPr>
          <w:cantSplit/>
        </w:trPr>
        <w:tc>
          <w:tcPr>
            <w:tcW w:type="dxa" w:w="2232"/>
            <w:vAlign w:val="top"/>
          </w:tcPr>
          <w:p>
            <w:pPr>
              <w:spacing w:after="40" w:before="0" w:line="259" w:lineRule="auto"/>
            </w:pPr>
            <w:r>
              <w:rPr>
                <w:rFonts w:ascii="Calibri" w:hAnsi="Calibri"/>
                <w:b/>
                <w:i w:val="0"/>
                <w:color w:val="212121"/>
                <w:sz w:val="19"/>
              </w:rPr>
              <w:t>Natural rubber latex allergy / contact urticaria</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Common in healthcare and rubber workers; can progress to asthma and anaphylaxis.</w:t>
            </w:r>
          </w:p>
        </w:tc>
      </w:tr>
      <w:tr>
        <w:trPr>
          <w:cantSplit/>
        </w:trPr>
        <w:tc>
          <w:tcPr>
            <w:tcW w:type="dxa" w:w="2232"/>
            <w:vAlign w:val="top"/>
          </w:tcPr>
          <w:p>
            <w:pPr>
              <w:spacing w:after="40" w:before="0" w:line="259" w:lineRule="auto"/>
            </w:pPr>
            <w:r>
              <w:rPr>
                <w:rFonts w:ascii="Calibri" w:hAnsi="Calibri"/>
                <w:b/>
                <w:i w:val="0"/>
                <w:color w:val="212121"/>
                <w:sz w:val="19"/>
              </w:rPr>
              <w:t>Byssinosis (cotton-dust airway disease)</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Overlapping work-related obstructive disease in textile workers.</w:t>
            </w:r>
          </w:p>
        </w:tc>
      </w:tr>
      <w:tr>
        <w:trPr>
          <w:cantSplit/>
        </w:trPr>
        <w:tc>
          <w:tcPr>
            <w:tcW w:type="dxa" w:w="2232"/>
            <w:vAlign w:val="top"/>
          </w:tcPr>
          <w:p>
            <w:pPr>
              <w:spacing w:after="40" w:before="0" w:line="259" w:lineRule="auto"/>
            </w:pPr>
            <w:r>
              <w:rPr>
                <w:rFonts w:ascii="Calibri" w:hAnsi="Calibri"/>
                <w:b/>
                <w:i w:val="0"/>
                <w:color w:val="212121"/>
                <w:sz w:val="19"/>
              </w:rPr>
              <w:t>Work-exacerbated (pre-existing) asthma</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Prior asthma worsened by workplace dusts, fumes and irritants; must be distinguished from true OA.</w:t>
            </w:r>
          </w:p>
        </w:tc>
      </w:tr>
      <w:tr>
        <w:trPr>
          <w:cantSplit/>
        </w:trPr>
        <w:tc>
          <w:tcPr>
            <w:tcW w:type="dxa" w:w="2232"/>
            <w:vAlign w:val="top"/>
          </w:tcPr>
          <w:p>
            <w:pPr>
              <w:spacing w:after="40" w:before="0" w:line="259" w:lineRule="auto"/>
            </w:pPr>
            <w:r>
              <w:rPr>
                <w:rFonts w:ascii="Calibri" w:hAnsi="Calibri"/>
                <w:b/>
                <w:i w:val="0"/>
                <w:color w:val="212121"/>
                <w:sz w:val="19"/>
              </w:rPr>
              <w:t>Gastro-oesophageal reflux disease (GERD)</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Aggravates cough and asthma control and confounds assessment.</w:t>
            </w:r>
          </w:p>
        </w:tc>
      </w:tr>
      <w:tr>
        <w:trPr>
          <w:cantSplit/>
        </w:trPr>
        <w:tc>
          <w:tcPr>
            <w:tcW w:type="dxa" w:w="2232"/>
            <w:vAlign w:val="top"/>
          </w:tcPr>
          <w:p>
            <w:pPr>
              <w:spacing w:after="40" w:before="0" w:line="259" w:lineRule="auto"/>
            </w:pPr>
            <w:r>
              <w:rPr>
                <w:rFonts w:ascii="Calibri" w:hAnsi="Calibri"/>
                <w:b/>
                <w:i w:val="0"/>
                <w:color w:val="212121"/>
                <w:sz w:val="19"/>
              </w:rPr>
              <w:t>Obesity</w:t>
            </w:r>
          </w:p>
        </w:tc>
        <w:tc>
          <w:tcPr>
            <w:tcW w:type="dxa" w:w="2520"/>
            <w:vAlign w:val="top"/>
          </w:tcPr>
          <w:p>
            <w:pPr>
              <w:spacing w:after="40" w:before="0" w:line="259" w:lineRule="auto"/>
            </w:pPr>
            <w:r>
              <w:rPr>
                <w:rFonts w:ascii="Calibri" w:hAnsi="Calibri"/>
                <w:b w:val="0"/>
                <w:i w:val="0"/>
                <w:color w:val="212121"/>
                <w:sz w:val="18"/>
              </w:rPr>
              <w:t>Treatment Interaction</w:t>
            </w:r>
          </w:p>
        </w:tc>
        <w:tc>
          <w:tcPr>
            <w:tcW w:type="dxa" w:w="4852"/>
            <w:vAlign w:val="top"/>
          </w:tcPr>
          <w:p>
            <w:pPr>
              <w:spacing w:after="40" w:before="0" w:line="259" w:lineRule="auto"/>
            </w:pPr>
            <w:r>
              <w:rPr>
                <w:rFonts w:ascii="Calibri" w:hAnsi="Calibri"/>
                <w:b w:val="0"/>
                <w:i w:val="0"/>
                <w:color w:val="212121"/>
                <w:sz w:val="19"/>
              </w:rPr>
              <w:t>Worsens asthma severity and reduces response to inhaled corticosteroids.</w:t>
            </w:r>
          </w:p>
        </w:tc>
      </w:tr>
      <w:tr>
        <w:trPr>
          <w:cantSplit/>
        </w:trPr>
        <w:tc>
          <w:tcPr>
            <w:tcW w:type="dxa" w:w="2232"/>
            <w:vAlign w:val="top"/>
          </w:tcPr>
          <w:p>
            <w:pPr>
              <w:spacing w:after="40" w:before="0" w:line="259" w:lineRule="auto"/>
            </w:pPr>
            <w:r>
              <w:rPr>
                <w:rFonts w:ascii="Calibri" w:hAnsi="Calibri"/>
                <w:b/>
                <w:i w:val="0"/>
                <w:color w:val="212121"/>
                <w:sz w:val="19"/>
              </w:rPr>
              <w:t>Obstructive sleep apnoea</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Coexisting OSA is linked to poorer asthma control and more exacerbations.</w:t>
            </w:r>
          </w:p>
        </w:tc>
      </w:tr>
      <w:tr>
        <w:trPr>
          <w:cantSplit/>
        </w:trPr>
        <w:tc>
          <w:tcPr>
            <w:tcW w:type="dxa" w:w="2232"/>
            <w:vAlign w:val="top"/>
          </w:tcPr>
          <w:p>
            <w:pPr>
              <w:spacing w:after="40" w:before="0" w:line="259" w:lineRule="auto"/>
            </w:pPr>
            <w:r>
              <w:rPr>
                <w:rFonts w:ascii="Calibri" w:hAnsi="Calibri"/>
                <w:b/>
                <w:i w:val="0"/>
                <w:color w:val="212121"/>
                <w:sz w:val="19"/>
              </w:rPr>
              <w:t>Anxiety and depression</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Common with chronic disease and the threat of job loss; can amplify symptom perception.</w:t>
            </w:r>
          </w:p>
        </w:tc>
      </w:tr>
      <w:tr>
        <w:trPr>
          <w:cantSplit/>
        </w:trPr>
        <w:tc>
          <w:tcPr>
            <w:tcW w:type="dxa" w:w="2232"/>
            <w:vAlign w:val="top"/>
          </w:tcPr>
          <w:p>
            <w:pPr>
              <w:spacing w:after="40" w:before="0" w:line="259" w:lineRule="auto"/>
            </w:pPr>
            <w:r>
              <w:rPr>
                <w:rFonts w:ascii="Calibri" w:hAnsi="Calibri"/>
                <w:b/>
                <w:i w:val="0"/>
                <w:color w:val="212121"/>
                <w:sz w:val="19"/>
              </w:rPr>
              <w:t>COPD / fixed airflow obstruction</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May overlap in long-standing disease and in smokers, causing irreversible obstruction.</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Merge w:val="restart"/>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Know the hazardous agents in your job (isocyanate paints, flour and grain dust, latex, wood dust, enzymes, persulfate hair products, welding and soldering fumes) and read the Safety Data Sheets.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Follow the hierarchy of control — substitute or enclose the process, use local exhaust ventilation, and only then rely on respirators as a last line of defence.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and maintain properly fitted respiratory protection, and wash hands and face and change out of dusty/contaminated clothing after exposure.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early warning signs — work-related sneezing, runny or blocked nose, itchy eyes, cough, wheeze, chest tightness — and report them early rather than working through them.</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Note whether symptoms improve on days off, weekends and holidays and return at work, and tell your doctor this pattern.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Take part in workplace health/medical surveillance where offered, and seek assessment promptly, because early diagnosis and removal from exposure give the best chance of recovery.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exposed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Bakers, millers &amp; food processors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Spray painters &amp; welders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Healthcare &amp; cleaning staff</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Textile &amp; agro-processing workers</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For sensitizer-induced OA, complete removal from further exposure to the causative agent is the single most important step — ideally within about a year of symptoms starting.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If full removal is impossible, drastically reduce exposure with enclosure, ventilation and respiratory protection while arranging redeployment.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 the asthma to guideline standard with inhaled corticosteroids (with a long-acting bronchodilator if needed) and a reliever, plus a written asthma action plan.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Manage RADS/irritant-induced asthma with standard asthma therapy and avoidance of further high-level irritant exposures.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follow-up spirometry to monitor for persistent or fixed airflow obstruction even after leaving the job.</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Support the worker's rights — occupational asthma is often a compensable/notifiable disease, and referral for redeployment and compensation may be appropriate.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Confirmed occupational asthma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Sensitised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RADS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Workers needing redeployment</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Stay physically active with regular moderate aerobic exercise to improve fitness, weight and overall asthma control.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asthma is well controlled before exertion, and warm up gradually to limit exercise-induced bronchoconstriction.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Prefer clean-air environments for exercise and avoid exercising in the dusty or fume-laden workplace.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Include breathing-control and pursed-lip breathing techniques to ease breathlessness.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Workers with OA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Overweight/obese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Deconditioned patients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Eat a balanced diet rich in fruit and vegetables to supply antioxidants that support airway health.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a healthy weight, as obesity worsens asthma control and reduces response to inhaled steroids.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Correct vitamin D and other micronutrient deficiencies where present.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known dietary triggers such as sulfite-containing foods and drinks if they provoke wheeze.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Workers with poor asthma control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dietary deficiencies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Practise good sleep hygiene — regular bedtimes and a dust-free, well-ventilated bedroom.</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Optimise evening controller therapy so that nocturnal and late-response symptoms do not disturb sleep.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and treat obstructive sleep apnoea, which worsens asthma control.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bringing occupational dust home on clothing into the sleeping area.</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Workers with nocturnal symptoms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Poorly controlled asthmatics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suspected OSA</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smoking and all tobacco (cigarettes and bidis), which promotes sensitisation to some agents and accelerates loss of lung function.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second-hand smoke at home and work.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cessation support — counselling and nicotine-replacement or pharmacotherapy — to quit successfully.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Combine quitting with reduced workplace exposure for the best respiratory outcome.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Smokers with OA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Exposed smokers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Workers with declining lung function</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alcohol within low limits, and avoid drinks that trigger your wheeze.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Be aware that sulfite-containing wines, beers and spirits can provoke bronchoconstriction in sensitive people.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heavy or binge drinking, which can disturb sleep and asthma control.</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Sulfite-sensitive asthmatics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Heavy drinkers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Acknowledge the stress of possible job change or loss, and seek early support and counselling.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and treat anxiety and depression, which are common and can worsen symptom perception.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Learn breathing-retraining and relaxation techniques to manage dysfunctional breathing that can mimic or amplify asthma.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occupational-health and social-support services for advice on redeployment, retraining and compensation.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Workers facing redeployment/job loss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Anxious or depressed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poorly controlled OA</w:t>
            </w:r>
          </w:p>
        </w:tc>
        <w:tc>
          <w:tcPr>
            <w:tcW w:type="dxa" w:w="1036"/>
            <w:vAlign w:val="top"/>
          </w:tcPr>
          <w:p>
            <w:pPr>
              <w:spacing w:after="40" w:before="0" w:line="259" w:lineRule="auto"/>
            </w:pPr>
            <w:r>
              <w:rPr>
                <w:rFonts w:ascii="Calibri" w:hAnsi="Calibri"/>
                <w:b w:val="0"/>
                <w:i w:val="0"/>
                <w:color w:val="212121"/>
                <w:sz w:val="19"/>
              </w:rPr>
              <w:t>Medium</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som.org.uk/work-related-asthma-and-occupational-asthma-introduction" TargetMode="External"/><Relationship Id="rId10" Type="http://schemas.openxmlformats.org/officeDocument/2006/relationships/hyperlink" Target="https://medicaldialogues.in/pulmonology/news/occupational-asthma-prevalence-among-auto-paint-shop-workers-finds-study-175788" TargetMode="External"/><Relationship Id="rId11" Type="http://schemas.openxmlformats.org/officeDocument/2006/relationships/hyperlink" Target="https://journals.lww.com/jatn/fulltext/2024/07010/pooled_prevalence_of_byssinosis_in_india__a.4.aspx" TargetMode="External"/><Relationship Id="rId12" Type="http://schemas.openxmlformats.org/officeDocument/2006/relationships/hyperlink" Target="https://www.ncbi.nlm.nih.gov/pmc/articles/PMC4196548/" TargetMode="External"/><Relationship Id="rId13" Type="http://schemas.openxmlformats.org/officeDocument/2006/relationships/hyperlink" Target="https://worldallergy.net/component/content/article/bakers-asthma?catid=17&amp;Itemid=101" TargetMode="External"/><Relationship Id="rId14" Type="http://schemas.openxmlformats.org/officeDocument/2006/relationships/hyperlink" Target="https://www.merckmanuals.com/professional/pulmonary-disorders/environmental-and-occupational-pulmonary-diseases/work-related-asthma" TargetMode="External"/><Relationship Id="rId15" Type="http://schemas.openxmlformats.org/officeDocument/2006/relationships/hyperlink" Target="https://www.cdc.gov/niosh/asthma/hcp/diagnosing/ind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