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Lung Abscess / Empyema</w:t>
      </w:r>
    </w:p>
    <w:p>
      <w:pPr>
        <w:spacing w:before="0" w:after="160"/>
      </w:pPr>
      <w:r>
        <w:rPr>
          <w:rFonts w:ascii="Calibri" w:hAnsi="Calibri"/>
          <w:b/>
          <w:i w:val="0"/>
          <w:color w:val="212121"/>
          <w:sz w:val="22"/>
        </w:rPr>
        <w:t xml:space="preserve">AKA </w:t>
      </w:r>
      <w:r>
        <w:rPr>
          <w:rFonts w:ascii="Calibri" w:hAnsi="Calibri"/>
          <w:b w:val="0"/>
          <w:i w:val="0"/>
          <w:color w:val="212121"/>
          <w:sz w:val="22"/>
        </w:rPr>
        <w:t>i.e., Empyema thoracis, Pyothorax, Pus in the chest, Suppurative (pus-forming) lung disease, Necrotizing pneumonia (when multiple abscesses coalesce), Pleural empyema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lung abscess is a localized collection of pus within the lung parenchyma that produces a cavity — usually larger than 2 cm — filled with necrotic debris resulting from microbial infection. Empyema (empyema thoracis) is the accumulation of frank pus within the pleural space, most often as a complication of pneumonia, ruptured lung abscess, tuberculosis, or chest trauma/surgery. Both are suppurative infections of the lower respiratory tract that share overlapping causes — chiefly aspiration of oropharyngeal secretions, untreated pneumonia and, in India, tuberculosis — and both carry substantial morbidity and mortality when adequate drainage and appropriate antibiotics are delayed.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Community incidence figures for suppurative lung disease in India are not systematically registered, but hospital series consistently show a burden concentrated among adult men with alcohol-use disorder, poor dental hygiene, uncontrolled diabetes and untreated tuberculosis. India carries the world's largest tuberculosis burden — roughly a quarter of all global TB cases — and TB remains a leading, characteristically Indian cause of empyema thoracis, distinguishing the Indian etiological pattern from the parapneumonic predominance of high-income countries. For comparison, in Western data about 20% of pneumonias develop a parapneumonic effusion that may progress to empyema, and roughly 20–30% of empyema patients die or need further surgery within the first year.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Lung abscess and empyema are diagnosed by combining clinical suspicion (persistent fever with productive or foul-smelling sputum, or pleuritic chest pain) with imaging and microbiological sampling of the pus. Supporting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or CT showing a cavitary lesion with an air–fluid level within the lung parenchyma (lung abscess), or a loculated, lenticular pleural collection (empyema);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Contrast-enhanced CT thorax demonstrating a thick-walled parenchymal cavity (abscess) or the pleural “split-pleura sign” with enhancing, thickened parietal and visceral pleura (empyema);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Thoracentesis (pleural aspiration) yielding frank pus, or exudative pleural fluid with pH &lt; 7.20, glucose &lt; 60 mg/dL and elevated LDH — indicating a complicated parapneumonic effusion/empyema requiring drainage;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sputum or pleural-fluid Gram stain and culture (aerobic and anaerobic) identifying causative organisms;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Sputum/pleural-fluid acid-fast bacilli (AFB) smear, GeneXpert MTB/RIF, mycobacterial culture and pleural-fluid adenosine deaminase (ADA) — essential in India to detect tuberculous empyema;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Neutrophilic leukocytosis with raised CRP/ESR supporting active suppuration.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Suppurative lung disease is classified by anatomical site, duration, mechanism and microbiology, and — for empyema — by the stage of pleural organization:</w:t>
      </w:r>
    </w:p>
    <w:p>
      <w:pPr>
        <w:spacing w:before="0" w:after="80"/>
      </w:pPr>
      <w:r>
        <w:rPr>
          <w:rFonts w:ascii="Calibri" w:hAnsi="Calibri"/>
          <w:b w:val="0"/>
          <w:i w:val="0"/>
          <w:color w:val="212121"/>
          <w:sz w:val="21"/>
        </w:rPr>
        <w:t>(1) Lung abscess is divided by duration into acute (&lt; 4–6 weeks) and chronic (&gt; 6 weeks), and by mechanism into primary abscess (arising in a previously normal lung, typically from aspiration in a host with poor dentition or reduced consciousness) and secondary abscess (complicating bronchial obstruction by tumour or foreign body, underlying bronchiectasis, immunosuppression, or haematogenous septic emboli).</w:t>
      </w:r>
    </w:p>
    <w:p>
      <w:pPr>
        <w:spacing w:before="0" w:after="80"/>
      </w:pPr>
      <w:r>
        <w:rPr>
          <w:rFonts w:ascii="Calibri" w:hAnsi="Calibri"/>
          <w:b w:val="0"/>
          <w:i w:val="0"/>
          <w:color w:val="212121"/>
          <w:sz w:val="21"/>
        </w:rPr>
        <w:t>(2) By microbiology, abscesses are polymicrobial/anaerobic (most common, from aspirated oral flora — Bacteroides, Prevotella, Peptostreptococcus, Fusobacterium) or monomicrobial (Staphylococcus aureus, Klebsiella pneumoniae, Streptococcus species, and in endemic regions Burkholderia pseudomallei/melioidosis or Mycobacterium tuberculosis).</w:t>
      </w:r>
    </w:p>
    <w:p>
      <w:pPr>
        <w:spacing w:before="0" w:after="80"/>
      </w:pPr>
      <w:r>
        <w:rPr>
          <w:rFonts w:ascii="Calibri" w:hAnsi="Calibri"/>
          <w:b w:val="0"/>
          <w:i w:val="0"/>
          <w:color w:val="212121"/>
          <w:sz w:val="21"/>
        </w:rPr>
        <w:t>(3) Empyema thoracis progresses through three American Thoracic Society stages: Stage I exudative (free-flowing thin fluid), Stage II fibrinopurulent (thick pus with loculations and fibrin deposition), and Stage III organizing (a fibrous pleural peel that traps and restricts the lung).</w:t>
      </w:r>
    </w:p>
    <w:p>
      <w:pPr>
        <w:spacing w:before="0" w:after="80"/>
      </w:pPr>
      <w:r>
        <w:rPr>
          <w:rFonts w:ascii="Calibri" w:hAnsi="Calibri"/>
          <w:b w:val="0"/>
          <w:i w:val="0"/>
          <w:color w:val="212121"/>
          <w:sz w:val="21"/>
        </w:rPr>
        <w:t>(4) By origin, empyema is parapneumonic (complicating pneumonia — the commonest mechanism worldwide) or non-parapneumonic, the latter due to tuberculosis, a ruptured lung abscess, post-surgical or post-traumatic contamination, oesophageal perforation, or spread from a subdiaphragmatic infection.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Aspiration of oropharyngeal secretions: The single most important cause of primary lung abscess; anaerobic oral flora seed dependent lung segments, favoured by impaired consciousness, dysphagia, seizures, and alcohol intoxication.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Poor oral/dental hygiene: A high oral anaerobic bacterial load is an independent risk factor — primary abscess is distinctly uncommon in edentulous people without an obstructing tumour.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Pneumonia / parapneumonic infection: Necrotizing pneumonia can cavitate into an abscess, while pleural spread of infection yields parapneumonic effusion and empyema; Staphylococcus aureus and Klebsiella pneumoniae are notable for necrotizing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Tuberculosis: In India, Mycobacterium tuberculosis is a leading cause of empyema thoracis and of cavitary lung disease; TB must be actively excluded in every suppurative pleural collection.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Bronchial obstruction: An endobronchial tumour, aspirated foreign body, or compressing lymph node obstructs drainage and produces a post-obstructive (secondary) abscess.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and comorbidity: Diabetes mellitus, HIV, alcohol-use disorder, malnutrition and corticosteroid/immunosuppressive therapy predispose to necrotizing infection and Gram-negative organisms (Klebsiella, melioidosis).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Chest trauma, surgery, or oesophageal rupture: Direct pleural contamination from penetrating trauma, thoracic surgery, or oesophageal perforation seeds empyema.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(40–60 yr)</w:t>
            </w:r>
          </w:p>
        </w:tc>
        <w:tc>
          <w:tcPr>
            <w:tcW w:type="dxa" w:w="4276"/>
            <w:vAlign w:val="top"/>
          </w:tcPr>
          <w:p>
            <w:pPr>
              <w:spacing w:after="60" w:line="259" w:lineRule="auto"/>
            </w:pPr>
            <w:r>
              <w:rPr>
                <w:rFonts w:ascii="Calibri" w:hAnsi="Calibri"/>
                <w:b w:val="0"/>
                <w:i w:val="0"/>
                <w:color w:val="212121"/>
                <w:sz w:val="19"/>
              </w:rPr>
              <w:t>Risk peaks in middle age from the cumulative burden of aspiration risk, alcohol use, dental disease and comorbidity. Abscesses form where aspirated oral anaerobes lodge in dependent lung segments and necrotize tissue.</w:t>
            </w:r>
          </w:p>
          <w:p>
            <w:pPr>
              <w:spacing w:after="40" w:before="60" w:line="259" w:lineRule="auto"/>
            </w:pPr>
            <w:r>
              <w:rPr>
                <w:rFonts w:ascii="Calibri" w:hAnsi="Calibri"/>
                <w:b w:val="0"/>
                <w:i w:val="0"/>
                <w:color w:val="212121"/>
                <w:sz w:val="19"/>
              </w:rPr>
              <w:t>Primary lung abscess responds to empiric antibiotics in about 90% of cases, but secondary abscess (immunocompromise, bronchial neoplasm) carries mortality up to ~75%.</w:t>
            </w:r>
          </w:p>
          <w:p>
            <w:pPr>
              <w:spacing w:after="40" w:line="252" w:lineRule="auto"/>
            </w:pPr>
            <w:hyperlink r:id="rId9">
              <w:r>
                <w:rPr>
                  <w:rFonts w:ascii="Calibri" w:hAnsi="Calibri" w:cs="Calibri"/>
                  <w:sz w:val="18"/>
                  <w:color w:val="1155CC"/>
                  <w:u w:val="single"/>
                </w:rPr>
                <w:t xml:space="preserve">ncbi.nlm.nih.gov — StatPearls: Lung Abscess</w:t>
              </w:r>
            </w:hyperlink>
          </w:p>
          <w:p>
            <w:pPr>
              <w:spacing w:before="60" w:after="40"/>
            </w:pPr>
            <w:r>
              <w:rPr>
                <w:rFonts w:ascii="Calibri" w:hAnsi="Calibri"/>
                <w:b w:val="0"/>
                <w:i w:val="0"/>
                <w:color w:val="5A5A5A"/>
                <w:sz w:val="18"/>
              </w:rPr>
              <w:t>#lungabscess  #aspiration  #anaerobes  #middleage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Stroke, dementia, Parkinson disease and general frailty impair swallowing and the cough reflex, greatly increasing silent aspiration; institutionalisation and tube feeding add further risk.</w:t>
            </w:r>
          </w:p>
          <w:p>
            <w:pPr>
              <w:spacing w:after="40" w:before="60" w:line="259" w:lineRule="auto"/>
            </w:pPr>
            <w:r>
              <w:rPr>
                <w:rFonts w:ascii="Calibri" w:hAnsi="Calibri"/>
                <w:b w:val="0"/>
                <w:i w:val="0"/>
                <w:color w:val="212121"/>
                <w:sz w:val="19"/>
              </w:rPr>
              <w:t>Among nursing-home residents who develop pneumonia, 18–30% is aspiration-related, and aspiration pneumonia mortality reaches 10–15%, with 76% of deaths in those aged 75+.</w:t>
            </w:r>
          </w:p>
          <w:p>
            <w:pPr>
              <w:spacing w:after="40" w:line="252" w:lineRule="auto"/>
            </w:pPr>
            <w:hyperlink r:id="rId10">
              <w:r>
                <w:rPr>
                  <w:rFonts w:ascii="Calibri" w:hAnsi="Calibri" w:cs="Calibri"/>
                  <w:sz w:val="18"/>
                  <w:color w:val="1155CC"/>
                  <w:u w:val="single"/>
                </w:rPr>
                <w:t xml:space="preserve">ncbi.nlm.nih.gov — StatPearls: Aspiration Pneumonia</w:t>
              </w:r>
            </w:hyperlink>
          </w:p>
          <w:p>
            <w:pPr>
              <w:spacing w:before="60" w:after="40"/>
            </w:pPr>
            <w:r>
              <w:rPr>
                <w:rFonts w:ascii="Calibri" w:hAnsi="Calibri"/>
                <w:b w:val="0"/>
                <w:i w:val="0"/>
                <w:color w:val="5A5A5A"/>
                <w:sz w:val="18"/>
              </w:rPr>
              <w:t>#elderly  #dysphagia  #aspiration  #frailty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(pediatric empyema)</w:t>
            </w:r>
          </w:p>
        </w:tc>
        <w:tc>
          <w:tcPr>
            <w:tcW w:type="dxa" w:w="4276"/>
            <w:vAlign w:val="top"/>
          </w:tcPr>
          <w:p>
            <w:pPr>
              <w:spacing w:after="60" w:line="259" w:lineRule="auto"/>
            </w:pPr>
            <w:r>
              <w:rPr>
                <w:rFonts w:ascii="Calibri" w:hAnsi="Calibri"/>
                <w:b w:val="0"/>
                <w:i w:val="0"/>
                <w:color w:val="212121"/>
                <w:sz w:val="19"/>
              </w:rPr>
              <w:t>In children, empyema almost always complicates bacterial pneumonia, with Staphylococcus aureus and Streptococcus pneumoniae predominating; delayed referral worsens outcomes in Indian series.</w:t>
            </w:r>
          </w:p>
          <w:p>
            <w:pPr>
              <w:spacing w:after="40" w:before="60" w:line="259" w:lineRule="auto"/>
            </w:pPr>
            <w:r>
              <w:rPr>
                <w:rFonts w:ascii="Calibri" w:hAnsi="Calibri"/>
                <w:b w:val="0"/>
                <w:i w:val="0"/>
                <w:color w:val="212121"/>
                <w:sz w:val="19"/>
              </w:rPr>
              <w:t>Indian tertiary-centre studies of pediatric empyema thoracis describe staphylococcal predominance and frequent referral delay as recurring themes.</w:t>
            </w:r>
          </w:p>
          <w:p>
            <w:pPr>
              <w:spacing w:after="40" w:line="252" w:lineRule="auto"/>
            </w:pPr>
            <w:hyperlink r:id="rId11">
              <w:r>
                <w:rPr>
                  <w:rFonts w:ascii="Calibri" w:hAnsi="Calibri" w:cs="Calibri"/>
                  <w:sz w:val="18"/>
                  <w:color w:val="1155CC"/>
                  <w:u w:val="single"/>
                </w:rPr>
                <w:t xml:space="preserve">pubmed.ncbi.nlm.nih.gov/29697077 — pediatric empyema, Lung India</w:t>
              </w:r>
            </w:hyperlink>
          </w:p>
          <w:p>
            <w:pPr>
              <w:spacing w:before="60" w:after="40"/>
            </w:pPr>
            <w:r>
              <w:rPr>
                <w:rFonts w:ascii="Calibri" w:hAnsi="Calibri"/>
                <w:b w:val="0"/>
                <w:i w:val="0"/>
                <w:color w:val="5A5A5A"/>
                <w:sz w:val="18"/>
              </w:rPr>
              <w:t>#pediatric  #empyema  #staphylococcus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 strong male predominance is reported across lung-abscess and empyema series, driven by higher rates of alcohol use, smoking, poor dental hygiene and occupational exposure among men.</w:t>
            </w:r>
          </w:p>
          <w:p>
            <w:pPr>
              <w:spacing w:after="40" w:before="60" w:line="259" w:lineRule="auto"/>
            </w:pPr>
            <w:r>
              <w:rPr>
                <w:rFonts w:ascii="Calibri" w:hAnsi="Calibri"/>
                <w:b w:val="0"/>
                <w:i w:val="0"/>
                <w:color w:val="212121"/>
                <w:sz w:val="19"/>
              </w:rPr>
              <w:t>Men account for the majority of adult empyema and lung-abscess admissions in Indian hospital series.</w:t>
            </w:r>
          </w:p>
          <w:p>
            <w:pPr>
              <w:spacing w:after="40" w:line="252" w:lineRule="auto"/>
            </w:pPr>
            <w:hyperlink r:id="rId12">
              <w:r>
                <w:rPr>
                  <w:rFonts w:ascii="Calibri" w:hAnsi="Calibri" w:cs="Calibri"/>
                  <w:sz w:val="18"/>
                  <w:color w:val="1155CC"/>
                  <w:u w:val="single"/>
                </w:rPr>
                <w:t xml:space="preserve">pubmed.ncbi.nlm.nih.gov/33967415 — empyema thoracis, tertiary care India</w:t>
              </w:r>
            </w:hyperlink>
          </w:p>
          <w:p>
            <w:pPr>
              <w:spacing w:before="60" w:after="40"/>
            </w:pPr>
            <w:r>
              <w:rPr>
                <w:rFonts w:ascii="Calibri" w:hAnsi="Calibri"/>
                <w:b w:val="0"/>
                <w:i w:val="0"/>
                <w:color w:val="5A5A5A"/>
                <w:sz w:val="18"/>
              </w:rPr>
              <w:t>#male  #alcohol  #smoking  #dentaldisease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undernourished</w:t>
            </w:r>
          </w:p>
        </w:tc>
        <w:tc>
          <w:tcPr>
            <w:tcW w:type="dxa" w:w="4276"/>
            <w:vAlign w:val="top"/>
          </w:tcPr>
          <w:p>
            <w:pPr>
              <w:spacing w:after="60" w:line="259" w:lineRule="auto"/>
            </w:pPr>
            <w:r>
              <w:rPr>
                <w:rFonts w:ascii="Calibri" w:hAnsi="Calibri"/>
                <w:b w:val="0"/>
                <w:i w:val="0"/>
                <w:color w:val="212121"/>
                <w:sz w:val="19"/>
              </w:rPr>
              <w:t>Poverty concentrates the drivers of suppurative lung disease — untreated tuberculosis, delayed access to care, malnutrition, and limited dental hygiene — allowing pneumonia and TB to progress to abscess and empyema.</w:t>
            </w:r>
          </w:p>
          <w:p>
            <w:pPr>
              <w:spacing w:after="40" w:before="60" w:line="259" w:lineRule="auto"/>
            </w:pPr>
            <w:r>
              <w:rPr>
                <w:rFonts w:ascii="Calibri" w:hAnsi="Calibri"/>
                <w:b w:val="0"/>
                <w:i w:val="0"/>
                <w:color w:val="212121"/>
                <w:sz w:val="19"/>
              </w:rPr>
              <w:t>India has the world's highest TB burden, with roughly two TB deaths every three minutes, and TB is a leading cause of empyema thoracis in the country.</w:t>
            </w:r>
          </w:p>
          <w:p>
            <w:pPr>
              <w:spacing w:after="40" w:line="252" w:lineRule="auto"/>
            </w:pPr>
            <w:hyperlink r:id="rId13">
              <w:r>
                <w:rPr>
                  <w:rFonts w:ascii="Calibri" w:hAnsi="Calibri" w:cs="Calibri"/>
                  <w:sz w:val="18"/>
                  <w:color w:val="1155CC"/>
                  <w:u w:val="single"/>
                </w:rPr>
                <w:t xml:space="preserve">who.int/india — Tuberculosis</w:t>
              </w:r>
            </w:hyperlink>
          </w:p>
          <w:p>
            <w:pPr>
              <w:spacing w:before="60" w:after="40"/>
            </w:pPr>
            <w:r>
              <w:rPr>
                <w:rFonts w:ascii="Calibri" w:hAnsi="Calibri"/>
                <w:b w:val="0"/>
                <w:i w:val="0"/>
                <w:color w:val="5A5A5A"/>
                <w:sz w:val="18"/>
              </w:rPr>
              <w:t>#poverty  #malnutrition  #tuberculosis  #delayedcare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(high TB-burden setting)</w:t>
            </w:r>
          </w:p>
        </w:tc>
        <w:tc>
          <w:tcPr>
            <w:tcW w:type="dxa" w:w="4276"/>
            <w:vAlign w:val="top"/>
          </w:tcPr>
          <w:p>
            <w:pPr>
              <w:spacing w:after="60" w:line="259" w:lineRule="auto"/>
            </w:pPr>
            <w:r>
              <w:rPr>
                <w:rFonts w:ascii="Calibri" w:hAnsi="Calibri"/>
                <w:b w:val="0"/>
                <w:i w:val="0"/>
                <w:color w:val="212121"/>
                <w:sz w:val="19"/>
              </w:rPr>
              <w:t>Because India carries about a quarter of the world's tuberculosis, tuberculous empyema and TB cavitary disease are far more prominent than in the West, where parapneumonic empyema dominates.</w:t>
            </w:r>
          </w:p>
          <w:p>
            <w:pPr>
              <w:spacing w:after="40" w:before="60" w:line="259" w:lineRule="auto"/>
            </w:pPr>
            <w:r>
              <w:rPr>
                <w:rFonts w:ascii="Calibri" w:hAnsi="Calibri"/>
                <w:b w:val="0"/>
                <w:i w:val="0"/>
                <w:color w:val="212121"/>
                <w:sz w:val="19"/>
              </w:rPr>
              <w:t>India accounts for approximately 25% of new global TB cases — the largest national burden worldwide.</w:t>
            </w:r>
          </w:p>
          <w:p>
            <w:pPr>
              <w:spacing w:after="40" w:line="252" w:lineRule="auto"/>
            </w:pPr>
            <w:hyperlink r:id="rId14">
              <w:r>
                <w:rPr>
                  <w:rFonts w:ascii="Calibri" w:hAnsi="Calibri" w:cs="Calibri"/>
                  <w:sz w:val="18"/>
                  <w:color w:val="1155CC"/>
                  <w:u w:val="single"/>
                </w:rPr>
                <w:t xml:space="preserve">who.int — Tuberculosis fact sheet</w:t>
              </w:r>
            </w:hyperlink>
          </w:p>
          <w:p>
            <w:pPr>
              <w:spacing w:before="60" w:after="40"/>
            </w:pPr>
            <w:r>
              <w:rPr>
                <w:rFonts w:ascii="Calibri" w:hAnsi="Calibri"/>
                <w:b w:val="0"/>
                <w:i w:val="0"/>
                <w:color w:val="5A5A5A"/>
                <w:sz w:val="18"/>
              </w:rPr>
              <w:t>#India  #tuberculosis  #empyema  #TBburden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Tropical &amp; coastal agricultural zones</w:t>
            </w:r>
          </w:p>
        </w:tc>
        <w:tc>
          <w:tcPr>
            <w:tcW w:type="dxa" w:w="4276"/>
            <w:vAlign w:val="top"/>
          </w:tcPr>
          <w:p>
            <w:pPr>
              <w:spacing w:after="60" w:line="259" w:lineRule="auto"/>
            </w:pPr>
            <w:r>
              <w:rPr>
                <w:rFonts w:ascii="Calibri" w:hAnsi="Calibri"/>
                <w:b w:val="0"/>
                <w:i w:val="0"/>
                <w:color w:val="212121"/>
                <w:sz w:val="19"/>
              </w:rPr>
              <w:t>In hot, wet, agricultural regions of South and Southeast Asia, soil- and water-borne Burkholderia pseudomallei (melioidosis) causes necrotizing pneumonia and lung abscess, especially in people with diabetes exposed to wet soil.</w:t>
            </w:r>
          </w:p>
          <w:p>
            <w:pPr>
              <w:spacing w:after="40" w:before="60" w:line="259" w:lineRule="auto"/>
            </w:pPr>
            <w:r>
              <w:rPr>
                <w:rFonts w:ascii="Calibri" w:hAnsi="Calibri"/>
                <w:b w:val="0"/>
                <w:i w:val="0"/>
                <w:color w:val="212121"/>
                <w:sz w:val="19"/>
              </w:rPr>
              <w:t>Melioidosis most often presents as a lung infection and disproportionately affects people with diabetes in tropical climates.</w:t>
            </w:r>
          </w:p>
          <w:p>
            <w:pPr>
              <w:spacing w:after="40" w:line="252" w:lineRule="auto"/>
            </w:pPr>
            <w:hyperlink r:id="rId15">
              <w:r>
                <w:rPr>
                  <w:rFonts w:ascii="Calibri" w:hAnsi="Calibri" w:cs="Calibri"/>
                  <w:sz w:val="18"/>
                  <w:color w:val="1155CC"/>
                  <w:u w:val="single"/>
                </w:rPr>
                <w:t xml:space="preserve">cdc.gov — Melioidosis</w:t>
              </w:r>
            </w:hyperlink>
          </w:p>
          <w:p>
            <w:pPr>
              <w:spacing w:before="60" w:after="40"/>
            </w:pPr>
            <w:r>
              <w:rPr>
                <w:rFonts w:ascii="Calibri" w:hAnsi="Calibri"/>
                <w:b w:val="0"/>
                <w:i w:val="0"/>
                <w:color w:val="5A5A5A"/>
                <w:sz w:val="18"/>
              </w:rPr>
              <w:t>#melioidosis  #Burkholderia  #tropical  #diabetes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Alcohol reduces consciousness and cough, promoting aspiration, and impairs neutrophil function; it is the classic setting for anaerobic and Klebsiella lung abscess.</w:t>
            </w:r>
          </w:p>
          <w:p>
            <w:pPr>
              <w:spacing w:after="40" w:before="60" w:line="259" w:lineRule="auto"/>
            </w:pPr>
            <w:r>
              <w:rPr>
                <w:rFonts w:ascii="Calibri" w:hAnsi="Calibri"/>
                <w:b w:val="0"/>
                <w:i w:val="0"/>
                <w:color w:val="212121"/>
                <w:sz w:val="19"/>
              </w:rPr>
              <w:t>In alcohol-use disorder, monomicrobial abscesses from S. aureus, Klebsiella pneumoniae, S. pyogenes and Actinomyces are characteristically over-represented.</w:t>
            </w:r>
          </w:p>
          <w:p>
            <w:pPr>
              <w:spacing w:after="40" w:line="252" w:lineRule="auto"/>
            </w:pPr>
            <w:hyperlink r:id="rId9">
              <w:r>
                <w:rPr>
                  <w:rFonts w:ascii="Calibri" w:hAnsi="Calibri" w:cs="Calibri"/>
                  <w:sz w:val="18"/>
                  <w:color w:val="1155CC"/>
                  <w:u w:val="single"/>
                </w:rPr>
                <w:t xml:space="preserve">ncbi.nlm.nih.gov — StatPearls: Lung Abscess</w:t>
              </w:r>
            </w:hyperlink>
          </w:p>
          <w:p>
            <w:pPr>
              <w:spacing w:before="60" w:after="40"/>
            </w:pPr>
            <w:r>
              <w:rPr>
                <w:rFonts w:ascii="Calibri" w:hAnsi="Calibri"/>
                <w:b w:val="0"/>
                <w:i w:val="0"/>
                <w:color w:val="5A5A5A"/>
                <w:sz w:val="18"/>
              </w:rPr>
              <w:t>#alcohol  #aspiration  #Klebsiella  #anaerobes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(cigarette / bidi)</w:t>
            </w:r>
          </w:p>
        </w:tc>
        <w:tc>
          <w:tcPr>
            <w:tcW w:type="dxa" w:w="4276"/>
            <w:vAlign w:val="top"/>
          </w:tcPr>
          <w:p>
            <w:pPr>
              <w:spacing w:after="60" w:line="259" w:lineRule="auto"/>
            </w:pPr>
            <w:r>
              <w:rPr>
                <w:rFonts w:ascii="Calibri" w:hAnsi="Calibri"/>
                <w:b w:val="0"/>
                <w:i w:val="0"/>
                <w:color w:val="212121"/>
                <w:sz w:val="19"/>
              </w:rPr>
              <w:t>Tobacco impairs mucociliary clearance and drives COPD, bronchiectasis and lung cancer — the last a cause of post-obstructive (secondary) abscess.</w:t>
            </w:r>
          </w:p>
          <w:p>
            <w:pPr>
              <w:spacing w:after="40" w:before="60" w:line="259" w:lineRule="auto"/>
            </w:pPr>
            <w:r>
              <w:rPr>
                <w:rFonts w:ascii="Calibri" w:hAnsi="Calibri"/>
                <w:b w:val="0"/>
                <w:i w:val="0"/>
                <w:color w:val="212121"/>
                <w:sz w:val="19"/>
              </w:rPr>
              <w:t>About 267 million Indian adults (29%) use tobacco, and tobacco causes roughly 1.35 million deaths a year in India.</w:t>
            </w:r>
          </w:p>
          <w:p>
            <w:pPr>
              <w:spacing w:after="40" w:line="252" w:lineRule="auto"/>
            </w:pPr>
            <w:hyperlink r:id="rId16">
              <w:r>
                <w:rPr>
                  <w:rFonts w:ascii="Calibri" w:hAnsi="Calibri" w:cs="Calibri"/>
                  <w:sz w:val="18"/>
                  <w:color w:val="1155CC"/>
                  <w:u w:val="single"/>
                </w:rPr>
                <w:t xml:space="preserve">who.int/india — Tobacco</w:t>
              </w:r>
            </w:hyperlink>
          </w:p>
          <w:p>
            <w:pPr>
              <w:spacing w:before="60" w:after="40"/>
            </w:pPr>
            <w:r>
              <w:rPr>
                <w:rFonts w:ascii="Calibri" w:hAnsi="Calibri"/>
                <w:b w:val="0"/>
                <w:i w:val="0"/>
                <w:color w:val="5A5A5A"/>
                <w:sz w:val="18"/>
              </w:rPr>
              <w:t>#smoking  #bidi  #COPD  #postobstructive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People with poor dentition / periodontitis</w:t>
            </w:r>
          </w:p>
        </w:tc>
        <w:tc>
          <w:tcPr>
            <w:tcW w:type="dxa" w:w="4276"/>
            <w:vAlign w:val="top"/>
          </w:tcPr>
          <w:p>
            <w:pPr>
              <w:spacing w:after="60" w:line="259" w:lineRule="auto"/>
            </w:pPr>
            <w:r>
              <w:rPr>
                <w:rFonts w:ascii="Calibri" w:hAnsi="Calibri"/>
                <w:b w:val="0"/>
                <w:i w:val="0"/>
                <w:color w:val="212121"/>
                <w:sz w:val="19"/>
              </w:rPr>
              <w:t>Periodontal disease provides the anaerobic bacterial inoculum for aspiration abscess; a high oral bacterial load is an independent, modifiable risk factor.</w:t>
            </w:r>
          </w:p>
          <w:p>
            <w:pPr>
              <w:spacing w:after="40" w:before="60" w:line="259" w:lineRule="auto"/>
            </w:pPr>
            <w:r>
              <w:rPr>
                <w:rFonts w:ascii="Calibri" w:hAnsi="Calibri"/>
                <w:b w:val="0"/>
                <w:i w:val="0"/>
                <w:color w:val="212121"/>
                <w:sz w:val="19"/>
              </w:rPr>
              <w:t>Poor dental hygiene is cited as an independent risk factor for lung abscess; primary abscess is rare in edentulous patients without an obstructing lesion.</w:t>
            </w:r>
          </w:p>
          <w:p>
            <w:pPr>
              <w:spacing w:after="40" w:line="252" w:lineRule="auto"/>
            </w:pPr>
            <w:hyperlink r:id="rId9">
              <w:r>
                <w:rPr>
                  <w:rFonts w:ascii="Calibri" w:hAnsi="Calibri" w:cs="Calibri"/>
                  <w:sz w:val="18"/>
                  <w:color w:val="1155CC"/>
                  <w:u w:val="single"/>
                </w:rPr>
                <w:t xml:space="preserve">ncbi.nlm.nih.gov — StatPearls: Lung Abscess</w:t>
              </w:r>
            </w:hyperlink>
          </w:p>
          <w:p>
            <w:pPr>
              <w:spacing w:before="60" w:after="40"/>
            </w:pPr>
            <w:r>
              <w:rPr>
                <w:rFonts w:ascii="Calibri" w:hAnsi="Calibri"/>
                <w:b w:val="0"/>
                <w:i w:val="0"/>
                <w:color w:val="5A5A5A"/>
                <w:sz w:val="18"/>
              </w:rPr>
              <w:t>#oralhygiene  #periodontitis  #anaerobes  #dentalload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Injection drug use</w:t>
            </w:r>
          </w:p>
        </w:tc>
        <w:tc>
          <w:tcPr>
            <w:tcW w:type="dxa" w:w="2160"/>
            <w:vAlign w:val="top"/>
          </w:tcPr>
          <w:p>
            <w:pPr>
              <w:spacing w:after="40" w:before="0" w:line="259" w:lineRule="auto"/>
            </w:pPr>
            <w:r>
              <w:rPr>
                <w:rFonts w:ascii="Calibri" w:hAnsi="Calibri"/>
                <w:b w:val="0"/>
                <w:i w:val="0"/>
                <w:color w:val="212121"/>
                <w:sz w:val="19"/>
              </w:rPr>
              <w:t>People who inject drugs</w:t>
            </w:r>
          </w:p>
        </w:tc>
        <w:tc>
          <w:tcPr>
            <w:tcW w:type="dxa" w:w="4276"/>
            <w:vAlign w:val="top"/>
          </w:tcPr>
          <w:p>
            <w:pPr>
              <w:spacing w:after="60" w:line="259" w:lineRule="auto"/>
            </w:pPr>
            <w:r>
              <w:rPr>
                <w:rFonts w:ascii="Calibri" w:hAnsi="Calibri"/>
                <w:b w:val="0"/>
                <w:i w:val="0"/>
                <w:color w:val="212121"/>
                <w:sz w:val="19"/>
              </w:rPr>
              <w:t>Injection drug use seeds the lungs with septic emboli (often from right-sided endocarditis) causing multiple abscesses, and is a recognised risk factor for empyema.</w:t>
            </w:r>
          </w:p>
          <w:p>
            <w:pPr>
              <w:spacing w:after="40" w:before="60" w:line="259" w:lineRule="auto"/>
            </w:pPr>
            <w:r>
              <w:rPr>
                <w:rFonts w:ascii="Calibri" w:hAnsi="Calibri"/>
                <w:b w:val="0"/>
                <w:i w:val="0"/>
                <w:color w:val="212121"/>
                <w:sz w:val="19"/>
              </w:rPr>
              <w:t>Intravenous drug abuse, diabetes, immunosuppression, gastric reflux and alcohol are listed risk factors for empyema.</w:t>
            </w:r>
          </w:p>
          <w:p>
            <w:pPr>
              <w:spacing w:after="40" w:line="252" w:lineRule="auto"/>
            </w:pPr>
            <w:hyperlink r:id="rId17">
              <w:r>
                <w:rPr>
                  <w:rFonts w:ascii="Calibri" w:hAnsi="Calibri" w:cs="Calibri"/>
                  <w:sz w:val="18"/>
                  <w:color w:val="1155CC"/>
                  <w:u w:val="single"/>
                </w:rPr>
                <w:t xml:space="preserve">ncbi.nlm.nih.gov — StatPearls: Empyema</w:t>
              </w:r>
            </w:hyperlink>
          </w:p>
          <w:p>
            <w:pPr>
              <w:spacing w:before="60" w:after="40"/>
            </w:pPr>
            <w:r>
              <w:rPr>
                <w:rFonts w:ascii="Calibri" w:hAnsi="Calibri"/>
                <w:b w:val="0"/>
                <w:i w:val="0"/>
                <w:color w:val="5A5A5A"/>
                <w:sz w:val="18"/>
              </w:rPr>
              <w:t>#IVDU  #septicemboli  #endocarditis  #empyema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 status</w:t>
            </w:r>
          </w:p>
        </w:tc>
        <w:tc>
          <w:tcPr>
            <w:tcW w:type="dxa" w:w="2160"/>
            <w:vAlign w:val="top"/>
          </w:tcPr>
          <w:p>
            <w:pPr>
              <w:spacing w:after="40" w:before="0" w:line="259" w:lineRule="auto"/>
            </w:pPr>
            <w:r>
              <w:rPr>
                <w:rFonts w:ascii="Calibri" w:hAnsi="Calibri"/>
                <w:b w:val="0"/>
                <w:i w:val="0"/>
                <w:color w:val="212121"/>
                <w:sz w:val="19"/>
              </w:rPr>
              <w:t>Undernourished / low-protein diet</w:t>
            </w:r>
          </w:p>
        </w:tc>
        <w:tc>
          <w:tcPr>
            <w:tcW w:type="dxa" w:w="4276"/>
            <w:vAlign w:val="top"/>
          </w:tcPr>
          <w:p>
            <w:pPr>
              <w:spacing w:after="60" w:line="259" w:lineRule="auto"/>
            </w:pPr>
            <w:r>
              <w:rPr>
                <w:rFonts w:ascii="Calibri" w:hAnsi="Calibri"/>
                <w:b w:val="0"/>
                <w:i w:val="0"/>
                <w:color w:val="212121"/>
                <w:sz w:val="19"/>
              </w:rPr>
              <w:t>Protein-energy malnutrition and micronutrient deficiency impair cell-mediated immunity and wound healing, favouring both TB reactivation and failure to contain pyogenic lung infection.</w:t>
            </w:r>
          </w:p>
          <w:p>
            <w:pPr>
              <w:spacing w:after="40" w:before="60" w:line="259" w:lineRule="auto"/>
            </w:pPr>
            <w:r>
              <w:rPr>
                <w:rFonts w:ascii="Calibri" w:hAnsi="Calibri"/>
                <w:b w:val="0"/>
                <w:i w:val="0"/>
                <w:color w:val="212121"/>
                <w:sz w:val="19"/>
              </w:rPr>
              <w:t>Undernutrition is a major driver of TB in India, the leading cause of tuberculous empyema; low BMI and hypoalbuminaemia predict poorer suppurative-infection outcomes.</w:t>
            </w:r>
          </w:p>
          <w:p>
            <w:pPr>
              <w:spacing w:after="40" w:line="252" w:lineRule="auto"/>
            </w:pPr>
            <w:hyperlink r:id="rId13">
              <w:r>
                <w:rPr>
                  <w:rFonts w:ascii="Calibri" w:hAnsi="Calibri" w:cs="Calibri"/>
                  <w:sz w:val="18"/>
                  <w:color w:val="1155CC"/>
                  <w:u w:val="single"/>
                </w:rPr>
                <w:t xml:space="preserve">who.int/india — Tuberculosis</w:t>
              </w:r>
            </w:hyperlink>
          </w:p>
          <w:p>
            <w:pPr>
              <w:spacing w:before="60" w:after="40"/>
            </w:pPr>
            <w:r>
              <w:rPr>
                <w:rFonts w:ascii="Calibri" w:hAnsi="Calibri"/>
                <w:b w:val="0"/>
                <w:i w:val="0"/>
                <w:color w:val="5A5A5A"/>
                <w:sz w:val="18"/>
              </w:rPr>
              <w:t>#malnutrition  #lowprotein  #immunity  #TB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Reflux-provoking diet / habits</w:t>
            </w:r>
          </w:p>
        </w:tc>
        <w:tc>
          <w:tcPr>
            <w:tcW w:type="dxa" w:w="2160"/>
            <w:vAlign w:val="top"/>
          </w:tcPr>
          <w:p>
            <w:pPr>
              <w:spacing w:after="40" w:before="0" w:line="259" w:lineRule="auto"/>
            </w:pPr>
            <w:r>
              <w:rPr>
                <w:rFonts w:ascii="Calibri" w:hAnsi="Calibri"/>
                <w:b w:val="0"/>
                <w:i w:val="0"/>
                <w:color w:val="212121"/>
                <w:sz w:val="19"/>
              </w:rPr>
              <w:t>Large late-night meals, reflux-prone eaters</w:t>
            </w:r>
          </w:p>
        </w:tc>
        <w:tc>
          <w:tcPr>
            <w:tcW w:type="dxa" w:w="4276"/>
            <w:vAlign w:val="top"/>
          </w:tcPr>
          <w:p>
            <w:pPr>
              <w:spacing w:after="60" w:line="259" w:lineRule="auto"/>
            </w:pPr>
            <w:r>
              <w:rPr>
                <w:rFonts w:ascii="Calibri" w:hAnsi="Calibri"/>
                <w:b w:val="0"/>
                <w:i w:val="0"/>
                <w:color w:val="212121"/>
                <w:sz w:val="19"/>
              </w:rPr>
              <w:t>Large or late meals, fatty/spicy foods and lying down soon after eating promote gastro-oesophageal reflux and nocturnal aspiration of acidic gastric contents into the lung — a route to aspiration abscess.</w:t>
            </w:r>
          </w:p>
          <w:p>
            <w:pPr>
              <w:spacing w:after="40" w:before="60" w:line="259" w:lineRule="auto"/>
            </w:pPr>
            <w:r>
              <w:rPr>
                <w:rFonts w:ascii="Calibri" w:hAnsi="Calibri"/>
                <w:b w:val="0"/>
                <w:i w:val="0"/>
                <w:color w:val="212121"/>
                <w:sz w:val="19"/>
              </w:rPr>
              <w:t>Gastric reflux is among the listed predisposing conditions for empyema and aspiration lung infection.</w:t>
            </w:r>
          </w:p>
          <w:p>
            <w:pPr>
              <w:spacing w:after="40" w:line="252" w:lineRule="auto"/>
            </w:pPr>
            <w:hyperlink r:id="rId17">
              <w:r>
                <w:rPr>
                  <w:rFonts w:ascii="Calibri" w:hAnsi="Calibri" w:cs="Calibri"/>
                  <w:sz w:val="18"/>
                  <w:color w:val="1155CC"/>
                  <w:u w:val="single"/>
                </w:rPr>
                <w:t xml:space="preserve">ncbi.nlm.nih.gov — StatPearls: Empyema</w:t>
              </w:r>
            </w:hyperlink>
          </w:p>
          <w:p>
            <w:pPr>
              <w:spacing w:before="60" w:after="40"/>
            </w:pPr>
            <w:r>
              <w:rPr>
                <w:rFonts w:ascii="Calibri" w:hAnsi="Calibri"/>
                <w:b w:val="0"/>
                <w:i w:val="0"/>
                <w:color w:val="5A5A5A"/>
                <w:sz w:val="18"/>
              </w:rPr>
              <w:t>#GERD  #reflux  #nocturnalaspiration  #latemeals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suppurative lung disease</w:t>
            </w:r>
          </w:p>
        </w:tc>
        <w:tc>
          <w:tcPr>
            <w:tcW w:type="dxa" w:w="2160"/>
            <w:vAlign w:val="top"/>
          </w:tcPr>
          <w:p>
            <w:pPr>
              <w:spacing w:after="40" w:before="0" w:line="259" w:lineRule="auto"/>
            </w:pPr>
            <w:r>
              <w:rPr>
                <w:rFonts w:ascii="Calibri" w:hAnsi="Calibri"/>
                <w:b w:val="0"/>
                <w:i w:val="0"/>
                <w:color w:val="212121"/>
                <w:sz w:val="19"/>
              </w:rPr>
              <w:t>Cystic fibrosis, primary ciliary dyskinesia</w:t>
            </w:r>
          </w:p>
        </w:tc>
        <w:tc>
          <w:tcPr>
            <w:tcW w:type="dxa" w:w="4276"/>
            <w:vAlign w:val="top"/>
          </w:tcPr>
          <w:p>
            <w:pPr>
              <w:spacing w:after="60" w:line="259" w:lineRule="auto"/>
            </w:pPr>
            <w:r>
              <w:rPr>
                <w:rFonts w:ascii="Calibri" w:hAnsi="Calibri"/>
                <w:b w:val="0"/>
                <w:i w:val="0"/>
                <w:color w:val="212121"/>
                <w:sz w:val="19"/>
              </w:rPr>
              <w:t>Inherited defects of mucociliary clearance (cystic fibrosis, primary ciliary dyskinesia/Kartagener syndrome) cause chronic bronchiectasis and recurrent suppuration that can progress to abscess and empyema.</w:t>
            </w:r>
          </w:p>
          <w:p>
            <w:pPr>
              <w:spacing w:after="40" w:before="60" w:line="259" w:lineRule="auto"/>
            </w:pPr>
            <w:r>
              <w:rPr>
                <w:rFonts w:ascii="Calibri" w:hAnsi="Calibri"/>
                <w:b w:val="0"/>
                <w:i w:val="0"/>
                <w:color w:val="212121"/>
                <w:sz w:val="19"/>
              </w:rPr>
              <w:t>Underlying bronchiectasis is a recognised substrate for secondary lung abscess.</w:t>
            </w:r>
          </w:p>
          <w:p>
            <w:pPr>
              <w:spacing w:after="40" w:line="252" w:lineRule="auto"/>
            </w:pPr>
            <w:hyperlink r:id="rId9">
              <w:r>
                <w:rPr>
                  <w:rFonts w:ascii="Calibri" w:hAnsi="Calibri" w:cs="Calibri"/>
                  <w:sz w:val="18"/>
                  <w:color w:val="1155CC"/>
                  <w:u w:val="single"/>
                </w:rPr>
                <w:t xml:space="preserve">ncbi.nlm.nih.gov — StatPearls: Lung Abscess</w:t>
              </w:r>
            </w:hyperlink>
          </w:p>
          <w:p>
            <w:pPr>
              <w:spacing w:before="60" w:after="40"/>
            </w:pPr>
            <w:r>
              <w:rPr>
                <w:rFonts w:ascii="Calibri" w:hAnsi="Calibri"/>
                <w:b w:val="0"/>
                <w:i w:val="0"/>
                <w:color w:val="5A5A5A"/>
                <w:sz w:val="18"/>
              </w:rPr>
              <w:t>#cysticfibrosis  #PCD  #bronchiectasis  #mucociliary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Primary immunodeficiency</w:t>
            </w:r>
          </w:p>
        </w:tc>
        <w:tc>
          <w:tcPr>
            <w:tcW w:type="dxa" w:w="2160"/>
            <w:vAlign w:val="top"/>
          </w:tcPr>
          <w:p>
            <w:pPr>
              <w:spacing w:after="40" w:before="0" w:line="259" w:lineRule="auto"/>
            </w:pPr>
            <w:r>
              <w:rPr>
                <w:rFonts w:ascii="Calibri" w:hAnsi="Calibri"/>
                <w:b w:val="0"/>
                <w:i w:val="0"/>
                <w:color w:val="212121"/>
                <w:sz w:val="19"/>
              </w:rPr>
              <w:t>Congenital immune-defect patients</w:t>
            </w:r>
          </w:p>
        </w:tc>
        <w:tc>
          <w:tcPr>
            <w:tcW w:type="dxa" w:w="4276"/>
            <w:vAlign w:val="top"/>
          </w:tcPr>
          <w:p>
            <w:pPr>
              <w:spacing w:after="60" w:line="259" w:lineRule="auto"/>
            </w:pPr>
            <w:r>
              <w:rPr>
                <w:rFonts w:ascii="Calibri" w:hAnsi="Calibri"/>
                <w:b w:val="0"/>
                <w:i w:val="0"/>
                <w:color w:val="212121"/>
                <w:sz w:val="19"/>
              </w:rPr>
              <w:t>Inherited defects of neutrophil function or antibody production (e.g., chronic granulomatous disease, hypogammaglobulinaemia) cause recurrent pyogenic pulmonary infection with a high propensity to abscess formation.</w:t>
            </w:r>
          </w:p>
          <w:p>
            <w:pPr>
              <w:spacing w:after="40" w:before="60" w:line="259" w:lineRule="auto"/>
            </w:pPr>
            <w:r>
              <w:rPr>
                <w:rFonts w:ascii="Calibri" w:hAnsi="Calibri"/>
                <w:b w:val="0"/>
                <w:i w:val="0"/>
                <w:color w:val="212121"/>
                <w:sz w:val="19"/>
              </w:rPr>
              <w:t>Immunocompromised hosts are over-represented among secondary lung abscesses, which carry markedly higher mortality.</w:t>
            </w:r>
          </w:p>
          <w:p>
            <w:pPr>
              <w:spacing w:after="40" w:line="252" w:lineRule="auto"/>
            </w:pPr>
            <w:hyperlink r:id="rId9">
              <w:r>
                <w:rPr>
                  <w:rFonts w:ascii="Calibri" w:hAnsi="Calibri" w:cs="Calibri"/>
                  <w:sz w:val="18"/>
                  <w:color w:val="1155CC"/>
                  <w:u w:val="single"/>
                </w:rPr>
                <w:t xml:space="preserve">ncbi.nlm.nih.gov — StatPearls: Lung Abscess</w:t>
              </w:r>
            </w:hyperlink>
          </w:p>
          <w:p>
            <w:pPr>
              <w:spacing w:before="60" w:after="40"/>
            </w:pPr>
            <w:r>
              <w:rPr>
                <w:rFonts w:ascii="Calibri" w:hAnsi="Calibri"/>
                <w:b w:val="0"/>
                <w:i w:val="0"/>
                <w:color w:val="5A5A5A"/>
                <w:sz w:val="18"/>
              </w:rPr>
              <w:t>#immunodeficiency  #neutrophil  #pyogenic  #recurrent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Uncontrolled diabetics</w:t>
            </w:r>
          </w:p>
        </w:tc>
        <w:tc>
          <w:tcPr>
            <w:tcW w:type="dxa" w:w="4276"/>
            <w:vAlign w:val="top"/>
          </w:tcPr>
          <w:p>
            <w:pPr>
              <w:spacing w:after="60" w:line="259" w:lineRule="auto"/>
            </w:pPr>
            <w:r>
              <w:rPr>
                <w:rFonts w:ascii="Calibri" w:hAnsi="Calibri"/>
                <w:b w:val="0"/>
                <w:i w:val="0"/>
                <w:color w:val="212121"/>
                <w:sz w:val="19"/>
              </w:rPr>
              <w:t>Hyperglycaemia impairs neutrophil function and predisposes to Klebsiella and melioidosis abscess; poor glycaemic control worsens necrotizing infection and delays healing.</w:t>
            </w:r>
          </w:p>
          <w:p>
            <w:pPr>
              <w:spacing w:after="40" w:before="60" w:line="259" w:lineRule="auto"/>
            </w:pPr>
            <w:r>
              <w:rPr>
                <w:rFonts w:ascii="Calibri" w:hAnsi="Calibri"/>
                <w:b w:val="0"/>
                <w:i w:val="0"/>
                <w:color w:val="212121"/>
                <w:sz w:val="19"/>
              </w:rPr>
              <w:t>India has an estimated 77 million adults with type 2 diabetes, and diabetes is a listed risk factor for both empyema and melioidosis lung infection.</w:t>
            </w:r>
          </w:p>
          <w:p>
            <w:pPr>
              <w:spacing w:after="40" w:line="252" w:lineRule="auto"/>
            </w:pPr>
            <w:hyperlink r:id="rId18">
              <w:r>
                <w:rPr>
                  <w:rFonts w:ascii="Calibri" w:hAnsi="Calibri" w:cs="Calibri"/>
                  <w:sz w:val="18"/>
                  <w:color w:val="1155CC"/>
                  <w:u w:val="single"/>
                </w:rPr>
                <w:t xml:space="preserve">who.int/india — Diabetes</w:t>
              </w:r>
            </w:hyperlink>
          </w:p>
          <w:p>
            <w:pPr>
              <w:spacing w:before="60" w:after="40"/>
            </w:pPr>
            <w:r>
              <w:rPr>
                <w:rFonts w:ascii="Calibri" w:hAnsi="Calibri"/>
                <w:b w:val="0"/>
                <w:i w:val="0"/>
                <w:color w:val="5A5A5A"/>
                <w:sz w:val="18"/>
              </w:rPr>
              <w:t>#diabetes  #Klebsiella  #melioidosis  #immuneimpairment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Active / prior pulmonary TB</w:t>
            </w:r>
          </w:p>
        </w:tc>
        <w:tc>
          <w:tcPr>
            <w:tcW w:type="dxa" w:w="4276"/>
            <w:vAlign w:val="top"/>
          </w:tcPr>
          <w:p>
            <w:pPr>
              <w:spacing w:after="60" w:line="259" w:lineRule="auto"/>
            </w:pPr>
            <w:r>
              <w:rPr>
                <w:rFonts w:ascii="Calibri" w:hAnsi="Calibri"/>
                <w:b w:val="0"/>
                <w:i w:val="0"/>
                <w:color w:val="212121"/>
                <w:sz w:val="19"/>
              </w:rPr>
              <w:t>TB causes cavitary lung disease and is a leading cause of empyema thoracis in India; a TB empyema may also become secondarily infected with pyogenic organisms.</w:t>
            </w:r>
          </w:p>
          <w:p>
            <w:pPr>
              <w:spacing w:after="40" w:before="60" w:line="259" w:lineRule="auto"/>
            </w:pPr>
            <w:r>
              <w:rPr>
                <w:rFonts w:ascii="Calibri" w:hAnsi="Calibri"/>
                <w:b w:val="0"/>
                <w:i w:val="0"/>
                <w:color w:val="212121"/>
                <w:sz w:val="19"/>
              </w:rPr>
              <w:t>Indian clinico-radiological studies of empyema thoracis specifically examine tuberculous involvement as a major etiological category.</w:t>
            </w:r>
          </w:p>
          <w:p>
            <w:pPr>
              <w:spacing w:after="40" w:line="252" w:lineRule="auto"/>
            </w:pPr>
            <w:hyperlink r:id="rId19">
              <w:r>
                <w:rPr>
                  <w:rFonts w:ascii="Calibri" w:hAnsi="Calibri" w:cs="Calibri"/>
                  <w:sz w:val="18"/>
                  <w:color w:val="1155CC"/>
                  <w:u w:val="single"/>
                </w:rPr>
                <w:t xml:space="preserve">pubmed.ncbi.nlm.nih.gov/34752319 — empyema clinico-radiological profile (Indian J Tuberc)</w:t>
              </w:r>
            </w:hyperlink>
          </w:p>
          <w:p>
            <w:pPr>
              <w:spacing w:before="60" w:after="40"/>
            </w:pPr>
            <w:r>
              <w:rPr>
                <w:rFonts w:ascii="Calibri" w:hAnsi="Calibri"/>
                <w:b w:val="0"/>
                <w:i w:val="0"/>
                <w:color w:val="5A5A5A"/>
                <w:sz w:val="18"/>
              </w:rPr>
              <w:t>#tuberculosis  #cavitary  #empyema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Structural lung disease</w:t>
            </w:r>
          </w:p>
        </w:tc>
        <w:tc>
          <w:tcPr>
            <w:tcW w:type="dxa" w:w="2160"/>
            <w:vAlign w:val="top"/>
          </w:tcPr>
          <w:p>
            <w:pPr>
              <w:spacing w:after="40" w:before="0" w:line="259" w:lineRule="auto"/>
            </w:pPr>
            <w:r>
              <w:rPr>
                <w:rFonts w:ascii="Calibri" w:hAnsi="Calibri"/>
                <w:b w:val="0"/>
                <w:i w:val="0"/>
                <w:color w:val="212121"/>
                <w:sz w:val="19"/>
              </w:rPr>
              <w:t>COPD / bronchiectasis</w:t>
            </w:r>
          </w:p>
        </w:tc>
        <w:tc>
          <w:tcPr>
            <w:tcW w:type="dxa" w:w="4276"/>
            <w:vAlign w:val="top"/>
          </w:tcPr>
          <w:p>
            <w:pPr>
              <w:spacing w:after="60" w:line="259" w:lineRule="auto"/>
            </w:pPr>
            <w:r>
              <w:rPr>
                <w:rFonts w:ascii="Calibri" w:hAnsi="Calibri"/>
                <w:b w:val="0"/>
                <w:i w:val="0"/>
                <w:color w:val="212121"/>
                <w:sz w:val="19"/>
              </w:rPr>
              <w:t>Chronically damaged, poorly-draining airways retain secretions and organisms, predisposing to recurrent pneumonia, abscess and parapneumonic empyema.</w:t>
            </w:r>
          </w:p>
          <w:p>
            <w:pPr>
              <w:spacing w:after="40" w:before="60" w:line="259" w:lineRule="auto"/>
            </w:pPr>
            <w:r>
              <w:rPr>
                <w:rFonts w:ascii="Calibri" w:hAnsi="Calibri"/>
                <w:b w:val="0"/>
                <w:i w:val="0"/>
                <w:color w:val="212121"/>
                <w:sz w:val="19"/>
              </w:rPr>
              <w:t>Bronchiectasis and chronic airway disease are established substrates for secondary lung abscess and complicated pneumonia.</w:t>
            </w:r>
          </w:p>
          <w:p>
            <w:pPr>
              <w:spacing w:after="40" w:line="252" w:lineRule="auto"/>
            </w:pPr>
            <w:hyperlink r:id="rId9">
              <w:r>
                <w:rPr>
                  <w:rFonts w:ascii="Calibri" w:hAnsi="Calibri" w:cs="Calibri"/>
                  <w:sz w:val="18"/>
                  <w:color w:val="1155CC"/>
                  <w:u w:val="single"/>
                </w:rPr>
                <w:t xml:space="preserve">ncbi.nlm.nih.gov — StatPearls: Lung Abscess</w:t>
              </w:r>
            </w:hyperlink>
          </w:p>
          <w:p>
            <w:pPr>
              <w:spacing w:before="60" w:after="40"/>
            </w:pPr>
            <w:r>
              <w:rPr>
                <w:rFonts w:ascii="Calibri" w:hAnsi="Calibri"/>
                <w:b w:val="0"/>
                <w:i w:val="0"/>
                <w:color w:val="5A5A5A"/>
                <w:sz w:val="18"/>
              </w:rPr>
              <w:t>#COPD  #bronchiectasis  #secondaryabscess  #suppuration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HIV-positive, transplant, steroid-treated</w:t>
            </w:r>
          </w:p>
        </w:tc>
        <w:tc>
          <w:tcPr>
            <w:tcW w:type="dxa" w:w="4276"/>
            <w:vAlign w:val="top"/>
          </w:tcPr>
          <w:p>
            <w:pPr>
              <w:spacing w:after="60" w:line="259" w:lineRule="auto"/>
            </w:pPr>
            <w:r>
              <w:rPr>
                <w:rFonts w:ascii="Calibri" w:hAnsi="Calibri"/>
                <w:b w:val="0"/>
                <w:i w:val="0"/>
                <w:color w:val="212121"/>
                <w:sz w:val="19"/>
              </w:rPr>
              <w:t>Impaired cell-mediated immunity permits necrotizing and opportunistic infection, producing secondary abscesses that are harder to treat and more often fatal.</w:t>
            </w:r>
          </w:p>
          <w:p>
            <w:pPr>
              <w:spacing w:after="40" w:before="60" w:line="259" w:lineRule="auto"/>
            </w:pPr>
            <w:r>
              <w:rPr>
                <w:rFonts w:ascii="Calibri" w:hAnsi="Calibri"/>
                <w:b w:val="0"/>
                <w:i w:val="0"/>
                <w:color w:val="212121"/>
                <w:sz w:val="19"/>
              </w:rPr>
              <w:t>Secondary abscesses, common in immunocompromised patients, carry mortality up to ~75%.</w:t>
            </w:r>
          </w:p>
          <w:p>
            <w:pPr>
              <w:spacing w:after="40" w:line="252" w:lineRule="auto"/>
            </w:pPr>
            <w:hyperlink r:id="rId9">
              <w:r>
                <w:rPr>
                  <w:rFonts w:ascii="Calibri" w:hAnsi="Calibri" w:cs="Calibri"/>
                  <w:sz w:val="18"/>
                  <w:color w:val="1155CC"/>
                  <w:u w:val="single"/>
                </w:rPr>
                <w:t xml:space="preserve">ncbi.nlm.nih.gov — StatPearls: Lung Abscess</w:t>
              </w:r>
            </w:hyperlink>
          </w:p>
          <w:p>
            <w:pPr>
              <w:spacing w:before="60" w:after="40"/>
            </w:pPr>
            <w:r>
              <w:rPr>
                <w:rFonts w:ascii="Calibri" w:hAnsi="Calibri"/>
                <w:b w:val="0"/>
                <w:i w:val="0"/>
                <w:color w:val="5A5A5A"/>
                <w:sz w:val="18"/>
              </w:rPr>
              <w:t>#HIV  #immunosuppression  #opportunistic  #highmortality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Neurological dysphagia</w:t>
            </w:r>
          </w:p>
        </w:tc>
        <w:tc>
          <w:tcPr>
            <w:tcW w:type="dxa" w:w="2160"/>
            <w:vAlign w:val="top"/>
          </w:tcPr>
          <w:p>
            <w:pPr>
              <w:spacing w:after="40" w:before="0" w:line="259" w:lineRule="auto"/>
            </w:pPr>
            <w:r>
              <w:rPr>
                <w:rFonts w:ascii="Calibri" w:hAnsi="Calibri"/>
                <w:b w:val="0"/>
                <w:i w:val="0"/>
                <w:color w:val="212121"/>
                <w:sz w:val="19"/>
              </w:rPr>
              <w:t>Post-stroke, bulbar palsy, altered consciousness</w:t>
            </w:r>
          </w:p>
        </w:tc>
        <w:tc>
          <w:tcPr>
            <w:tcW w:type="dxa" w:w="4276"/>
            <w:vAlign w:val="top"/>
          </w:tcPr>
          <w:p>
            <w:pPr>
              <w:spacing w:after="60" w:line="259" w:lineRule="auto"/>
            </w:pPr>
            <w:r>
              <w:rPr>
                <w:rFonts w:ascii="Calibri" w:hAnsi="Calibri"/>
                <w:b w:val="0"/>
                <w:i w:val="0"/>
                <w:color w:val="212121"/>
                <w:sz w:val="19"/>
              </w:rPr>
              <w:t>Impaired swallow and depressed consciousness from stroke, seizures or sedation allow oropharyngeal contents to enter the airway, the dominant mechanism of aspiration abscess.</w:t>
            </w:r>
          </w:p>
          <w:p>
            <w:pPr>
              <w:spacing w:after="40" w:before="60" w:line="259" w:lineRule="auto"/>
            </w:pPr>
            <w:r>
              <w:rPr>
                <w:rFonts w:ascii="Calibri" w:hAnsi="Calibri"/>
                <w:b w:val="0"/>
                <w:i w:val="0"/>
                <w:color w:val="212121"/>
                <w:sz w:val="19"/>
              </w:rPr>
              <w:t>Neurological disorders, dysphagia and altered mental status are core risk factors for aspiration pneumonia, the precursor of many abscesses.</w:t>
            </w:r>
          </w:p>
          <w:p>
            <w:pPr>
              <w:spacing w:after="40" w:line="252" w:lineRule="auto"/>
            </w:pPr>
            <w:hyperlink r:id="rId10">
              <w:r>
                <w:rPr>
                  <w:rFonts w:ascii="Calibri" w:hAnsi="Calibri" w:cs="Calibri"/>
                  <w:sz w:val="18"/>
                  <w:color w:val="1155CC"/>
                  <w:u w:val="single"/>
                </w:rPr>
                <w:t xml:space="preserve">ncbi.nlm.nih.gov — StatPearls: Aspiration Pneumonia</w:t>
              </w:r>
            </w:hyperlink>
          </w:p>
          <w:p>
            <w:pPr>
              <w:spacing w:before="60" w:after="40"/>
            </w:pPr>
            <w:r>
              <w:rPr>
                <w:rFonts w:ascii="Calibri" w:hAnsi="Calibri"/>
                <w:b w:val="0"/>
                <w:i w:val="0"/>
                <w:color w:val="5A5A5A"/>
                <w:sz w:val="18"/>
              </w:rPr>
              <w:t>#stroke  #dysphagia  #aspiration  #alteredsensorium</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primary driver, but immobility, a bedridden state and deconditioning promote pooling of secretions and aspiration, raising the risk of pneumonia progressing to abscess/empyema.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Aspiration of food or gastric contents (dysphagia, reflux) directly seeds abscess, while protein-energy malnutrition impairs immunity and is strongly linked to tuberculosis, a leading cause of empyema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Supine sleep combined with sedatives or alcohol increases nocturnal micro-aspiration of oropharyngeal and gastric contents into dependent lung segments.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impairs mucociliary clearance and causes COPD, bronchiectasis and lung cancer (post-obstructive abscess); India has ~267 million adult tobacco users.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alcohol use is the classic risk factor: it depresses consciousness and cough, promotes aspiration, and impairs neutrophil function, favouring anaerobic and Klebsiella abscess.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substance-use disorders correlate with neglected dental care, aspiration risk and poor adherence to the prolonged antibiotic/anti-TB courses these infections require.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helps mobilise and clear airway secretions, but evidence for a direct effect on abscess/empyema risk is weak and indirect.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association between caffeine intake and suppurative lung disease.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and dental hygiene is a major modifiable determinant: a high periodontal anaerobic load is an independent risk factor for aspiration lung abscess.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aspiration events (vomiting, seizures, intoxication, dental procedures, general anaesthesia), bronchial obstruction, and chest trauma or surgery precipitate abscess and empyema.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Recumbent and dependent positioning determines which lung segments receive aspirate (classically posterior upper and superior lower lobes); prolonged supine posture in bedridden patients promotes aspiration.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Dental / periodontal status</w:t>
            </w:r>
          </w:p>
        </w:tc>
        <w:tc>
          <w:tcPr>
            <w:tcW w:type="dxa" w:w="1655"/>
            <w:vAlign w:val="top"/>
          </w:tcPr>
          <w:p>
            <w:pPr>
              <w:spacing w:after="40" w:before="0" w:line="259" w:lineRule="auto"/>
            </w:pPr>
            <w:r>
              <w:rPr>
                <w:rFonts w:ascii="Calibri" w:hAnsi="Calibri"/>
                <w:b w:val="0"/>
                <w:i w:val="0"/>
                <w:color w:val="212121"/>
                <w:sz w:val="19"/>
              </w:rPr>
              <w:t>Adults, alcohol users, elderly</w:t>
            </w:r>
          </w:p>
        </w:tc>
        <w:tc>
          <w:tcPr>
            <w:tcW w:type="dxa" w:w="1512"/>
            <w:vAlign w:val="top"/>
          </w:tcPr>
          <w:p>
            <w:pPr>
              <w:spacing w:after="40" w:before="0" w:line="259" w:lineRule="auto"/>
            </w:pPr>
            <w:r>
              <w:rPr>
                <w:rFonts w:ascii="Calibri" w:hAnsi="Calibri"/>
                <w:b w:val="0"/>
                <w:i w:val="0"/>
                <w:color w:val="212121"/>
                <w:sz w:val="19"/>
              </w:rPr>
              <w:t>Good dentition, no active periodontal disease</w:t>
            </w:r>
          </w:p>
        </w:tc>
        <w:tc>
          <w:tcPr>
            <w:tcW w:type="dxa" w:w="1512"/>
            <w:vAlign w:val="top"/>
          </w:tcPr>
          <w:p>
            <w:pPr>
              <w:spacing w:after="40" w:before="0" w:line="259" w:lineRule="auto"/>
            </w:pPr>
            <w:r>
              <w:rPr>
                <w:rFonts w:ascii="Calibri" w:hAnsi="Calibri"/>
                <w:b w:val="0"/>
                <w:i w:val="0"/>
                <w:color w:val="212121"/>
                <w:sz w:val="19"/>
              </w:rPr>
              <w:t>Multiple decayed teeth / periodontitis / poor oral care</w:t>
            </w:r>
          </w:p>
        </w:tc>
        <w:tc>
          <w:tcPr>
            <w:tcW w:type="dxa" w:w="1468"/>
            <w:vAlign w:val="top"/>
          </w:tcPr>
          <w:p>
            <w:pPr>
              <w:spacing w:after="60" w:line="259" w:lineRule="auto"/>
            </w:pPr>
            <w:r>
              <w:rPr>
                <w:rFonts w:ascii="Calibri" w:hAnsi="Calibri"/>
                <w:b w:val="0"/>
                <w:i w:val="0"/>
                <w:color w:val="212121"/>
                <w:sz w:val="19"/>
              </w:rPr>
              <w:t>High oral anaerobic load is an independent lung-abscess risk factor</w:t>
            </w:r>
          </w:p>
          <w:p>
            <w:pPr>
              <w:spacing w:after="40" w:line="252" w:lineRule="auto"/>
            </w:pPr>
            <w:hyperlink r:id="rId9">
              <w:r>
                <w:rPr>
                  <w:rFonts w:ascii="Calibri" w:hAnsi="Calibri" w:cs="Calibri"/>
                  <w:sz w:val="18"/>
                  <w:color w:val="1155CC"/>
                  <w:u w:val="single"/>
                </w:rPr>
                <w:t xml:space="preserve">https://www.ncbi.nlm.nih.gov/books/NBK555920/</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 binge episodes)</w:t>
            </w:r>
          </w:p>
        </w:tc>
        <w:tc>
          <w:tcPr>
            <w:tcW w:type="dxa" w:w="1655"/>
            <w:vAlign w:val="top"/>
          </w:tcPr>
          <w:p>
            <w:pPr>
              <w:spacing w:after="40" w:before="0" w:line="259" w:lineRule="auto"/>
            </w:pPr>
            <w:r>
              <w:rPr>
                <w:rFonts w:ascii="Calibri" w:hAnsi="Calibri"/>
                <w:b w:val="0"/>
                <w:i w:val="0"/>
                <w:color w:val="212121"/>
                <w:sz w:val="19"/>
              </w:rPr>
              <w:t>Adult men, heavy drinkers</w:t>
            </w:r>
          </w:p>
        </w:tc>
        <w:tc>
          <w:tcPr>
            <w:tcW w:type="dxa" w:w="1512"/>
            <w:vAlign w:val="top"/>
          </w:tcPr>
          <w:p>
            <w:pPr>
              <w:spacing w:after="40" w:before="0" w:line="259" w:lineRule="auto"/>
            </w:pPr>
            <w:r>
              <w:rPr>
                <w:rFonts w:ascii="Calibri" w:hAnsi="Calibri"/>
                <w:b w:val="0"/>
                <w:i w:val="0"/>
                <w:color w:val="212121"/>
                <w:sz w:val="19"/>
              </w:rPr>
              <w:t>None to low; no binge drinking</w:t>
            </w:r>
          </w:p>
        </w:tc>
        <w:tc>
          <w:tcPr>
            <w:tcW w:type="dxa" w:w="1512"/>
            <w:vAlign w:val="top"/>
          </w:tcPr>
          <w:p>
            <w:pPr>
              <w:spacing w:after="40" w:before="0" w:line="259" w:lineRule="auto"/>
            </w:pPr>
            <w:r>
              <w:rPr>
                <w:rFonts w:ascii="Calibri" w:hAnsi="Calibri"/>
                <w:b w:val="0"/>
                <w:i w:val="0"/>
                <w:color w:val="212121"/>
                <w:sz w:val="19"/>
              </w:rPr>
              <w:t>Heavy or binge drinking with intoxication</w:t>
            </w:r>
          </w:p>
        </w:tc>
        <w:tc>
          <w:tcPr>
            <w:tcW w:type="dxa" w:w="1468"/>
            <w:vAlign w:val="top"/>
          </w:tcPr>
          <w:p>
            <w:pPr>
              <w:spacing w:after="60" w:line="259" w:lineRule="auto"/>
            </w:pPr>
            <w:r>
              <w:rPr>
                <w:rFonts w:ascii="Calibri" w:hAnsi="Calibri"/>
                <w:b w:val="0"/>
                <w:i w:val="0"/>
                <w:color w:val="212121"/>
                <w:sz w:val="19"/>
              </w:rPr>
              <w:t>Intoxication causes aspiration and impairs neutrophil defence</w:t>
            </w:r>
          </w:p>
          <w:p>
            <w:pPr>
              <w:spacing w:after="40" w:line="252" w:lineRule="auto"/>
            </w:pPr>
            <w:hyperlink r:id="rId9">
              <w:r>
                <w:rPr>
                  <w:rFonts w:ascii="Calibri" w:hAnsi="Calibri" w:cs="Calibri"/>
                  <w:sz w:val="18"/>
                  <w:color w:val="1155CC"/>
                  <w:u w:val="single"/>
                </w:rPr>
                <w:t xml:space="preserve">https://www.ncbi.nlm.nih.gov/books/NBK555920/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Teenagers, adults, elderly</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Any daily smoking</w:t>
            </w:r>
          </w:p>
        </w:tc>
        <w:tc>
          <w:tcPr>
            <w:tcW w:type="dxa" w:w="1468"/>
            <w:vAlign w:val="top"/>
          </w:tcPr>
          <w:p>
            <w:pPr>
              <w:spacing w:after="60" w:line="259" w:lineRule="auto"/>
            </w:pPr>
            <w:r>
              <w:rPr>
                <w:rFonts w:ascii="Calibri" w:hAnsi="Calibri"/>
                <w:b w:val="0"/>
                <w:i w:val="0"/>
                <w:color w:val="212121"/>
                <w:sz w:val="19"/>
              </w:rPr>
              <w:t>Impairs mucociliary clearance; drives COPD and post-obstructive abscess</w:t>
            </w:r>
          </w:p>
          <w:p>
            <w:pPr>
              <w:spacing w:after="40" w:line="252" w:lineRule="auto"/>
            </w:pPr>
            <w:hyperlink r:id="rId16">
              <w:r>
                <w:rPr>
                  <w:rFonts w:ascii="Calibri" w:hAnsi="Calibri" w:cs="Calibri"/>
                  <w:sz w:val="18"/>
                  <w:color w:val="1155CC"/>
                  <w:u w:val="single"/>
                </w:rPr>
                <w:t xml:space="preserve">https://www.who.int/india/health-topics/tobacco</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Undernourished, TB-prone adults</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&lt; 18.5 kg/m^2 (underweight)</w:t>
            </w:r>
          </w:p>
        </w:tc>
        <w:tc>
          <w:tcPr>
            <w:tcW w:type="dxa" w:w="1468"/>
            <w:vAlign w:val="top"/>
          </w:tcPr>
          <w:p>
            <w:pPr>
              <w:spacing w:after="60" w:line="259" w:lineRule="auto"/>
            </w:pPr>
            <w:r>
              <w:rPr>
                <w:rFonts w:ascii="Calibri" w:hAnsi="Calibri"/>
                <w:b w:val="0"/>
                <w:i w:val="0"/>
                <w:color w:val="212121"/>
                <w:sz w:val="19"/>
              </w:rPr>
              <w:t>Undernutrition impairs immunity and predicts poorer suppurative-infection outcomes</w:t>
            </w:r>
          </w:p>
          <w:p>
            <w:pPr>
              <w:spacing w:after="40" w:line="252" w:lineRule="auto"/>
            </w:pPr>
            <w:hyperlink r:id="rId13">
              <w:r>
                <w:rPr>
                  <w:rFonts w:ascii="Calibri" w:hAnsi="Calibri" w:cs="Calibri"/>
                  <w:sz w:val="18"/>
                  <w:color w:val="1155CC"/>
                  <w:u w:val="single"/>
                </w:rPr>
                <w:t xml:space="preserve">https://www.who.int/india/health-topics/tuberculosis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Chronically ill, hospitalised</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 (hypoalbuminaemia)</w:t>
            </w:r>
          </w:p>
        </w:tc>
        <w:tc>
          <w:tcPr>
            <w:tcW w:type="dxa" w:w="1468"/>
            <w:vAlign w:val="top"/>
          </w:tcPr>
          <w:p>
            <w:pPr>
              <w:spacing w:after="40" w:before="0" w:line="259" w:lineRule="auto"/>
            </w:pPr>
            <w:r>
              <w:rPr>
                <w:rFonts w:ascii="Calibri" w:hAnsi="Calibri"/>
                <w:b w:val="0"/>
                <w:i w:val="0"/>
                <w:color w:val="212121"/>
                <w:sz w:val="19"/>
              </w:rPr>
              <w:t>Marker of malnutrition and poor healing in chronic suppuration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Aspiration/dysphagia risk (swallow assessment, GCS)</w:t>
            </w:r>
          </w:p>
        </w:tc>
        <w:tc>
          <w:tcPr>
            <w:tcW w:type="dxa" w:w="1655"/>
            <w:vAlign w:val="top"/>
          </w:tcPr>
          <w:p>
            <w:pPr>
              <w:spacing w:after="40" w:before="0" w:line="259" w:lineRule="auto"/>
            </w:pPr>
            <w:r>
              <w:rPr>
                <w:rFonts w:ascii="Calibri" w:hAnsi="Calibri"/>
                <w:b w:val="0"/>
                <w:i w:val="0"/>
                <w:color w:val="212121"/>
                <w:sz w:val="19"/>
              </w:rPr>
              <w:t>Stroke, seizure, sedated, elderly</w:t>
            </w:r>
          </w:p>
        </w:tc>
        <w:tc>
          <w:tcPr>
            <w:tcW w:type="dxa" w:w="1512"/>
            <w:vAlign w:val="top"/>
          </w:tcPr>
          <w:p>
            <w:pPr>
              <w:spacing w:after="40" w:before="0" w:line="259" w:lineRule="auto"/>
            </w:pPr>
            <w:r>
              <w:rPr>
                <w:rFonts w:ascii="Calibri" w:hAnsi="Calibri"/>
                <w:b w:val="0"/>
                <w:i w:val="0"/>
                <w:color w:val="212121"/>
                <w:sz w:val="19"/>
              </w:rPr>
              <w:t>Safe swallow, alert (GCS 15)</w:t>
            </w:r>
          </w:p>
        </w:tc>
        <w:tc>
          <w:tcPr>
            <w:tcW w:type="dxa" w:w="1512"/>
            <w:vAlign w:val="top"/>
          </w:tcPr>
          <w:p>
            <w:pPr>
              <w:spacing w:after="40" w:before="0" w:line="259" w:lineRule="auto"/>
            </w:pPr>
            <w:r>
              <w:rPr>
                <w:rFonts w:ascii="Calibri" w:hAnsi="Calibri"/>
                <w:b w:val="0"/>
                <w:i w:val="0"/>
                <w:color w:val="212121"/>
                <w:sz w:val="19"/>
              </w:rPr>
              <w:t>Dysphagia or reduced consciousness (low GCS)</w:t>
            </w:r>
          </w:p>
        </w:tc>
        <w:tc>
          <w:tcPr>
            <w:tcW w:type="dxa" w:w="1468"/>
            <w:vAlign w:val="top"/>
          </w:tcPr>
          <w:p>
            <w:pPr>
              <w:spacing w:after="60" w:line="259" w:lineRule="auto"/>
            </w:pPr>
            <w:r>
              <w:rPr>
                <w:rFonts w:ascii="Calibri" w:hAnsi="Calibri"/>
                <w:b w:val="0"/>
                <w:i w:val="0"/>
                <w:color w:val="212121"/>
                <w:sz w:val="19"/>
              </w:rPr>
              <w:t>Impaired swallow/cough is the dominant route to aspiration abscess</w:t>
            </w:r>
          </w:p>
          <w:p>
            <w:pPr>
              <w:spacing w:after="40" w:line="252" w:lineRule="auto"/>
            </w:pPr>
            <w:hyperlink r:id="rId10">
              <w:r>
                <w:rPr>
                  <w:rFonts w:ascii="Calibri" w:hAnsi="Calibri" w:cs="Calibri"/>
                  <w:sz w:val="18"/>
                  <w:color w:val="1155CC"/>
                  <w:u w:val="single"/>
                </w:rPr>
                <w:t xml:space="preserve">https://www.ncbi.nlm.nih.gov/books/NBK470459/</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 %)</w:t>
            </w:r>
          </w:p>
        </w:tc>
        <w:tc>
          <w:tcPr>
            <w:tcW w:type="dxa" w:w="1655"/>
            <w:vAlign w:val="top"/>
          </w:tcPr>
          <w:p>
            <w:pPr>
              <w:spacing w:after="40" w:before="0" w:line="259" w:lineRule="auto"/>
            </w:pPr>
            <w:r>
              <w:rPr>
                <w:rFonts w:ascii="Calibri" w:hAnsi="Calibri"/>
                <w:b w:val="0"/>
                <w:i w:val="0"/>
                <w:color w:val="212121"/>
                <w:sz w:val="19"/>
              </w:rPr>
              <w:t>Diabetics</w:t>
            </w:r>
          </w:p>
        </w:tc>
        <w:tc>
          <w:tcPr>
            <w:tcW w:type="dxa" w:w="1512"/>
            <w:vAlign w:val="top"/>
          </w:tcPr>
          <w:p>
            <w:pPr>
              <w:spacing w:after="40" w:before="0" w:line="259" w:lineRule="auto"/>
            </w:pPr>
            <w:r>
              <w:rPr>
                <w:rFonts w:ascii="Calibri" w:hAnsi="Calibri"/>
                <w:b w:val="0"/>
                <w:i w:val="0"/>
                <w:color w:val="212121"/>
                <w:sz w:val="19"/>
              </w:rPr>
              <w:t>&lt; 7%</w:t>
            </w:r>
          </w:p>
        </w:tc>
        <w:tc>
          <w:tcPr>
            <w:tcW w:type="dxa" w:w="1512"/>
            <w:vAlign w:val="top"/>
          </w:tcPr>
          <w:p>
            <w:pPr>
              <w:spacing w:after="40" w:before="0" w:line="259" w:lineRule="auto"/>
            </w:pPr>
            <w:r>
              <w:rPr>
                <w:rFonts w:ascii="Calibri" w:hAnsi="Calibri"/>
                <w:b w:val="0"/>
                <w:i w:val="0"/>
                <w:color w:val="212121"/>
                <w:sz w:val="19"/>
              </w:rPr>
              <w:t>≥ 8% (poor control)</w:t>
            </w:r>
          </w:p>
        </w:tc>
        <w:tc>
          <w:tcPr>
            <w:tcW w:type="dxa" w:w="1468"/>
            <w:vAlign w:val="top"/>
          </w:tcPr>
          <w:p>
            <w:pPr>
              <w:spacing w:after="60" w:line="259" w:lineRule="auto"/>
            </w:pPr>
            <w:r>
              <w:rPr>
                <w:rFonts w:ascii="Calibri" w:hAnsi="Calibri"/>
                <w:b w:val="0"/>
                <w:i w:val="0"/>
                <w:color w:val="212121"/>
                <w:sz w:val="19"/>
              </w:rPr>
              <w:t>Hyperglycaemia predisposes to Klebsiella and melioidosis abscess</w:t>
            </w:r>
          </w:p>
          <w:p>
            <w:pPr>
              <w:spacing w:after="40" w:line="252" w:lineRule="auto"/>
            </w:pPr>
            <w:hyperlink r:id="rId18">
              <w:r>
                <w:rPr>
                  <w:rFonts w:ascii="Calibri" w:hAnsi="Calibri" w:cs="Calibri"/>
                  <w:sz w:val="18"/>
                  <w:color w:val="1155CC"/>
                  <w:u w:val="single"/>
                </w:rPr>
                <w:t xml:space="preserve">https://www.who.int/india/health-topics/diabetes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Pleural-fluid pH (for parapneumonic effusion)</w:t>
            </w:r>
          </w:p>
        </w:tc>
        <w:tc>
          <w:tcPr>
            <w:tcW w:type="dxa" w:w="1655"/>
            <w:vAlign w:val="top"/>
          </w:tcPr>
          <w:p>
            <w:pPr>
              <w:spacing w:after="40" w:before="0" w:line="259" w:lineRule="auto"/>
            </w:pPr>
            <w:r>
              <w:rPr>
                <w:rFonts w:ascii="Calibri" w:hAnsi="Calibri"/>
                <w:b w:val="0"/>
                <w:i w:val="0"/>
                <w:color w:val="212121"/>
                <w:sz w:val="19"/>
              </w:rPr>
              <w:t>Pneumonia with effusion</w:t>
            </w:r>
          </w:p>
        </w:tc>
        <w:tc>
          <w:tcPr>
            <w:tcW w:type="dxa" w:w="1512"/>
            <w:vAlign w:val="top"/>
          </w:tcPr>
          <w:p>
            <w:pPr>
              <w:spacing w:after="40" w:before="0" w:line="259" w:lineRule="auto"/>
            </w:pPr>
            <w:r>
              <w:rPr>
                <w:rFonts w:ascii="Calibri" w:hAnsi="Calibri"/>
                <w:b w:val="0"/>
                <w:i w:val="0"/>
                <w:color w:val="212121"/>
                <w:sz w:val="19"/>
              </w:rPr>
              <w:t>&gt; 7.20 (uncomplicated)</w:t>
            </w:r>
          </w:p>
        </w:tc>
        <w:tc>
          <w:tcPr>
            <w:tcW w:type="dxa" w:w="1512"/>
            <w:vAlign w:val="top"/>
          </w:tcPr>
          <w:p>
            <w:pPr>
              <w:spacing w:after="40" w:before="0" w:line="259" w:lineRule="auto"/>
            </w:pPr>
            <w:r>
              <w:rPr>
                <w:rFonts w:ascii="Calibri" w:hAnsi="Calibri"/>
                <w:b w:val="0"/>
                <w:i w:val="0"/>
                <w:color w:val="212121"/>
                <w:sz w:val="19"/>
              </w:rPr>
              <w:t>&lt; 7.20 (complicated → drain)</w:t>
            </w:r>
          </w:p>
        </w:tc>
        <w:tc>
          <w:tcPr>
            <w:tcW w:type="dxa" w:w="1468"/>
            <w:vAlign w:val="top"/>
          </w:tcPr>
          <w:p>
            <w:pPr>
              <w:spacing w:after="60" w:line="259" w:lineRule="auto"/>
            </w:pPr>
            <w:r>
              <w:rPr>
                <w:rFonts w:ascii="Calibri" w:hAnsi="Calibri"/>
                <w:b w:val="0"/>
                <w:i w:val="0"/>
                <w:color w:val="212121"/>
                <w:sz w:val="19"/>
              </w:rPr>
              <w:t>pH &lt; 7.20 with low glucose indicates empyema needing tube drainage</w:t>
            </w:r>
          </w:p>
          <w:p>
            <w:pPr>
              <w:spacing w:after="40" w:line="252" w:lineRule="auto"/>
            </w:pPr>
            <w:hyperlink r:id="rId17">
              <w:r>
                <w:rPr>
                  <w:rFonts w:ascii="Calibri" w:hAnsi="Calibri" w:cs="Calibri"/>
                  <w:sz w:val="18"/>
                  <w:color w:val="1155CC"/>
                  <w:u w:val="single"/>
                </w:rPr>
                <w:t xml:space="preserve">https://www.ncbi.nlm.nih.gov/books/NBK459237/</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Mobility / bedridden status</w:t>
            </w:r>
          </w:p>
        </w:tc>
        <w:tc>
          <w:tcPr>
            <w:tcW w:type="dxa" w:w="1655"/>
            <w:vAlign w:val="top"/>
          </w:tcPr>
          <w:p>
            <w:pPr>
              <w:spacing w:after="40" w:before="0" w:line="259" w:lineRule="auto"/>
            </w:pPr>
            <w:r>
              <w:rPr>
                <w:rFonts w:ascii="Calibri" w:hAnsi="Calibri"/>
                <w:b w:val="0"/>
                <w:i w:val="0"/>
                <w:color w:val="212121"/>
                <w:sz w:val="19"/>
              </w:rPr>
              <w:t>Post-operative, elderly, neuro-disabled</w:t>
            </w:r>
          </w:p>
        </w:tc>
        <w:tc>
          <w:tcPr>
            <w:tcW w:type="dxa" w:w="1512"/>
            <w:vAlign w:val="top"/>
          </w:tcPr>
          <w:p>
            <w:pPr>
              <w:spacing w:after="40" w:before="0" w:line="259" w:lineRule="auto"/>
            </w:pPr>
            <w:r>
              <w:rPr>
                <w:rFonts w:ascii="Calibri" w:hAnsi="Calibri"/>
                <w:b w:val="0"/>
                <w:i w:val="0"/>
                <w:color w:val="212121"/>
                <w:sz w:val="19"/>
              </w:rPr>
              <w:t>Ambulant, early mobilisation</w:t>
            </w:r>
          </w:p>
        </w:tc>
        <w:tc>
          <w:tcPr>
            <w:tcW w:type="dxa" w:w="1512"/>
            <w:vAlign w:val="top"/>
          </w:tcPr>
          <w:p>
            <w:pPr>
              <w:spacing w:after="40" w:before="0" w:line="259" w:lineRule="auto"/>
            </w:pPr>
            <w:r>
              <w:rPr>
                <w:rFonts w:ascii="Calibri" w:hAnsi="Calibri"/>
                <w:b w:val="0"/>
                <w:i w:val="0"/>
                <w:color w:val="212121"/>
                <w:sz w:val="19"/>
              </w:rPr>
              <w:t>Prolonged immobility / bedridden</w:t>
            </w:r>
          </w:p>
        </w:tc>
        <w:tc>
          <w:tcPr>
            <w:tcW w:type="dxa" w:w="1468"/>
            <w:vAlign w:val="top"/>
          </w:tcPr>
          <w:p>
            <w:pPr>
              <w:spacing w:after="40" w:before="0" w:line="259" w:lineRule="auto"/>
            </w:pPr>
            <w:r>
              <w:rPr>
                <w:rFonts w:ascii="Calibri" w:hAnsi="Calibri"/>
                <w:b w:val="0"/>
                <w:i w:val="0"/>
                <w:color w:val="212121"/>
                <w:sz w:val="19"/>
              </w:rPr>
              <w:t>Immobility promotes secretion pooling and aspiration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Immune status (HIV / CD4, immunosuppression)</w:t>
            </w:r>
          </w:p>
        </w:tc>
        <w:tc>
          <w:tcPr>
            <w:tcW w:type="dxa" w:w="1655"/>
            <w:vAlign w:val="top"/>
          </w:tcPr>
          <w:p>
            <w:pPr>
              <w:spacing w:after="40" w:before="0" w:line="259" w:lineRule="auto"/>
            </w:pPr>
            <w:r>
              <w:rPr>
                <w:rFonts w:ascii="Calibri" w:hAnsi="Calibri"/>
                <w:b w:val="0"/>
                <w:i w:val="0"/>
                <w:color w:val="212121"/>
                <w:sz w:val="19"/>
              </w:rPr>
              <w:t>HIV, transplant, steroid-treated</w:t>
            </w:r>
          </w:p>
        </w:tc>
        <w:tc>
          <w:tcPr>
            <w:tcW w:type="dxa" w:w="1512"/>
            <w:vAlign w:val="top"/>
          </w:tcPr>
          <w:p>
            <w:pPr>
              <w:spacing w:after="40" w:before="0" w:line="259" w:lineRule="auto"/>
            </w:pPr>
            <w:r>
              <w:rPr>
                <w:rFonts w:ascii="Calibri" w:hAnsi="Calibri"/>
                <w:b w:val="0"/>
                <w:i w:val="0"/>
                <w:color w:val="212121"/>
                <w:sz w:val="19"/>
              </w:rPr>
              <w:t>Intact immunity / suppressed HIV</w:t>
            </w:r>
          </w:p>
        </w:tc>
        <w:tc>
          <w:tcPr>
            <w:tcW w:type="dxa" w:w="1512"/>
            <w:vAlign w:val="top"/>
          </w:tcPr>
          <w:p>
            <w:pPr>
              <w:spacing w:after="40" w:before="0" w:line="259" w:lineRule="auto"/>
            </w:pPr>
            <w:r>
              <w:rPr>
                <w:rFonts w:ascii="Calibri" w:hAnsi="Calibri"/>
                <w:b w:val="0"/>
                <w:i w:val="0"/>
                <w:color w:val="212121"/>
                <w:sz w:val="19"/>
              </w:rPr>
              <w:t>Immunocompromise (low CD4, steroids)</w:t>
            </w:r>
          </w:p>
        </w:tc>
        <w:tc>
          <w:tcPr>
            <w:tcW w:type="dxa" w:w="1468"/>
            <w:vAlign w:val="top"/>
          </w:tcPr>
          <w:p>
            <w:pPr>
              <w:spacing w:after="60" w:line="259" w:lineRule="auto"/>
            </w:pPr>
            <w:r>
              <w:rPr>
                <w:rFonts w:ascii="Calibri" w:hAnsi="Calibri"/>
                <w:b w:val="0"/>
                <w:i w:val="0"/>
                <w:color w:val="212121"/>
                <w:sz w:val="19"/>
              </w:rPr>
              <w:t>Predicts secondary abscess and higher mortality</w:t>
            </w:r>
          </w:p>
          <w:p>
            <w:pPr>
              <w:spacing w:after="40" w:line="252" w:lineRule="auto"/>
            </w:pPr>
            <w:hyperlink r:id="rId9">
              <w:r>
                <w:rPr>
                  <w:rFonts w:ascii="Calibri" w:hAnsi="Calibri" w:cs="Calibri"/>
                  <w:sz w:val="18"/>
                  <w:color w:val="1155CC"/>
                  <w:u w:val="single"/>
                </w:rPr>
                <w:t xml:space="preserve">https://www.ncbi.nlm.nih.gov/books/NBK555920/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leukocyte &amp; neutrophil count</w:t>
            </w:r>
          </w:p>
        </w:tc>
        <w:tc>
          <w:tcPr>
            <w:tcW w:type="dxa" w:w="892"/>
            <w:vAlign w:val="top"/>
          </w:tcPr>
          <w:p>
            <w:pPr>
              <w:spacing w:after="40" w:before="0" w:line="259" w:lineRule="auto"/>
            </w:pPr>
            <w:r>
              <w:rPr>
                <w:rFonts w:ascii="Calibri" w:hAnsi="Calibri"/>
                <w:b w:val="0"/>
                <w:i w:val="0"/>
                <w:color w:val="212121"/>
                <w:sz w:val="16"/>
              </w:rPr>
              <w:t>Complete blood count (CBC)</w:t>
            </w:r>
          </w:p>
        </w:tc>
        <w:tc>
          <w:tcPr>
            <w:tcW w:type="dxa" w:w="950"/>
            <w:vAlign w:val="top"/>
          </w:tcPr>
          <w:p>
            <w:pPr>
              <w:spacing w:after="40" w:before="0" w:line="259" w:lineRule="auto"/>
            </w:pPr>
            <w:r>
              <w:rPr>
                <w:rFonts w:ascii="Calibri" w:hAnsi="Calibri"/>
                <w:b w:val="0"/>
                <w:i w:val="0"/>
                <w:color w:val="212121"/>
                <w:sz w:val="16"/>
              </w:rPr>
              <w:t>4,000–11,000 /mm^3</w:t>
            </w:r>
          </w:p>
        </w:tc>
        <w:tc>
          <w:tcPr>
            <w:tcW w:type="dxa" w:w="950"/>
            <w:vAlign w:val="top"/>
          </w:tcPr>
          <w:p>
            <w:pPr>
              <w:spacing w:after="40" w:before="0" w:line="259" w:lineRule="auto"/>
            </w:pPr>
            <w:r>
              <w:rPr>
                <w:rFonts w:ascii="Calibri" w:hAnsi="Calibri"/>
                <w:b w:val="0"/>
                <w:i w:val="0"/>
                <w:color w:val="212121"/>
                <w:sz w:val="16"/>
              </w:rPr>
              <w:t>&gt; 11,000 /mm^3 with neutrophilia</w:t>
            </w:r>
          </w:p>
        </w:tc>
        <w:tc>
          <w:tcPr>
            <w:tcW w:type="dxa" w:w="1036"/>
            <w:vAlign w:val="top"/>
          </w:tcPr>
          <w:p>
            <w:pPr>
              <w:spacing w:after="40" w:before="0" w:line="259" w:lineRule="auto"/>
            </w:pPr>
            <w:r>
              <w:rPr>
                <w:rFonts w:ascii="Calibri" w:hAnsi="Calibri"/>
                <w:b w:val="0"/>
                <w:i w:val="0"/>
                <w:color w:val="212121"/>
                <w:sz w:val="16"/>
              </w:rPr>
              <w:t>Neutrophilic leukocytosis indicates active pyogenic suppuration</w:t>
            </w:r>
          </w:p>
        </w:tc>
        <w:tc>
          <w:tcPr>
            <w:tcW w:type="dxa" w:w="1036"/>
            <w:vAlign w:val="top"/>
          </w:tcPr>
          <w:p>
            <w:pPr>
              <w:spacing w:after="40" w:before="0" w:line="259" w:lineRule="auto"/>
            </w:pPr>
            <w:r>
              <w:rPr>
                <w:rFonts w:ascii="Calibri" w:hAnsi="Calibri"/>
                <w:b w:val="0"/>
                <w:i w:val="0"/>
                <w:color w:val="212121"/>
                <w:sz w:val="16"/>
              </w:rPr>
              <w:t>Febrile patients with cough/chest pain, suspected abscess/empyema</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blunted in the elderly or immunocompromised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 ESR</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10 mg/L; ESR &lt; 20 mm/hr</w:t>
            </w:r>
          </w:p>
        </w:tc>
        <w:tc>
          <w:tcPr>
            <w:tcW w:type="dxa" w:w="950"/>
            <w:vAlign w:val="top"/>
          </w:tcPr>
          <w:p>
            <w:pPr>
              <w:spacing w:after="40" w:before="0" w:line="259" w:lineRule="auto"/>
            </w:pPr>
            <w:r>
              <w:rPr>
                <w:rFonts w:ascii="Calibri" w:hAnsi="Calibri"/>
                <w:b w:val="0"/>
                <w:i w:val="0"/>
                <w:color w:val="212121"/>
                <w:sz w:val="16"/>
              </w:rPr>
              <w:t>Markedly elevated</w:t>
            </w:r>
          </w:p>
        </w:tc>
        <w:tc>
          <w:tcPr>
            <w:tcW w:type="dxa" w:w="1036"/>
            <w:vAlign w:val="top"/>
          </w:tcPr>
          <w:p>
            <w:pPr>
              <w:spacing w:after="40" w:before="0" w:line="259" w:lineRule="auto"/>
            </w:pPr>
            <w:r>
              <w:rPr>
                <w:rFonts w:ascii="Calibri" w:hAnsi="Calibri"/>
                <w:b w:val="0"/>
                <w:i w:val="0"/>
                <w:color w:val="212121"/>
                <w:sz w:val="16"/>
              </w:rPr>
              <w:t>Support active infection and track response to drainage/antibiotics</w:t>
            </w:r>
          </w:p>
        </w:tc>
        <w:tc>
          <w:tcPr>
            <w:tcW w:type="dxa" w:w="1036"/>
            <w:vAlign w:val="top"/>
          </w:tcPr>
          <w:p>
            <w:pPr>
              <w:spacing w:after="40" w:before="0" w:line="259" w:lineRule="auto"/>
            </w:pPr>
            <w:r>
              <w:rPr>
                <w:rFonts w:ascii="Calibri" w:hAnsi="Calibri"/>
                <w:b w:val="0"/>
                <w:i w:val="0"/>
                <w:color w:val="212121"/>
                <w:sz w:val="16"/>
              </w:rPr>
              <w:t>All suppurative lung infections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Non-specific; trend more useful than single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Gram stain &amp; aerobic/anaerobic culture</w:t>
            </w:r>
          </w:p>
        </w:tc>
        <w:tc>
          <w:tcPr>
            <w:tcW w:type="dxa" w:w="892"/>
            <w:vAlign w:val="top"/>
          </w:tcPr>
          <w:p>
            <w:pPr>
              <w:spacing w:after="40" w:before="0" w:line="259" w:lineRule="auto"/>
            </w:pPr>
            <w:r>
              <w:rPr>
                <w:rFonts w:ascii="Calibri" w:hAnsi="Calibri"/>
                <w:b w:val="0"/>
                <w:i w:val="0"/>
                <w:color w:val="212121"/>
                <w:sz w:val="16"/>
              </w:rPr>
              <w:t>Respiratory culture</w:t>
            </w:r>
          </w:p>
        </w:tc>
        <w:tc>
          <w:tcPr>
            <w:tcW w:type="dxa" w:w="950"/>
            <w:vAlign w:val="top"/>
          </w:tcPr>
          <w:p>
            <w:pPr>
              <w:spacing w:after="40" w:before="0" w:line="259" w:lineRule="auto"/>
            </w:pPr>
            <w:r>
              <w:rPr>
                <w:rFonts w:ascii="Calibri" w:hAnsi="Calibri"/>
                <w:b w:val="0"/>
                <w:i w:val="0"/>
                <w:color w:val="212121"/>
                <w:sz w:val="16"/>
              </w:rPr>
              <w:t>Commensal flora only</w:t>
            </w:r>
          </w:p>
        </w:tc>
        <w:tc>
          <w:tcPr>
            <w:tcW w:type="dxa" w:w="950"/>
            <w:vAlign w:val="top"/>
          </w:tcPr>
          <w:p>
            <w:pPr>
              <w:spacing w:after="40" w:before="0" w:line="259" w:lineRule="auto"/>
            </w:pPr>
            <w:r>
              <w:rPr>
                <w:rFonts w:ascii="Calibri" w:hAnsi="Calibri"/>
                <w:b w:val="0"/>
                <w:i w:val="0"/>
                <w:color w:val="212121"/>
                <w:sz w:val="16"/>
              </w:rPr>
              <w:t>Pathogen isolated (e.g., S. aureus, Klebsiella, anaerobes)</w:t>
            </w:r>
          </w:p>
        </w:tc>
        <w:tc>
          <w:tcPr>
            <w:tcW w:type="dxa" w:w="1036"/>
            <w:vAlign w:val="top"/>
          </w:tcPr>
          <w:p>
            <w:pPr>
              <w:spacing w:after="40" w:before="0" w:line="259" w:lineRule="auto"/>
            </w:pPr>
            <w:r>
              <w:rPr>
                <w:rFonts w:ascii="Calibri" w:hAnsi="Calibri"/>
                <w:b w:val="0"/>
                <w:i w:val="0"/>
                <w:color w:val="212121"/>
                <w:sz w:val="16"/>
              </w:rPr>
              <w:t>Identifies causative organism and guides targeted antibiotics</w:t>
            </w:r>
          </w:p>
        </w:tc>
        <w:tc>
          <w:tcPr>
            <w:tcW w:type="dxa" w:w="1036"/>
            <w:vAlign w:val="top"/>
          </w:tcPr>
          <w:p>
            <w:pPr>
              <w:spacing w:after="40" w:before="0" w:line="259" w:lineRule="auto"/>
            </w:pPr>
            <w:r>
              <w:rPr>
                <w:rFonts w:ascii="Calibri" w:hAnsi="Calibri"/>
                <w:b w:val="0"/>
                <w:i w:val="0"/>
                <w:color w:val="212121"/>
                <w:sz w:val="16"/>
              </w:rPr>
              <w:t>Productive cough, foul sputum, abscess</w:t>
            </w:r>
          </w:p>
        </w:tc>
        <w:tc>
          <w:tcPr>
            <w:tcW w:type="dxa" w:w="720"/>
            <w:vAlign w:val="top"/>
          </w:tcPr>
          <w:p>
            <w:pPr>
              <w:spacing w:after="40" w:before="0" w:line="259" w:lineRule="auto"/>
            </w:pPr>
            <w:r>
              <w:rPr>
                <w:rFonts w:ascii="Calibri" w:hAnsi="Calibri"/>
                <w:b w:val="0"/>
                <w:i w:val="0"/>
                <w:color w:val="212121"/>
                <w:sz w:val="16"/>
              </w:rPr>
              <w:t>Alcohol;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Expectorated samples are often contaminated by oral flora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AFB smear, GeneXpert MTB/RIF, TB culture</w:t>
            </w:r>
          </w:p>
        </w:tc>
        <w:tc>
          <w:tcPr>
            <w:tcW w:type="dxa" w:w="892"/>
            <w:vAlign w:val="top"/>
          </w:tcPr>
          <w:p>
            <w:pPr>
              <w:spacing w:after="40" w:before="0" w:line="259" w:lineRule="auto"/>
            </w:pPr>
            <w:r>
              <w:rPr>
                <w:rFonts w:ascii="Calibri" w:hAnsi="Calibri"/>
                <w:b w:val="0"/>
                <w:i w:val="0"/>
                <w:color w:val="212121"/>
                <w:sz w:val="16"/>
              </w:rPr>
              <w:t>Tuberculosis workup</w:t>
            </w:r>
          </w:p>
        </w:tc>
        <w:tc>
          <w:tcPr>
            <w:tcW w:type="dxa" w:w="950"/>
            <w:vAlign w:val="top"/>
          </w:tcPr>
          <w:p>
            <w:pPr>
              <w:spacing w:after="40" w:before="0" w:line="259" w:lineRule="auto"/>
            </w:pPr>
            <w:r>
              <w:rPr>
                <w:rFonts w:ascii="Calibri" w:hAnsi="Calibri"/>
                <w:b w:val="0"/>
                <w:i w:val="0"/>
                <w:color w:val="212121"/>
                <w:sz w:val="16"/>
              </w:rPr>
              <w:t>AFB negative; MTB not detected</w:t>
            </w:r>
          </w:p>
        </w:tc>
        <w:tc>
          <w:tcPr>
            <w:tcW w:type="dxa" w:w="950"/>
            <w:vAlign w:val="top"/>
          </w:tcPr>
          <w:p>
            <w:pPr>
              <w:spacing w:after="40" w:before="0" w:line="259" w:lineRule="auto"/>
            </w:pPr>
            <w:r>
              <w:rPr>
                <w:rFonts w:ascii="Calibri" w:hAnsi="Calibri"/>
                <w:b w:val="0"/>
                <w:i w:val="0"/>
                <w:color w:val="212121"/>
                <w:sz w:val="16"/>
              </w:rPr>
              <w:t>AFB positive / MTB detected (± rifampicin resistance)</w:t>
            </w:r>
          </w:p>
        </w:tc>
        <w:tc>
          <w:tcPr>
            <w:tcW w:type="dxa" w:w="1036"/>
            <w:vAlign w:val="top"/>
          </w:tcPr>
          <w:p>
            <w:pPr>
              <w:spacing w:after="40" w:before="0" w:line="259" w:lineRule="auto"/>
            </w:pPr>
            <w:r>
              <w:rPr>
                <w:rFonts w:ascii="Calibri" w:hAnsi="Calibri"/>
                <w:b w:val="0"/>
                <w:i w:val="0"/>
                <w:color w:val="212121"/>
                <w:sz w:val="16"/>
              </w:rPr>
              <w:t>Detects tuberculous cause — essential in India for empyema/cavity</w:t>
            </w:r>
          </w:p>
        </w:tc>
        <w:tc>
          <w:tcPr>
            <w:tcW w:type="dxa" w:w="1036"/>
            <w:vAlign w:val="top"/>
          </w:tcPr>
          <w:p>
            <w:pPr>
              <w:spacing w:after="40" w:before="0" w:line="259" w:lineRule="auto"/>
            </w:pPr>
            <w:r>
              <w:rPr>
                <w:rFonts w:ascii="Calibri" w:hAnsi="Calibri"/>
                <w:b w:val="0"/>
                <w:i w:val="0"/>
                <w:color w:val="212121"/>
                <w:sz w:val="16"/>
              </w:rPr>
              <w:t>Chronic cough, weight loss, cavitary or pleural disease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 (India)</w:t>
            </w:r>
          </w:p>
        </w:tc>
        <w:tc>
          <w:tcPr>
            <w:tcW w:type="dxa" w:w="720"/>
            <w:vAlign w:val="top"/>
          </w:tcPr>
          <w:p>
            <w:pPr>
              <w:spacing w:after="40" w:before="0" w:line="259" w:lineRule="auto"/>
            </w:pPr>
            <w:r>
              <w:rPr>
                <w:rFonts w:ascii="Calibri" w:hAnsi="Calibri"/>
                <w:b w:val="0"/>
                <w:i w:val="0"/>
                <w:color w:val="212121"/>
                <w:sz w:val="16"/>
              </w:rPr>
              <w:t>Send sputum and pleural fluid; add ADA on pleural fluid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Pleural fluid pH, glucose, LDH, protein</w:t>
            </w:r>
          </w:p>
        </w:tc>
        <w:tc>
          <w:tcPr>
            <w:tcW w:type="dxa" w:w="892"/>
            <w:vAlign w:val="top"/>
          </w:tcPr>
          <w:p>
            <w:pPr>
              <w:spacing w:after="40" w:before="0" w:line="259" w:lineRule="auto"/>
            </w:pPr>
            <w:r>
              <w:rPr>
                <w:rFonts w:ascii="Calibri" w:hAnsi="Calibri"/>
                <w:b w:val="0"/>
                <w:i w:val="0"/>
                <w:color w:val="212121"/>
                <w:sz w:val="16"/>
              </w:rPr>
              <w:t>Pleural fluid analysis (Light's criteria)</w:t>
            </w:r>
          </w:p>
        </w:tc>
        <w:tc>
          <w:tcPr>
            <w:tcW w:type="dxa" w:w="950"/>
            <w:vAlign w:val="top"/>
          </w:tcPr>
          <w:p>
            <w:pPr>
              <w:spacing w:after="40" w:before="0" w:line="259" w:lineRule="auto"/>
            </w:pPr>
            <w:r>
              <w:rPr>
                <w:rFonts w:ascii="Calibri" w:hAnsi="Calibri"/>
                <w:b w:val="0"/>
                <w:i w:val="0"/>
                <w:color w:val="212121"/>
                <w:sz w:val="16"/>
              </w:rPr>
              <w:t>Transudate; pH &gt; 7.20; glucose normal</w:t>
            </w:r>
          </w:p>
        </w:tc>
        <w:tc>
          <w:tcPr>
            <w:tcW w:type="dxa" w:w="950"/>
            <w:vAlign w:val="top"/>
          </w:tcPr>
          <w:p>
            <w:pPr>
              <w:spacing w:after="40" w:before="0" w:line="259" w:lineRule="auto"/>
            </w:pPr>
            <w:r>
              <w:rPr>
                <w:rFonts w:ascii="Calibri" w:hAnsi="Calibri"/>
                <w:b w:val="0"/>
                <w:i w:val="0"/>
                <w:color w:val="212121"/>
                <w:sz w:val="16"/>
              </w:rPr>
              <w:t>Exudate; pH &lt; 7.20; glucose &lt; 60 mg/dL; high LDH</w:t>
            </w:r>
          </w:p>
        </w:tc>
        <w:tc>
          <w:tcPr>
            <w:tcW w:type="dxa" w:w="1036"/>
            <w:vAlign w:val="top"/>
          </w:tcPr>
          <w:p>
            <w:pPr>
              <w:spacing w:after="40" w:before="0" w:line="259" w:lineRule="auto"/>
            </w:pPr>
            <w:r>
              <w:rPr>
                <w:rFonts w:ascii="Calibri" w:hAnsi="Calibri"/>
                <w:b w:val="0"/>
                <w:i w:val="0"/>
                <w:color w:val="212121"/>
                <w:sz w:val="16"/>
              </w:rPr>
              <w:t>Distinguishes complicated parapneumonic effusion/empyema needing drainage</w:t>
            </w:r>
          </w:p>
        </w:tc>
        <w:tc>
          <w:tcPr>
            <w:tcW w:type="dxa" w:w="1036"/>
            <w:vAlign w:val="top"/>
          </w:tcPr>
          <w:p>
            <w:pPr>
              <w:spacing w:after="40" w:before="0" w:line="259" w:lineRule="auto"/>
            </w:pPr>
            <w:r>
              <w:rPr>
                <w:rFonts w:ascii="Calibri" w:hAnsi="Calibri"/>
                <w:b w:val="0"/>
                <w:i w:val="0"/>
                <w:color w:val="212121"/>
                <w:sz w:val="16"/>
              </w:rPr>
              <w:t>Pneumonia with pleural effusion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Frank pus on aspiration is itself diagnostic of empyema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Pleural fluid adenosine deaminase (ADA)</w:t>
            </w:r>
          </w:p>
        </w:tc>
        <w:tc>
          <w:tcPr>
            <w:tcW w:type="dxa" w:w="892"/>
            <w:vAlign w:val="top"/>
          </w:tcPr>
          <w:p>
            <w:pPr>
              <w:spacing w:after="40" w:before="0" w:line="259" w:lineRule="auto"/>
            </w:pPr>
            <w:r>
              <w:rPr>
                <w:rFonts w:ascii="Calibri" w:hAnsi="Calibri"/>
                <w:b w:val="0"/>
                <w:i w:val="0"/>
                <w:color w:val="212121"/>
                <w:sz w:val="16"/>
              </w:rPr>
              <w:t>Pleural fluid ADA</w:t>
            </w:r>
          </w:p>
        </w:tc>
        <w:tc>
          <w:tcPr>
            <w:tcW w:type="dxa" w:w="950"/>
            <w:vAlign w:val="top"/>
          </w:tcPr>
          <w:p>
            <w:pPr>
              <w:spacing w:after="40" w:before="0" w:line="259" w:lineRule="auto"/>
            </w:pPr>
            <w:r>
              <w:rPr>
                <w:rFonts w:ascii="Calibri" w:hAnsi="Calibri"/>
                <w:b w:val="0"/>
                <w:i w:val="0"/>
                <w:color w:val="212121"/>
                <w:sz w:val="16"/>
              </w:rPr>
              <w:t>&lt; 40 U/L</w:t>
            </w:r>
          </w:p>
        </w:tc>
        <w:tc>
          <w:tcPr>
            <w:tcW w:type="dxa" w:w="950"/>
            <w:vAlign w:val="top"/>
          </w:tcPr>
          <w:p>
            <w:pPr>
              <w:spacing w:after="40" w:before="0" w:line="259" w:lineRule="auto"/>
            </w:pPr>
            <w:r>
              <w:rPr>
                <w:rFonts w:ascii="Calibri" w:hAnsi="Calibri"/>
                <w:b w:val="0"/>
                <w:i w:val="0"/>
                <w:color w:val="212121"/>
                <w:sz w:val="16"/>
              </w:rPr>
              <w:t>&gt; 40 U/L (suggests TB)</w:t>
            </w:r>
          </w:p>
        </w:tc>
        <w:tc>
          <w:tcPr>
            <w:tcW w:type="dxa" w:w="1036"/>
            <w:vAlign w:val="top"/>
          </w:tcPr>
          <w:p>
            <w:pPr>
              <w:spacing w:after="40" w:before="0" w:line="259" w:lineRule="auto"/>
            </w:pPr>
            <w:r>
              <w:rPr>
                <w:rFonts w:ascii="Calibri" w:hAnsi="Calibri"/>
                <w:b w:val="0"/>
                <w:i w:val="0"/>
                <w:color w:val="212121"/>
                <w:sz w:val="16"/>
              </w:rPr>
              <w:t>Raised ADA supports tuberculous empyema/effusion in the right setting</w:t>
            </w:r>
          </w:p>
        </w:tc>
        <w:tc>
          <w:tcPr>
            <w:tcW w:type="dxa" w:w="1036"/>
            <w:vAlign w:val="top"/>
          </w:tcPr>
          <w:p>
            <w:pPr>
              <w:spacing w:after="40" w:before="0" w:line="259" w:lineRule="auto"/>
            </w:pPr>
            <w:r>
              <w:rPr>
                <w:rFonts w:ascii="Calibri" w:hAnsi="Calibri"/>
                <w:b w:val="0"/>
                <w:i w:val="0"/>
                <w:color w:val="212121"/>
                <w:sz w:val="16"/>
              </w:rPr>
              <w:t>Lymphocytic exudate, suspected TB pleuritis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(India)</w:t>
            </w:r>
          </w:p>
        </w:tc>
        <w:tc>
          <w:tcPr>
            <w:tcW w:type="dxa" w:w="720"/>
            <w:vAlign w:val="top"/>
          </w:tcPr>
          <w:p>
            <w:pPr>
              <w:spacing w:after="40" w:before="0" w:line="259" w:lineRule="auto"/>
            </w:pPr>
            <w:r>
              <w:rPr>
                <w:rFonts w:ascii="Calibri" w:hAnsi="Calibri"/>
                <w:b w:val="0"/>
                <w:i w:val="0"/>
                <w:color w:val="212121"/>
                <w:sz w:val="16"/>
              </w:rPr>
              <w:t>Interpret with clinical and microbiological context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 (PA ± lateral)</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lung fields, no cavity/effusion</w:t>
            </w:r>
          </w:p>
        </w:tc>
        <w:tc>
          <w:tcPr>
            <w:tcW w:type="dxa" w:w="950"/>
            <w:vAlign w:val="top"/>
          </w:tcPr>
          <w:p>
            <w:pPr>
              <w:spacing w:after="40" w:before="0" w:line="259" w:lineRule="auto"/>
            </w:pPr>
            <w:r>
              <w:rPr>
                <w:rFonts w:ascii="Calibri" w:hAnsi="Calibri"/>
                <w:b w:val="0"/>
                <w:i w:val="0"/>
                <w:color w:val="212121"/>
                <w:sz w:val="16"/>
              </w:rPr>
              <w:t>Cavity with air–fluid level; loculated pleural opacity</w:t>
            </w:r>
          </w:p>
        </w:tc>
        <w:tc>
          <w:tcPr>
            <w:tcW w:type="dxa" w:w="1036"/>
            <w:vAlign w:val="top"/>
          </w:tcPr>
          <w:p>
            <w:pPr>
              <w:spacing w:after="40" w:before="0" w:line="259" w:lineRule="auto"/>
            </w:pPr>
            <w:r>
              <w:rPr>
                <w:rFonts w:ascii="Calibri" w:hAnsi="Calibri"/>
                <w:b w:val="0"/>
                <w:i w:val="0"/>
                <w:color w:val="212121"/>
                <w:sz w:val="16"/>
              </w:rPr>
              <w:t>First-line to detect abscess cavity or empyema</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Empyema forms a D-shaped pleural opacity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Contrast-enhanced CT thorax</w:t>
            </w:r>
          </w:p>
        </w:tc>
        <w:tc>
          <w:tcPr>
            <w:tcW w:type="dxa" w:w="892"/>
            <w:vAlign w:val="top"/>
          </w:tcPr>
          <w:p>
            <w:pPr>
              <w:spacing w:after="40" w:before="0" w:line="259" w:lineRule="auto"/>
            </w:pPr>
            <w:r>
              <w:rPr>
                <w:rFonts w:ascii="Calibri" w:hAnsi="Calibri"/>
                <w:b w:val="0"/>
                <w:i w:val="0"/>
                <w:color w:val="212121"/>
                <w:sz w:val="16"/>
              </w:rPr>
              <w:t>CECT chest</w:t>
            </w:r>
          </w:p>
        </w:tc>
        <w:tc>
          <w:tcPr>
            <w:tcW w:type="dxa" w:w="950"/>
            <w:vAlign w:val="top"/>
          </w:tcPr>
          <w:p>
            <w:pPr>
              <w:spacing w:after="40" w:before="0" w:line="259" w:lineRule="auto"/>
            </w:pPr>
            <w:r>
              <w:rPr>
                <w:rFonts w:ascii="Calibri" w:hAnsi="Calibri"/>
                <w:b w:val="0"/>
                <w:i w:val="0"/>
                <w:color w:val="212121"/>
                <w:sz w:val="16"/>
              </w:rPr>
              <w:t>No cavity, no pleural collection</w:t>
            </w:r>
          </w:p>
        </w:tc>
        <w:tc>
          <w:tcPr>
            <w:tcW w:type="dxa" w:w="950"/>
            <w:vAlign w:val="top"/>
          </w:tcPr>
          <w:p>
            <w:pPr>
              <w:spacing w:after="40" w:before="0" w:line="259" w:lineRule="auto"/>
            </w:pPr>
            <w:r>
              <w:rPr>
                <w:rFonts w:ascii="Calibri" w:hAnsi="Calibri"/>
                <w:b w:val="0"/>
                <w:i w:val="0"/>
                <w:color w:val="212121"/>
                <w:sz w:val="16"/>
              </w:rPr>
              <w:t>Thick-walled cavity (abscess); split-pleura sign, loculations (empyema)</w:t>
            </w:r>
          </w:p>
        </w:tc>
        <w:tc>
          <w:tcPr>
            <w:tcW w:type="dxa" w:w="1036"/>
            <w:vAlign w:val="top"/>
          </w:tcPr>
          <w:p>
            <w:pPr>
              <w:spacing w:after="40" w:before="0" w:line="259" w:lineRule="auto"/>
            </w:pPr>
            <w:r>
              <w:rPr>
                <w:rFonts w:ascii="Calibri" w:hAnsi="Calibri"/>
                <w:b w:val="0"/>
                <w:i w:val="0"/>
                <w:color w:val="212121"/>
                <w:sz w:val="16"/>
              </w:rPr>
              <w:t>Localises and characterises collection; guides drainage</w:t>
            </w:r>
          </w:p>
        </w:tc>
        <w:tc>
          <w:tcPr>
            <w:tcW w:type="dxa" w:w="1036"/>
            <w:vAlign w:val="top"/>
          </w:tcPr>
          <w:p>
            <w:pPr>
              <w:spacing w:after="40" w:before="0" w:line="259" w:lineRule="auto"/>
            </w:pPr>
            <w:r>
              <w:rPr>
                <w:rFonts w:ascii="Calibri" w:hAnsi="Calibri"/>
                <w:b w:val="0"/>
                <w:i w:val="0"/>
                <w:color w:val="212121"/>
                <w:sz w:val="16"/>
              </w:rPr>
              <w:t>Complex, loculated, or non-resolving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imaging</w:t>
            </w:r>
          </w:p>
        </w:tc>
        <w:tc>
          <w:tcPr>
            <w:tcW w:type="dxa" w:w="720"/>
            <w:vAlign w:val="top"/>
          </w:tcPr>
          <w:p>
            <w:pPr>
              <w:spacing w:after="40" w:before="0" w:line="259" w:lineRule="auto"/>
            </w:pPr>
            <w:r>
              <w:rPr>
                <w:rFonts w:ascii="Calibri" w:hAnsi="Calibri"/>
                <w:b w:val="0"/>
                <w:i w:val="0"/>
                <w:color w:val="212121"/>
                <w:sz w:val="16"/>
              </w:rPr>
              <w:t>Distinguishes lung abscess from empyema and guides intervention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Serology</w:t>
            </w:r>
          </w:p>
        </w:tc>
        <w:tc>
          <w:tcPr>
            <w:tcW w:type="dxa" w:w="1036"/>
            <w:vAlign w:val="top"/>
          </w:tcPr>
          <w:p>
            <w:pPr>
              <w:spacing w:after="40" w:before="0" w:line="259" w:lineRule="auto"/>
            </w:pPr>
            <w:r>
              <w:rPr>
                <w:rFonts w:ascii="Calibri" w:hAnsi="Calibri"/>
                <w:b w:val="0"/>
                <w:i w:val="0"/>
                <w:color w:val="212121"/>
                <w:sz w:val="16"/>
              </w:rPr>
              <w:t>Fasting glucose, HbA1c, HIV serology</w:t>
            </w:r>
          </w:p>
        </w:tc>
        <w:tc>
          <w:tcPr>
            <w:tcW w:type="dxa" w:w="892"/>
            <w:vAlign w:val="top"/>
          </w:tcPr>
          <w:p>
            <w:pPr>
              <w:spacing w:after="40" w:before="0" w:line="259" w:lineRule="auto"/>
            </w:pPr>
            <w:r>
              <w:rPr>
                <w:rFonts w:ascii="Calibri" w:hAnsi="Calibri"/>
                <w:b w:val="0"/>
                <w:i w:val="0"/>
                <w:color w:val="212121"/>
                <w:sz w:val="16"/>
              </w:rPr>
              <w:t>Host-risk screen</w:t>
            </w:r>
          </w:p>
        </w:tc>
        <w:tc>
          <w:tcPr>
            <w:tcW w:type="dxa" w:w="950"/>
            <w:vAlign w:val="top"/>
          </w:tcPr>
          <w:p>
            <w:pPr>
              <w:spacing w:after="40" w:before="0" w:line="259" w:lineRule="auto"/>
            </w:pPr>
            <w:r>
              <w:rPr>
                <w:rFonts w:ascii="Calibri" w:hAnsi="Calibri"/>
                <w:b w:val="0"/>
                <w:i w:val="0"/>
                <w:color w:val="212121"/>
                <w:sz w:val="16"/>
              </w:rPr>
              <w:t>Normoglycaemia; HIV non-reactive</w:t>
            </w:r>
          </w:p>
        </w:tc>
        <w:tc>
          <w:tcPr>
            <w:tcW w:type="dxa" w:w="950"/>
            <w:vAlign w:val="top"/>
          </w:tcPr>
          <w:p>
            <w:pPr>
              <w:spacing w:after="40" w:before="0" w:line="259" w:lineRule="auto"/>
            </w:pPr>
            <w:r>
              <w:rPr>
                <w:rFonts w:ascii="Calibri" w:hAnsi="Calibri"/>
                <w:b w:val="0"/>
                <w:i w:val="0"/>
                <w:color w:val="212121"/>
                <w:sz w:val="16"/>
              </w:rPr>
              <w:t>Hyperglycaemia/high HbA1c; HIV reactive</w:t>
            </w:r>
          </w:p>
        </w:tc>
        <w:tc>
          <w:tcPr>
            <w:tcW w:type="dxa" w:w="1036"/>
            <w:vAlign w:val="top"/>
          </w:tcPr>
          <w:p>
            <w:pPr>
              <w:spacing w:after="40" w:before="0" w:line="259" w:lineRule="auto"/>
            </w:pPr>
            <w:r>
              <w:rPr>
                <w:rFonts w:ascii="Calibri" w:hAnsi="Calibri"/>
                <w:b w:val="0"/>
                <w:i w:val="0"/>
                <w:color w:val="212121"/>
                <w:sz w:val="16"/>
              </w:rPr>
              <w:t>Uncovers diabetes or immunosuppression underlying secondary abscess</w:t>
            </w:r>
          </w:p>
        </w:tc>
        <w:tc>
          <w:tcPr>
            <w:tcW w:type="dxa" w:w="1036"/>
            <w:vAlign w:val="top"/>
          </w:tcPr>
          <w:p>
            <w:pPr>
              <w:spacing w:after="40" w:before="0" w:line="259" w:lineRule="auto"/>
            </w:pPr>
            <w:r>
              <w:rPr>
                <w:rFonts w:ascii="Calibri" w:hAnsi="Calibri"/>
                <w:b w:val="0"/>
                <w:i w:val="0"/>
                <w:color w:val="212121"/>
                <w:sz w:val="16"/>
              </w:rPr>
              <w:t>Recurrent/severe or Gram-negative abscess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comorbidity control and organism expectation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Cough with copious foul/purulent sputum, fever, pleuritic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 especially foul-smelling sputum</w:t>
            </w:r>
          </w:p>
        </w:tc>
        <w:tc>
          <w:tcPr>
            <w:tcW w:type="dxa" w:w="1036"/>
            <w:vAlign w:val="top"/>
          </w:tcPr>
          <w:p>
            <w:pPr>
              <w:spacing w:after="40" w:before="0" w:line="259" w:lineRule="auto"/>
            </w:pPr>
            <w:r>
              <w:rPr>
                <w:rFonts w:ascii="Calibri" w:hAnsi="Calibri"/>
                <w:b w:val="0"/>
                <w:i w:val="0"/>
                <w:color w:val="212121"/>
                <w:sz w:val="16"/>
              </w:rPr>
              <w:t>Foul (putrid) sputum strongly suggests anaerobic lung abscess</w:t>
            </w:r>
          </w:p>
        </w:tc>
        <w:tc>
          <w:tcPr>
            <w:tcW w:type="dxa" w:w="1036"/>
            <w:vAlign w:val="top"/>
          </w:tcPr>
          <w:p>
            <w:pPr>
              <w:spacing w:after="40" w:before="0" w:line="259" w:lineRule="auto"/>
            </w:pPr>
            <w:r>
              <w:rPr>
                <w:rFonts w:ascii="Calibri" w:hAnsi="Calibri"/>
                <w:b w:val="0"/>
                <w:i w:val="0"/>
                <w:color w:val="212121"/>
                <w:sz w:val="16"/>
              </w:rPr>
              <w:t>Adults with productive cough and fever</w:t>
            </w:r>
          </w:p>
        </w:tc>
        <w:tc>
          <w:tcPr>
            <w:tcW w:type="dxa" w:w="720"/>
            <w:vAlign w:val="top"/>
          </w:tcPr>
          <w:p>
            <w:pPr>
              <w:spacing w:after="40" w:before="0" w:line="259" w:lineRule="auto"/>
            </w:pPr>
            <w:r>
              <w:rPr>
                <w:rFonts w:ascii="Calibri" w:hAnsi="Calibri"/>
                <w:b w:val="0"/>
                <w:i w:val="0"/>
                <w:color w:val="212121"/>
                <w:sz w:val="16"/>
              </w:rPr>
              <w:t>Hygiene;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Empyema may present chiefly with pleuritic pain and breathlessness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Aspiration-risk history</w:t>
            </w:r>
          </w:p>
        </w:tc>
        <w:tc>
          <w:tcPr>
            <w:tcW w:type="dxa" w:w="979"/>
            <w:vAlign w:val="top"/>
          </w:tcPr>
          <w:p>
            <w:pPr>
              <w:spacing w:after="40" w:before="0" w:line="259" w:lineRule="auto"/>
            </w:pPr>
            <w:r>
              <w:rPr>
                <w:rFonts w:ascii="Calibri" w:hAnsi="Calibri"/>
                <w:b w:val="0"/>
                <w:i w:val="0"/>
                <w:color w:val="212121"/>
                <w:sz w:val="16"/>
              </w:rPr>
              <w:t>Alcohol, seizures, stroke, dysphagia, dental procedures</w:t>
            </w:r>
          </w:p>
        </w:tc>
        <w:tc>
          <w:tcPr>
            <w:tcW w:type="dxa" w:w="950"/>
            <w:vAlign w:val="top"/>
          </w:tcPr>
          <w:p>
            <w:pPr>
              <w:spacing w:after="40" w:before="0" w:line="259" w:lineRule="auto"/>
            </w:pPr>
            <w:r>
              <w:rPr>
                <w:rFonts w:ascii="Calibri" w:hAnsi="Calibri"/>
                <w:b w:val="0"/>
                <w:i w:val="0"/>
                <w:color w:val="212121"/>
                <w:sz w:val="16"/>
              </w:rPr>
              <w:t>No aspiration risk</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Establishes the dominant mechanism of primary abscess</w:t>
            </w:r>
          </w:p>
        </w:tc>
        <w:tc>
          <w:tcPr>
            <w:tcW w:type="dxa" w:w="1036"/>
            <w:vAlign w:val="top"/>
          </w:tcPr>
          <w:p>
            <w:pPr>
              <w:spacing w:after="40" w:before="0" w:line="259" w:lineRule="auto"/>
            </w:pPr>
            <w:r>
              <w:rPr>
                <w:rFonts w:ascii="Calibri" w:hAnsi="Calibri"/>
                <w:b w:val="0"/>
                <w:i w:val="0"/>
                <w:color w:val="212121"/>
                <w:sz w:val="16"/>
              </w:rPr>
              <w:t>Alcohol users, neuro-impaired, elderly</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about recent loss of consciousness or vomiting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TB history / contact</w:t>
            </w:r>
          </w:p>
        </w:tc>
        <w:tc>
          <w:tcPr>
            <w:tcW w:type="dxa" w:w="979"/>
            <w:vAlign w:val="top"/>
          </w:tcPr>
          <w:p>
            <w:pPr>
              <w:spacing w:after="40" w:before="0" w:line="259" w:lineRule="auto"/>
            </w:pPr>
            <w:r>
              <w:rPr>
                <w:rFonts w:ascii="Calibri" w:hAnsi="Calibri"/>
                <w:b w:val="0"/>
                <w:i w:val="0"/>
                <w:color w:val="212121"/>
                <w:sz w:val="16"/>
              </w:rPr>
              <w:t>Prior TB, TB contact, chronic weight loss, night sweats</w:t>
            </w:r>
          </w:p>
        </w:tc>
        <w:tc>
          <w:tcPr>
            <w:tcW w:type="dxa" w:w="950"/>
            <w:vAlign w:val="top"/>
          </w:tcPr>
          <w:p>
            <w:pPr>
              <w:spacing w:after="40" w:before="0" w:line="259" w:lineRule="auto"/>
            </w:pPr>
            <w:r>
              <w:rPr>
                <w:rFonts w:ascii="Calibri" w:hAnsi="Calibri"/>
                <w:b w:val="0"/>
                <w:i w:val="0"/>
                <w:color w:val="212121"/>
                <w:sz w:val="16"/>
              </w:rPr>
              <w:t>No TB history</w:t>
            </w:r>
          </w:p>
        </w:tc>
        <w:tc>
          <w:tcPr>
            <w:tcW w:type="dxa" w:w="950"/>
            <w:vAlign w:val="top"/>
          </w:tcPr>
          <w:p>
            <w:pPr>
              <w:spacing w:after="40" w:before="0" w:line="259" w:lineRule="auto"/>
            </w:pPr>
            <w:r>
              <w:rPr>
                <w:rFonts w:ascii="Calibri" w:hAnsi="Calibri"/>
                <w:b w:val="0"/>
                <w:i w:val="0"/>
                <w:color w:val="212121"/>
                <w:sz w:val="16"/>
              </w:rPr>
              <w:t>Prior TB, contact, or constitutional symptoms</w:t>
            </w:r>
          </w:p>
        </w:tc>
        <w:tc>
          <w:tcPr>
            <w:tcW w:type="dxa" w:w="1036"/>
            <w:vAlign w:val="top"/>
          </w:tcPr>
          <w:p>
            <w:pPr>
              <w:spacing w:after="40" w:before="0" w:line="259" w:lineRule="auto"/>
            </w:pPr>
            <w:r>
              <w:rPr>
                <w:rFonts w:ascii="Calibri" w:hAnsi="Calibri"/>
                <w:b w:val="0"/>
                <w:i w:val="0"/>
                <w:color w:val="212121"/>
                <w:sz w:val="16"/>
              </w:rPr>
              <w:t>Raises suspicion of tuberculous empyema/cavity in India</w:t>
            </w:r>
          </w:p>
        </w:tc>
        <w:tc>
          <w:tcPr>
            <w:tcW w:type="dxa" w:w="1036"/>
            <w:vAlign w:val="top"/>
          </w:tcPr>
          <w:p>
            <w:pPr>
              <w:spacing w:after="40" w:before="0" w:line="259" w:lineRule="auto"/>
            </w:pPr>
            <w:r>
              <w:rPr>
                <w:rFonts w:ascii="Calibri" w:hAnsi="Calibri"/>
                <w:b w:val="0"/>
                <w:i w:val="0"/>
                <w:color w:val="212121"/>
                <w:sz w:val="16"/>
              </w:rPr>
              <w:t>Chronic presentations, high-burden communities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Mandates active TB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host status</w:t>
            </w:r>
          </w:p>
        </w:tc>
        <w:tc>
          <w:tcPr>
            <w:tcW w:type="dxa" w:w="979"/>
            <w:vAlign w:val="top"/>
          </w:tcPr>
          <w:p>
            <w:pPr>
              <w:spacing w:after="40" w:before="0" w:line="259" w:lineRule="auto"/>
            </w:pPr>
            <w:r>
              <w:rPr>
                <w:rFonts w:ascii="Calibri" w:hAnsi="Calibri"/>
                <w:b w:val="0"/>
                <w:i w:val="0"/>
                <w:color w:val="212121"/>
                <w:sz w:val="16"/>
              </w:rPr>
              <w:t>Diabetes, HIV, malignancy, immunosuppression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Predicts secondary abscess, Gram-negatives, higher mortality</w:t>
            </w:r>
          </w:p>
        </w:tc>
        <w:tc>
          <w:tcPr>
            <w:tcW w:type="dxa" w:w="1036"/>
            <w:vAlign w:val="top"/>
          </w:tcPr>
          <w:p>
            <w:pPr>
              <w:spacing w:after="40" w:before="0" w:line="259" w:lineRule="auto"/>
            </w:pPr>
            <w:r>
              <w:rPr>
                <w:rFonts w:ascii="Calibri" w:hAnsi="Calibri"/>
                <w:b w:val="0"/>
                <w:i w:val="0"/>
                <w:color w:val="212121"/>
                <w:sz w:val="16"/>
              </w:rPr>
              <w:t>Diabetics, immunocompromised, cancer patients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organism expectation and prognosis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Vitals &amp; general exam</w:t>
            </w:r>
          </w:p>
        </w:tc>
        <w:tc>
          <w:tcPr>
            <w:tcW w:type="dxa" w:w="979"/>
            <w:vAlign w:val="top"/>
          </w:tcPr>
          <w:p>
            <w:pPr>
              <w:spacing w:after="40" w:before="0" w:line="259" w:lineRule="auto"/>
            </w:pPr>
            <w:r>
              <w:rPr>
                <w:rFonts w:ascii="Calibri" w:hAnsi="Calibri"/>
                <w:b w:val="0"/>
                <w:i w:val="0"/>
                <w:color w:val="212121"/>
                <w:sz w:val="16"/>
              </w:rPr>
              <w:t>Fever, tachycardia, tachypnoea, clubbing, foul breath</w:t>
            </w:r>
          </w:p>
        </w:tc>
        <w:tc>
          <w:tcPr>
            <w:tcW w:type="dxa" w:w="950"/>
            <w:vAlign w:val="top"/>
          </w:tcPr>
          <w:p>
            <w:pPr>
              <w:spacing w:after="40" w:before="0" w:line="259" w:lineRule="auto"/>
            </w:pPr>
            <w:r>
              <w:rPr>
                <w:rFonts w:ascii="Calibri" w:hAnsi="Calibri"/>
                <w:b w:val="0"/>
                <w:i w:val="0"/>
                <w:color w:val="212121"/>
                <w:sz w:val="16"/>
              </w:rPr>
              <w:t>Afebrile, stable, no clubbing</w:t>
            </w:r>
          </w:p>
        </w:tc>
        <w:tc>
          <w:tcPr>
            <w:tcW w:type="dxa" w:w="950"/>
            <w:vAlign w:val="top"/>
          </w:tcPr>
          <w:p>
            <w:pPr>
              <w:spacing w:after="40" w:before="0" w:line="259" w:lineRule="auto"/>
            </w:pPr>
            <w:r>
              <w:rPr>
                <w:rFonts w:ascii="Calibri" w:hAnsi="Calibri"/>
                <w:b w:val="0"/>
                <w:i w:val="0"/>
                <w:color w:val="212121"/>
                <w:sz w:val="16"/>
              </w:rPr>
              <w:t>Fever with tachycardia; clubbing in chronic disease</w:t>
            </w:r>
          </w:p>
        </w:tc>
        <w:tc>
          <w:tcPr>
            <w:tcW w:type="dxa" w:w="1036"/>
            <w:vAlign w:val="top"/>
          </w:tcPr>
          <w:p>
            <w:pPr>
              <w:spacing w:after="40" w:before="0" w:line="259" w:lineRule="auto"/>
            </w:pPr>
            <w:r>
              <w:rPr>
                <w:rFonts w:ascii="Calibri" w:hAnsi="Calibri"/>
                <w:b w:val="0"/>
                <w:i w:val="0"/>
                <w:color w:val="212121"/>
                <w:sz w:val="16"/>
              </w:rPr>
              <w:t>Signs of sepsis and chronicity</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Digital clubbing suggests a chronic suppurative process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Respiratory exam — consolidation/cavity</w:t>
            </w:r>
          </w:p>
        </w:tc>
        <w:tc>
          <w:tcPr>
            <w:tcW w:type="dxa" w:w="979"/>
            <w:vAlign w:val="top"/>
          </w:tcPr>
          <w:p>
            <w:pPr>
              <w:spacing w:after="40" w:before="0" w:line="259" w:lineRule="auto"/>
            </w:pPr>
            <w:r>
              <w:rPr>
                <w:rFonts w:ascii="Calibri" w:hAnsi="Calibri"/>
                <w:b w:val="0"/>
                <w:i w:val="0"/>
                <w:color w:val="212121"/>
                <w:sz w:val="16"/>
              </w:rPr>
              <w:t>Bronchial or amphoric breath sounds, crackles</w:t>
            </w:r>
          </w:p>
        </w:tc>
        <w:tc>
          <w:tcPr>
            <w:tcW w:type="dxa" w:w="950"/>
            <w:vAlign w:val="top"/>
          </w:tcPr>
          <w:p>
            <w:pPr>
              <w:spacing w:after="40" w:before="0" w:line="259" w:lineRule="auto"/>
            </w:pPr>
            <w:r>
              <w:rPr>
                <w:rFonts w:ascii="Calibri" w:hAnsi="Calibri"/>
                <w:b w:val="0"/>
                <w:i w:val="0"/>
                <w:color w:val="212121"/>
                <w:sz w:val="16"/>
              </w:rPr>
              <w:t>Vesicular breath sounds, no added sounds</w:t>
            </w:r>
          </w:p>
        </w:tc>
        <w:tc>
          <w:tcPr>
            <w:tcW w:type="dxa" w:w="950"/>
            <w:vAlign w:val="top"/>
          </w:tcPr>
          <w:p>
            <w:pPr>
              <w:spacing w:after="40" w:before="0" w:line="259" w:lineRule="auto"/>
            </w:pPr>
            <w:r>
              <w:rPr>
                <w:rFonts w:ascii="Calibri" w:hAnsi="Calibri"/>
                <w:b w:val="0"/>
                <w:i w:val="0"/>
                <w:color w:val="212121"/>
                <w:sz w:val="16"/>
              </w:rPr>
              <w:t>Bronchial/amphoric breathing, localized crackles</w:t>
            </w:r>
          </w:p>
        </w:tc>
        <w:tc>
          <w:tcPr>
            <w:tcW w:type="dxa" w:w="1036"/>
            <w:vAlign w:val="top"/>
          </w:tcPr>
          <w:p>
            <w:pPr>
              <w:spacing w:after="40" w:before="0" w:line="259" w:lineRule="auto"/>
            </w:pPr>
            <w:r>
              <w:rPr>
                <w:rFonts w:ascii="Calibri" w:hAnsi="Calibri"/>
                <w:b w:val="0"/>
                <w:i w:val="0"/>
                <w:color w:val="212121"/>
                <w:sz w:val="16"/>
              </w:rPr>
              <w:t>Indicates parenchymal consolidation or a communicating cavity</w:t>
            </w:r>
          </w:p>
        </w:tc>
        <w:tc>
          <w:tcPr>
            <w:tcW w:type="dxa" w:w="1036"/>
            <w:vAlign w:val="top"/>
          </w:tcPr>
          <w:p>
            <w:pPr>
              <w:spacing w:after="40" w:before="0" w:line="259" w:lineRule="auto"/>
            </w:pPr>
            <w:r>
              <w:rPr>
                <w:rFonts w:ascii="Calibri" w:hAnsi="Calibri"/>
                <w:b w:val="0"/>
                <w:i w:val="0"/>
                <w:color w:val="212121"/>
                <w:sz w:val="16"/>
              </w:rPr>
              <w:t>Lung abscess, necrotizing pneumonia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Amphoric breathing is classic over a large cavity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Respiratory exam — pleural (empyema)</w:t>
            </w:r>
          </w:p>
        </w:tc>
        <w:tc>
          <w:tcPr>
            <w:tcW w:type="dxa" w:w="979"/>
            <w:vAlign w:val="top"/>
          </w:tcPr>
          <w:p>
            <w:pPr>
              <w:spacing w:after="40" w:before="0" w:line="259" w:lineRule="auto"/>
            </w:pPr>
            <w:r>
              <w:rPr>
                <w:rFonts w:ascii="Calibri" w:hAnsi="Calibri"/>
                <w:b w:val="0"/>
                <w:i w:val="0"/>
                <w:color w:val="212121"/>
                <w:sz w:val="16"/>
              </w:rPr>
              <w:t>Reduced expansion, stony-dull percussion, absent breath sounds, low fremitus</w:t>
            </w:r>
          </w:p>
        </w:tc>
        <w:tc>
          <w:tcPr>
            <w:tcW w:type="dxa" w:w="950"/>
            <w:vAlign w:val="top"/>
          </w:tcPr>
          <w:p>
            <w:pPr>
              <w:spacing w:after="40" w:before="0" w:line="259" w:lineRule="auto"/>
            </w:pPr>
            <w:r>
              <w:rPr>
                <w:rFonts w:ascii="Calibri" w:hAnsi="Calibri"/>
                <w:b w:val="0"/>
                <w:i w:val="0"/>
                <w:color w:val="212121"/>
                <w:sz w:val="16"/>
              </w:rPr>
              <w:t>Symmetric expansion, resonant, normal fremitus</w:t>
            </w:r>
          </w:p>
        </w:tc>
        <w:tc>
          <w:tcPr>
            <w:tcW w:type="dxa" w:w="950"/>
            <w:vAlign w:val="top"/>
          </w:tcPr>
          <w:p>
            <w:pPr>
              <w:spacing w:after="40" w:before="0" w:line="259" w:lineRule="auto"/>
            </w:pPr>
            <w:r>
              <w:rPr>
                <w:rFonts w:ascii="Calibri" w:hAnsi="Calibri"/>
                <w:b w:val="0"/>
                <w:i w:val="0"/>
                <w:color w:val="212121"/>
                <w:sz w:val="16"/>
              </w:rPr>
              <w:t>Stony dullness with absent breath sounds and reduced fremitus</w:t>
            </w:r>
          </w:p>
        </w:tc>
        <w:tc>
          <w:tcPr>
            <w:tcW w:type="dxa" w:w="1036"/>
            <w:vAlign w:val="top"/>
          </w:tcPr>
          <w:p>
            <w:pPr>
              <w:spacing w:after="40" w:before="0" w:line="259" w:lineRule="auto"/>
            </w:pPr>
            <w:r>
              <w:rPr>
                <w:rFonts w:ascii="Calibri" w:hAnsi="Calibri"/>
                <w:b w:val="0"/>
                <w:i w:val="0"/>
                <w:color w:val="212121"/>
                <w:sz w:val="16"/>
              </w:rPr>
              <w:t>Classic signs of a pleural fluid/pus collection</w:t>
            </w:r>
          </w:p>
        </w:tc>
        <w:tc>
          <w:tcPr>
            <w:tcW w:type="dxa" w:w="1036"/>
            <w:vAlign w:val="top"/>
          </w:tcPr>
          <w:p>
            <w:pPr>
              <w:spacing w:after="40" w:before="0" w:line="259" w:lineRule="auto"/>
            </w:pPr>
            <w:r>
              <w:rPr>
                <w:rFonts w:ascii="Calibri" w:hAnsi="Calibri"/>
                <w:b w:val="0"/>
                <w:i w:val="0"/>
                <w:color w:val="212121"/>
                <w:sz w:val="16"/>
              </w:rPr>
              <w:t>Empyema, large parapneumonic effusion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 with imaging and diagnostic thoracentesis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Chest-wall &amp; chronicity signs</w:t>
            </w:r>
          </w:p>
        </w:tc>
        <w:tc>
          <w:tcPr>
            <w:tcW w:type="dxa" w:w="979"/>
            <w:vAlign w:val="top"/>
          </w:tcPr>
          <w:p>
            <w:pPr>
              <w:spacing w:after="40" w:before="0" w:line="259" w:lineRule="auto"/>
            </w:pPr>
            <w:r>
              <w:rPr>
                <w:rFonts w:ascii="Calibri" w:hAnsi="Calibri"/>
                <w:b w:val="0"/>
                <w:i w:val="0"/>
                <w:color w:val="212121"/>
                <w:sz w:val="16"/>
              </w:rPr>
              <w:t>Empyema necessitans, sinus, cachexia, pallor</w:t>
            </w:r>
          </w:p>
        </w:tc>
        <w:tc>
          <w:tcPr>
            <w:tcW w:type="dxa" w:w="950"/>
            <w:vAlign w:val="top"/>
          </w:tcPr>
          <w:p>
            <w:pPr>
              <w:spacing w:after="40" w:before="0" w:line="259" w:lineRule="auto"/>
            </w:pPr>
            <w:r>
              <w:rPr>
                <w:rFonts w:ascii="Calibri" w:hAnsi="Calibri"/>
                <w:b w:val="0"/>
                <w:i w:val="0"/>
                <w:color w:val="212121"/>
                <w:sz w:val="16"/>
              </w:rPr>
              <w:t>Normal chest wall, well-nourished</w:t>
            </w:r>
          </w:p>
        </w:tc>
        <w:tc>
          <w:tcPr>
            <w:tcW w:type="dxa" w:w="950"/>
            <w:vAlign w:val="top"/>
          </w:tcPr>
          <w:p>
            <w:pPr>
              <w:spacing w:after="40" w:before="0" w:line="259" w:lineRule="auto"/>
            </w:pPr>
            <w:r>
              <w:rPr>
                <w:rFonts w:ascii="Calibri" w:hAnsi="Calibri"/>
                <w:b w:val="0"/>
                <w:i w:val="0"/>
                <w:color w:val="212121"/>
                <w:sz w:val="16"/>
              </w:rPr>
              <w:t>Chest-wall pus tracking, discharging sinus, wasting</w:t>
            </w:r>
          </w:p>
        </w:tc>
        <w:tc>
          <w:tcPr>
            <w:tcW w:type="dxa" w:w="1036"/>
            <w:vAlign w:val="top"/>
          </w:tcPr>
          <w:p>
            <w:pPr>
              <w:spacing w:after="40" w:before="0" w:line="259" w:lineRule="auto"/>
            </w:pPr>
            <w:r>
              <w:rPr>
                <w:rFonts w:ascii="Calibri" w:hAnsi="Calibri"/>
                <w:b w:val="0"/>
                <w:i w:val="0"/>
                <w:color w:val="212121"/>
                <w:sz w:val="16"/>
              </w:rPr>
              <w:t>Marks neglected, chronic or organizing disease</w:t>
            </w:r>
          </w:p>
        </w:tc>
        <w:tc>
          <w:tcPr>
            <w:tcW w:type="dxa" w:w="1036"/>
            <w:vAlign w:val="top"/>
          </w:tcPr>
          <w:p>
            <w:pPr>
              <w:spacing w:after="40" w:before="0" w:line="259" w:lineRule="auto"/>
            </w:pPr>
            <w:r>
              <w:rPr>
                <w:rFonts w:ascii="Calibri" w:hAnsi="Calibri"/>
                <w:b w:val="0"/>
                <w:i w:val="0"/>
                <w:color w:val="212121"/>
                <w:sz w:val="16"/>
              </w:rPr>
              <w:t>Late-presenting, chronic empyema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Empyema necessitans indicates long-standing untreated pus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productive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Ongoing cough producing sputum as the infected cavity/pleura drains through the airway.</w:t>
            </w:r>
          </w:p>
        </w:tc>
      </w:tr>
      <w:tr>
        <w:trPr>
          <w:cantSplit/>
        </w:trPr>
        <w:tc>
          <w:tcPr>
            <w:tcW w:type="dxa" w:w="2304"/>
            <w:vAlign w:val="top"/>
          </w:tcPr>
          <w:p>
            <w:pPr>
              <w:spacing w:after="40" w:before="0" w:line="259" w:lineRule="auto"/>
            </w:pPr>
            <w:r>
              <w:rPr>
                <w:rFonts w:ascii="Calibri" w:hAnsi="Calibri"/>
                <w:b/>
                <w:i w:val="0"/>
                <w:color w:val="212121"/>
                <w:sz w:val="19"/>
              </w:rPr>
              <w:t>Copious foul-smelling / purulent sputum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Putrid sputum is the hallmark of anaerobic lung abscess; large volumes may be expectorated.</w:t>
            </w:r>
          </w:p>
        </w:tc>
      </w:tr>
      <w:tr>
        <w:trPr>
          <w:cantSplit/>
        </w:trPr>
        <w:tc>
          <w:tcPr>
            <w:tcW w:type="dxa" w:w="2304"/>
            <w:vAlign w:val="top"/>
          </w:tcPr>
          <w:p>
            <w:pPr>
              <w:spacing w:after="40" w:before="0" w:line="259" w:lineRule="auto"/>
            </w:pPr>
            <w:r>
              <w:rPr>
                <w:rFonts w:ascii="Calibri" w:hAnsi="Calibri"/>
                <w:b/>
                <w:i w:val="0"/>
                <w:color w:val="212121"/>
                <w:sz w:val="19"/>
              </w:rPr>
              <w:t>Fever with chills /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response to active suppuration; often swinging (hectic) in empyema.</w:t>
            </w:r>
          </w:p>
        </w:tc>
      </w:tr>
      <w:tr>
        <w:trPr>
          <w:cantSplit/>
        </w:trPr>
        <w:tc>
          <w:tcPr>
            <w:tcW w:type="dxa" w:w="2304"/>
            <w:vAlign w:val="top"/>
          </w:tcPr>
          <w:p>
            <w:pPr>
              <w:spacing w:after="40" w:before="0" w:line="259" w:lineRule="auto"/>
            </w:pPr>
            <w:r>
              <w:rPr>
                <w:rFonts w:ascii="Calibri" w:hAnsi="Calibri"/>
                <w:b/>
                <w:i w:val="0"/>
                <w:color w:val="212121"/>
                <w:sz w:val="19"/>
              </w:rPr>
              <w:t>Pleuritic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pain worse on deep breathing, prominent when the pleura is inflamed (empyema).</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 empyema or effusion compresses the lung and reduces ventilating volume.</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Drenching sweats, overlapping with tuberculosis, a leading Indian cause of empyema.</w:t>
            </w:r>
          </w:p>
        </w:tc>
      </w:tr>
      <w:tr>
        <w:trPr>
          <w:cantSplit/>
        </w:trPr>
        <w:tc>
          <w:tcPr>
            <w:tcW w:type="dxa" w:w="2304"/>
            <w:vAlign w:val="top"/>
          </w:tcPr>
          <w:p>
            <w:pPr>
              <w:spacing w:after="40" w:before="0" w:line="259" w:lineRule="auto"/>
            </w:pPr>
            <w:r>
              <w:rPr>
                <w:rFonts w:ascii="Calibri" w:hAnsi="Calibri"/>
                <w:b/>
                <w:i w:val="0"/>
                <w:color w:val="212121"/>
                <w:sz w:val="19"/>
              </w:rPr>
              <w:t>Loss of appetite and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Constitutional features of chronic infection; mimic TB and malignancy.</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debilitation from ongoing infection and catabolism.</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inflamed, eroded vessels within the cavity; occasionally massive.</w:t>
            </w:r>
          </w:p>
        </w:tc>
      </w:tr>
      <w:tr>
        <w:trPr>
          <w:cantSplit/>
        </w:trPr>
        <w:tc>
          <w:tcPr>
            <w:tcW w:type="dxa" w:w="2304"/>
            <w:vAlign w:val="top"/>
          </w:tcPr>
          <w:p>
            <w:pPr>
              <w:spacing w:after="40" w:before="0" w:line="259" w:lineRule="auto"/>
            </w:pPr>
            <w:r>
              <w:rPr>
                <w:rFonts w:ascii="Calibri" w:hAnsi="Calibri"/>
                <w:b/>
                <w:i w:val="0"/>
                <w:color w:val="212121"/>
                <w:sz w:val="19"/>
              </w:rPr>
              <w:t>Halitosis / foul taste in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anaerobic infection and associated poor oral hygiene.</w:t>
            </w:r>
          </w:p>
        </w:tc>
      </w:tr>
      <w:tr>
        <w:trPr>
          <w:cantSplit/>
        </w:trPr>
        <w:tc>
          <w:tcPr>
            <w:tcW w:type="dxa" w:w="2304"/>
            <w:vAlign w:val="top"/>
          </w:tcPr>
          <w:p>
            <w:pPr>
              <w:spacing w:after="40" w:before="0" w:line="259" w:lineRule="auto"/>
            </w:pPr>
            <w:r>
              <w:rPr>
                <w:rFonts w:ascii="Calibri" w:hAnsi="Calibri"/>
                <w:b/>
                <w:i w:val="0"/>
                <w:color w:val="212121"/>
                <w:sz w:val="19"/>
              </w:rPr>
              <w:t>Sudden expectoration of a large volume of pus (vomica)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Occurs when an abscess ruptures into a bronchus, discharging its contents abruptly.</w:t>
            </w:r>
          </w:p>
        </w:tc>
      </w:tr>
      <w:tr>
        <w:trPr>
          <w:cantSplit/>
        </w:trPr>
        <w:tc>
          <w:tcPr>
            <w:tcW w:type="dxa" w:w="2304"/>
            <w:vAlign w:val="top"/>
          </w:tcPr>
          <w:p>
            <w:pPr>
              <w:spacing w:after="40" w:before="0" w:line="259" w:lineRule="auto"/>
            </w:pPr>
            <w:r>
              <w:rPr>
                <w:rFonts w:ascii="Calibri" w:hAnsi="Calibri"/>
                <w:b/>
                <w:i w:val="0"/>
                <w:color w:val="212121"/>
                <w:sz w:val="19"/>
              </w:rPr>
              <w:t>Referred shoulder / upper-abdominal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diaphragmatic pleural irritation in basal empyema.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Fever, tachycardia and tachypnoea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systemic sepsis from active suppuration.</w:t>
            </w:r>
          </w:p>
        </w:tc>
      </w:tr>
      <w:tr>
        <w:trPr>
          <w:cantSplit/>
        </w:trPr>
        <w:tc>
          <w:tcPr>
            <w:tcW w:type="dxa" w:w="3456"/>
            <w:vAlign w:val="top"/>
          </w:tcPr>
          <w:p>
            <w:pPr>
              <w:spacing w:after="40" w:before="0" w:line="259" w:lineRule="auto"/>
            </w:pPr>
            <w:r>
              <w:rPr>
                <w:rFonts w:ascii="Calibri" w:hAnsi="Calibri"/>
                <w:b/>
                <w:i w:val="0"/>
                <w:color w:val="212121"/>
                <w:sz w:val="19"/>
              </w:rPr>
              <w:t>Foul (putrid) breath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anaerobic infection typical of aspiration abscess.</w:t>
            </w:r>
          </w:p>
        </w:tc>
      </w:tr>
      <w:tr>
        <w:trPr>
          <w:cantSplit/>
        </w:trPr>
        <w:tc>
          <w:tcPr>
            <w:tcW w:type="dxa" w:w="3456"/>
            <w:vAlign w:val="top"/>
          </w:tcPr>
          <w:p>
            <w:pPr>
              <w:spacing w:after="40" w:before="0" w:line="259" w:lineRule="auto"/>
            </w:pPr>
            <w:r>
              <w:rPr>
                <w:rFonts w:ascii="Calibri" w:hAnsi="Calibri"/>
                <w:b/>
                <w:i w:val="0"/>
                <w:color w:val="212121"/>
                <w:sz w:val="19"/>
              </w:rPr>
              <w:t>Reduced chest expansion on affected side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Splinting and pleural collection limit movement of the diseased hemithorax.</w:t>
            </w:r>
          </w:p>
        </w:tc>
      </w:tr>
      <w:tr>
        <w:trPr>
          <w:cantSplit/>
        </w:trPr>
        <w:tc>
          <w:tcPr>
            <w:tcW w:type="dxa" w:w="3456"/>
            <w:vAlign w:val="top"/>
          </w:tcPr>
          <w:p>
            <w:pPr>
              <w:spacing w:after="40" w:before="0" w:line="259" w:lineRule="auto"/>
            </w:pPr>
            <w:r>
              <w:rPr>
                <w:rFonts w:ascii="Calibri" w:hAnsi="Calibri"/>
                <w:b/>
                <w:i w:val="0"/>
                <w:color w:val="212121"/>
                <w:sz w:val="19"/>
              </w:rPr>
              <w:t>Stony-dull percussion note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over an empyema or large pleural effusion.</w:t>
            </w:r>
          </w:p>
        </w:tc>
      </w:tr>
      <w:tr>
        <w:trPr>
          <w:cantSplit/>
        </w:trPr>
        <w:tc>
          <w:tcPr>
            <w:tcW w:type="dxa" w:w="3456"/>
            <w:vAlign w:val="top"/>
          </w:tcPr>
          <w:p>
            <w:pPr>
              <w:spacing w:after="40" w:before="0" w:line="259" w:lineRule="auto"/>
            </w:pPr>
            <w:r>
              <w:rPr>
                <w:rFonts w:ascii="Calibri" w:hAnsi="Calibri"/>
                <w:b/>
                <w:i w:val="0"/>
                <w:color w:val="212121"/>
                <w:sz w:val="19"/>
              </w:rPr>
              <w:t>Diminished / absent breath sounds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Pus in the pleural space abolishes air entry over the collection.</w:t>
            </w:r>
          </w:p>
        </w:tc>
      </w:tr>
      <w:tr>
        <w:trPr>
          <w:cantSplit/>
        </w:trPr>
        <w:tc>
          <w:tcPr>
            <w:tcW w:type="dxa" w:w="3456"/>
            <w:vAlign w:val="top"/>
          </w:tcPr>
          <w:p>
            <w:pPr>
              <w:spacing w:after="40" w:before="0" w:line="259" w:lineRule="auto"/>
            </w:pPr>
            <w:r>
              <w:rPr>
                <w:rFonts w:ascii="Calibri" w:hAnsi="Calibri"/>
                <w:b/>
                <w:i w:val="0"/>
                <w:color w:val="212121"/>
                <w:sz w:val="19"/>
              </w:rPr>
              <w:t>Reduced tactile/vocal fremitus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Fluid interposed between lung and chest wall dampens transmitted vibration.</w:t>
            </w:r>
          </w:p>
        </w:tc>
      </w:tr>
      <w:tr>
        <w:trPr>
          <w:cantSplit/>
        </w:trPr>
        <w:tc>
          <w:tcPr>
            <w:tcW w:type="dxa" w:w="3456"/>
            <w:vAlign w:val="top"/>
          </w:tcPr>
          <w:p>
            <w:pPr>
              <w:spacing w:after="40" w:before="0" w:line="259" w:lineRule="auto"/>
            </w:pPr>
            <w:r>
              <w:rPr>
                <w:rFonts w:ascii="Calibri" w:hAnsi="Calibri"/>
                <w:b/>
                <w:i w:val="0"/>
                <w:color w:val="212121"/>
                <w:sz w:val="19"/>
              </w:rPr>
              <w:t>Localized crackles / crepitations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surrounding pneumonia or the abscess cavity.</w:t>
            </w:r>
          </w:p>
        </w:tc>
      </w:tr>
      <w:tr>
        <w:trPr>
          <w:cantSplit/>
        </w:trPr>
        <w:tc>
          <w:tcPr>
            <w:tcW w:type="dxa" w:w="3456"/>
            <w:vAlign w:val="top"/>
          </w:tcPr>
          <w:p>
            <w:pPr>
              <w:spacing w:after="40" w:before="0" w:line="259" w:lineRule="auto"/>
            </w:pPr>
            <w:r>
              <w:rPr>
                <w:rFonts w:ascii="Calibri" w:hAnsi="Calibri"/>
                <w:b/>
                <w:i w:val="0"/>
                <w:color w:val="212121"/>
                <w:sz w:val="19"/>
              </w:rPr>
              <w:t>Bronchial or amphoric breath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Heard over consolidated lung or a large air-containing cavity communicating with a bronchus.</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Develops in chronic lung abscess and long-standing empyema.</w:t>
            </w:r>
          </w:p>
        </w:tc>
      </w:tr>
      <w:tr>
        <w:trPr>
          <w:cantSplit/>
        </w:trPr>
        <w:tc>
          <w:tcPr>
            <w:tcW w:type="dxa" w:w="3456"/>
            <w:vAlign w:val="top"/>
          </w:tcPr>
          <w:p>
            <w:pPr>
              <w:spacing w:after="40" w:before="0" w:line="259" w:lineRule="auto"/>
            </w:pPr>
            <w:r>
              <w:rPr>
                <w:rFonts w:ascii="Calibri" w:hAnsi="Calibri"/>
                <w:b/>
                <w:i w:val="0"/>
                <w:color w:val="212121"/>
                <w:sz w:val="19"/>
              </w:rPr>
              <w:t>Empyema necessitans (pus tracking to chest wall)</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fluctuant chest-wall swelling or discharging sinus from neglected empyema.</w:t>
            </w:r>
          </w:p>
        </w:tc>
      </w:tr>
      <w:tr>
        <w:trPr>
          <w:cantSplit/>
        </w:trPr>
        <w:tc>
          <w:tcPr>
            <w:tcW w:type="dxa" w:w="3456"/>
            <w:vAlign w:val="top"/>
          </w:tcPr>
          <w:p>
            <w:pPr>
              <w:spacing w:after="40" w:before="0" w:line="259" w:lineRule="auto"/>
            </w:pPr>
            <w:r>
              <w:rPr>
                <w:rFonts w:ascii="Calibri" w:hAnsi="Calibri"/>
                <w:b/>
                <w:i w:val="0"/>
                <w:color w:val="212121"/>
                <w:sz w:val="19"/>
              </w:rPr>
              <w:t>Cachexia and pallor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Marks chronic, poorly controlled suppurative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Rupture of a lung abscess into the pleural space causing empyema or pyopneumothorax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Bronchopleural fistula (persistent air leak between airway and pleura)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Massive haemoptysis from erosion of a pulmonary vessel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and septic shock</w:t>
            </w:r>
          </w:p>
        </w:tc>
        <w:tc>
          <w:tcPr>
            <w:tcW w:type="dxa" w:w="2980"/>
            <w:vAlign w:val="top"/>
          </w:tcPr>
          <w:p>
            <w:pPr>
              <w:spacing w:after="40" w:before="0" w:line="259" w:lineRule="auto"/>
            </w:pPr>
            <w:r>
              <w:rPr>
                <w:rFonts w:ascii="Calibri" w:hAnsi="Calibri"/>
                <w:b w:val="0"/>
                <w:i w:val="0"/>
                <w:color w:val="212121"/>
                <w:sz w:val="19"/>
              </w:rPr>
              <w:t>Direct consequences of uncontained pus and tissue necrosis in the lung and pleura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Empyema necessitans (pus dissecting through the chest wall)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Haematogenous spread with metastatic abscess (e.g., brain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respiratory failure and 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Contralateral spread / secondary bacterial superinfection of a TB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organizing empyema with a trapped, non-expanding lung</w:t>
            </w:r>
          </w:p>
        </w:tc>
        <w:tc>
          <w:tcPr>
            <w:tcW w:type="dxa" w:w="2980"/>
            <w:vAlign w:val="top"/>
          </w:tcPr>
          <w:p>
            <w:pPr>
              <w:spacing w:after="40" w:before="0" w:line="259" w:lineRule="auto"/>
            </w:pPr>
            <w:r>
              <w:rPr>
                <w:rFonts w:ascii="Calibri" w:hAnsi="Calibri"/>
                <w:b w:val="0"/>
                <w:i w:val="0"/>
                <w:color w:val="212121"/>
                <w:sz w:val="19"/>
              </w:rPr>
              <w:t>Result from spread of infection and the inflammatory/organizing response over days to weeks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Fibrothorax with a restrictive ventilatory defect and permanent lung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and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bronchiectasis in previously infected lung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decortication or lung resection with attendant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(AA) amyloidosis from chronic suppuration; death in neglected disease</w:t>
            </w:r>
          </w:p>
        </w:tc>
        <w:tc>
          <w:tcPr>
            <w:tcW w:type="dxa" w:w="2980"/>
            <w:vAlign w:val="top"/>
          </w:tcPr>
          <w:p>
            <w:pPr>
              <w:spacing w:after="40" w:before="0" w:line="259" w:lineRule="auto"/>
            </w:pPr>
            <w:r>
              <w:rPr>
                <w:rFonts w:ascii="Calibri" w:hAnsi="Calibri"/>
                <w:b w:val="0"/>
                <w:i w:val="0"/>
                <w:color w:val="212121"/>
                <w:sz w:val="19"/>
              </w:rPr>
              <w:t>Irreversible, disabling end-results of longstanding or inadequately treated suppuration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Impairs neutrophil function; predisposes to Klebsiella and melioidosis abscess and worsens outcomes.</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Leading cause of empyema thoracis in India; also causes cavitary lung disease that may superinfect.</w:t>
            </w:r>
          </w:p>
        </w:tc>
      </w:tr>
      <w:tr>
        <w:trPr>
          <w:cantSplit/>
        </w:trPr>
        <w:tc>
          <w:tcPr>
            <w:tcW w:type="dxa" w:w="2232"/>
            <w:vAlign w:val="top"/>
          </w:tcPr>
          <w:p>
            <w:pPr>
              <w:spacing w:after="40" w:before="0" w:line="259" w:lineRule="auto"/>
            </w:pPr>
            <w:r>
              <w:rPr>
                <w:rFonts w:ascii="Calibri" w:hAnsi="Calibri"/>
                <w:b/>
                <w:i w:val="0"/>
                <w:color w:val="212121"/>
                <w:sz w:val="19"/>
              </w:rPr>
              <w:t>Alcohol-use disorder</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Promotes aspiration and impairs immunity; classic setting for anaerobic and Klebsiella abscess.</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(COPD)</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Damaged airways retain secretions, predisposing to pneumonia, abscess and empyema.</w:t>
            </w:r>
          </w:p>
        </w:tc>
      </w:tr>
      <w:tr>
        <w:trPr>
          <w:cantSplit/>
        </w:trPr>
        <w:tc>
          <w:tcPr>
            <w:tcW w:type="dxa" w:w="2232"/>
            <w:vAlign w:val="top"/>
          </w:tcPr>
          <w:p>
            <w:pPr>
              <w:spacing w:after="40" w:before="0" w:line="259" w:lineRule="auto"/>
            </w:pPr>
            <w:r>
              <w:rPr>
                <w:rFonts w:ascii="Calibri" w:hAnsi="Calibri"/>
                <w:b/>
                <w:i w:val="0"/>
                <w:color w:val="212121"/>
                <w:sz w:val="19"/>
              </w:rPr>
              <w:t>Bronchiectasis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suppurative airway disease and a recognised substrate for secondary abscess.</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Permits opportunistic and necrotizing infection; secondary abscess mortality up to ~75%.</w:t>
            </w:r>
          </w:p>
          <w:p>
            <w:pPr>
              <w:spacing w:after="40" w:before="0" w:line="259" w:lineRule="auto"/>
            </w:pPr>
            <w:r>
              <w:rPr>
                <w:rFonts w:ascii="Calibri" w:hAnsi="Calibri"/>
                <w:b/>
                <w:i w:val="0"/>
                <w:color w:val="212121"/>
                <w:sz w:val="19"/>
              </w:rPr>
              <w:t>Up to ~75%</w:t>
            </w:r>
          </w:p>
        </w:tc>
      </w:tr>
      <w:tr>
        <w:trPr>
          <w:cantSplit/>
        </w:trPr>
        <w:tc>
          <w:tcPr>
            <w:tcW w:type="dxa" w:w="2232"/>
            <w:vAlign w:val="top"/>
          </w:tcPr>
          <w:p>
            <w:pPr>
              <w:spacing w:after="40" w:before="0" w:line="259" w:lineRule="auto"/>
            </w:pPr>
            <w:r>
              <w:rPr>
                <w:rFonts w:ascii="Calibri" w:hAnsi="Calibri"/>
                <w:b/>
                <w:i w:val="0"/>
                <w:color w:val="212121"/>
                <w:sz w:val="19"/>
              </w:rPr>
              <w:t>Periodontal / dental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Supplies the anaerobic inoculum for aspiration abscess; an independent, modifiable risk factor.</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Nocturnal aspiration of gastric contents seeds the lower airway; a listed empyema risk factor.</w:t>
            </w:r>
          </w:p>
        </w:tc>
      </w:tr>
      <w:tr>
        <w:trPr>
          <w:cantSplit/>
        </w:trPr>
        <w:tc>
          <w:tcPr>
            <w:tcW w:type="dxa" w:w="2232"/>
            <w:vAlign w:val="top"/>
          </w:tcPr>
          <w:p>
            <w:pPr>
              <w:spacing w:after="40" w:before="0" w:line="259" w:lineRule="auto"/>
            </w:pPr>
            <w:r>
              <w:rPr>
                <w:rFonts w:ascii="Calibri" w:hAnsi="Calibri"/>
                <w:b/>
                <w:i w:val="0"/>
                <w:color w:val="212121"/>
                <w:sz w:val="19"/>
              </w:rPr>
              <w:t>Post-stroke dysphagia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swallow and cough drive silent aspiration, the dominant mechanism of primary abscess.</w:t>
            </w:r>
          </w:p>
        </w:tc>
      </w:tr>
      <w:tr>
        <w:trPr>
          <w:cantSplit/>
        </w:trPr>
        <w:tc>
          <w:tcPr>
            <w:tcW w:type="dxa" w:w="2232"/>
            <w:vAlign w:val="top"/>
          </w:tcPr>
          <w:p>
            <w:pPr>
              <w:spacing w:after="40" w:before="0" w:line="259" w:lineRule="auto"/>
            </w:pPr>
            <w:r>
              <w:rPr>
                <w:rFonts w:ascii="Calibri" w:hAnsi="Calibri"/>
                <w:b/>
                <w:i w:val="0"/>
                <w:color w:val="212121"/>
                <w:sz w:val="19"/>
              </w:rPr>
              <w:t>Bronchogenic carcinoma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Endobronchial obstruction produces post-obstructive (secondary) abscess; suspect in older smokers.</w:t>
            </w:r>
          </w:p>
        </w:tc>
      </w:tr>
      <w:tr>
        <w:trPr>
          <w:cantSplit/>
        </w:trPr>
        <w:tc>
          <w:tcPr>
            <w:tcW w:type="dxa" w:w="2232"/>
            <w:vAlign w:val="top"/>
          </w:tcPr>
          <w:p>
            <w:pPr>
              <w:spacing w:after="40" w:before="0" w:line="259" w:lineRule="auto"/>
            </w:pPr>
            <w:r>
              <w:rPr>
                <w:rFonts w:ascii="Calibri" w:hAnsi="Calibri"/>
                <w:b/>
                <w:i w:val="0"/>
                <w:color w:val="212121"/>
                <w:sz w:val="19"/>
              </w:rPr>
              <w:t>Malnutrition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Impairs cell-mediated immunity and healing; strongly linked with TB and poor suppurative-infection outcomes.</w:t>
            </w:r>
          </w:p>
        </w:tc>
      </w:tr>
      <w:tr>
        <w:trPr>
          <w:cantSplit/>
        </w:trPr>
        <w:tc>
          <w:tcPr>
            <w:tcW w:type="dxa" w:w="2232"/>
            <w:vAlign w:val="top"/>
          </w:tcPr>
          <w:p>
            <w:pPr>
              <w:spacing w:after="40" w:before="0" w:line="259" w:lineRule="auto"/>
            </w:pPr>
            <w:r>
              <w:rPr>
                <w:rFonts w:ascii="Calibri" w:hAnsi="Calibri"/>
                <w:b/>
                <w:i w:val="0"/>
                <w:color w:val="212121"/>
                <w:sz w:val="19"/>
              </w:rPr>
              <w:t>Injection drug use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Right-sided endocarditis showers septic emboli producing multiple lung abscesses.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oral and dental hygiene and seek regular dental care to reduce the anaerobic bacterial load that seeds aspiration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any pneumonia or tuberculosis treatment — never stop antibiotics or anti-TB therapy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(persistent fever with productive or foul-smelling sputum, pleuritic chest pain, breathlessness, coughing up pus)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aspiration risk: avoid eating or drinking when drowsy, heavily intoxicated, or sedated.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(pneumococcal, influenza) up to date and manage chronic conditions such as diabetes and COPD.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poor dentition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TB-endemic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chest physiotherapy and postural (gravity-assisted) drainage to help clear the abscess cavity or residual pleural space.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incentive spirometry and deep-breathing exercises to re-expand the lung, especially after drainage or decortication.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early after intercostal-tube insertion or surgery to reduce secretion pooling and speed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graded return to activity during the prolonged (often 4–6 week) course of antibiotics.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lung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Empyema patients with chest drains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Post-decortication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Bedridden/elderly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high-protein, high-calorie diet to support immunity and tissue repair during prolonged suppurative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dysphagia, use texture-modified/thickened diets and safe-swallow techniques (upright posture, small bites) to prevent further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gastro-oesophageal reflux and avoid large late-night meals to cut nocturnal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micronutrient deficiencies; ensure adequate protein and calories in TB- and malnutrition-associated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eating while lying down, drowsy, or intoxicated.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Post-stroke/dysphagia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TB-associated empyema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sedatives before sleep, as they depress the cough reflex and promote nocturnal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in patients with reflux or dysphagia to reduce aspiration of gastric contents.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obstructive symptoms and position bedridden patients to limit pooling of oral secretions.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Reflux-prone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Bedridden/elderly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 to restore mucociliary clearance and lower the risk of COPD, bronchiectasis and lung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counselling and pharmacotherapy — and set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which also impairs airway defences.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older smokers with a non-resolving or post-obstructive abscess, investigate for an underlying bronchial malignancy.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smokers with cavity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Bidi/hookah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stop heavy and binge drinking, the classic precipitant of aspiration lung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alcohol-use disorder, including de-addiction support and treatment of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drinking to intoxication, which abolishes protective airway reflexes.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dental care and nutrition to remove clustered risk factors.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Alcohol-use disorder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substance-use disorders that drive neglect of dental care and aspiration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the prolonged antibiotic and anti-TB regimens these infections require.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social and caregiver support for elderly or neurologically impaired patients at aspiration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alcohol and tobacco dependence as part of holistic relapse prevention.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substance-use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Elderly/neuro-impaired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Non-adherent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the need for adequate drainage (intercostal tube for empyema, or drainage/surgery for large or non-resolving abscess) alongside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 completion of the full, often prolonged (4–6 week or longer) antimicrobial course to prevent relapse and chronic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TB is excluded and, if confirmed, that full anti-tuberculosis therapy is completed under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follow-up imaging to confirm resolution and detect a trapped lung or residual cavity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lung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TB-associated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Post-drainage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5920/" TargetMode="External"/><Relationship Id="rId10" Type="http://schemas.openxmlformats.org/officeDocument/2006/relationships/hyperlink" Target="https://www.ncbi.nlm.nih.gov/books/NBK470459/" TargetMode="External"/><Relationship Id="rId11" Type="http://schemas.openxmlformats.org/officeDocument/2006/relationships/hyperlink" Target="https://pubmed.ncbi.nlm.nih.gov/29697077/" TargetMode="External"/><Relationship Id="rId12" Type="http://schemas.openxmlformats.org/officeDocument/2006/relationships/hyperlink" Target="https://pubmed.ncbi.nlm.nih.gov/33967415/" TargetMode="External"/><Relationship Id="rId13" Type="http://schemas.openxmlformats.org/officeDocument/2006/relationships/hyperlink" Target="https://www.who.int/india/health-topics/tuberculosis" TargetMode="External"/><Relationship Id="rId14" Type="http://schemas.openxmlformats.org/officeDocument/2006/relationships/hyperlink" Target="https://www.who.int/news-room/fact-sheets/detail/tuberculosis" TargetMode="External"/><Relationship Id="rId15" Type="http://schemas.openxmlformats.org/officeDocument/2006/relationships/hyperlink" Target="https://www.cdc.gov/melioidosis/about/index.html" TargetMode="External"/><Relationship Id="rId16" Type="http://schemas.openxmlformats.org/officeDocument/2006/relationships/hyperlink" Target="https://www.who.int/india/health-topics/tobacco" TargetMode="External"/><Relationship Id="rId17" Type="http://schemas.openxmlformats.org/officeDocument/2006/relationships/hyperlink" Target="https://www.ncbi.nlm.nih.gov/books/NBK459237/" TargetMode="External"/><Relationship Id="rId18" Type="http://schemas.openxmlformats.org/officeDocument/2006/relationships/hyperlink" Target="https://www.who.int/india/health-topics/diabetes" TargetMode="External"/><Relationship Id="rId19" Type="http://schemas.openxmlformats.org/officeDocument/2006/relationships/hyperlink" Target="https://pubmed.ncbi.nlm.nih.gov/34752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