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Gastritis</w:t>
      </w:r>
    </w:p>
    <w:p>
      <w:pPr>
        <w:spacing w:before="0" w:after="160"/>
      </w:pPr>
      <w:r>
        <w:rPr>
          <w:rFonts w:ascii="Calibri" w:hAnsi="Calibri"/>
          <w:b/>
          <w:i w:val="0"/>
          <w:color w:val="212121"/>
          <w:sz w:val="22"/>
        </w:rPr>
        <w:t xml:space="preserve">AKA </w:t>
      </w:r>
      <w:r>
        <w:rPr>
          <w:rFonts w:ascii="Calibri" w:hAnsi="Calibri"/>
          <w:b w:val="0"/>
          <w:i w:val="0"/>
          <w:color w:val="212121"/>
          <w:sz w:val="22"/>
        </w:rPr>
        <w:t>i.e., Gastritis, Stomach inflammation, Gastric mucosal inflammation, Acid peptic disease (gastritis type), Erosive / non-erosive gastritis, Chronic (H. pylori) gastritis, Amlapitta / Amashaya shotha (Ayurvedic lay terms)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Gastritis is inflammation of the stomach (gastric mucosal) lining, distinguished histologically from gastropathy, in which there is mucosal injury with little or no inflammation; the two often coexist. It is broadly divided into acute gastritis (sudden, often erosive or haemorrhagic injury from NSAIDs, alcohol, severe physiological stress or infection) and chronic gastritis (persistent mucosal inflammation, most often driven by Helicobacter pylori and, less commonly, by autoimmune parietal-cell destruction). In India the overwhelming majority of chronic gastritis is H. pylori-associated. Long-standing chronic gastritis can progress along the Correa cascade - non-atrophic gastritis to atrophic gastritis, intestinal metaplasia, dysplasia and ultimately gastric adenocarcinoma - which is why gastritis is clinically important well beyond its symptoms.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Gastritis is one of the most common gastrointestinal conditions in India, largely because its principal cause - H. pylori infection - is highly endemic. A 2025 systematic review and meta-analysis of 52 Indian studies across 15 states estimated a pooled H. pylori prevalence of about 58% (95% CI 51-65%), reaching 61% in people without overt GI disease and exceeding 80% in some rural populations, with wide regional variation (for example around 70% in Rajasthan, 66% in Kashmir and as low as 9% in Gujarat). Most infection is acquired in childhood and tracks strongly with poor sanitation, crowding and unsafe water. Symptomatic gastritis presents mainly as dyspepsia, which affects a large share of the community (community surveys report dyspepsia in roughly a quarter to a third of rural adults), while endoscopy of dyspeptic Indians very commonly shows antral gastritis. Reactive (chemical) gastritis is also common: an eight-centre Indian study found gastrointestinal complications - erosions, gastritis and ulcers - in about 30% of NSAID users. True atrophic and autoimmune gastritis are less frequent (autoimmune gastritis affects an estimated 2-5% of the population, chiefly older women), but matter because of their cancer and anaemia risk.</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Gastritis is frequently a histological or endoscopic diagnosis, because symptoms correlate poorly with the actual mucosal findings; upper GI endoscopy with biopsy is the reference standard, supported by non-invasive H. pylori testing and, where autoimmune disease is suspected, serology.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assessment: dyspeptic symptoms (epigastric pain or burning, postprandial fullness, early satiety, nausea) are suggestive but non-specific, so a symptom-based diagnosis alone is unreliable; alarm features (GI bleeding, unintended weight loss, progressive dysphagia, persistent vomiting, anaemia, or new dyspepsia after age 45-55) mandate prompt endoscopy.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 GI endoscopy (oesophago-gastro-duodenoscopy): directly visualises mucosal erythema, erosions, haemorrhage, atrophy and intestinal metaplasia, grades severity and, importantly, excludes peptic ulcer and gastric malignancy; it is indicated for alarm features, older/new-onset dyspepsia or treatment failure.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Gastric biopsy and histopathology (updated Sydney system): five targeted biopsies (antrum x2, incisura, corpus x2) confirm inflammation, detect H. pylori, and grade atrophy and intestinal metaplasia; OLGA and OLGIM staging (stage III-IV) identify patients at high gastric-cancer risk who need surveillance.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 pylori testing: the urea breath test and stool antigen test are the most accurate non-invasive options, while rapid urease (CLO) testing and histology are performed on endoscopic biopsies; proton-pump inhibitors and recent antibiotics should be stopped before testing to avoid false negatives. Serology cannot distinguish current from past infection.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Autoimmune (atrophic) gastritis work-up: anti-parietal-cell antibodies (sensitive) and anti-intrinsic-factor antibodies (specific), a markedly raised serum gastrin with a low pepsinogen I and low pepsinogen I/II ratio, and low serum vitamin B12 support corpus-predominant autoimmune atrophic gastritis.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Supporting blood tests: complete blood count and iron studies (iron-deficiency or macrocytic anaemia), and serum vitamin B12, help detect the anaemias that complicate chronic and autoimmune gastritis.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Gastritis is classified by time course, by endoscopic/histological pattern and by underlying cause (the Kyoto aetiology-based scheme), which together guide treatment and cancer-risk stratification:</w:t>
      </w:r>
    </w:p>
    <w:p>
      <w:pPr>
        <w:spacing w:before="0" w:after="80"/>
      </w:pPr>
      <w:r>
        <w:rPr>
          <w:rFonts w:ascii="Calibri" w:hAnsi="Calibri"/>
          <w:b w:val="0"/>
          <w:i w:val="0"/>
          <w:color w:val="212121"/>
          <w:sz w:val="21"/>
        </w:rPr>
        <w:t>(1) Acute gastritis: sudden-onset, often erosive or haemorrhagic mucosal injury caused by NSAIDs or aspirin, alcohol, severe physiological stress (critical illness, burns - Curling ulcers, head injury - Cushing ulcers), or acute H. pylori infection; it may bleed but is usually reversible once the insult is removed.</w:t>
      </w:r>
    </w:p>
    <w:p>
      <w:pPr>
        <w:spacing w:before="0" w:after="80"/>
      </w:pPr>
      <w:r>
        <w:rPr>
          <w:rFonts w:ascii="Calibri" w:hAnsi="Calibri"/>
          <w:b w:val="0"/>
          <w:i w:val="0"/>
          <w:color w:val="212121"/>
          <w:sz w:val="21"/>
        </w:rPr>
        <w:t>(2) Chronic gastritis - non-atrophic: persistent mucosal inflammation, overwhelmingly due to H. pylori, typically antrum-predominant in India; it is the commonest form and the substrate for peptic ulcer disease.</w:t>
      </w:r>
    </w:p>
    <w:p>
      <w:pPr>
        <w:spacing w:before="0" w:after="80"/>
      </w:pPr>
      <w:r>
        <w:rPr>
          <w:rFonts w:ascii="Calibri" w:hAnsi="Calibri"/>
          <w:b w:val="0"/>
          <w:i w:val="0"/>
          <w:color w:val="212121"/>
          <w:sz w:val="21"/>
        </w:rPr>
        <w:t>(3) Chronic gastritis - atrophic: loss of gastric glands with or without intestinal metaplasia. Environmental/multifocal atrophic gastritis follows long-standing H. pylori infection and diet, whereas autoimmune atrophic gastritis is a corpus-predominant, body-restricted disease. Atrophy and metaplasia are pre-malignant.</w:t>
      </w:r>
    </w:p>
    <w:p>
      <w:pPr>
        <w:spacing w:before="0" w:after="80"/>
      </w:pPr>
      <w:r>
        <w:rPr>
          <w:rFonts w:ascii="Calibri" w:hAnsi="Calibri"/>
          <w:b w:val="0"/>
          <w:i w:val="0"/>
          <w:color w:val="212121"/>
          <w:sz w:val="21"/>
        </w:rPr>
        <w:t>(4) Autoimmune gastritis: T-cell-mediated destruction of oxyntic (parietal) cells with anti-parietal-cell and anti-intrinsic-factor antibodies, causing achlorhydria, hypergastrinaemia, B12 malabsorption (pernicious anaemia) and a risk of gastric carcinoids; it predominates in older women and clusters with other autoimmune disease.</w:t>
      </w:r>
    </w:p>
    <w:p>
      <w:pPr>
        <w:spacing w:before="0" w:after="80"/>
      </w:pPr>
      <w:r>
        <w:rPr>
          <w:rFonts w:ascii="Calibri" w:hAnsi="Calibri"/>
          <w:b w:val="0"/>
          <w:i w:val="0"/>
          <w:color w:val="212121"/>
          <w:sz w:val="21"/>
        </w:rPr>
        <w:t>(5) Reactive / chemical gastropathy: injury from NSAIDs/aspirin, bile reflux or alcohol, characterised by foveolar hyperplasia with minimal inflammation.</w:t>
      </w:r>
    </w:p>
    <w:p>
      <w:pPr>
        <w:spacing w:before="0" w:after="80"/>
      </w:pPr>
      <w:r>
        <w:rPr>
          <w:rFonts w:ascii="Calibri" w:hAnsi="Calibri"/>
          <w:b w:val="0"/>
          <w:i w:val="0"/>
          <w:color w:val="212121"/>
          <w:sz w:val="21"/>
        </w:rPr>
        <w:t>(6) Special forms: lymphocytic, eosinophilic, granulomatous (e.g. Crohn's, tuberculosis, sarcoidosis) and collagenous gastritis, plus infectious gastritis from other bacteria, viruses (e.g. CMV), fungi or parasites, chiefly in the immunocompromised.</w:t>
      </w:r>
    </w:p>
    <w:p>
      <w:pPr>
        <w:spacing w:before="0" w:after="80"/>
      </w:pPr>
      <w:r>
        <w:rPr>
          <w:rFonts w:ascii="Calibri" w:hAnsi="Calibri"/>
          <w:b w:val="0"/>
          <w:i w:val="0"/>
          <w:color w:val="212121"/>
          <w:sz w:val="21"/>
        </w:rPr>
        <w:t>(7) By risk stage: histological OLGA/OLGIM staging grades atrophy and intestinal metaplasia; stages III-IV carry the highest gastric-cancer risk and warrant endoscopic surveillance.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Helicobacter pylori infection: A flagellated gram-negative bacterium acquired in childhood by the faecal-oral or oral-oral route; it is the dominant cause of chronic gastritis worldwide and in India, driving antral and then multifocal atrophic gastritis, peptic ulcer and gastric cancer.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NSAIDs and aspirin: Inhibition of mucosal prostaglandins reduces protective mucus and bicarbonate and causes reactive erosive gastropathy and bleeding; risk rises with dose, duration, age and co-use of steroids or anticoagulants.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Alcohol: Directly injures the mucosal barrier and stimulates acid, producing acute erosive/haemorrhagic gastritis, especially with binge or heavy chronic 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Autoimmunity: T-cell-mediated destruction of parietal cells with anti-parietal-cell and anti-intrinsic-factor antibodies leads to corpus-predominant atrophic gastritis, achlorhydria and pernicious anaemia.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Severe physiological stress: Critical illness, sepsis, extensive burns (Curling ulcers) and head injury (Cushing ulcers) cause mucosal ischaemia and stress-related erosive gastritis in hospitalised patients.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Bile reflux and other chemical injury: Duodeno-gastric reflux of bile (e.g. after gastric surgery) and radiation cause reactive gastropathy.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Diet, tobacco and other infections: Diets high in salt, pickled/preserved and heavily spiced food, smoking and smokeless tobacco impair mucosal defence and promote atrophy, while viral, fungal and parasitic infections cause gastritis in the immunocompromised.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Because H. pylori is usually acquired in childhood in India, the burden of chronic gastritis builds through adult life; working-age adults present most often with dyspepsia and are heavy self-medicators with antacids and acid-suppressants.</w:t>
            </w:r>
          </w:p>
          <w:p>
            <w:pPr>
              <w:spacing w:after="40" w:before="60" w:line="259" w:lineRule="auto"/>
            </w:pPr>
            <w:r>
              <w:rPr>
                <w:rFonts w:ascii="Calibri" w:hAnsi="Calibri"/>
                <w:b w:val="0"/>
                <w:i w:val="0"/>
                <w:color w:val="212121"/>
                <w:sz w:val="19"/>
              </w:rPr>
              <w:t>A meta-analysis of 52 Indian studies found a pooled H. pylori prevalence of about 58% (95% CI 51-65%), reaching 61% in people without overt GI disease - the reservoir from which adult chronic gastritis arises.</w:t>
            </w:r>
          </w:p>
          <w:p>
            <w:pPr>
              <w:spacing w:after="40" w:line="252" w:lineRule="auto"/>
            </w:pPr>
            <w:hyperlink r:id="rId9">
              <w:r>
                <w:rPr>
                  <w:rFonts w:ascii="Calibri" w:hAnsi="Calibri" w:cs="Calibri"/>
                  <w:sz w:val="18"/>
                  <w:color w:val="1155CC"/>
                  <w:u w:val="single"/>
                </w:rPr>
                <w:t xml:space="preserve">scifiniti.com - H. pylori India meta-analysis</w:t>
              </w:r>
            </w:hyperlink>
          </w:p>
          <w:p>
            <w:pPr>
              <w:spacing w:before="60" w:after="40"/>
            </w:pPr>
            <w:r>
              <w:rPr>
                <w:rFonts w:ascii="Calibri" w:hAnsi="Calibri"/>
                <w:b w:val="0"/>
                <w:i w:val="0"/>
                <w:color w:val="5A5A5A"/>
                <w:sz w:val="18"/>
              </w:rPr>
              <w:t>#gastritis  #Hpylori  #dyspepsia  #acidpeptic  #selfmedication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accumulate years of H. pylori exposure, so atrophic gastritis and intestinal metaplasia are commoner; they also use more NSAIDs and aspirin and have reduced mucosal defence, raising the risks of erosive gastritis, bleeding and gastric cancer.</w:t>
            </w:r>
          </w:p>
          <w:p>
            <w:pPr>
              <w:spacing w:after="40" w:before="60" w:line="259" w:lineRule="auto"/>
            </w:pPr>
            <w:r>
              <w:rPr>
                <w:rFonts w:ascii="Calibri" w:hAnsi="Calibri"/>
                <w:b w:val="0"/>
                <w:i w:val="0"/>
                <w:color w:val="212121"/>
                <w:sz w:val="19"/>
              </w:rPr>
              <w:t>Chronic atrophic gastritis affects roughly 25% of people globally and rises with age; in atrophic gastritis the risk of gastric cancer is about 0.25% per person-year, justifying surveillance in the elderly.</w:t>
            </w:r>
          </w:p>
          <w:p>
            <w:pPr>
              <w:spacing w:after="40" w:line="252" w:lineRule="auto"/>
            </w:pPr>
            <w:hyperlink r:id="rId10">
              <w:r>
                <w:rPr>
                  <w:rFonts w:ascii="Calibri" w:hAnsi="Calibri" w:cs="Calibri"/>
                  <w:sz w:val="18"/>
                  <w:color w:val="1155CC"/>
                  <w:u w:val="single"/>
                </w:rPr>
                <w:t xml:space="preserve">ncbi.nlm.nih.gov - StatPearls: Gastritis</w:t>
              </w:r>
            </w:hyperlink>
          </w:p>
          <w:p>
            <w:pPr>
              <w:spacing w:before="60" w:after="40"/>
            </w:pPr>
            <w:r>
              <w:rPr>
                <w:rFonts w:ascii="Calibri" w:hAnsi="Calibri"/>
                <w:b w:val="0"/>
                <w:i w:val="0"/>
                <w:color w:val="5A5A5A"/>
                <w:sz w:val="18"/>
              </w:rPr>
              <w:t>#elderly  #atrophicgastritis  #intestinalmetaplasia  #NSAIDs  #cancerrisk</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more often have erosive and H. pylori-related gastritis, driven by higher rates of smoking, smokeless tobacco, alcohol and NSAID use; Indian hospital series show a male predominance of symptomatic gastritis.</w:t>
            </w:r>
          </w:p>
          <w:p>
            <w:pPr>
              <w:spacing w:after="40" w:before="60" w:line="259" w:lineRule="auto"/>
            </w:pPr>
            <w:r>
              <w:rPr>
                <w:rFonts w:ascii="Calibri" w:hAnsi="Calibri"/>
                <w:b w:val="0"/>
                <w:i w:val="0"/>
                <w:color w:val="212121"/>
                <w:sz w:val="19"/>
              </w:rPr>
              <w:t>In a District General Hospital study from Amravati (Maharashtra), the male population was found to be at greater risk of gastritis, with peaks in the 14-25 and 36-45 year age groups.</w:t>
            </w:r>
          </w:p>
          <w:p>
            <w:pPr>
              <w:spacing w:after="40" w:line="252" w:lineRule="auto"/>
            </w:pPr>
            <w:hyperlink r:id="rId11">
              <w:r>
                <w:rPr>
                  <w:rFonts w:ascii="Calibri" w:hAnsi="Calibri" w:cs="Calibri"/>
                  <w:sz w:val="18"/>
                  <w:color w:val="1155CC"/>
                  <w:u w:val="single"/>
                </w:rPr>
                <w:t xml:space="preserve">ijhsr.org - Amravati gastritis epidemiology</w:t>
              </w:r>
            </w:hyperlink>
          </w:p>
          <w:p>
            <w:pPr>
              <w:spacing w:before="60" w:after="40"/>
            </w:pPr>
            <w:r>
              <w:rPr>
                <w:rFonts w:ascii="Calibri" w:hAnsi="Calibri"/>
                <w:b w:val="0"/>
                <w:i w:val="0"/>
                <w:color w:val="5A5A5A"/>
                <w:sz w:val="18"/>
              </w:rPr>
              <w:t>#malerisk  #tobacco  #alcohol  #erosivegastritis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(autoimmune atrophic gastritis)</w:t>
            </w:r>
          </w:p>
        </w:tc>
        <w:tc>
          <w:tcPr>
            <w:tcW w:type="dxa" w:w="4276"/>
            <w:vAlign w:val="top"/>
          </w:tcPr>
          <w:p>
            <w:pPr>
              <w:spacing w:after="60" w:line="259" w:lineRule="auto"/>
            </w:pPr>
            <w:r>
              <w:rPr>
                <w:rFonts w:ascii="Calibri" w:hAnsi="Calibri"/>
                <w:b w:val="0"/>
                <w:i w:val="0"/>
                <w:color w:val="212121"/>
                <w:sz w:val="19"/>
              </w:rPr>
              <w:t>Autoimmune atrophic gastritis, a corpus-predominant destruction of parietal cells causing pernicious anaemia and gastric carcinoids, predominates in women and increases with age; it clusters with other autoimmune diseases such as thyroiditis and type 1 diabetes.</w:t>
            </w:r>
          </w:p>
          <w:p>
            <w:pPr>
              <w:spacing w:after="40" w:before="60" w:line="259" w:lineRule="auto"/>
            </w:pPr>
            <w:r>
              <w:rPr>
                <w:rFonts w:ascii="Calibri" w:hAnsi="Calibri"/>
                <w:b w:val="0"/>
                <w:i w:val="0"/>
                <w:color w:val="212121"/>
                <w:sz w:val="19"/>
              </w:rPr>
              <w:t>Autoimmune gastritis has an estimated prevalence of 2-5%, occurring predominantly in women and older individuals, and carries a markedly raised risk of gastric neuroendocrine tumours (about 14.2 cases per 1,000 person-years versus 0.073 in the general population).</w:t>
            </w:r>
          </w:p>
          <w:p>
            <w:pPr>
              <w:spacing w:after="40" w:line="252" w:lineRule="auto"/>
            </w:pPr>
            <w:hyperlink r:id="rId10">
              <w:r>
                <w:rPr>
                  <w:rFonts w:ascii="Calibri" w:hAnsi="Calibri" w:cs="Calibri"/>
                  <w:sz w:val="18"/>
                  <w:color w:val="1155CC"/>
                  <w:u w:val="single"/>
                </w:rPr>
                <w:t xml:space="preserve">ncbi.nlm.nih.gov - StatPearls: autoimmune gastritis</w:t>
              </w:r>
            </w:hyperlink>
          </w:p>
          <w:p>
            <w:pPr>
              <w:spacing w:before="60" w:after="40"/>
            </w:pPr>
            <w:r>
              <w:rPr>
                <w:rFonts w:ascii="Calibri" w:hAnsi="Calibri"/>
                <w:b w:val="0"/>
                <w:i w:val="0"/>
                <w:color w:val="5A5A5A"/>
                <w:sz w:val="18"/>
              </w:rPr>
              <w:t>#autoimmunegastritis  #perniciousanemia  #women  #B12  #carcinoid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 crowded households</w:t>
            </w:r>
          </w:p>
        </w:tc>
        <w:tc>
          <w:tcPr>
            <w:tcW w:type="dxa" w:w="4276"/>
            <w:vAlign w:val="top"/>
          </w:tcPr>
          <w:p>
            <w:pPr>
              <w:spacing w:after="60" w:line="259" w:lineRule="auto"/>
            </w:pPr>
            <w:r>
              <w:rPr>
                <w:rFonts w:ascii="Calibri" w:hAnsi="Calibri"/>
                <w:b w:val="0"/>
                <w:i w:val="0"/>
                <w:color w:val="212121"/>
                <w:sz w:val="19"/>
              </w:rPr>
              <w:t>H. pylori transmission is faecal-oral and oral-oral, so it tracks strongly with crowding, unsafe drinking water and poor sanitation; children in lower-income households acquire it early, seeding lifelong chronic gastritis.</w:t>
            </w:r>
          </w:p>
          <w:p>
            <w:pPr>
              <w:spacing w:after="40" w:before="60" w:line="259" w:lineRule="auto"/>
            </w:pPr>
            <w:r>
              <w:rPr>
                <w:rFonts w:ascii="Calibri" w:hAnsi="Calibri"/>
                <w:b w:val="0"/>
                <w:i w:val="0"/>
                <w:color w:val="212121"/>
                <w:sz w:val="19"/>
              </w:rPr>
              <w:t>H. pylori is typically acquired in childhood and its risk inversely correlates with sanitary conditions; in rural India prevalence reaches 80% or more, with contaminated water a primary mode of transmission.</w:t>
            </w:r>
          </w:p>
          <w:p>
            <w:pPr>
              <w:spacing w:after="40" w:line="252" w:lineRule="auto"/>
            </w:pPr>
            <w:hyperlink r:id="rId12">
              <w:r>
                <w:rPr>
                  <w:rFonts w:ascii="Calibri" w:hAnsi="Calibri" w:cs="Calibri"/>
                  <w:sz w:val="18"/>
                  <w:color w:val="1155CC"/>
                  <w:u w:val="single"/>
                </w:rPr>
                <w:t xml:space="preserve">ijmr.org.in - H. pylori in India (ICMR/IJMR)</w:t>
              </w:r>
            </w:hyperlink>
          </w:p>
          <w:p>
            <w:pPr>
              <w:spacing w:before="60" w:after="40"/>
            </w:pPr>
            <w:r>
              <w:rPr>
                <w:rFonts w:ascii="Calibri" w:hAnsi="Calibri"/>
                <w:b w:val="0"/>
                <w:i w:val="0"/>
                <w:color w:val="5A5A5A"/>
                <w:sz w:val="18"/>
              </w:rPr>
              <w:t>#socioeconomic  #sanitation  #unsafewater  #crowding  #childhoodinfection</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vs South India, high-incidence Northeast</w:t>
            </w:r>
          </w:p>
        </w:tc>
        <w:tc>
          <w:tcPr>
            <w:tcW w:type="dxa" w:w="4276"/>
            <w:vAlign w:val="top"/>
          </w:tcPr>
          <w:p>
            <w:pPr>
              <w:spacing w:after="60" w:line="259" w:lineRule="auto"/>
            </w:pPr>
            <w:r>
              <w:rPr>
                <w:rFonts w:ascii="Calibri" w:hAnsi="Calibri"/>
                <w:b w:val="0"/>
                <w:i w:val="0"/>
                <w:color w:val="212121"/>
                <w:sz w:val="19"/>
              </w:rPr>
              <w:t>Despite uniformly high H. pylori rates, the pattern of gastritis varies with regional diet: southern tropical diets favour antral non-atrophic gastritis and duodenal ulcer, whereas northern and food-preservation-heavy regions favour pangastritis, gastric ulcer and higher gastric-cancer risk (notably in the Northeast).</w:t>
            </w:r>
          </w:p>
          <w:p>
            <w:pPr>
              <w:spacing w:after="40" w:before="60" w:line="259" w:lineRule="auto"/>
            </w:pPr>
            <w:r>
              <w:rPr>
                <w:rFonts w:ascii="Calibri" w:hAnsi="Calibri"/>
                <w:b w:val="0"/>
                <w:i w:val="0"/>
                <w:color w:val="212121"/>
                <w:sz w:val="19"/>
              </w:rPr>
              <w:t>H. pylori prevalence ranges widely across Indian states (about 70% in Rajasthan, 66% in Kashmir, down to 9% in Gujarat), and gastric-cancer incidence varies from 2 to 57 per 100,000 - the so-called Indian enigma.</w:t>
            </w:r>
          </w:p>
          <w:p>
            <w:pPr>
              <w:spacing w:after="40" w:line="252" w:lineRule="auto"/>
            </w:pPr>
            <w:hyperlink r:id="rId12">
              <w:r>
                <w:rPr>
                  <w:rFonts w:ascii="Calibri" w:hAnsi="Calibri" w:cs="Calibri"/>
                  <w:sz w:val="18"/>
                  <w:color w:val="1155CC"/>
                  <w:u w:val="single"/>
                </w:rPr>
                <w:t xml:space="preserve">ijmr.org.in - regional H. pylori &amp; gastric cancer</w:t>
              </w:r>
            </w:hyperlink>
          </w:p>
          <w:p>
            <w:pPr>
              <w:spacing w:before="60" w:after="40"/>
            </w:pPr>
            <w:r>
              <w:rPr>
                <w:rFonts w:ascii="Calibri" w:hAnsi="Calibri"/>
                <w:b w:val="0"/>
                <w:i w:val="0"/>
                <w:color w:val="5A5A5A"/>
                <w:sz w:val="18"/>
              </w:rPr>
              <w:t>#regionalvariation  #Indianenigma  #pangastritis  #northeastIndia  #gastriccancer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smokeless-tobacco (gutka/khaini) users</w:t>
            </w:r>
          </w:p>
        </w:tc>
        <w:tc>
          <w:tcPr>
            <w:tcW w:type="dxa" w:w="4276"/>
            <w:vAlign w:val="top"/>
          </w:tcPr>
          <w:p>
            <w:pPr>
              <w:spacing w:after="60" w:line="259" w:lineRule="auto"/>
            </w:pPr>
            <w:r>
              <w:rPr>
                <w:rFonts w:ascii="Calibri" w:hAnsi="Calibri"/>
                <w:b w:val="0"/>
                <w:i w:val="0"/>
                <w:color w:val="212121"/>
                <w:sz w:val="19"/>
              </w:rPr>
              <w:t>Smoking and smokeless tobacco impair gastric mucosal blood flow, reduce protective prostaglandins and bicarbonate, promote H. pylori colonisation and delay ulcer healing, increasing chronic and erosive gastritis; tobacco chewing is a culturally specific Indian risk factor.</w:t>
            </w:r>
          </w:p>
          <w:p>
            <w:pPr>
              <w:spacing w:after="40" w:before="60" w:line="259" w:lineRule="auto"/>
            </w:pPr>
            <w:r>
              <w:rPr>
                <w:rFonts w:ascii="Calibri" w:hAnsi="Calibri"/>
                <w:b w:val="0"/>
                <w:i w:val="0"/>
                <w:color w:val="212121"/>
                <w:sz w:val="19"/>
              </w:rPr>
              <w:t>In rural Indian community endoscopy, smoking tobacco was the only factor independently associated with dyspepsia on multivariate analysis; tobacco use is a recognised aggravating factor for gastritis.</w:t>
            </w:r>
          </w:p>
          <w:p>
            <w:pPr>
              <w:spacing w:after="40" w:line="252" w:lineRule="auto"/>
            </w:pPr>
            <w:hyperlink r:id="rId11">
              <w:r>
                <w:rPr>
                  <w:rFonts w:ascii="Calibri" w:hAnsi="Calibri" w:cs="Calibri"/>
                  <w:sz w:val="18"/>
                  <w:color w:val="1155CC"/>
                  <w:u w:val="single"/>
                </w:rPr>
                <w:t xml:space="preserve">ijhsr.org - tobacco and gastritis</w:t>
              </w:r>
            </w:hyperlink>
          </w:p>
          <w:p>
            <w:pPr>
              <w:spacing w:before="60" w:after="40"/>
            </w:pPr>
            <w:r>
              <w:rPr>
                <w:rFonts w:ascii="Calibri" w:hAnsi="Calibri"/>
                <w:b w:val="0"/>
                <w:i w:val="0"/>
                <w:color w:val="5A5A5A"/>
                <w:sz w:val="18"/>
              </w:rPr>
              <w:t>#smoking  #gutka  #khaini  #tobacco  #mucosaldefence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and binge drinkers</w:t>
            </w:r>
          </w:p>
        </w:tc>
        <w:tc>
          <w:tcPr>
            <w:tcW w:type="dxa" w:w="4276"/>
            <w:vAlign w:val="top"/>
          </w:tcPr>
          <w:p>
            <w:pPr>
              <w:spacing w:after="60" w:line="259" w:lineRule="auto"/>
            </w:pPr>
            <w:r>
              <w:rPr>
                <w:rFonts w:ascii="Calibri" w:hAnsi="Calibri"/>
                <w:b w:val="0"/>
                <w:i w:val="0"/>
                <w:color w:val="212121"/>
                <w:sz w:val="19"/>
              </w:rPr>
              <w:t>Alcohol directly disrupts the gastric mucosal barrier and stimulates acid secretion, producing acute erosive and haemorrhagic gastritis; binge drinking and spirits on an empty stomach are the most damaging patterns.</w:t>
            </w:r>
          </w:p>
          <w:p>
            <w:pPr>
              <w:spacing w:after="40" w:before="60" w:line="259" w:lineRule="auto"/>
            </w:pPr>
            <w:r>
              <w:rPr>
                <w:rFonts w:ascii="Calibri" w:hAnsi="Calibri"/>
                <w:b w:val="0"/>
                <w:i w:val="0"/>
                <w:color w:val="212121"/>
                <w:sz w:val="19"/>
              </w:rPr>
              <w:t>Substance use (including alcohol) was independently associated with gastritis in a cross-sectional study (adjusted OR 1.48, 95% CI 1.09-2.00); heavy and binge drinking cause acute erosive/haemorrhagic gastritis.</w:t>
            </w:r>
          </w:p>
          <w:p>
            <w:pPr>
              <w:spacing w:after="40" w:line="252" w:lineRule="auto"/>
            </w:pPr>
            <w:hyperlink r:id="rId13">
              <w:r>
                <w:rPr>
                  <w:rFonts w:ascii="Calibri" w:hAnsi="Calibri" w:cs="Calibri"/>
                  <w:sz w:val="18"/>
                  <w:color w:val="1155CC"/>
                  <w:u w:val="single"/>
                </w:rPr>
                <w:t xml:space="preserve">journals.plos.org - gastritis risk factors</w:t>
              </w:r>
            </w:hyperlink>
          </w:p>
          <w:p>
            <w:pPr>
              <w:spacing w:before="60" w:after="40"/>
            </w:pPr>
            <w:r>
              <w:rPr>
                <w:rFonts w:ascii="Calibri" w:hAnsi="Calibri"/>
                <w:b w:val="0"/>
                <w:i w:val="0"/>
                <w:color w:val="5A5A5A"/>
                <w:sz w:val="18"/>
              </w:rPr>
              <w:t>#alcohol  #erosivegastritis  #hemorrhagic  #bingedrinking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NSAID / analgesic use</w:t>
            </w:r>
          </w:p>
        </w:tc>
        <w:tc>
          <w:tcPr>
            <w:tcW w:type="dxa" w:w="2160"/>
            <w:vAlign w:val="top"/>
          </w:tcPr>
          <w:p>
            <w:pPr>
              <w:spacing w:after="40" w:before="0" w:line="259" w:lineRule="auto"/>
            </w:pPr>
            <w:r>
              <w:rPr>
                <w:rFonts w:ascii="Calibri" w:hAnsi="Calibri"/>
                <w:b w:val="0"/>
                <w:i w:val="0"/>
                <w:color w:val="212121"/>
                <w:sz w:val="19"/>
              </w:rPr>
              <w:t>Chronic NSAID and aspirin users</w:t>
            </w:r>
          </w:p>
        </w:tc>
        <w:tc>
          <w:tcPr>
            <w:tcW w:type="dxa" w:w="4276"/>
            <w:vAlign w:val="top"/>
          </w:tcPr>
          <w:p>
            <w:pPr>
              <w:spacing w:after="60" w:line="259" w:lineRule="auto"/>
            </w:pPr>
            <w:r>
              <w:rPr>
                <w:rFonts w:ascii="Calibri" w:hAnsi="Calibri"/>
                <w:b w:val="0"/>
                <w:i w:val="0"/>
                <w:color w:val="212121"/>
                <w:sz w:val="19"/>
              </w:rPr>
              <w:t>NSAIDs and aspirin inhibit cyclo-oxygenase and deplete protective mucosal prostaglandins, causing reactive erosive gastropathy, ulcers and bleeding; over-the-counter analgesic use for arthritis, backache and headache is widespread and often unsupervised in India.</w:t>
            </w:r>
          </w:p>
          <w:p>
            <w:pPr>
              <w:spacing w:after="40" w:before="60" w:line="259" w:lineRule="auto"/>
            </w:pPr>
            <w:r>
              <w:rPr>
                <w:rFonts w:ascii="Calibri" w:hAnsi="Calibri"/>
                <w:b w:val="0"/>
                <w:i w:val="0"/>
                <w:color w:val="212121"/>
                <w:sz w:val="19"/>
              </w:rPr>
              <w:t>An eight-centre Indian study of 724 patients found a 30.08% point prevalence of gastrointestinal complications - gastric/duodenal erosions, ulcers and gastritis - associated with NSAID use.</w:t>
            </w:r>
          </w:p>
          <w:p>
            <w:pPr>
              <w:spacing w:after="40" w:line="252" w:lineRule="auto"/>
            </w:pPr>
            <w:hyperlink r:id="rId14">
              <w:r>
                <w:rPr>
                  <w:rFonts w:ascii="Calibri" w:hAnsi="Calibri" w:cs="Calibri"/>
                  <w:sz w:val="18"/>
                  <w:color w:val="1155CC"/>
                  <w:u w:val="single"/>
                </w:rPr>
                <w:t xml:space="preserve">gastrores.org - NSAID GI complications in India</w:t>
              </w:r>
            </w:hyperlink>
          </w:p>
          <w:p>
            <w:pPr>
              <w:spacing w:before="60" w:after="40"/>
            </w:pPr>
            <w:r>
              <w:rPr>
                <w:rFonts w:ascii="Calibri" w:hAnsi="Calibri"/>
                <w:b w:val="0"/>
                <w:i w:val="0"/>
                <w:color w:val="5A5A5A"/>
                <w:sz w:val="18"/>
              </w:rPr>
              <w:t>#NSAIDs  #aspirin  #reactivegastropathy  #GIbleed  #analgesics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Meal pattern and stress</w:t>
            </w:r>
          </w:p>
        </w:tc>
        <w:tc>
          <w:tcPr>
            <w:tcW w:type="dxa" w:w="2160"/>
            <w:vAlign w:val="top"/>
          </w:tcPr>
          <w:p>
            <w:pPr>
              <w:spacing w:after="40" w:before="0" w:line="259" w:lineRule="auto"/>
            </w:pPr>
            <w:r>
              <w:rPr>
                <w:rFonts w:ascii="Calibri" w:hAnsi="Calibri"/>
                <w:b w:val="0"/>
                <w:i w:val="0"/>
                <w:color w:val="212121"/>
                <w:sz w:val="19"/>
              </w:rPr>
              <w:t>Irregular eaters, shift/high-stress workers</w:t>
            </w:r>
          </w:p>
        </w:tc>
        <w:tc>
          <w:tcPr>
            <w:tcW w:type="dxa" w:w="4276"/>
            <w:vAlign w:val="top"/>
          </w:tcPr>
          <w:p>
            <w:pPr>
              <w:spacing w:after="60" w:line="259" w:lineRule="auto"/>
            </w:pPr>
            <w:r>
              <w:rPr>
                <w:rFonts w:ascii="Calibri" w:hAnsi="Calibri"/>
                <w:b w:val="0"/>
                <w:i w:val="0"/>
                <w:color w:val="212121"/>
                <w:sz w:val="19"/>
              </w:rPr>
              <w:t>Skipping meals, eating too fast, long fasting gaps and high psychological stress heighten acid exposure and symptom perception and overlap with functional dyspepsia; night-shift and pressured urban work patterns worsen this.</w:t>
            </w:r>
          </w:p>
          <w:p>
            <w:pPr>
              <w:spacing w:after="40" w:before="60" w:line="259" w:lineRule="auto"/>
            </w:pPr>
            <w:r>
              <w:rPr>
                <w:rFonts w:ascii="Calibri" w:hAnsi="Calibri"/>
                <w:b w:val="0"/>
                <w:i w:val="0"/>
                <w:color w:val="212121"/>
                <w:sz w:val="19"/>
              </w:rPr>
              <w:t>Stress and anxiety were strongly associated with gastritis (adjusted OR 2.17, 95% CI 1.38-3.41), and not skipping or delaying meals was protective (OR 0.74, 95% CI 0.55-0.99).</w:t>
            </w:r>
          </w:p>
          <w:p>
            <w:pPr>
              <w:spacing w:after="40" w:line="252" w:lineRule="auto"/>
            </w:pPr>
            <w:hyperlink r:id="rId13">
              <w:r>
                <w:rPr>
                  <w:rFonts w:ascii="Calibri" w:hAnsi="Calibri" w:cs="Calibri"/>
                  <w:sz w:val="18"/>
                  <w:color w:val="1155CC"/>
                  <w:u w:val="single"/>
                </w:rPr>
                <w:t xml:space="preserve">journals.plos.org - stress, meal timing &amp; gastritis</w:t>
              </w:r>
            </w:hyperlink>
          </w:p>
          <w:p>
            <w:pPr>
              <w:spacing w:before="60" w:after="40"/>
            </w:pPr>
            <w:r>
              <w:rPr>
                <w:rFonts w:ascii="Calibri" w:hAnsi="Calibri"/>
                <w:b w:val="0"/>
                <w:i w:val="0"/>
                <w:color w:val="5A5A5A"/>
                <w:sz w:val="18"/>
              </w:rPr>
              <w:t>#stress  #irregularmeals  #shiftwork  #functionaldyspepsia  #mealtiming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Heavy spicy, salty, fried and pickled/preserved food eaters</w:t>
            </w:r>
          </w:p>
        </w:tc>
        <w:tc>
          <w:tcPr>
            <w:tcW w:type="dxa" w:w="4276"/>
            <w:vAlign w:val="top"/>
          </w:tcPr>
          <w:p>
            <w:pPr>
              <w:spacing w:after="60" w:line="259" w:lineRule="auto"/>
            </w:pPr>
            <w:r>
              <w:rPr>
                <w:rFonts w:ascii="Calibri" w:hAnsi="Calibri"/>
                <w:b w:val="0"/>
                <w:i w:val="0"/>
                <w:color w:val="212121"/>
                <w:sz w:val="19"/>
              </w:rPr>
              <w:t>Very spicy (chilli/capsaicin), salty, fried and pickled or preserved foods irritate the gastric mucosa, stimulate acid and, in the case of salt and preserved foods, promote atrophy and gastric carcinogenesis - a pattern relevant to several Indian regional cuisines.</w:t>
            </w:r>
          </w:p>
          <w:p>
            <w:pPr>
              <w:spacing w:after="40" w:before="60" w:line="259" w:lineRule="auto"/>
            </w:pPr>
            <w:r>
              <w:rPr>
                <w:rFonts w:ascii="Calibri" w:hAnsi="Calibri"/>
                <w:b w:val="0"/>
                <w:i w:val="0"/>
                <w:color w:val="212121"/>
                <w:sz w:val="19"/>
              </w:rPr>
              <w:t>Eating spiced foods was independently associated with gastritis (adjusted OR 1.51, 95% CI 1.05-2.17); salt- and preservation-heavy diets in parts of India are linked to pangastritis and higher gastric-cancer risk.</w:t>
            </w:r>
          </w:p>
          <w:p>
            <w:pPr>
              <w:spacing w:after="40" w:line="252" w:lineRule="auto"/>
            </w:pPr>
            <w:hyperlink r:id="rId13">
              <w:r>
                <w:rPr>
                  <w:rFonts w:ascii="Calibri" w:hAnsi="Calibri" w:cs="Calibri"/>
                  <w:sz w:val="18"/>
                  <w:color w:val="1155CC"/>
                  <w:u w:val="single"/>
                </w:rPr>
                <w:t xml:space="preserve">journals.plos.org - spicy food &amp; gastritis</w:t>
              </w:r>
            </w:hyperlink>
          </w:p>
          <w:p>
            <w:pPr>
              <w:spacing w:before="60" w:after="40"/>
            </w:pPr>
            <w:r>
              <w:rPr>
                <w:rFonts w:ascii="Calibri" w:hAnsi="Calibri"/>
                <w:b w:val="0"/>
                <w:i w:val="0"/>
                <w:color w:val="5A5A5A"/>
                <w:sz w:val="18"/>
              </w:rPr>
              <w:t>#spicyfood  #salt  #pickles  #friedfood  #Indiandiet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Beverages and eating behaviour</w:t>
            </w:r>
          </w:p>
        </w:tc>
        <w:tc>
          <w:tcPr>
            <w:tcW w:type="dxa" w:w="2160"/>
            <w:vAlign w:val="top"/>
          </w:tcPr>
          <w:p>
            <w:pPr>
              <w:spacing w:after="40" w:before="0" w:line="259" w:lineRule="auto"/>
            </w:pPr>
            <w:r>
              <w:rPr>
                <w:rFonts w:ascii="Calibri" w:hAnsi="Calibri"/>
                <w:b w:val="0"/>
                <w:i w:val="0"/>
                <w:color w:val="212121"/>
                <w:sz w:val="19"/>
              </w:rPr>
              <w:t>Heavy tea/coffee drinkers, fast eaters</w:t>
            </w:r>
          </w:p>
        </w:tc>
        <w:tc>
          <w:tcPr>
            <w:tcW w:type="dxa" w:w="4276"/>
            <w:vAlign w:val="top"/>
          </w:tcPr>
          <w:p>
            <w:pPr>
              <w:spacing w:after="60" w:line="259" w:lineRule="auto"/>
            </w:pPr>
            <w:r>
              <w:rPr>
                <w:rFonts w:ascii="Calibri" w:hAnsi="Calibri"/>
                <w:b w:val="0"/>
                <w:i w:val="0"/>
                <w:color w:val="212121"/>
                <w:sz w:val="19"/>
              </w:rPr>
              <w:t>Strong tea and coffee stimulate gastric acid and can aggravate mucosal inflammation, while eating too fast and consuming leftover or contaminated food are common behavioural triggers of gastritis symptoms.</w:t>
            </w:r>
          </w:p>
          <w:p>
            <w:pPr>
              <w:spacing w:after="40" w:before="60" w:line="259" w:lineRule="auto"/>
            </w:pPr>
            <w:r>
              <w:rPr>
                <w:rFonts w:ascii="Calibri" w:hAnsi="Calibri"/>
                <w:b w:val="0"/>
                <w:i w:val="0"/>
                <w:color w:val="212121"/>
                <w:sz w:val="19"/>
              </w:rPr>
              <w:t>Among chronic gastritis patients, 52.85% reported eating too fast and 29.66% had irregular mealtimes; about 58% believed their symptoms were affected by dietary factors.</w:t>
            </w:r>
          </w:p>
          <w:p>
            <w:pPr>
              <w:spacing w:after="40" w:line="252" w:lineRule="auto"/>
            </w:pPr>
            <w:hyperlink r:id="rId15">
              <w:r>
                <w:rPr>
                  <w:rFonts w:ascii="Calibri" w:hAnsi="Calibri" w:cs="Calibri"/>
                  <w:sz w:val="18"/>
                  <w:color w:val="1155CC"/>
                  <w:u w:val="single"/>
                </w:rPr>
                <w:t xml:space="preserve">pmc.ncbi.nlm.nih.gov - eating habits &amp; chronic gastritis</w:t>
              </w:r>
            </w:hyperlink>
          </w:p>
          <w:p>
            <w:pPr>
              <w:spacing w:before="60" w:after="40"/>
            </w:pPr>
            <w:r>
              <w:rPr>
                <w:rFonts w:ascii="Calibri" w:hAnsi="Calibri"/>
                <w:b w:val="0"/>
                <w:i w:val="0"/>
                <w:color w:val="5A5A5A"/>
                <w:sz w:val="18"/>
              </w:rPr>
              <w:t>#tea  #coffee  #caffeine  #eatingfast  #dietarytriggers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H. pylori, gastric cancer or autoimmunity</w:t>
            </w:r>
          </w:p>
        </w:tc>
        <w:tc>
          <w:tcPr>
            <w:tcW w:type="dxa" w:w="4276"/>
            <w:vAlign w:val="top"/>
          </w:tcPr>
          <w:p>
            <w:pPr>
              <w:spacing w:after="60" w:line="259" w:lineRule="auto"/>
            </w:pPr>
            <w:r>
              <w:rPr>
                <w:rFonts w:ascii="Calibri" w:hAnsi="Calibri"/>
                <w:b w:val="0"/>
                <w:i w:val="0"/>
                <w:color w:val="212121"/>
                <w:sz w:val="19"/>
              </w:rPr>
              <w:t>Families share H. pylori strains through close contact, and there is heritable susceptibility to gastric cancer (including a role for blood group A) and to autoimmune atrophic gastritis, which clusters with other autoimmune disease.</w:t>
            </w:r>
          </w:p>
          <w:p>
            <w:pPr>
              <w:spacing w:after="40" w:before="60" w:line="259" w:lineRule="auto"/>
            </w:pPr>
            <w:r>
              <w:rPr>
                <w:rFonts w:ascii="Calibri" w:hAnsi="Calibri"/>
                <w:b w:val="0"/>
                <w:i w:val="0"/>
                <w:color w:val="212121"/>
                <w:sz w:val="19"/>
              </w:rPr>
              <w:t>Intra-familial transmission of H. pylori is well recognised, and a family history of gastric cancer plus blood group A were noted as risk associations in Indian gastritis patients.</w:t>
            </w:r>
          </w:p>
          <w:p>
            <w:pPr>
              <w:spacing w:after="40" w:line="252" w:lineRule="auto"/>
            </w:pPr>
            <w:hyperlink r:id="rId11">
              <w:r>
                <w:rPr>
                  <w:rFonts w:ascii="Calibri" w:hAnsi="Calibri" w:cs="Calibri"/>
                  <w:sz w:val="18"/>
                  <w:color w:val="1155CC"/>
                  <w:u w:val="single"/>
                </w:rPr>
                <w:t xml:space="preserve">ijhsr.org - family history &amp; blood group A</w:t>
              </w:r>
            </w:hyperlink>
          </w:p>
          <w:p>
            <w:pPr>
              <w:spacing w:before="60" w:after="40"/>
            </w:pPr>
            <w:r>
              <w:rPr>
                <w:rFonts w:ascii="Calibri" w:hAnsi="Calibri"/>
                <w:b w:val="0"/>
                <w:i w:val="0"/>
                <w:color w:val="5A5A5A"/>
                <w:sz w:val="18"/>
              </w:rPr>
              <w:t>#familyhistory  #bloodgroupA  #heritability  #autoimmunecluster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 pylori infection</w:t>
            </w:r>
          </w:p>
        </w:tc>
        <w:tc>
          <w:tcPr>
            <w:tcW w:type="dxa" w:w="2160"/>
            <w:vAlign w:val="top"/>
          </w:tcPr>
          <w:p>
            <w:pPr>
              <w:spacing w:after="40" w:before="0" w:line="259" w:lineRule="auto"/>
            </w:pPr>
            <w:r>
              <w:rPr>
                <w:rFonts w:ascii="Calibri" w:hAnsi="Calibri"/>
                <w:b w:val="0"/>
                <w:i w:val="0"/>
                <w:color w:val="212121"/>
                <w:sz w:val="19"/>
              </w:rPr>
              <w:t>H. pylori-infected individuals</w:t>
            </w:r>
          </w:p>
        </w:tc>
        <w:tc>
          <w:tcPr>
            <w:tcW w:type="dxa" w:w="4276"/>
            <w:vAlign w:val="top"/>
          </w:tcPr>
          <w:p>
            <w:pPr>
              <w:spacing w:after="60" w:line="259" w:lineRule="auto"/>
            </w:pPr>
            <w:r>
              <w:rPr>
                <w:rFonts w:ascii="Calibri" w:hAnsi="Calibri"/>
                <w:b w:val="0"/>
                <w:i w:val="0"/>
                <w:color w:val="212121"/>
                <w:sz w:val="19"/>
              </w:rPr>
              <w:t>H. pylori is the single most important cause of chronic gastritis; it establishes lifelong antral or multifocal infection, driving inflammation that can progress through atrophy and intestinal metaplasia to cancer, and underlies most peptic ulcers.</w:t>
            </w:r>
          </w:p>
          <w:p>
            <w:pPr>
              <w:spacing w:after="40" w:before="60" w:line="259" w:lineRule="auto"/>
            </w:pPr>
            <w:r>
              <w:rPr>
                <w:rFonts w:ascii="Calibri" w:hAnsi="Calibri"/>
                <w:b w:val="0"/>
                <w:i w:val="0"/>
                <w:color w:val="212121"/>
                <w:sz w:val="19"/>
              </w:rPr>
              <w:t>H. pylori was classified by IARC as a group 1 (definite) carcinogen in 1994; atrophy or intestinal metaplasia was found in 28% of infected versus 4% of uninfected people, and intestinal metaplasia occurs in about 60% of those with long-standing infection.</w:t>
            </w:r>
          </w:p>
          <w:p>
            <w:pPr>
              <w:spacing w:after="40" w:line="252" w:lineRule="auto"/>
            </w:pPr>
            <w:hyperlink r:id="rId16">
              <w:r>
                <w:rPr>
                  <w:rFonts w:ascii="Calibri" w:hAnsi="Calibri" w:cs="Calibri"/>
                  <w:sz w:val="18"/>
                  <w:color w:val="1155CC"/>
                  <w:u w:val="single"/>
                </w:rPr>
                <w:t xml:space="preserve">ncbi.nlm.nih.gov - H. pylori &amp; gastric cancer (IARC)</w:t>
              </w:r>
            </w:hyperlink>
          </w:p>
          <w:p>
            <w:pPr>
              <w:spacing w:before="60" w:after="40"/>
            </w:pPr>
            <w:r>
              <w:rPr>
                <w:rFonts w:ascii="Calibri" w:hAnsi="Calibri"/>
                <w:b w:val="0"/>
                <w:i w:val="0"/>
                <w:color w:val="5A5A5A"/>
                <w:sz w:val="18"/>
              </w:rPr>
              <w:t>#Hpylori  #IARC  #Correacascade  #intestinalmetaplasia  #carcinogen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Peptic ulcer disease</w:t>
            </w:r>
          </w:p>
        </w:tc>
        <w:tc>
          <w:tcPr>
            <w:tcW w:type="dxa" w:w="2160"/>
            <w:vAlign w:val="top"/>
          </w:tcPr>
          <w:p>
            <w:pPr>
              <w:spacing w:after="40" w:before="0" w:line="259" w:lineRule="auto"/>
            </w:pPr>
            <w:r>
              <w:rPr>
                <w:rFonts w:ascii="Calibri" w:hAnsi="Calibri"/>
                <w:b w:val="0"/>
                <w:i w:val="0"/>
                <w:color w:val="212121"/>
                <w:sz w:val="19"/>
              </w:rPr>
              <w:t>Patients with gastric or duodenal ulcers</w:t>
            </w:r>
          </w:p>
        </w:tc>
        <w:tc>
          <w:tcPr>
            <w:tcW w:type="dxa" w:w="4276"/>
            <w:vAlign w:val="top"/>
          </w:tcPr>
          <w:p>
            <w:pPr>
              <w:spacing w:after="60" w:line="259" w:lineRule="auto"/>
            </w:pPr>
            <w:r>
              <w:rPr>
                <w:rFonts w:ascii="Calibri" w:hAnsi="Calibri"/>
                <w:b w:val="0"/>
                <w:i w:val="0"/>
                <w:color w:val="212121"/>
                <w:sz w:val="19"/>
              </w:rPr>
              <w:t>Gastritis and peptic ulcer disease lie on the same acid-peptic spectrum; H. pylori and NSAIDs cause both, and chronic active gastritis is the mucosal background from which most ulcers develop.</w:t>
            </w:r>
          </w:p>
          <w:p>
            <w:pPr>
              <w:spacing w:after="40" w:before="60" w:line="259" w:lineRule="auto"/>
            </w:pPr>
            <w:r>
              <w:rPr>
                <w:rFonts w:ascii="Calibri" w:hAnsi="Calibri"/>
                <w:b w:val="0"/>
                <w:i w:val="0"/>
                <w:color w:val="212121"/>
                <w:sz w:val="19"/>
              </w:rPr>
              <w:t>H. pylori prevalence is about 68% in Indian peptic ulcer and 76% in duodenal ulcer; in India duodenal ulcers outnumber gastric ulcers by roughly 8:1 to 30:1, reflecting antral-predominant gastritis.</w:t>
            </w:r>
          </w:p>
          <w:p>
            <w:pPr>
              <w:spacing w:after="40" w:line="252" w:lineRule="auto"/>
            </w:pPr>
            <w:hyperlink r:id="rId9">
              <w:r>
                <w:rPr>
                  <w:rFonts w:ascii="Calibri" w:hAnsi="Calibri" w:cs="Calibri"/>
                  <w:sz w:val="18"/>
                  <w:color w:val="1155CC"/>
                  <w:u w:val="single"/>
                </w:rPr>
                <w:t xml:space="preserve">scifiniti.com - H. pylori in peptic/duodenal ulcer</w:t>
              </w:r>
            </w:hyperlink>
          </w:p>
          <w:p>
            <w:pPr>
              <w:spacing w:before="60" w:after="40"/>
            </w:pPr>
            <w:r>
              <w:rPr>
                <w:rFonts w:ascii="Calibri" w:hAnsi="Calibri"/>
                <w:b w:val="0"/>
                <w:i w:val="0"/>
                <w:color w:val="5A5A5A"/>
                <w:sz w:val="18"/>
              </w:rPr>
              <w:t>#pepticulcer  #duodenalulcer  #acidpeptic  #Hpylori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Autoimmune thyroiditis, type 1 diabetes, vitiligo</w:t>
            </w:r>
          </w:p>
        </w:tc>
        <w:tc>
          <w:tcPr>
            <w:tcW w:type="dxa" w:w="4276"/>
            <w:vAlign w:val="top"/>
          </w:tcPr>
          <w:p>
            <w:pPr>
              <w:spacing w:after="60" w:line="259" w:lineRule="auto"/>
            </w:pPr>
            <w:r>
              <w:rPr>
                <w:rFonts w:ascii="Calibri" w:hAnsi="Calibri"/>
                <w:b w:val="0"/>
                <w:i w:val="0"/>
                <w:color w:val="212121"/>
                <w:sz w:val="19"/>
              </w:rPr>
              <w:t>Autoimmune atrophic gastritis frequently coexists with other organ-specific autoimmune diseases; patients with autoimmune thyroid disease or type 1 diabetes have a higher prevalence of parietal-cell antibodies, corpus atrophy, B12 deficiency and pernicious anaemia.</w:t>
            </w:r>
          </w:p>
          <w:p>
            <w:pPr>
              <w:spacing w:after="40" w:before="60" w:line="259" w:lineRule="auto"/>
            </w:pPr>
            <w:r>
              <w:rPr>
                <w:rFonts w:ascii="Calibri" w:hAnsi="Calibri"/>
                <w:b w:val="0"/>
                <w:i w:val="0"/>
                <w:color w:val="212121"/>
                <w:sz w:val="19"/>
              </w:rPr>
              <w:t>Autoimmune gastritis clusters with autoimmune thyroid disease and type 1 diabetes; it is a leading cause of vitamin B12 deficiency and pernicious anaemia and predisposes to gastric carcinoids.</w:t>
            </w:r>
          </w:p>
          <w:p>
            <w:pPr>
              <w:spacing w:after="40" w:line="252" w:lineRule="auto"/>
            </w:pPr>
            <w:hyperlink r:id="rId10">
              <w:r>
                <w:rPr>
                  <w:rFonts w:ascii="Calibri" w:hAnsi="Calibri" w:cs="Calibri"/>
                  <w:sz w:val="18"/>
                  <w:color w:val="1155CC"/>
                  <w:u w:val="single"/>
                </w:rPr>
                <w:t xml:space="preserve">ncbi.nlm.nih.gov - autoimmune gastritis associations</w:t>
              </w:r>
            </w:hyperlink>
          </w:p>
          <w:p>
            <w:pPr>
              <w:spacing w:before="60" w:after="40"/>
            </w:pPr>
            <w:r>
              <w:rPr>
                <w:rFonts w:ascii="Calibri" w:hAnsi="Calibri"/>
                <w:b w:val="0"/>
                <w:i w:val="0"/>
                <w:color w:val="5A5A5A"/>
                <w:sz w:val="18"/>
              </w:rPr>
              <w:t>#autoimmunethyroid  #T1DM  #vitiligo  #perniciousanemia  #polyautoimmunity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Critical illness</w:t>
            </w:r>
          </w:p>
        </w:tc>
        <w:tc>
          <w:tcPr>
            <w:tcW w:type="dxa" w:w="2160"/>
            <w:vAlign w:val="top"/>
          </w:tcPr>
          <w:p>
            <w:pPr>
              <w:spacing w:after="40" w:before="0" w:line="259" w:lineRule="auto"/>
            </w:pPr>
            <w:r>
              <w:rPr>
                <w:rFonts w:ascii="Calibri" w:hAnsi="Calibri"/>
                <w:b w:val="0"/>
                <w:i w:val="0"/>
                <w:color w:val="212121"/>
                <w:sz w:val="19"/>
              </w:rPr>
              <w:t>ICU patients, burns, head injury, sepsis</w:t>
            </w:r>
          </w:p>
        </w:tc>
        <w:tc>
          <w:tcPr>
            <w:tcW w:type="dxa" w:w="4276"/>
            <w:vAlign w:val="top"/>
          </w:tcPr>
          <w:p>
            <w:pPr>
              <w:spacing w:after="60" w:line="259" w:lineRule="auto"/>
            </w:pPr>
            <w:r>
              <w:rPr>
                <w:rFonts w:ascii="Calibri" w:hAnsi="Calibri"/>
                <w:b w:val="0"/>
                <w:i w:val="0"/>
                <w:color w:val="212121"/>
                <w:sz w:val="19"/>
              </w:rPr>
              <w:t>Severe physiological stress causes splanchnic hypoperfusion and mucosal ischaemia, producing stress-related erosive gastritis and bleeding (Curling ulcers with burns, Cushing ulcers with raised intracranial pressure) in critically ill inpatients, who require prophylaxis.</w:t>
            </w:r>
          </w:p>
          <w:p>
            <w:pPr>
              <w:spacing w:after="40" w:before="60" w:line="259" w:lineRule="auto"/>
            </w:pPr>
            <w:r>
              <w:rPr>
                <w:rFonts w:ascii="Calibri" w:hAnsi="Calibri"/>
                <w:b w:val="0"/>
                <w:i w:val="0"/>
                <w:color w:val="212121"/>
                <w:sz w:val="19"/>
              </w:rPr>
              <w:t>Acute (stress) gastritis is a recognised cause of upper GI bleeding in critically ill patients with burns, head injury, sepsis or major surgery, and stress-ulcer prophylaxis is standard in high-risk ICU cases.</w:t>
            </w:r>
          </w:p>
          <w:p>
            <w:pPr>
              <w:spacing w:after="40" w:line="252" w:lineRule="auto"/>
            </w:pPr>
            <w:hyperlink r:id="rId10">
              <w:r>
                <w:rPr>
                  <w:rFonts w:ascii="Calibri" w:hAnsi="Calibri" w:cs="Calibri"/>
                  <w:sz w:val="18"/>
                  <w:color w:val="1155CC"/>
                  <w:u w:val="single"/>
                </w:rPr>
                <w:t xml:space="preserve">ncbi.nlm.nih.gov - stress (acute) gastritis</w:t>
              </w:r>
            </w:hyperlink>
          </w:p>
          <w:p>
            <w:pPr>
              <w:spacing w:before="60" w:after="40"/>
            </w:pPr>
            <w:r>
              <w:rPr>
                <w:rFonts w:ascii="Calibri" w:hAnsi="Calibri"/>
                <w:b w:val="0"/>
                <w:i w:val="0"/>
                <w:color w:val="5A5A5A"/>
                <w:sz w:val="18"/>
              </w:rPr>
              <w:t>#stressgastritis  #Curling  #Cushing  #ICU  #GIbleed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Pernicious anaemia / B12 deficiency</w:t>
            </w:r>
          </w:p>
        </w:tc>
        <w:tc>
          <w:tcPr>
            <w:tcW w:type="dxa" w:w="2160"/>
            <w:vAlign w:val="top"/>
          </w:tcPr>
          <w:p>
            <w:pPr>
              <w:spacing w:after="40" w:before="0" w:line="259" w:lineRule="auto"/>
            </w:pPr>
            <w:r>
              <w:rPr>
                <w:rFonts w:ascii="Calibri" w:hAnsi="Calibri"/>
                <w:b w:val="0"/>
                <w:i w:val="0"/>
                <w:color w:val="212121"/>
                <w:sz w:val="19"/>
              </w:rPr>
              <w:t>Patients with unexplained macrocytic anaemia</w:t>
            </w:r>
          </w:p>
        </w:tc>
        <w:tc>
          <w:tcPr>
            <w:tcW w:type="dxa" w:w="4276"/>
            <w:vAlign w:val="top"/>
          </w:tcPr>
          <w:p>
            <w:pPr>
              <w:spacing w:after="60" w:line="259" w:lineRule="auto"/>
            </w:pPr>
            <w:r>
              <w:rPr>
                <w:rFonts w:ascii="Calibri" w:hAnsi="Calibri"/>
                <w:b w:val="0"/>
                <w:i w:val="0"/>
                <w:color w:val="212121"/>
                <w:sz w:val="19"/>
              </w:rPr>
              <w:t>Autoimmune atrophic gastritis destroys parietal cells and intrinsic factor, causing vitamin B12 malabsorption; the resulting pernicious anaemia and neurological disease may be the first presentation of otherwise silent corpus gastritis.</w:t>
            </w:r>
          </w:p>
          <w:p>
            <w:pPr>
              <w:spacing w:after="40" w:before="60" w:line="259" w:lineRule="auto"/>
            </w:pPr>
            <w:r>
              <w:rPr>
                <w:rFonts w:ascii="Calibri" w:hAnsi="Calibri"/>
                <w:b w:val="0"/>
                <w:i w:val="0"/>
                <w:color w:val="212121"/>
                <w:sz w:val="19"/>
              </w:rPr>
              <w:t>Autoimmune metaplastic atrophic gastritis presents incidentally with megaloblastic, pernicious or iron-deficiency anaemia; iron-deficiency anaemia is reported in about 18.5% of premenopausal women with iron deficiency in this setting.</w:t>
            </w:r>
          </w:p>
          <w:p>
            <w:pPr>
              <w:spacing w:after="40" w:line="252" w:lineRule="auto"/>
            </w:pPr>
            <w:hyperlink r:id="rId10">
              <w:r>
                <w:rPr>
                  <w:rFonts w:ascii="Calibri" w:hAnsi="Calibri" w:cs="Calibri"/>
                  <w:sz w:val="18"/>
                  <w:color w:val="1155CC"/>
                  <w:u w:val="single"/>
                </w:rPr>
                <w:t xml:space="preserve">ncbi.nlm.nih.gov - anaemia in atrophic gastritis</w:t>
              </w:r>
            </w:hyperlink>
          </w:p>
          <w:p>
            <w:pPr>
              <w:spacing w:before="60" w:after="40"/>
            </w:pPr>
            <w:r>
              <w:rPr>
                <w:rFonts w:ascii="Calibri" w:hAnsi="Calibri"/>
                <w:b w:val="0"/>
                <w:i w:val="0"/>
                <w:color w:val="5A5A5A"/>
                <w:sz w:val="18"/>
              </w:rPr>
              <w:t>#B12deficiency  #perniciousanemia  #macrocytic  #irondeficiency  #atrophy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has only a weak, indirect link to gastritis; in one study lack of exercise was associated with gastritis (adjusted OR 1.78, 95% CI 1.00-3.17), probably via stress, obesity and unhealthy eating rather than a direct mucosal effect.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Spicy, salty, fried, pickled and preserved foods, eating too fast and irregular meals irritate the mucosa and stimulate acid; spiced food independently raised gastritis risk (OR 1.51) and salt/preserved diets promote atrophy and gastric cancer.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and short sleep is linked to dyspepsia and heightened symptom perception and overlaps with stress, but there is no strong direct evidence that sleep loss causes mucosal gastritis.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reduce mucosal prostaglandins and blood flow, promote H. pylori colonisation and delay healing; tobacco is a consistent aggravating factor for gastritis and peptic ulcer.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directly disrupts the mucosal barrier and stimulates acid, causing acute erosive and haemorrhagic gastritis; substance use including alcohol was independently associated with gastritis (OR 1.48).</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and anxiety were strongly associated with gastritis (adjusted OR 2.17) and worsen dyspeptic symptom perception through the brain-gut axis; severe physiological stress causes erosive stress gastritis.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Unsafe drinking water is a principal route of H. pylori transmission in India, especially in rural areas where prevalence exceeds 80%; safe water and sanitation reduce infection and hence chronic gastritis.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Strong tea and coffee stimulate gastric acid secretion and can aggravate symptoms in susceptible people; heavy consumption is a common behavioural trigger, though a causal role in mucosal injury is modest.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 pylori spreads by the faecal-oral and oral-oral routes, so poor household hygiene, crowding and contaminated food/water strongly drive infection and chronic gastritis; risk inversely correlates with sanitary conditions.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NSAIDs and aspirin, corticosteroids, alcohol binges, bile reflux, severe physiological stress (burns/head injury) and radiation provoke acute erosive gastritis and bleeding; NSAID users show GI complications in about 30%.</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Spicy / pickled / preserved food frequency</w:t>
            </w:r>
          </w:p>
        </w:tc>
        <w:tc>
          <w:tcPr>
            <w:tcW w:type="dxa" w:w="1655"/>
            <w:vAlign w:val="top"/>
          </w:tcPr>
          <w:p>
            <w:pPr>
              <w:spacing w:after="40" w:before="0" w:line="259" w:lineRule="auto"/>
            </w:pPr>
            <w:r>
              <w:rPr>
                <w:rFonts w:ascii="Calibri" w:hAnsi="Calibri"/>
                <w:b w:val="0"/>
                <w:i w:val="0"/>
                <w:color w:val="212121"/>
                <w:sz w:val="19"/>
              </w:rPr>
              <w:t>Adults with dyspepsia</w:t>
            </w:r>
          </w:p>
        </w:tc>
        <w:tc>
          <w:tcPr>
            <w:tcW w:type="dxa" w:w="1512"/>
            <w:vAlign w:val="top"/>
          </w:tcPr>
          <w:p>
            <w:pPr>
              <w:spacing w:after="40" w:before="0" w:line="259" w:lineRule="auto"/>
            </w:pPr>
            <w:r>
              <w:rPr>
                <w:rFonts w:ascii="Calibri" w:hAnsi="Calibri"/>
                <w:b w:val="0"/>
                <w:i w:val="0"/>
                <w:color w:val="212121"/>
                <w:sz w:val="19"/>
              </w:rPr>
              <w:t>Occasional, bland-leaning diet</w:t>
            </w:r>
          </w:p>
        </w:tc>
        <w:tc>
          <w:tcPr>
            <w:tcW w:type="dxa" w:w="1512"/>
            <w:vAlign w:val="top"/>
          </w:tcPr>
          <w:p>
            <w:pPr>
              <w:spacing w:after="40" w:before="0" w:line="259" w:lineRule="auto"/>
            </w:pPr>
            <w:r>
              <w:rPr>
                <w:rFonts w:ascii="Calibri" w:hAnsi="Calibri"/>
                <w:b w:val="0"/>
                <w:i w:val="0"/>
                <w:color w:val="212121"/>
                <w:sz w:val="19"/>
              </w:rPr>
              <w:t>Daily heavy spicy/salty/pickled intake</w:t>
            </w:r>
          </w:p>
        </w:tc>
        <w:tc>
          <w:tcPr>
            <w:tcW w:type="dxa" w:w="1468"/>
            <w:vAlign w:val="top"/>
          </w:tcPr>
          <w:p>
            <w:pPr>
              <w:spacing w:after="60" w:line="259" w:lineRule="auto"/>
            </w:pPr>
            <w:r>
              <w:rPr>
                <w:rFonts w:ascii="Calibri" w:hAnsi="Calibri"/>
                <w:b w:val="0"/>
                <w:i w:val="0"/>
                <w:color w:val="212121"/>
                <w:sz w:val="19"/>
              </w:rPr>
              <w:t>Spiced food independently raised gastritis risk (adjusted OR 1.51)</w:t>
            </w:r>
          </w:p>
          <w:p>
            <w:pPr>
              <w:spacing w:after="40" w:line="252" w:lineRule="auto"/>
            </w:pPr>
            <w:hyperlink r:id="rId13">
              <w:r>
                <w:rPr>
                  <w:rFonts w:ascii="Calibri" w:hAnsi="Calibri" w:cs="Calibri"/>
                  <w:sz w:val="18"/>
                  <w:color w:val="1155CC"/>
                  <w:u w:val="single"/>
                </w:rPr>
                <w:t xml:space="preserve">https://journals.plos.org/plosone/article/file?type=printable&amp;id=10.1371/journal.pone.0246619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Meal regularity / eating speed</w:t>
            </w:r>
          </w:p>
        </w:tc>
        <w:tc>
          <w:tcPr>
            <w:tcW w:type="dxa" w:w="1655"/>
            <w:vAlign w:val="top"/>
          </w:tcPr>
          <w:p>
            <w:pPr>
              <w:spacing w:after="40" w:before="0" w:line="259" w:lineRule="auto"/>
            </w:pPr>
            <w:r>
              <w:rPr>
                <w:rFonts w:ascii="Calibri" w:hAnsi="Calibri"/>
                <w:b w:val="0"/>
                <w:i w:val="0"/>
                <w:color w:val="212121"/>
                <w:sz w:val="19"/>
              </w:rPr>
              <w:t>Shift workers, students, professionals</w:t>
            </w:r>
          </w:p>
        </w:tc>
        <w:tc>
          <w:tcPr>
            <w:tcW w:type="dxa" w:w="1512"/>
            <w:vAlign w:val="top"/>
          </w:tcPr>
          <w:p>
            <w:pPr>
              <w:spacing w:after="40" w:before="0" w:line="259" w:lineRule="auto"/>
            </w:pPr>
            <w:r>
              <w:rPr>
                <w:rFonts w:ascii="Calibri" w:hAnsi="Calibri"/>
                <w:b w:val="0"/>
                <w:i w:val="0"/>
                <w:color w:val="212121"/>
                <w:sz w:val="19"/>
              </w:rPr>
              <w:t>Regular, unhurried meals</w:t>
            </w:r>
          </w:p>
        </w:tc>
        <w:tc>
          <w:tcPr>
            <w:tcW w:type="dxa" w:w="1512"/>
            <w:vAlign w:val="top"/>
          </w:tcPr>
          <w:p>
            <w:pPr>
              <w:spacing w:after="40" w:before="0" w:line="259" w:lineRule="auto"/>
            </w:pPr>
            <w:r>
              <w:rPr>
                <w:rFonts w:ascii="Calibri" w:hAnsi="Calibri"/>
                <w:b w:val="0"/>
                <w:i w:val="0"/>
                <w:color w:val="212121"/>
                <w:sz w:val="19"/>
              </w:rPr>
              <w:t>Skipped meals, eating too fast</w:t>
            </w:r>
          </w:p>
        </w:tc>
        <w:tc>
          <w:tcPr>
            <w:tcW w:type="dxa" w:w="1468"/>
            <w:vAlign w:val="top"/>
          </w:tcPr>
          <w:p>
            <w:pPr>
              <w:spacing w:after="60" w:line="259" w:lineRule="auto"/>
            </w:pPr>
            <w:r>
              <w:rPr>
                <w:rFonts w:ascii="Calibri" w:hAnsi="Calibri"/>
                <w:b w:val="0"/>
                <w:i w:val="0"/>
                <w:color w:val="212121"/>
                <w:sz w:val="19"/>
              </w:rPr>
              <w:t>52.85% of chronic gastritis patients ate too fast; not skipping meals is protective (OR 0.74)</w:t>
            </w:r>
          </w:p>
          <w:p>
            <w:pPr>
              <w:spacing w:after="40" w:line="252" w:lineRule="auto"/>
            </w:pPr>
            <w:hyperlink r:id="rId15">
              <w:r>
                <w:rPr>
                  <w:rFonts w:ascii="Calibri" w:hAnsi="Calibri" w:cs="Calibri"/>
                  <w:sz w:val="18"/>
                  <w:color w:val="1155CC"/>
                  <w:u w:val="single"/>
                </w:rPr>
                <w:t xml:space="preserve">https://pmc.ncbi.nlm.nih.gov/articles/PMC7368216/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heavy/binge drinkers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Binge or regular heavy drinking</w:t>
            </w:r>
          </w:p>
        </w:tc>
        <w:tc>
          <w:tcPr>
            <w:tcW w:type="dxa" w:w="1468"/>
            <w:vAlign w:val="top"/>
          </w:tcPr>
          <w:p>
            <w:pPr>
              <w:spacing w:after="60" w:line="259" w:lineRule="auto"/>
            </w:pPr>
            <w:r>
              <w:rPr>
                <w:rFonts w:ascii="Calibri" w:hAnsi="Calibri"/>
                <w:b w:val="0"/>
                <w:i w:val="0"/>
                <w:color w:val="212121"/>
                <w:sz w:val="19"/>
              </w:rPr>
              <w:t>Directly erosive; substance use associated with gastritis (OR 1.48)</w:t>
            </w:r>
          </w:p>
          <w:p>
            <w:pPr>
              <w:spacing w:after="40" w:line="252" w:lineRule="auto"/>
            </w:pPr>
            <w:hyperlink r:id="rId13">
              <w:r>
                <w:rPr>
                  <w:rFonts w:ascii="Calibri" w:hAnsi="Calibri" w:cs="Calibri"/>
                  <w:sz w:val="18"/>
                  <w:color w:val="1155CC"/>
                  <w:u w:val="single"/>
                </w:rPr>
                <w:t xml:space="preserve">https://journals.plos.org/plosone/article/file?type=printable&amp;id=10.1371/journal.pone.0246619</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(cigarettes/bidis or smokeless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(none)</w:t>
            </w:r>
          </w:p>
        </w:tc>
        <w:tc>
          <w:tcPr>
            <w:tcW w:type="dxa" w:w="1512"/>
            <w:vAlign w:val="top"/>
          </w:tcPr>
          <w:p>
            <w:pPr>
              <w:spacing w:after="40" w:before="0" w:line="259" w:lineRule="auto"/>
            </w:pPr>
            <w:r>
              <w:rPr>
                <w:rFonts w:ascii="Calibri" w:hAnsi="Calibri"/>
                <w:b w:val="0"/>
                <w:i w:val="0"/>
                <w:color w:val="212121"/>
                <w:sz w:val="19"/>
              </w:rPr>
              <w:t>Any smoking or smokeless tobacco</w:t>
            </w:r>
          </w:p>
        </w:tc>
        <w:tc>
          <w:tcPr>
            <w:tcW w:type="dxa" w:w="1468"/>
            <w:vAlign w:val="top"/>
          </w:tcPr>
          <w:p>
            <w:pPr>
              <w:spacing w:after="40" w:before="0" w:line="259" w:lineRule="auto"/>
            </w:pPr>
            <w:r>
              <w:rPr>
                <w:rFonts w:ascii="Calibri" w:hAnsi="Calibri"/>
                <w:b w:val="0"/>
                <w:i w:val="0"/>
                <w:color w:val="212121"/>
                <w:sz w:val="19"/>
              </w:rPr>
              <w:t>Impairs mucosal defence, promotes H. pylori and delays healing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NSAID / aspirin use</w:t>
            </w:r>
          </w:p>
        </w:tc>
        <w:tc>
          <w:tcPr>
            <w:tcW w:type="dxa" w:w="1655"/>
            <w:vAlign w:val="top"/>
          </w:tcPr>
          <w:p>
            <w:pPr>
              <w:spacing w:after="40" w:before="0" w:line="259" w:lineRule="auto"/>
            </w:pPr>
            <w:r>
              <w:rPr>
                <w:rFonts w:ascii="Calibri" w:hAnsi="Calibri"/>
                <w:b w:val="0"/>
                <w:i w:val="0"/>
                <w:color w:val="212121"/>
                <w:sz w:val="19"/>
              </w:rPr>
              <w:t>Arthritis, chronic-pain, cardiac patients</w:t>
            </w:r>
          </w:p>
        </w:tc>
        <w:tc>
          <w:tcPr>
            <w:tcW w:type="dxa" w:w="1512"/>
            <w:vAlign w:val="top"/>
          </w:tcPr>
          <w:p>
            <w:pPr>
              <w:spacing w:after="40" w:before="0" w:line="259" w:lineRule="auto"/>
            </w:pPr>
            <w:r>
              <w:rPr>
                <w:rFonts w:ascii="Calibri" w:hAnsi="Calibri"/>
                <w:b w:val="0"/>
                <w:i w:val="0"/>
                <w:color w:val="212121"/>
                <w:sz w:val="19"/>
              </w:rPr>
              <w:t>Avoid or use lowest dose with gastroprotection</w:t>
            </w:r>
          </w:p>
        </w:tc>
        <w:tc>
          <w:tcPr>
            <w:tcW w:type="dxa" w:w="1512"/>
            <w:vAlign w:val="top"/>
          </w:tcPr>
          <w:p>
            <w:pPr>
              <w:spacing w:after="40" w:before="0" w:line="259" w:lineRule="auto"/>
            </w:pPr>
            <w:r>
              <w:rPr>
                <w:rFonts w:ascii="Calibri" w:hAnsi="Calibri"/>
                <w:b w:val="0"/>
                <w:i w:val="0"/>
                <w:color w:val="212121"/>
                <w:sz w:val="19"/>
              </w:rPr>
              <w:t>Frequent/chronic NSAID or aspirin use</w:t>
            </w:r>
          </w:p>
        </w:tc>
        <w:tc>
          <w:tcPr>
            <w:tcW w:type="dxa" w:w="1468"/>
            <w:vAlign w:val="top"/>
          </w:tcPr>
          <w:p>
            <w:pPr>
              <w:spacing w:after="60" w:line="259" w:lineRule="auto"/>
            </w:pPr>
            <w:r>
              <w:rPr>
                <w:rFonts w:ascii="Calibri" w:hAnsi="Calibri"/>
                <w:b w:val="0"/>
                <w:i w:val="0"/>
                <w:color w:val="212121"/>
                <w:sz w:val="19"/>
              </w:rPr>
              <w:t>GI complications in about 30% of Indian NSAID users</w:t>
            </w:r>
          </w:p>
          <w:p>
            <w:pPr>
              <w:spacing w:after="40" w:line="252" w:lineRule="auto"/>
            </w:pPr>
            <w:hyperlink r:id="rId14">
              <w:r>
                <w:rPr>
                  <w:rFonts w:ascii="Calibri" w:hAnsi="Calibri" w:cs="Calibri"/>
                  <w:sz w:val="18"/>
                  <w:color w:val="1155CC"/>
                  <w:u w:val="single"/>
                </w:rPr>
                <w:t xml:space="preserve">https://www.gastrores.org/index.php/Gastrores/article/view/658/730</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Safe water and sanitation</w:t>
            </w:r>
          </w:p>
        </w:tc>
        <w:tc>
          <w:tcPr>
            <w:tcW w:type="dxa" w:w="1655"/>
            <w:vAlign w:val="top"/>
          </w:tcPr>
          <w:p>
            <w:pPr>
              <w:spacing w:after="40" w:before="0" w:line="259" w:lineRule="auto"/>
            </w:pPr>
            <w:r>
              <w:rPr>
                <w:rFonts w:ascii="Calibri" w:hAnsi="Calibri"/>
                <w:b w:val="0"/>
                <w:i w:val="0"/>
                <w:color w:val="212121"/>
                <w:sz w:val="19"/>
              </w:rPr>
              <w:t>Rural / low-income households</w:t>
            </w:r>
          </w:p>
        </w:tc>
        <w:tc>
          <w:tcPr>
            <w:tcW w:type="dxa" w:w="1512"/>
            <w:vAlign w:val="top"/>
          </w:tcPr>
          <w:p>
            <w:pPr>
              <w:spacing w:after="40" w:before="0" w:line="259" w:lineRule="auto"/>
            </w:pPr>
            <w:r>
              <w:rPr>
                <w:rFonts w:ascii="Calibri" w:hAnsi="Calibri"/>
                <w:b w:val="0"/>
                <w:i w:val="0"/>
                <w:color w:val="212121"/>
                <w:sz w:val="19"/>
              </w:rPr>
              <w:t>Treated/safe water, good sanitation</w:t>
            </w:r>
          </w:p>
        </w:tc>
        <w:tc>
          <w:tcPr>
            <w:tcW w:type="dxa" w:w="1512"/>
            <w:vAlign w:val="top"/>
          </w:tcPr>
          <w:p>
            <w:pPr>
              <w:spacing w:after="40" w:before="0" w:line="259" w:lineRule="auto"/>
            </w:pPr>
            <w:r>
              <w:rPr>
                <w:rFonts w:ascii="Calibri" w:hAnsi="Calibri"/>
                <w:b w:val="0"/>
                <w:i w:val="0"/>
                <w:color w:val="212121"/>
                <w:sz w:val="19"/>
              </w:rPr>
              <w:t>Unsafe water, poor sanitation, crowding</w:t>
            </w:r>
          </w:p>
        </w:tc>
        <w:tc>
          <w:tcPr>
            <w:tcW w:type="dxa" w:w="1468"/>
            <w:vAlign w:val="top"/>
          </w:tcPr>
          <w:p>
            <w:pPr>
              <w:spacing w:after="60" w:line="259" w:lineRule="auto"/>
            </w:pPr>
            <w:r>
              <w:rPr>
                <w:rFonts w:ascii="Calibri" w:hAnsi="Calibri"/>
                <w:b w:val="0"/>
                <w:i w:val="0"/>
                <w:color w:val="212121"/>
                <w:sz w:val="19"/>
              </w:rPr>
              <w:t>Rural H. pylori prevalence exceeds 80%; risk inversely tracks sanitation</w:t>
            </w:r>
          </w:p>
          <w:p>
            <w:pPr>
              <w:spacing w:after="40" w:line="252" w:lineRule="auto"/>
            </w:pPr>
            <w:hyperlink r:id="rId12">
              <w:r>
                <w:rPr>
                  <w:rFonts w:ascii="Calibri" w:hAnsi="Calibri" w:cs="Calibri"/>
                  <w:sz w:val="18"/>
                  <w:color w:val="1155CC"/>
                  <w:u w:val="single"/>
                </w:rPr>
                <w:t xml:space="preserve">https://ijmr.org.in/helicobacter-pylori-infection-in-india-from-a-western-perspective/</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Strong tea / coffee (cups/day)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2 cups/day</w:t>
            </w:r>
          </w:p>
        </w:tc>
        <w:tc>
          <w:tcPr>
            <w:tcW w:type="dxa" w:w="1512"/>
            <w:vAlign w:val="top"/>
          </w:tcPr>
          <w:p>
            <w:pPr>
              <w:spacing w:after="40" w:before="0" w:line="259" w:lineRule="auto"/>
            </w:pPr>
            <w:r>
              <w:rPr>
                <w:rFonts w:ascii="Calibri" w:hAnsi="Calibri"/>
                <w:b w:val="0"/>
                <w:i w:val="0"/>
                <w:color w:val="212121"/>
                <w:sz w:val="19"/>
              </w:rPr>
              <w:t>Frequent strong tea/coffee</w:t>
            </w:r>
          </w:p>
        </w:tc>
        <w:tc>
          <w:tcPr>
            <w:tcW w:type="dxa" w:w="1468"/>
            <w:vAlign w:val="top"/>
          </w:tcPr>
          <w:p>
            <w:pPr>
              <w:spacing w:after="40" w:before="0" w:line="259" w:lineRule="auto"/>
            </w:pPr>
            <w:r>
              <w:rPr>
                <w:rFonts w:ascii="Calibri" w:hAnsi="Calibri"/>
                <w:b w:val="0"/>
                <w:i w:val="0"/>
                <w:color w:val="212121"/>
                <w:sz w:val="19"/>
              </w:rPr>
              <w:t>Stimulates gastric acid; common symptom trigger</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w:t>
            </w:r>
          </w:p>
        </w:tc>
        <w:tc>
          <w:tcPr>
            <w:tcW w:type="dxa" w:w="1655"/>
            <w:vAlign w:val="top"/>
          </w:tcPr>
          <w:p>
            <w:pPr>
              <w:spacing w:after="40" w:before="0" w:line="259" w:lineRule="auto"/>
            </w:pPr>
            <w:r>
              <w:rPr>
                <w:rFonts w:ascii="Calibri" w:hAnsi="Calibri"/>
                <w:b w:val="0"/>
                <w:i w:val="0"/>
                <w:color w:val="212121"/>
                <w:sz w:val="19"/>
              </w:rPr>
              <w:t>High-stress adults</w:t>
            </w:r>
          </w:p>
        </w:tc>
        <w:tc>
          <w:tcPr>
            <w:tcW w:type="dxa" w:w="1512"/>
            <w:vAlign w:val="top"/>
          </w:tcPr>
          <w:p>
            <w:pPr>
              <w:spacing w:after="40" w:before="0" w:line="259" w:lineRule="auto"/>
            </w:pPr>
            <w:r>
              <w:rPr>
                <w:rFonts w:ascii="Calibri" w:hAnsi="Calibri"/>
                <w:b w:val="0"/>
                <w:i w:val="0"/>
                <w:color w:val="212121"/>
                <w:sz w:val="19"/>
              </w:rPr>
              <w:t>Low, well-managed stress</w:t>
            </w:r>
          </w:p>
        </w:tc>
        <w:tc>
          <w:tcPr>
            <w:tcW w:type="dxa" w:w="1512"/>
            <w:vAlign w:val="top"/>
          </w:tcPr>
          <w:p>
            <w:pPr>
              <w:spacing w:after="40" w:before="0" w:line="259" w:lineRule="auto"/>
            </w:pPr>
            <w:r>
              <w:rPr>
                <w:rFonts w:ascii="Calibri" w:hAnsi="Calibri"/>
                <w:b w:val="0"/>
                <w:i w:val="0"/>
                <w:color w:val="212121"/>
                <w:sz w:val="19"/>
              </w:rPr>
              <w:t>Chronic stress or anxiety</w:t>
            </w:r>
          </w:p>
        </w:tc>
        <w:tc>
          <w:tcPr>
            <w:tcW w:type="dxa" w:w="1468"/>
            <w:vAlign w:val="top"/>
          </w:tcPr>
          <w:p>
            <w:pPr>
              <w:spacing w:after="60" w:line="259" w:lineRule="auto"/>
            </w:pPr>
            <w:r>
              <w:rPr>
                <w:rFonts w:ascii="Calibri" w:hAnsi="Calibri"/>
                <w:b w:val="0"/>
                <w:i w:val="0"/>
                <w:color w:val="212121"/>
                <w:sz w:val="19"/>
              </w:rPr>
              <w:t>Stress/anxiety strongly associated with gastritis (adjusted OR 2.17)</w:t>
            </w:r>
          </w:p>
          <w:p>
            <w:pPr>
              <w:spacing w:after="40" w:line="252" w:lineRule="auto"/>
            </w:pPr>
            <w:hyperlink r:id="rId13">
              <w:r>
                <w:rPr>
                  <w:rFonts w:ascii="Calibri" w:hAnsi="Calibri" w:cs="Calibri"/>
                  <w:sz w:val="18"/>
                  <w:color w:val="1155CC"/>
                  <w:u w:val="single"/>
                </w:rPr>
                <w:t xml:space="preserve">https://journals.plos.org/plosone/article/file?type=printable&amp;id=10.1371/journal.pone.0246619</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 pylori status</w:t>
            </w:r>
          </w:p>
        </w:tc>
        <w:tc>
          <w:tcPr>
            <w:tcW w:type="dxa" w:w="1655"/>
            <w:vAlign w:val="top"/>
          </w:tcPr>
          <w:p>
            <w:pPr>
              <w:spacing w:after="40" w:before="0" w:line="259" w:lineRule="auto"/>
            </w:pPr>
            <w:r>
              <w:rPr>
                <w:rFonts w:ascii="Calibri" w:hAnsi="Calibri"/>
                <w:b w:val="0"/>
                <w:i w:val="0"/>
                <w:color w:val="212121"/>
                <w:sz w:val="19"/>
              </w:rPr>
              <w:t>Dyspeptic adults, ulcer patients</w:t>
            </w:r>
          </w:p>
        </w:tc>
        <w:tc>
          <w:tcPr>
            <w:tcW w:type="dxa" w:w="1512"/>
            <w:vAlign w:val="top"/>
          </w:tcPr>
          <w:p>
            <w:pPr>
              <w:spacing w:after="40" w:before="0" w:line="259" w:lineRule="auto"/>
            </w:pPr>
            <w:r>
              <w:rPr>
                <w:rFonts w:ascii="Calibri" w:hAnsi="Calibri"/>
                <w:b w:val="0"/>
                <w:i w:val="0"/>
                <w:color w:val="212121"/>
                <w:sz w:val="19"/>
              </w:rPr>
              <w:t>Negative (eradicated)</w:t>
            </w:r>
          </w:p>
        </w:tc>
        <w:tc>
          <w:tcPr>
            <w:tcW w:type="dxa" w:w="1512"/>
            <w:vAlign w:val="top"/>
          </w:tcPr>
          <w:p>
            <w:pPr>
              <w:spacing w:after="40" w:before="0" w:line="259" w:lineRule="auto"/>
            </w:pPr>
            <w:r>
              <w:rPr>
                <w:rFonts w:ascii="Calibri" w:hAnsi="Calibri"/>
                <w:b w:val="0"/>
                <w:i w:val="0"/>
                <w:color w:val="212121"/>
                <w:sz w:val="19"/>
              </w:rPr>
              <w:t>Positive urea breath / stool antigen / biopsy</w:t>
            </w:r>
          </w:p>
        </w:tc>
        <w:tc>
          <w:tcPr>
            <w:tcW w:type="dxa" w:w="1468"/>
            <w:vAlign w:val="top"/>
          </w:tcPr>
          <w:p>
            <w:pPr>
              <w:spacing w:after="60" w:line="259" w:lineRule="auto"/>
            </w:pPr>
            <w:r>
              <w:rPr>
                <w:rFonts w:ascii="Calibri" w:hAnsi="Calibri"/>
                <w:b w:val="0"/>
                <w:i w:val="0"/>
                <w:color w:val="212121"/>
                <w:sz w:val="19"/>
              </w:rPr>
              <w:t>Dominant cause of chronic gastritis; pooled Indian prevalence about 58%</w:t>
            </w:r>
          </w:p>
          <w:p>
            <w:pPr>
              <w:spacing w:after="40" w:line="252" w:lineRule="auto"/>
            </w:pPr>
            <w:hyperlink r:id="rId9">
              <w:r>
                <w:rPr>
                  <w:rFonts w:ascii="Calibri" w:hAnsi="Calibri" w:cs="Calibri"/>
                  <w:sz w:val="18"/>
                  <w:color w:val="1155CC"/>
                  <w:u w:val="single"/>
                </w:rPr>
                <w:t xml:space="preserve">https://www.scifiniti.com/3105-0123/1/2025.0001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Chronic/erosive/atrophic gastritis</w:t>
            </w:r>
          </w:p>
        </w:tc>
        <w:tc>
          <w:tcPr>
            <w:tcW w:type="dxa" w:w="1512"/>
            <w:vAlign w:val="top"/>
          </w:tcPr>
          <w:p>
            <w:pPr>
              <w:spacing w:after="40" w:before="0" w:line="259" w:lineRule="auto"/>
            </w:pPr>
            <w:r>
              <w:rPr>
                <w:rFonts w:ascii="Calibri" w:hAnsi="Calibri"/>
                <w:b w:val="0"/>
                <w:i w:val="0"/>
                <w:color w:val="212121"/>
                <w:sz w:val="19"/>
              </w:rPr>
              <w:t>M 13-17; F 12-15 g/dL</w:t>
            </w:r>
          </w:p>
        </w:tc>
        <w:tc>
          <w:tcPr>
            <w:tcW w:type="dxa" w:w="1512"/>
            <w:vAlign w:val="top"/>
          </w:tcPr>
          <w:p>
            <w:pPr>
              <w:spacing w:after="40" w:before="0" w:line="259" w:lineRule="auto"/>
            </w:pPr>
            <w:r>
              <w:rPr>
                <w:rFonts w:ascii="Calibri" w:hAnsi="Calibri"/>
                <w:b w:val="0"/>
                <w:i w:val="0"/>
                <w:color w:val="212121"/>
                <w:sz w:val="19"/>
              </w:rPr>
              <w:t>Low Hb (iron-deficiency or macrocytic anaemia)</w:t>
            </w:r>
          </w:p>
        </w:tc>
        <w:tc>
          <w:tcPr>
            <w:tcW w:type="dxa" w:w="1468"/>
            <w:vAlign w:val="top"/>
          </w:tcPr>
          <w:p>
            <w:pPr>
              <w:spacing w:after="60" w:line="259" w:lineRule="auto"/>
            </w:pPr>
            <w:r>
              <w:rPr>
                <w:rFonts w:ascii="Calibri" w:hAnsi="Calibri"/>
                <w:b w:val="0"/>
                <w:i w:val="0"/>
                <w:color w:val="212121"/>
                <w:sz w:val="19"/>
              </w:rPr>
              <w:t>Detects bleeding and B12/iron malabsorption; anaemia is an alarm feature</w:t>
            </w:r>
          </w:p>
          <w:p>
            <w:pPr>
              <w:spacing w:after="40" w:line="252" w:lineRule="auto"/>
            </w:pPr>
            <w:hyperlink r:id="rId10">
              <w:r>
                <w:rPr>
                  <w:rFonts w:ascii="Calibri" w:hAnsi="Calibri" w:cs="Calibri"/>
                  <w:sz w:val="18"/>
                  <w:color w:val="1155CC"/>
                  <w:u w:val="single"/>
                </w:rPr>
                <w:t xml:space="preserve">https://www.ncbi.nlm.nih.gov/books/NBK544250/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Suspected autoimmune atrophic gastritis</w:t>
            </w:r>
          </w:p>
        </w:tc>
        <w:tc>
          <w:tcPr>
            <w:tcW w:type="dxa" w:w="1512"/>
            <w:vAlign w:val="top"/>
          </w:tcPr>
          <w:p>
            <w:pPr>
              <w:spacing w:after="40" w:before="0" w:line="259" w:lineRule="auto"/>
            </w:pPr>
            <w:r>
              <w:rPr>
                <w:rFonts w:ascii="Calibri" w:hAnsi="Calibri"/>
                <w:b w:val="0"/>
                <w:i w:val="0"/>
                <w:color w:val="212121"/>
                <w:sz w:val="19"/>
              </w:rPr>
              <w:t>&gt;= 200-300 pg/mL</w:t>
            </w:r>
          </w:p>
        </w:tc>
        <w:tc>
          <w:tcPr>
            <w:tcW w:type="dxa" w:w="1512"/>
            <w:vAlign w:val="top"/>
          </w:tcPr>
          <w:p>
            <w:pPr>
              <w:spacing w:after="40" w:before="0" w:line="259" w:lineRule="auto"/>
            </w:pPr>
            <w:r>
              <w:rPr>
                <w:rFonts w:ascii="Calibri" w:hAnsi="Calibri"/>
                <w:b w:val="0"/>
                <w:i w:val="0"/>
                <w:color w:val="212121"/>
                <w:sz w:val="19"/>
              </w:rPr>
              <w:t>&lt; 200 pg/mL</w:t>
            </w:r>
          </w:p>
        </w:tc>
        <w:tc>
          <w:tcPr>
            <w:tcW w:type="dxa" w:w="1468"/>
            <w:vAlign w:val="top"/>
          </w:tcPr>
          <w:p>
            <w:pPr>
              <w:spacing w:after="60" w:line="259" w:lineRule="auto"/>
            </w:pPr>
            <w:r>
              <w:rPr>
                <w:rFonts w:ascii="Calibri" w:hAnsi="Calibri"/>
                <w:b w:val="0"/>
                <w:i w:val="0"/>
                <w:color w:val="212121"/>
                <w:sz w:val="19"/>
              </w:rPr>
              <w:t>Low in corpus atrophy/pernicious anaemia from intrinsic-factor loss</w:t>
            </w:r>
          </w:p>
          <w:p>
            <w:pPr>
              <w:spacing w:after="40" w:line="252" w:lineRule="auto"/>
            </w:pPr>
            <w:hyperlink r:id="rId10">
              <w:r>
                <w:rPr>
                  <w:rFonts w:ascii="Calibri" w:hAnsi="Calibri" w:cs="Calibri"/>
                  <w:sz w:val="18"/>
                  <w:color w:val="1155CC"/>
                  <w:u w:val="single"/>
                </w:rPr>
                <w:t xml:space="preserve">https://www.ncbi.nlm.nih.gov/books/NBK544250/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gastrin / pepsinogen I:II ratio</w:t>
            </w:r>
          </w:p>
        </w:tc>
        <w:tc>
          <w:tcPr>
            <w:tcW w:type="dxa" w:w="1655"/>
            <w:vAlign w:val="top"/>
          </w:tcPr>
          <w:p>
            <w:pPr>
              <w:spacing w:after="40" w:before="0" w:line="259" w:lineRule="auto"/>
            </w:pPr>
            <w:r>
              <w:rPr>
                <w:rFonts w:ascii="Calibri" w:hAnsi="Calibri"/>
                <w:b w:val="0"/>
                <w:i w:val="0"/>
                <w:color w:val="212121"/>
                <w:sz w:val="19"/>
              </w:rPr>
              <w:t>Autoimmune atrophic gastritis</w:t>
            </w:r>
          </w:p>
        </w:tc>
        <w:tc>
          <w:tcPr>
            <w:tcW w:type="dxa" w:w="1512"/>
            <w:vAlign w:val="top"/>
          </w:tcPr>
          <w:p>
            <w:pPr>
              <w:spacing w:after="40" w:before="0" w:line="259" w:lineRule="auto"/>
            </w:pPr>
            <w:r>
              <w:rPr>
                <w:rFonts w:ascii="Calibri" w:hAnsi="Calibri"/>
                <w:b w:val="0"/>
                <w:i w:val="0"/>
                <w:color w:val="212121"/>
                <w:sz w:val="19"/>
              </w:rPr>
              <w:t>Normal gastrin; normal pepsinogen ratio</w:t>
            </w:r>
          </w:p>
        </w:tc>
        <w:tc>
          <w:tcPr>
            <w:tcW w:type="dxa" w:w="1512"/>
            <w:vAlign w:val="top"/>
          </w:tcPr>
          <w:p>
            <w:pPr>
              <w:spacing w:after="40" w:before="0" w:line="259" w:lineRule="auto"/>
            </w:pPr>
            <w:r>
              <w:rPr>
                <w:rFonts w:ascii="Calibri" w:hAnsi="Calibri"/>
                <w:b w:val="0"/>
                <w:i w:val="0"/>
                <w:color w:val="212121"/>
                <w:sz w:val="19"/>
              </w:rPr>
              <w:t>High gastrin with low pepsinogen I and low I:II ratio</w:t>
            </w:r>
          </w:p>
        </w:tc>
        <w:tc>
          <w:tcPr>
            <w:tcW w:type="dxa" w:w="1468"/>
            <w:vAlign w:val="top"/>
          </w:tcPr>
          <w:p>
            <w:pPr>
              <w:spacing w:after="60" w:line="259" w:lineRule="auto"/>
            </w:pPr>
            <w:r>
              <w:rPr>
                <w:rFonts w:ascii="Calibri" w:hAnsi="Calibri"/>
                <w:b w:val="0"/>
                <w:i w:val="0"/>
                <w:color w:val="212121"/>
                <w:sz w:val="19"/>
              </w:rPr>
              <w:t>Serological signature of corpus-predominant atrophy</w:t>
            </w:r>
          </w:p>
          <w:p>
            <w:pPr>
              <w:spacing w:after="40" w:line="252" w:lineRule="auto"/>
            </w:pPr>
            <w:hyperlink r:id="rId10">
              <w:r>
                <w:rPr>
                  <w:rFonts w:ascii="Calibri" w:hAnsi="Calibri" w:cs="Calibri"/>
                  <w:sz w:val="18"/>
                  <w:color w:val="1155CC"/>
                  <w:u w:val="single"/>
                </w:rPr>
                <w:t xml:space="preserve">https://www.ncbi.nlm.nih.gov/books/NBK544250/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Endoscopic</w:t>
            </w:r>
          </w:p>
        </w:tc>
        <w:tc>
          <w:tcPr>
            <w:tcW w:type="dxa" w:w="1036"/>
            <w:vAlign w:val="top"/>
          </w:tcPr>
          <w:p>
            <w:pPr>
              <w:spacing w:after="40" w:before="0" w:line="259" w:lineRule="auto"/>
            </w:pPr>
            <w:r>
              <w:rPr>
                <w:rFonts w:ascii="Calibri" w:hAnsi="Calibri"/>
                <w:b w:val="0"/>
                <w:i w:val="0"/>
                <w:color w:val="212121"/>
                <w:sz w:val="16"/>
              </w:rPr>
              <w:t>Mucosal appearance (erythema, erosions, haemorrhage, atrophy)</w:t>
            </w:r>
          </w:p>
        </w:tc>
        <w:tc>
          <w:tcPr>
            <w:tcW w:type="dxa" w:w="892"/>
            <w:vAlign w:val="top"/>
          </w:tcPr>
          <w:p>
            <w:pPr>
              <w:spacing w:after="40" w:before="0" w:line="259" w:lineRule="auto"/>
            </w:pPr>
            <w:r>
              <w:rPr>
                <w:rFonts w:ascii="Calibri" w:hAnsi="Calibri"/>
                <w:b w:val="0"/>
                <w:i w:val="0"/>
                <w:color w:val="212121"/>
                <w:sz w:val="16"/>
              </w:rPr>
              <w:t>Upper GI endoscopy (OGD)</w:t>
            </w:r>
          </w:p>
        </w:tc>
        <w:tc>
          <w:tcPr>
            <w:tcW w:type="dxa" w:w="950"/>
            <w:vAlign w:val="top"/>
          </w:tcPr>
          <w:p>
            <w:pPr>
              <w:spacing w:after="40" w:before="0" w:line="259" w:lineRule="auto"/>
            </w:pPr>
            <w:r>
              <w:rPr>
                <w:rFonts w:ascii="Calibri" w:hAnsi="Calibri"/>
                <w:b w:val="0"/>
                <w:i w:val="0"/>
                <w:color w:val="212121"/>
                <w:sz w:val="16"/>
              </w:rPr>
              <w:t>Normal, smooth pink mucosa</w:t>
            </w:r>
          </w:p>
        </w:tc>
        <w:tc>
          <w:tcPr>
            <w:tcW w:type="dxa" w:w="950"/>
            <w:vAlign w:val="top"/>
          </w:tcPr>
          <w:p>
            <w:pPr>
              <w:spacing w:after="40" w:before="0" w:line="259" w:lineRule="auto"/>
            </w:pPr>
            <w:r>
              <w:rPr>
                <w:rFonts w:ascii="Calibri" w:hAnsi="Calibri"/>
                <w:b w:val="0"/>
                <w:i w:val="0"/>
                <w:color w:val="212121"/>
                <w:sz w:val="16"/>
              </w:rPr>
              <w:t>Erythema, erosions, haemorrhagic spots, atrophy, intestinal metaplasia; excludes ulcer/cancer</w:t>
            </w:r>
          </w:p>
        </w:tc>
        <w:tc>
          <w:tcPr>
            <w:tcW w:type="dxa" w:w="1036"/>
            <w:vAlign w:val="top"/>
          </w:tcPr>
          <w:p>
            <w:pPr>
              <w:spacing w:after="40" w:before="0" w:line="259" w:lineRule="auto"/>
            </w:pPr>
            <w:r>
              <w:rPr>
                <w:rFonts w:ascii="Calibri" w:hAnsi="Calibri"/>
                <w:b w:val="0"/>
                <w:i w:val="0"/>
                <w:color w:val="212121"/>
                <w:sz w:val="16"/>
              </w:rPr>
              <w:t>Directly visualises and localises gastritis and its complications; reference standard</w:t>
            </w:r>
          </w:p>
        </w:tc>
        <w:tc>
          <w:tcPr>
            <w:tcW w:type="dxa" w:w="1036"/>
            <w:vAlign w:val="top"/>
          </w:tcPr>
          <w:p>
            <w:pPr>
              <w:spacing w:after="40" w:before="0" w:line="259" w:lineRule="auto"/>
            </w:pPr>
            <w:r>
              <w:rPr>
                <w:rFonts w:ascii="Calibri" w:hAnsi="Calibri"/>
                <w:b w:val="0"/>
                <w:i w:val="0"/>
                <w:color w:val="212121"/>
                <w:sz w:val="16"/>
              </w:rPr>
              <w:t>Alarm features, new dyspepsia after 45-55, refractory symptoms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(structural)</w:t>
            </w:r>
          </w:p>
        </w:tc>
        <w:tc>
          <w:tcPr>
            <w:tcW w:type="dxa" w:w="720"/>
            <w:vAlign w:val="top"/>
          </w:tcPr>
          <w:p>
            <w:pPr>
              <w:spacing w:after="40" w:before="0" w:line="259" w:lineRule="auto"/>
            </w:pPr>
            <w:r>
              <w:rPr>
                <w:rFonts w:ascii="Calibri" w:hAnsi="Calibri"/>
                <w:b w:val="0"/>
                <w:i w:val="0"/>
                <w:color w:val="212121"/>
                <w:sz w:val="16"/>
              </w:rPr>
              <w:t>Symptoms correlate poorly with mucosal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Inflammation, atrophy, intestinal metaplasia, H. pylori (updated Sydney)</w:t>
            </w:r>
          </w:p>
        </w:tc>
        <w:tc>
          <w:tcPr>
            <w:tcW w:type="dxa" w:w="892"/>
            <w:vAlign w:val="top"/>
          </w:tcPr>
          <w:p>
            <w:pPr>
              <w:spacing w:after="40" w:before="0" w:line="259" w:lineRule="auto"/>
            </w:pPr>
            <w:r>
              <w:rPr>
                <w:rFonts w:ascii="Calibri" w:hAnsi="Calibri"/>
                <w:b w:val="0"/>
                <w:i w:val="0"/>
                <w:color w:val="212121"/>
                <w:sz w:val="16"/>
              </w:rPr>
              <w:t>Gastric biopsy (antrum x2, incisura, corpus x2)</w:t>
            </w:r>
          </w:p>
        </w:tc>
        <w:tc>
          <w:tcPr>
            <w:tcW w:type="dxa" w:w="950"/>
            <w:vAlign w:val="top"/>
          </w:tcPr>
          <w:p>
            <w:pPr>
              <w:spacing w:after="40" w:before="0" w:line="259" w:lineRule="auto"/>
            </w:pPr>
            <w:r>
              <w:rPr>
                <w:rFonts w:ascii="Calibri" w:hAnsi="Calibri"/>
                <w:b w:val="0"/>
                <w:i w:val="0"/>
                <w:color w:val="212121"/>
                <w:sz w:val="16"/>
              </w:rPr>
              <w:t>No significant inflammation; H. pylori negative</w:t>
            </w:r>
          </w:p>
        </w:tc>
        <w:tc>
          <w:tcPr>
            <w:tcW w:type="dxa" w:w="950"/>
            <w:vAlign w:val="top"/>
          </w:tcPr>
          <w:p>
            <w:pPr>
              <w:spacing w:after="40" w:before="0" w:line="259" w:lineRule="auto"/>
            </w:pPr>
            <w:r>
              <w:rPr>
                <w:rFonts w:ascii="Calibri" w:hAnsi="Calibri"/>
                <w:b w:val="0"/>
                <w:i w:val="0"/>
                <w:color w:val="212121"/>
                <w:sz w:val="16"/>
              </w:rPr>
              <w:t>Active/chronic inflammation, atrophy, metaplasia; H. pylori seen; OLGA/OLGIM stage III-IV</w:t>
            </w:r>
          </w:p>
        </w:tc>
        <w:tc>
          <w:tcPr>
            <w:tcW w:type="dxa" w:w="1036"/>
            <w:vAlign w:val="top"/>
          </w:tcPr>
          <w:p>
            <w:pPr>
              <w:spacing w:after="40" w:before="0" w:line="259" w:lineRule="auto"/>
            </w:pPr>
            <w:r>
              <w:rPr>
                <w:rFonts w:ascii="Calibri" w:hAnsi="Calibri"/>
                <w:b w:val="0"/>
                <w:i w:val="0"/>
                <w:color w:val="212121"/>
                <w:sz w:val="16"/>
              </w:rPr>
              <w:t>Confirms and stages gastritis and quantifies cancer risk</w:t>
            </w:r>
          </w:p>
        </w:tc>
        <w:tc>
          <w:tcPr>
            <w:tcW w:type="dxa" w:w="1036"/>
            <w:vAlign w:val="top"/>
          </w:tcPr>
          <w:p>
            <w:pPr>
              <w:spacing w:after="40" w:before="0" w:line="259" w:lineRule="auto"/>
            </w:pPr>
            <w:r>
              <w:rPr>
                <w:rFonts w:ascii="Calibri" w:hAnsi="Calibri"/>
                <w:b w:val="0"/>
                <w:i w:val="0"/>
                <w:color w:val="212121"/>
                <w:sz w:val="16"/>
              </w:rPr>
              <w:t>Endoscopy patients, suspected atrophy/metaplasia</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(diagnostic)</w:t>
            </w:r>
          </w:p>
        </w:tc>
        <w:tc>
          <w:tcPr>
            <w:tcW w:type="dxa" w:w="720"/>
            <w:vAlign w:val="top"/>
          </w:tcPr>
          <w:p>
            <w:pPr>
              <w:spacing w:after="40" w:before="0" w:line="259" w:lineRule="auto"/>
            </w:pPr>
            <w:r>
              <w:rPr>
                <w:rFonts w:ascii="Calibri" w:hAnsi="Calibri"/>
                <w:b w:val="0"/>
                <w:i w:val="0"/>
                <w:color w:val="212121"/>
                <w:sz w:val="16"/>
              </w:rPr>
              <w:t>OLGA/OLGIM III-IV warrants surveillance every 3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(rapid)</w:t>
            </w:r>
          </w:p>
        </w:tc>
        <w:tc>
          <w:tcPr>
            <w:tcW w:type="dxa" w:w="1036"/>
            <w:vAlign w:val="top"/>
          </w:tcPr>
          <w:p>
            <w:pPr>
              <w:spacing w:after="40" w:before="0" w:line="259" w:lineRule="auto"/>
            </w:pPr>
            <w:r>
              <w:rPr>
                <w:rFonts w:ascii="Calibri" w:hAnsi="Calibri"/>
                <w:b w:val="0"/>
                <w:i w:val="0"/>
                <w:color w:val="212121"/>
                <w:sz w:val="16"/>
              </w:rPr>
              <w:t>Biopsy urease reaction</w:t>
            </w:r>
          </w:p>
        </w:tc>
        <w:tc>
          <w:tcPr>
            <w:tcW w:type="dxa" w:w="892"/>
            <w:vAlign w:val="top"/>
          </w:tcPr>
          <w:p>
            <w:pPr>
              <w:spacing w:after="40" w:before="0" w:line="259" w:lineRule="auto"/>
            </w:pPr>
            <w:r>
              <w:rPr>
                <w:rFonts w:ascii="Calibri" w:hAnsi="Calibri"/>
                <w:b w:val="0"/>
                <w:i w:val="0"/>
                <w:color w:val="212121"/>
                <w:sz w:val="16"/>
              </w:rPr>
              <w:t>Rapid urease (CLO)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colour change</w:t>
            </w:r>
          </w:p>
        </w:tc>
        <w:tc>
          <w:tcPr>
            <w:tcW w:type="dxa" w:w="1036"/>
            <w:vAlign w:val="top"/>
          </w:tcPr>
          <w:p>
            <w:pPr>
              <w:spacing w:after="40" w:before="0" w:line="259" w:lineRule="auto"/>
            </w:pPr>
            <w:r>
              <w:rPr>
                <w:rFonts w:ascii="Calibri" w:hAnsi="Calibri"/>
                <w:b w:val="0"/>
                <w:i w:val="0"/>
                <w:color w:val="212121"/>
                <w:sz w:val="16"/>
              </w:rPr>
              <w:t>Rapid endoscopic detection of H. pylori</w:t>
            </w:r>
          </w:p>
        </w:tc>
        <w:tc>
          <w:tcPr>
            <w:tcW w:type="dxa" w:w="1036"/>
            <w:vAlign w:val="top"/>
          </w:tcPr>
          <w:p>
            <w:pPr>
              <w:spacing w:after="40" w:before="0" w:line="259" w:lineRule="auto"/>
            </w:pPr>
            <w:r>
              <w:rPr>
                <w:rFonts w:ascii="Calibri" w:hAnsi="Calibri"/>
                <w:b w:val="0"/>
                <w:i w:val="0"/>
                <w:color w:val="212121"/>
                <w:sz w:val="16"/>
              </w:rPr>
              <w:t>Patients undergoing endoscopy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(point-of-care)</w:t>
            </w:r>
          </w:p>
        </w:tc>
        <w:tc>
          <w:tcPr>
            <w:tcW w:type="dxa" w:w="720"/>
            <w:vAlign w:val="top"/>
          </w:tcPr>
          <w:p>
            <w:pPr>
              <w:spacing w:after="40" w:before="0" w:line="259" w:lineRule="auto"/>
            </w:pPr>
            <w:r>
              <w:rPr>
                <w:rFonts w:ascii="Calibri" w:hAnsi="Calibri"/>
                <w:b w:val="0"/>
                <w:i w:val="0"/>
                <w:color w:val="212121"/>
                <w:sz w:val="16"/>
              </w:rPr>
              <w:t>False negatives with PPIs, antibiotics or bleeding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Non-invasive</w:t>
            </w:r>
          </w:p>
        </w:tc>
        <w:tc>
          <w:tcPr>
            <w:tcW w:type="dxa" w:w="1036"/>
            <w:vAlign w:val="top"/>
          </w:tcPr>
          <w:p>
            <w:pPr>
              <w:spacing w:after="40" w:before="0" w:line="259" w:lineRule="auto"/>
            </w:pPr>
            <w:r>
              <w:rPr>
                <w:rFonts w:ascii="Calibri" w:hAnsi="Calibri"/>
                <w:b w:val="0"/>
                <w:i w:val="0"/>
                <w:color w:val="212121"/>
                <w:sz w:val="16"/>
              </w:rPr>
              <w:t>Labelled CO2 in breath</w:t>
            </w:r>
          </w:p>
        </w:tc>
        <w:tc>
          <w:tcPr>
            <w:tcW w:type="dxa" w:w="892"/>
            <w:vAlign w:val="top"/>
          </w:tcPr>
          <w:p>
            <w:pPr>
              <w:spacing w:after="40" w:before="0" w:line="259" w:lineRule="auto"/>
            </w:pPr>
            <w:r>
              <w:rPr>
                <w:rFonts w:ascii="Calibri" w:hAnsi="Calibri"/>
                <w:b w:val="0"/>
                <w:i w:val="0"/>
                <w:color w:val="212121"/>
                <w:sz w:val="16"/>
              </w:rPr>
              <w:t>Urea breath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Most accurate non-invasive test for active H. pylori; confirms eradication</w:t>
            </w:r>
          </w:p>
        </w:tc>
        <w:tc>
          <w:tcPr>
            <w:tcW w:type="dxa" w:w="1036"/>
            <w:vAlign w:val="top"/>
          </w:tcPr>
          <w:p>
            <w:pPr>
              <w:spacing w:after="40" w:before="0" w:line="259" w:lineRule="auto"/>
            </w:pPr>
            <w:r>
              <w:rPr>
                <w:rFonts w:ascii="Calibri" w:hAnsi="Calibri"/>
                <w:b w:val="0"/>
                <w:i w:val="0"/>
                <w:color w:val="212121"/>
                <w:sz w:val="16"/>
              </w:rPr>
              <w:t>Dyspepsia without alarm features, post-treatment check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(non-invasive)</w:t>
            </w:r>
          </w:p>
        </w:tc>
        <w:tc>
          <w:tcPr>
            <w:tcW w:type="dxa" w:w="720"/>
            <w:vAlign w:val="top"/>
          </w:tcPr>
          <w:p>
            <w:pPr>
              <w:spacing w:after="40" w:before="0" w:line="259" w:lineRule="auto"/>
            </w:pPr>
            <w:r>
              <w:rPr>
                <w:rFonts w:ascii="Calibri" w:hAnsi="Calibri"/>
                <w:b w:val="0"/>
                <w:i w:val="0"/>
                <w:color w:val="212121"/>
                <w:sz w:val="16"/>
              </w:rPr>
              <w:t>Stop PPIs 2 weeks and antibiotics 4 weeks before testing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Non-invasive</w:t>
            </w:r>
          </w:p>
        </w:tc>
        <w:tc>
          <w:tcPr>
            <w:tcW w:type="dxa" w:w="1036"/>
            <w:vAlign w:val="top"/>
          </w:tcPr>
          <w:p>
            <w:pPr>
              <w:spacing w:after="40" w:before="0" w:line="259" w:lineRule="auto"/>
            </w:pPr>
            <w:r>
              <w:rPr>
                <w:rFonts w:ascii="Calibri" w:hAnsi="Calibri"/>
                <w:b w:val="0"/>
                <w:i w:val="0"/>
                <w:color w:val="212121"/>
                <w:sz w:val="16"/>
              </w:rPr>
              <w:t>Faecal H. pylori antigen</w:t>
            </w:r>
          </w:p>
        </w:tc>
        <w:tc>
          <w:tcPr>
            <w:tcW w:type="dxa" w:w="892"/>
            <w:vAlign w:val="top"/>
          </w:tcPr>
          <w:p>
            <w:pPr>
              <w:spacing w:after="40" w:before="0" w:line="259" w:lineRule="auto"/>
            </w:pPr>
            <w:r>
              <w:rPr>
                <w:rFonts w:ascii="Calibri" w:hAnsi="Calibri"/>
                <w:b w:val="0"/>
                <w:i w:val="0"/>
                <w:color w:val="212121"/>
                <w:sz w:val="16"/>
              </w:rPr>
              <w:t>Stool antigen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Accurate detection of active infection; useful where breath testing is unavailable</w:t>
            </w:r>
          </w:p>
        </w:tc>
        <w:tc>
          <w:tcPr>
            <w:tcW w:type="dxa" w:w="1036"/>
            <w:vAlign w:val="top"/>
          </w:tcPr>
          <w:p>
            <w:pPr>
              <w:spacing w:after="40" w:before="0" w:line="259" w:lineRule="auto"/>
            </w:pPr>
            <w:r>
              <w:rPr>
                <w:rFonts w:ascii="Calibri" w:hAnsi="Calibri"/>
                <w:b w:val="0"/>
                <w:i w:val="0"/>
                <w:color w:val="212121"/>
                <w:sz w:val="16"/>
              </w:rPr>
              <w:t>Community/primary-care testing, children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affected by recent PPIs/antibiotics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Haemoglobin and iron studies</w:t>
            </w:r>
          </w:p>
        </w:tc>
        <w:tc>
          <w:tcPr>
            <w:tcW w:type="dxa" w:w="892"/>
            <w:vAlign w:val="top"/>
          </w:tcPr>
          <w:p>
            <w:pPr>
              <w:spacing w:after="40" w:before="0" w:line="259" w:lineRule="auto"/>
            </w:pPr>
            <w:r>
              <w:rPr>
                <w:rFonts w:ascii="Calibri" w:hAnsi="Calibri"/>
                <w:b w:val="0"/>
                <w:i w:val="0"/>
                <w:color w:val="212121"/>
                <w:sz w:val="16"/>
              </w:rPr>
              <w:t>Complete blood count, ferritin</w:t>
            </w:r>
          </w:p>
        </w:tc>
        <w:tc>
          <w:tcPr>
            <w:tcW w:type="dxa" w:w="950"/>
            <w:vAlign w:val="top"/>
          </w:tcPr>
          <w:p>
            <w:pPr>
              <w:spacing w:after="40" w:before="0" w:line="259" w:lineRule="auto"/>
            </w:pPr>
            <w:r>
              <w:rPr>
                <w:rFonts w:ascii="Calibri" w:hAnsi="Calibri"/>
                <w:b w:val="0"/>
                <w:i w:val="0"/>
                <w:color w:val="212121"/>
                <w:sz w:val="16"/>
              </w:rPr>
              <w:t>Normal Hb and iron stores</w:t>
            </w:r>
          </w:p>
        </w:tc>
        <w:tc>
          <w:tcPr>
            <w:tcW w:type="dxa" w:w="950"/>
            <w:vAlign w:val="top"/>
          </w:tcPr>
          <w:p>
            <w:pPr>
              <w:spacing w:after="40" w:before="0" w:line="259" w:lineRule="auto"/>
            </w:pPr>
            <w:r>
              <w:rPr>
                <w:rFonts w:ascii="Calibri" w:hAnsi="Calibri"/>
                <w:b w:val="0"/>
                <w:i w:val="0"/>
                <w:color w:val="212121"/>
                <w:sz w:val="16"/>
              </w:rPr>
              <w:t>Iron-deficiency or macrocytic anaemia</w:t>
            </w:r>
          </w:p>
        </w:tc>
        <w:tc>
          <w:tcPr>
            <w:tcW w:type="dxa" w:w="1036"/>
            <w:vAlign w:val="top"/>
          </w:tcPr>
          <w:p>
            <w:pPr>
              <w:spacing w:after="40" w:before="0" w:line="259" w:lineRule="auto"/>
            </w:pPr>
            <w:r>
              <w:rPr>
                <w:rFonts w:ascii="Calibri" w:hAnsi="Calibri"/>
                <w:b w:val="0"/>
                <w:i w:val="0"/>
                <w:color w:val="212121"/>
                <w:sz w:val="16"/>
              </w:rPr>
              <w:t>Detects chronic bleeding and malabsorption; anaemia is an alarm feature</w:t>
            </w:r>
          </w:p>
        </w:tc>
        <w:tc>
          <w:tcPr>
            <w:tcW w:type="dxa" w:w="1036"/>
            <w:vAlign w:val="top"/>
          </w:tcPr>
          <w:p>
            <w:pPr>
              <w:spacing w:after="40" w:before="0" w:line="259" w:lineRule="auto"/>
            </w:pPr>
            <w:r>
              <w:rPr>
                <w:rFonts w:ascii="Calibri" w:hAnsi="Calibri"/>
                <w:b w:val="0"/>
                <w:i w:val="0"/>
                <w:color w:val="212121"/>
                <w:sz w:val="16"/>
              </w:rPr>
              <w:t>Erosive/atrophic gastritis, elderly, NSAID users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(alarm)</w:t>
            </w:r>
          </w:p>
        </w:tc>
        <w:tc>
          <w:tcPr>
            <w:tcW w:type="dxa" w:w="720"/>
            <w:vAlign w:val="top"/>
          </w:tcPr>
          <w:p>
            <w:pPr>
              <w:spacing w:after="40" w:before="0" w:line="259" w:lineRule="auto"/>
            </w:pPr>
            <w:r>
              <w:rPr>
                <w:rFonts w:ascii="Calibri" w:hAnsi="Calibri"/>
                <w:b w:val="0"/>
                <w:i w:val="0"/>
                <w:color w:val="212121"/>
                <w:sz w:val="16"/>
              </w:rPr>
              <w:t>Prompts urgent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w:t>
            </w:r>
          </w:p>
        </w:tc>
        <w:tc>
          <w:tcPr>
            <w:tcW w:type="dxa" w:w="892"/>
            <w:vAlign w:val="top"/>
          </w:tcPr>
          <w:p>
            <w:pPr>
              <w:spacing w:after="40" w:before="0" w:line="259" w:lineRule="auto"/>
            </w:pPr>
            <w:r>
              <w:rPr>
                <w:rFonts w:ascii="Calibri" w:hAnsi="Calibri"/>
                <w:b w:val="0"/>
                <w:i w:val="0"/>
                <w:color w:val="212121"/>
                <w:sz w:val="16"/>
              </w:rPr>
              <w:t>Serum B12 (+/- methylmalonic acid)</w:t>
            </w:r>
          </w:p>
        </w:tc>
        <w:tc>
          <w:tcPr>
            <w:tcW w:type="dxa" w:w="950"/>
            <w:vAlign w:val="top"/>
          </w:tcPr>
          <w:p>
            <w:pPr>
              <w:spacing w:after="40" w:before="0" w:line="259" w:lineRule="auto"/>
            </w:pPr>
            <w:r>
              <w:rPr>
                <w:rFonts w:ascii="Calibri" w:hAnsi="Calibri"/>
                <w:b w:val="0"/>
                <w:i w:val="0"/>
                <w:color w:val="212121"/>
                <w:sz w:val="16"/>
              </w:rPr>
              <w:t>&gt;= 200-300 pg/mL</w:t>
            </w:r>
          </w:p>
        </w:tc>
        <w:tc>
          <w:tcPr>
            <w:tcW w:type="dxa" w:w="950"/>
            <w:vAlign w:val="top"/>
          </w:tcPr>
          <w:p>
            <w:pPr>
              <w:spacing w:after="40" w:before="0" w:line="259" w:lineRule="auto"/>
            </w:pPr>
            <w:r>
              <w:rPr>
                <w:rFonts w:ascii="Calibri" w:hAnsi="Calibri"/>
                <w:b w:val="0"/>
                <w:i w:val="0"/>
                <w:color w:val="212121"/>
                <w:sz w:val="16"/>
              </w:rPr>
              <w:t>&lt; 200 pg/mL</w:t>
            </w:r>
          </w:p>
        </w:tc>
        <w:tc>
          <w:tcPr>
            <w:tcW w:type="dxa" w:w="1036"/>
            <w:vAlign w:val="top"/>
          </w:tcPr>
          <w:p>
            <w:pPr>
              <w:spacing w:after="40" w:before="0" w:line="259" w:lineRule="auto"/>
            </w:pPr>
            <w:r>
              <w:rPr>
                <w:rFonts w:ascii="Calibri" w:hAnsi="Calibri"/>
                <w:b w:val="0"/>
                <w:i w:val="0"/>
                <w:color w:val="212121"/>
                <w:sz w:val="16"/>
              </w:rPr>
              <w:t>Low in autoimmune corpus atrophy and pernicious anaemia</w:t>
            </w:r>
          </w:p>
        </w:tc>
        <w:tc>
          <w:tcPr>
            <w:tcW w:type="dxa" w:w="1036"/>
            <w:vAlign w:val="top"/>
          </w:tcPr>
          <w:p>
            <w:pPr>
              <w:spacing w:after="40" w:before="0" w:line="259" w:lineRule="auto"/>
            </w:pPr>
            <w:r>
              <w:rPr>
                <w:rFonts w:ascii="Calibri" w:hAnsi="Calibri"/>
                <w:b w:val="0"/>
                <w:i w:val="0"/>
                <w:color w:val="212121"/>
                <w:sz w:val="16"/>
              </w:rPr>
              <w:t>Suspected autoimmune atrophic gastritis, macrocytosis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(autoimmune)</w:t>
            </w:r>
          </w:p>
        </w:tc>
        <w:tc>
          <w:tcPr>
            <w:tcW w:type="dxa" w:w="720"/>
            <w:vAlign w:val="top"/>
          </w:tcPr>
          <w:p>
            <w:pPr>
              <w:spacing w:after="40" w:before="0" w:line="259" w:lineRule="auto"/>
            </w:pPr>
            <w:r>
              <w:rPr>
                <w:rFonts w:ascii="Calibri" w:hAnsi="Calibri"/>
                <w:b w:val="0"/>
                <w:i w:val="0"/>
                <w:color w:val="212121"/>
                <w:sz w:val="16"/>
              </w:rPr>
              <w:t>Neurological deficits may precede anaemia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 / biochemical</w:t>
            </w:r>
          </w:p>
        </w:tc>
        <w:tc>
          <w:tcPr>
            <w:tcW w:type="dxa" w:w="1036"/>
            <w:vAlign w:val="top"/>
          </w:tcPr>
          <w:p>
            <w:pPr>
              <w:spacing w:after="40" w:before="0" w:line="259" w:lineRule="auto"/>
            </w:pPr>
            <w:r>
              <w:rPr>
                <w:rFonts w:ascii="Calibri" w:hAnsi="Calibri"/>
                <w:b w:val="0"/>
                <w:i w:val="0"/>
                <w:color w:val="212121"/>
                <w:sz w:val="16"/>
              </w:rPr>
              <w:t>Autoantibodies, gastrin, pepsinogens</w:t>
            </w:r>
          </w:p>
        </w:tc>
        <w:tc>
          <w:tcPr>
            <w:tcW w:type="dxa" w:w="892"/>
            <w:vAlign w:val="top"/>
          </w:tcPr>
          <w:p>
            <w:pPr>
              <w:spacing w:after="40" w:before="0" w:line="259" w:lineRule="auto"/>
            </w:pPr>
            <w:r>
              <w:rPr>
                <w:rFonts w:ascii="Calibri" w:hAnsi="Calibri"/>
                <w:b w:val="0"/>
                <w:i w:val="0"/>
                <w:color w:val="212121"/>
                <w:sz w:val="16"/>
              </w:rPr>
              <w:t>Anti-parietal-cell &amp; anti-intrinsic-factor antibodies, serum gastrin, pepsinogen I and I:II ratio</w:t>
            </w:r>
          </w:p>
        </w:tc>
        <w:tc>
          <w:tcPr>
            <w:tcW w:type="dxa" w:w="950"/>
            <w:vAlign w:val="top"/>
          </w:tcPr>
          <w:p>
            <w:pPr>
              <w:spacing w:after="40" w:before="0" w:line="259" w:lineRule="auto"/>
            </w:pPr>
            <w:r>
              <w:rPr>
                <w:rFonts w:ascii="Calibri" w:hAnsi="Calibri"/>
                <w:b w:val="0"/>
                <w:i w:val="0"/>
                <w:color w:val="212121"/>
                <w:sz w:val="16"/>
              </w:rPr>
              <w:t>Antibodies negative; normal gastrin and pepsinogen ratio</w:t>
            </w:r>
          </w:p>
        </w:tc>
        <w:tc>
          <w:tcPr>
            <w:tcW w:type="dxa" w:w="950"/>
            <w:vAlign w:val="top"/>
          </w:tcPr>
          <w:p>
            <w:pPr>
              <w:spacing w:after="40" w:before="0" w:line="259" w:lineRule="auto"/>
            </w:pPr>
            <w:r>
              <w:rPr>
                <w:rFonts w:ascii="Calibri" w:hAnsi="Calibri"/>
                <w:b w:val="0"/>
                <w:i w:val="0"/>
                <w:color w:val="212121"/>
                <w:sz w:val="16"/>
              </w:rPr>
              <w:t>Positive antibodies; high gastrin with low pepsinogen I and low I:II ratio</w:t>
            </w:r>
          </w:p>
        </w:tc>
        <w:tc>
          <w:tcPr>
            <w:tcW w:type="dxa" w:w="1036"/>
            <w:vAlign w:val="top"/>
          </w:tcPr>
          <w:p>
            <w:pPr>
              <w:spacing w:after="40" w:before="0" w:line="259" w:lineRule="auto"/>
            </w:pPr>
            <w:r>
              <w:rPr>
                <w:rFonts w:ascii="Calibri" w:hAnsi="Calibri"/>
                <w:b w:val="0"/>
                <w:i w:val="0"/>
                <w:color w:val="212121"/>
                <w:sz w:val="16"/>
              </w:rPr>
              <w:t>Confirms autoimmune corpus-predominant atrophic gastritis</w:t>
            </w:r>
          </w:p>
        </w:tc>
        <w:tc>
          <w:tcPr>
            <w:tcW w:type="dxa" w:w="1036"/>
            <w:vAlign w:val="top"/>
          </w:tcPr>
          <w:p>
            <w:pPr>
              <w:spacing w:after="40" w:before="0" w:line="259" w:lineRule="auto"/>
            </w:pPr>
            <w:r>
              <w:rPr>
                <w:rFonts w:ascii="Calibri" w:hAnsi="Calibri"/>
                <w:b w:val="0"/>
                <w:i w:val="0"/>
                <w:color w:val="212121"/>
                <w:sz w:val="16"/>
              </w:rPr>
              <w:t>Pernicious anaemia, autoimmune-disease clusters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(autoimmune)</w:t>
            </w:r>
          </w:p>
        </w:tc>
        <w:tc>
          <w:tcPr>
            <w:tcW w:type="dxa" w:w="720"/>
            <w:vAlign w:val="top"/>
          </w:tcPr>
          <w:p>
            <w:pPr>
              <w:spacing w:after="40" w:before="0" w:line="259" w:lineRule="auto"/>
            </w:pPr>
            <w:r>
              <w:rPr>
                <w:rFonts w:ascii="Calibri" w:hAnsi="Calibri"/>
                <w:b w:val="0"/>
                <w:i w:val="0"/>
                <w:color w:val="212121"/>
                <w:sz w:val="16"/>
              </w:rPr>
              <w:t>Anti-intrinsic-factor is specific but insensitive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Epigastric pain/burning, dyspepsia, fullness, nausea</w:t>
            </w:r>
          </w:p>
        </w:tc>
        <w:tc>
          <w:tcPr>
            <w:tcW w:type="dxa" w:w="950"/>
            <w:vAlign w:val="top"/>
          </w:tcPr>
          <w:p>
            <w:pPr>
              <w:spacing w:after="40" w:before="0" w:line="259" w:lineRule="auto"/>
            </w:pPr>
            <w:r>
              <w:rPr>
                <w:rFonts w:ascii="Calibri" w:hAnsi="Calibri"/>
                <w:b w:val="0"/>
                <w:i w:val="0"/>
                <w:color w:val="212121"/>
                <w:sz w:val="16"/>
              </w:rPr>
              <w:t>Absent or infrequent</w:t>
            </w:r>
          </w:p>
        </w:tc>
        <w:tc>
          <w:tcPr>
            <w:tcW w:type="dxa" w:w="950"/>
            <w:vAlign w:val="top"/>
          </w:tcPr>
          <w:p>
            <w:pPr>
              <w:spacing w:after="40" w:before="0" w:line="259" w:lineRule="auto"/>
            </w:pPr>
            <w:r>
              <w:rPr>
                <w:rFonts w:ascii="Calibri" w:hAnsi="Calibri"/>
                <w:b w:val="0"/>
                <w:i w:val="0"/>
                <w:color w:val="212121"/>
                <w:sz w:val="16"/>
              </w:rPr>
              <w:t>Persistent or recurrent dyspeptic symptoms</w:t>
            </w:r>
          </w:p>
        </w:tc>
        <w:tc>
          <w:tcPr>
            <w:tcW w:type="dxa" w:w="1036"/>
            <w:vAlign w:val="top"/>
          </w:tcPr>
          <w:p>
            <w:pPr>
              <w:spacing w:after="40" w:before="0" w:line="259" w:lineRule="auto"/>
            </w:pPr>
            <w:r>
              <w:rPr>
                <w:rFonts w:ascii="Calibri" w:hAnsi="Calibri"/>
                <w:b w:val="0"/>
                <w:i w:val="0"/>
                <w:color w:val="212121"/>
                <w:sz w:val="16"/>
              </w:rPr>
              <w:t>Suggestive but non-specific; guides testing rather than confirming diagnosis</w:t>
            </w:r>
          </w:p>
        </w:tc>
        <w:tc>
          <w:tcPr>
            <w:tcW w:type="dxa" w:w="1036"/>
            <w:vAlign w:val="top"/>
          </w:tcPr>
          <w:p>
            <w:pPr>
              <w:spacing w:after="40" w:before="0" w:line="259" w:lineRule="auto"/>
            </w:pPr>
            <w:r>
              <w:rPr>
                <w:rFonts w:ascii="Calibri" w:hAnsi="Calibri"/>
                <w:b w:val="0"/>
                <w:i w:val="0"/>
                <w:color w:val="212121"/>
                <w:sz w:val="16"/>
              </w:rPr>
              <w:t>Adults with upper-abdominal symptoms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 (primary)</w:t>
            </w:r>
          </w:p>
        </w:tc>
        <w:tc>
          <w:tcPr>
            <w:tcW w:type="dxa" w:w="720"/>
            <w:vAlign w:val="top"/>
          </w:tcPr>
          <w:p>
            <w:pPr>
              <w:spacing w:after="40" w:before="0" w:line="259" w:lineRule="auto"/>
            </w:pPr>
            <w:r>
              <w:rPr>
                <w:rFonts w:ascii="Calibri" w:hAnsi="Calibri"/>
                <w:b w:val="0"/>
                <w:i w:val="0"/>
                <w:color w:val="212121"/>
                <w:sz w:val="16"/>
              </w:rPr>
              <w:t>Symptoms correlate poorly with histology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history</w:t>
            </w:r>
          </w:p>
        </w:tc>
        <w:tc>
          <w:tcPr>
            <w:tcW w:type="dxa" w:w="979"/>
            <w:vAlign w:val="top"/>
          </w:tcPr>
          <w:p>
            <w:pPr>
              <w:spacing w:after="40" w:before="0" w:line="259" w:lineRule="auto"/>
            </w:pPr>
            <w:r>
              <w:rPr>
                <w:rFonts w:ascii="Calibri" w:hAnsi="Calibri"/>
                <w:b w:val="0"/>
                <w:i w:val="0"/>
                <w:color w:val="212121"/>
                <w:sz w:val="16"/>
              </w:rPr>
              <w:t>NSAIDs, aspirin, corticosteroids, anticoagulants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Regular NSAID/aspirin or gastro-toxic drug use</w:t>
            </w:r>
          </w:p>
        </w:tc>
        <w:tc>
          <w:tcPr>
            <w:tcW w:type="dxa" w:w="1036"/>
            <w:vAlign w:val="top"/>
          </w:tcPr>
          <w:p>
            <w:pPr>
              <w:spacing w:after="40" w:before="0" w:line="259" w:lineRule="auto"/>
            </w:pPr>
            <w:r>
              <w:rPr>
                <w:rFonts w:ascii="Calibri" w:hAnsi="Calibri"/>
                <w:b w:val="0"/>
                <w:i w:val="0"/>
                <w:color w:val="212121"/>
                <w:sz w:val="16"/>
              </w:rPr>
              <w:t>Identifies reactive gastropathy - a key reversible cause</w:t>
            </w:r>
          </w:p>
        </w:tc>
        <w:tc>
          <w:tcPr>
            <w:tcW w:type="dxa" w:w="1036"/>
            <w:vAlign w:val="top"/>
          </w:tcPr>
          <w:p>
            <w:pPr>
              <w:spacing w:after="40" w:before="0" w:line="259" w:lineRule="auto"/>
            </w:pPr>
            <w:r>
              <w:rPr>
                <w:rFonts w:ascii="Calibri" w:hAnsi="Calibri"/>
                <w:b w:val="0"/>
                <w:i w:val="0"/>
                <w:color w:val="212121"/>
                <w:sz w:val="16"/>
              </w:rPr>
              <w:t>Arthritis, chronic pain, cardiac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(critical)</w:t>
            </w:r>
          </w:p>
        </w:tc>
        <w:tc>
          <w:tcPr>
            <w:tcW w:type="dxa" w:w="720"/>
            <w:vAlign w:val="top"/>
          </w:tcPr>
          <w:p>
            <w:pPr>
              <w:spacing w:after="40" w:before="0" w:line="259" w:lineRule="auto"/>
            </w:pPr>
            <w:r>
              <w:rPr>
                <w:rFonts w:ascii="Calibri" w:hAnsi="Calibri"/>
                <w:b w:val="0"/>
                <w:i w:val="0"/>
                <w:color w:val="212121"/>
                <w:sz w:val="16"/>
              </w:rPr>
              <w:t>Review, stop or add gastroprotection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smoking and tobacco</w:t>
            </w:r>
          </w:p>
        </w:tc>
        <w:tc>
          <w:tcPr>
            <w:tcW w:type="dxa" w:w="979"/>
            <w:vAlign w:val="top"/>
          </w:tcPr>
          <w:p>
            <w:pPr>
              <w:spacing w:after="40" w:before="0" w:line="259" w:lineRule="auto"/>
            </w:pPr>
            <w:r>
              <w:rPr>
                <w:rFonts w:ascii="Calibri" w:hAnsi="Calibri"/>
                <w:b w:val="0"/>
                <w:i w:val="0"/>
                <w:color w:val="212121"/>
                <w:sz w:val="16"/>
              </w:rPr>
              <w:t>Alcohol pattern, cigarettes/bidis, smokeless tobacco</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Heavy/binge alcohol; smoking or smokeless tobacco</w:t>
            </w:r>
          </w:p>
        </w:tc>
        <w:tc>
          <w:tcPr>
            <w:tcW w:type="dxa" w:w="1036"/>
            <w:vAlign w:val="top"/>
          </w:tcPr>
          <w:p>
            <w:pPr>
              <w:spacing w:after="40" w:before="0" w:line="259" w:lineRule="auto"/>
            </w:pPr>
            <w:r>
              <w:rPr>
                <w:rFonts w:ascii="Calibri" w:hAnsi="Calibri"/>
                <w:b w:val="0"/>
                <w:i w:val="0"/>
                <w:color w:val="212121"/>
                <w:sz w:val="16"/>
              </w:rPr>
              <w:t>Modifiable drivers of erosive and chronic gastritis</w:t>
            </w:r>
          </w:p>
        </w:tc>
        <w:tc>
          <w:tcPr>
            <w:tcW w:type="dxa" w:w="1036"/>
            <w:vAlign w:val="top"/>
          </w:tcPr>
          <w:p>
            <w:pPr>
              <w:spacing w:after="40" w:before="0" w:line="259" w:lineRule="auto"/>
            </w:pPr>
            <w:r>
              <w:rPr>
                <w:rFonts w:ascii="Calibri" w:hAnsi="Calibri"/>
                <w:b w:val="0"/>
                <w:i w:val="0"/>
                <w:color w:val="212121"/>
                <w:sz w:val="16"/>
              </w:rPr>
              <w:t>Drinkers, smokers, gutka/khaini users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cessation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 and meal pattern</w:t>
            </w:r>
          </w:p>
        </w:tc>
        <w:tc>
          <w:tcPr>
            <w:tcW w:type="dxa" w:w="979"/>
            <w:vAlign w:val="top"/>
          </w:tcPr>
          <w:p>
            <w:pPr>
              <w:spacing w:after="40" w:before="0" w:line="259" w:lineRule="auto"/>
            </w:pPr>
            <w:r>
              <w:rPr>
                <w:rFonts w:ascii="Calibri" w:hAnsi="Calibri"/>
                <w:b w:val="0"/>
                <w:i w:val="0"/>
                <w:color w:val="212121"/>
                <w:sz w:val="16"/>
              </w:rPr>
              <w:t>Spicy/salty/pickled food, tea/coffee, meal regularity, eating speed</w:t>
            </w:r>
          </w:p>
        </w:tc>
        <w:tc>
          <w:tcPr>
            <w:tcW w:type="dxa" w:w="950"/>
            <w:vAlign w:val="top"/>
          </w:tcPr>
          <w:p>
            <w:pPr>
              <w:spacing w:after="40" w:before="0" w:line="259" w:lineRule="auto"/>
            </w:pPr>
            <w:r>
              <w:rPr>
                <w:rFonts w:ascii="Calibri" w:hAnsi="Calibri"/>
                <w:b w:val="0"/>
                <w:i w:val="0"/>
                <w:color w:val="212121"/>
                <w:sz w:val="16"/>
              </w:rPr>
              <w:t>Prudent, regular diet</w:t>
            </w:r>
          </w:p>
        </w:tc>
        <w:tc>
          <w:tcPr>
            <w:tcW w:type="dxa" w:w="950"/>
            <w:vAlign w:val="top"/>
          </w:tcPr>
          <w:p>
            <w:pPr>
              <w:spacing w:after="40" w:before="0" w:line="259" w:lineRule="auto"/>
            </w:pPr>
            <w:r>
              <w:rPr>
                <w:rFonts w:ascii="Calibri" w:hAnsi="Calibri"/>
                <w:b w:val="0"/>
                <w:i w:val="0"/>
                <w:color w:val="212121"/>
                <w:sz w:val="16"/>
              </w:rPr>
              <w:t>Heavy irritant foods, skipped/rushed meals</w:t>
            </w:r>
          </w:p>
        </w:tc>
        <w:tc>
          <w:tcPr>
            <w:tcW w:type="dxa" w:w="1036"/>
            <w:vAlign w:val="top"/>
          </w:tcPr>
          <w:p>
            <w:pPr>
              <w:spacing w:after="40" w:before="0" w:line="259" w:lineRule="auto"/>
            </w:pPr>
            <w:r>
              <w:rPr>
                <w:rFonts w:ascii="Calibri" w:hAnsi="Calibri"/>
                <w:b w:val="0"/>
                <w:i w:val="0"/>
                <w:color w:val="212121"/>
                <w:sz w:val="16"/>
              </w:rPr>
              <w:t>Identifies dietary triggers - the basis of first-line advice</w:t>
            </w:r>
          </w:p>
        </w:tc>
        <w:tc>
          <w:tcPr>
            <w:tcW w:type="dxa" w:w="1036"/>
            <w:vAlign w:val="top"/>
          </w:tcPr>
          <w:p>
            <w:pPr>
              <w:spacing w:after="40" w:before="0" w:line="259" w:lineRule="auto"/>
            </w:pPr>
            <w:r>
              <w:rPr>
                <w:rFonts w:ascii="Calibri" w:hAnsi="Calibri"/>
                <w:b w:val="0"/>
                <w:i w:val="0"/>
                <w:color w:val="212121"/>
                <w:sz w:val="16"/>
              </w:rPr>
              <w:t>Urban workers, students, spicy-food eaters</w:t>
            </w:r>
          </w:p>
        </w:tc>
        <w:tc>
          <w:tcPr>
            <w:tcW w:type="dxa" w:w="720"/>
            <w:vAlign w:val="top"/>
          </w:tcPr>
          <w:p>
            <w:pPr>
              <w:spacing w:after="40" w:before="0" w:line="259" w:lineRule="auto"/>
            </w:pPr>
            <w:r>
              <w:rPr>
                <w:rFonts w:ascii="Calibri" w:hAnsi="Calibri"/>
                <w:b w:val="0"/>
                <w:i w:val="0"/>
                <w:color w:val="212121"/>
                <w:sz w:val="16"/>
              </w:rPr>
              <w:t>Food; 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Personalise to individual triggers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Alarm (red-flag) features</w:t>
            </w:r>
          </w:p>
        </w:tc>
        <w:tc>
          <w:tcPr>
            <w:tcW w:type="dxa" w:w="979"/>
            <w:vAlign w:val="top"/>
          </w:tcPr>
          <w:p>
            <w:pPr>
              <w:spacing w:after="40" w:before="0" w:line="259" w:lineRule="auto"/>
            </w:pPr>
            <w:r>
              <w:rPr>
                <w:rFonts w:ascii="Calibri" w:hAnsi="Calibri"/>
                <w:b w:val="0"/>
                <w:i w:val="0"/>
                <w:color w:val="212121"/>
                <w:sz w:val="16"/>
              </w:rPr>
              <w:t>GI bleeding, weight loss, dysphagia, persistent vomiting, anaemia, age &gt;45-55 new onset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Mandates prompt endoscopy to exclude ulcer or gastric cancer</w:t>
            </w:r>
          </w:p>
        </w:tc>
        <w:tc>
          <w:tcPr>
            <w:tcW w:type="dxa" w:w="1036"/>
            <w:vAlign w:val="top"/>
          </w:tcPr>
          <w:p>
            <w:pPr>
              <w:spacing w:after="40" w:before="0" w:line="259" w:lineRule="auto"/>
            </w:pPr>
            <w:r>
              <w:rPr>
                <w:rFonts w:ascii="Calibri" w:hAnsi="Calibri"/>
                <w:b w:val="0"/>
                <w:i w:val="0"/>
                <w:color w:val="212121"/>
                <w:sz w:val="16"/>
              </w:rPr>
              <w:t>Elderly, long-standing or refractory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(triage)</w:t>
            </w:r>
          </w:p>
        </w:tc>
        <w:tc>
          <w:tcPr>
            <w:tcW w:type="dxa" w:w="720"/>
            <w:vAlign w:val="top"/>
          </w:tcPr>
          <w:p>
            <w:pPr>
              <w:spacing w:after="40" w:before="0" w:line="259" w:lineRule="auto"/>
            </w:pPr>
            <w:r>
              <w:rPr>
                <w:rFonts w:ascii="Calibri" w:hAnsi="Calibri"/>
                <w:b w:val="0"/>
                <w:i w:val="0"/>
                <w:color w:val="212121"/>
                <w:sz w:val="16"/>
              </w:rPr>
              <w:t>Removes patient from self-manage tier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Gastric cancer, H. pylori, thyroid/T1DM/pernicious anaemia, B12 symptoms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or autoimmune history; B12/anaemia symptoms</w:t>
            </w:r>
          </w:p>
        </w:tc>
        <w:tc>
          <w:tcPr>
            <w:tcW w:type="dxa" w:w="1036"/>
            <w:vAlign w:val="top"/>
          </w:tcPr>
          <w:p>
            <w:pPr>
              <w:spacing w:after="40" w:before="0" w:line="259" w:lineRule="auto"/>
            </w:pPr>
            <w:r>
              <w:rPr>
                <w:rFonts w:ascii="Calibri" w:hAnsi="Calibri"/>
                <w:b w:val="0"/>
                <w:i w:val="0"/>
                <w:color w:val="212121"/>
                <w:sz w:val="16"/>
              </w:rPr>
              <w:t>Flags hereditary cancer risk and autoimmune atrophic gastritis</w:t>
            </w:r>
          </w:p>
        </w:tc>
        <w:tc>
          <w:tcPr>
            <w:tcW w:type="dxa" w:w="1036"/>
            <w:vAlign w:val="top"/>
          </w:tcPr>
          <w:p>
            <w:pPr>
              <w:spacing w:after="40" w:before="0" w:line="259" w:lineRule="auto"/>
            </w:pPr>
            <w:r>
              <w:rPr>
                <w:rFonts w:ascii="Calibri" w:hAnsi="Calibri"/>
                <w:b w:val="0"/>
                <w:i w:val="0"/>
                <w:color w:val="212121"/>
                <w:sz w:val="16"/>
              </w:rPr>
              <w:t>Autoimmune clusters, gastric-cancer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 mass, succussion splash</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Epigastric tenderness; mass or splash (alarm)</w:t>
            </w:r>
          </w:p>
        </w:tc>
        <w:tc>
          <w:tcPr>
            <w:tcW w:type="dxa" w:w="1036"/>
            <w:vAlign w:val="top"/>
          </w:tcPr>
          <w:p>
            <w:pPr>
              <w:spacing w:after="40" w:before="0" w:line="259" w:lineRule="auto"/>
            </w:pPr>
            <w:r>
              <w:rPr>
                <w:rFonts w:ascii="Calibri" w:hAnsi="Calibri"/>
                <w:b w:val="0"/>
                <w:i w:val="0"/>
                <w:color w:val="212121"/>
                <w:sz w:val="16"/>
              </w:rPr>
              <w:t>Usually mild; excludes complications and alternative diagnoses</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Mass or splash warrants urgent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examination</w:t>
            </w:r>
          </w:p>
        </w:tc>
        <w:tc>
          <w:tcPr>
            <w:tcW w:type="dxa" w:w="979"/>
            <w:vAlign w:val="top"/>
          </w:tcPr>
          <w:p>
            <w:pPr>
              <w:spacing w:after="40" w:before="0" w:line="259" w:lineRule="auto"/>
            </w:pPr>
            <w:r>
              <w:rPr>
                <w:rFonts w:ascii="Calibri" w:hAnsi="Calibri"/>
                <w:b w:val="0"/>
                <w:i w:val="0"/>
                <w:color w:val="212121"/>
                <w:sz w:val="16"/>
              </w:rPr>
              <w:t>Pallor, glossitis, neurological signs, FOBT</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Pallor, glossitis, peripheral neuropathy, positive faecal occult blood</w:t>
            </w:r>
          </w:p>
        </w:tc>
        <w:tc>
          <w:tcPr>
            <w:tcW w:type="dxa" w:w="1036"/>
            <w:vAlign w:val="top"/>
          </w:tcPr>
          <w:p>
            <w:pPr>
              <w:spacing w:after="40" w:before="0" w:line="259" w:lineRule="auto"/>
            </w:pPr>
            <w:r>
              <w:rPr>
                <w:rFonts w:ascii="Calibri" w:hAnsi="Calibri"/>
                <w:b w:val="0"/>
                <w:i w:val="0"/>
                <w:color w:val="212121"/>
                <w:sz w:val="16"/>
              </w:rPr>
              <w:t>Detects anaemia, B12 deficiency and occult bleeding</w:t>
            </w:r>
          </w:p>
        </w:tc>
        <w:tc>
          <w:tcPr>
            <w:tcW w:type="dxa" w:w="1036"/>
            <w:vAlign w:val="top"/>
          </w:tcPr>
          <w:p>
            <w:pPr>
              <w:spacing w:after="40" w:before="0" w:line="259" w:lineRule="auto"/>
            </w:pPr>
            <w:r>
              <w:rPr>
                <w:rFonts w:ascii="Calibri" w:hAnsi="Calibri"/>
                <w:b w:val="0"/>
                <w:i w:val="0"/>
                <w:color w:val="212121"/>
                <w:sz w:val="16"/>
              </w:rPr>
              <w:t>Atrophic/autoimmune gastritis,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Neuro signs suggest B12 subacute combined degeneration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Epigastric pain or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Upper-central abdominal pain or gnawing/burning discomfort, often related to meals; the cardinal symptom.</w:t>
            </w:r>
          </w:p>
        </w:tc>
      </w:tr>
      <w:tr>
        <w:trPr>
          <w:cantSplit/>
        </w:trPr>
        <w:tc>
          <w:tcPr>
            <w:tcW w:type="dxa" w:w="2304"/>
            <w:vAlign w:val="top"/>
          </w:tcPr>
          <w:p>
            <w:pPr>
              <w:spacing w:after="40" w:before="0" w:line="259" w:lineRule="auto"/>
            </w:pPr>
            <w:r>
              <w:rPr>
                <w:rFonts w:ascii="Calibri" w:hAnsi="Calibri"/>
                <w:b/>
                <w:i w:val="0"/>
                <w:color w:val="212121"/>
                <w:sz w:val="19"/>
              </w:rPr>
              <w:t>Dyspepsia / indigestion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Vague upper-abdominal discomfort, often with acidity, overlapping with functional dyspepsia.</w:t>
            </w:r>
          </w:p>
        </w:tc>
      </w:tr>
      <w:tr>
        <w:trPr>
          <w:cantSplit/>
        </w:trPr>
        <w:tc>
          <w:tcPr>
            <w:tcW w:type="dxa" w:w="2304"/>
            <w:vAlign w:val="top"/>
          </w:tcPr>
          <w:p>
            <w:pPr>
              <w:spacing w:after="40" w:before="0" w:line="259" w:lineRule="auto"/>
            </w:pPr>
            <w:r>
              <w:rPr>
                <w:rFonts w:ascii="Calibri" w:hAnsi="Calibri"/>
                <w:b/>
                <w:i w:val="0"/>
                <w:color w:val="212121"/>
                <w:sz w:val="19"/>
              </w:rPr>
              <w:t>Postprandial fullness / early satiety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uncomfortably full after normal meals or full soon after starting to eat.</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Queasiness, sometimes with retching, particularly in acute gastritis.</w:t>
            </w:r>
          </w:p>
        </w:tc>
      </w:tr>
      <w:tr>
        <w:trPr>
          <w:cantSplit/>
        </w:trPr>
        <w:tc>
          <w:tcPr>
            <w:tcW w:type="dxa" w:w="2304"/>
            <w:vAlign w:val="top"/>
          </w:tcPr>
          <w:p>
            <w:pPr>
              <w:spacing w:after="40" w:before="0" w:line="259" w:lineRule="auto"/>
            </w:pPr>
            <w:r>
              <w:rPr>
                <w:rFonts w:ascii="Calibri" w:hAnsi="Calibri"/>
                <w:b/>
                <w:i w:val="0"/>
                <w:color w:val="212121"/>
                <w:sz w:val="19"/>
              </w:rPr>
              <w:t>Bloating and belching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Upper-abdominal distension and frequent burping after meals.</w:t>
            </w:r>
          </w:p>
        </w:tc>
      </w:tr>
      <w:tr>
        <w:trPr>
          <w:cantSplit/>
        </w:trPr>
        <w:tc>
          <w:tcPr>
            <w:tcW w:type="dxa" w:w="2304"/>
            <w:vAlign w:val="top"/>
          </w:tcPr>
          <w:p>
            <w:pPr>
              <w:spacing w:after="40" w:before="0" w:line="259" w:lineRule="auto"/>
            </w:pPr>
            <w:r>
              <w:rPr>
                <w:rFonts w:ascii="Calibri" w:hAnsi="Calibri"/>
                <w:b/>
                <w:i w:val="0"/>
                <w:color w:val="212121"/>
                <w:sz w:val="19"/>
              </w:rPr>
              <w:t>Loss of appetite (anorexia)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desire to eat, contributing to weight loss in chronic disease.</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occur in acute gastritis; persistent vomiting is an alarm feature.</w:t>
            </w:r>
          </w:p>
        </w:tc>
      </w:tr>
      <w:tr>
        <w:trPr>
          <w:cantSplit/>
        </w:trPr>
        <w:tc>
          <w:tcPr>
            <w:tcW w:type="dxa" w:w="2304"/>
            <w:vAlign w:val="top"/>
          </w:tcPr>
          <w:p>
            <w:pPr>
              <w:spacing w:after="40" w:before="0" w:line="259" w:lineRule="auto"/>
            </w:pPr>
            <w:r>
              <w:rPr>
                <w:rFonts w:ascii="Calibri" w:hAnsi="Calibri"/>
                <w:b/>
                <w:i w:val="0"/>
                <w:color w:val="212121"/>
                <w:sz w:val="19"/>
              </w:rPr>
              <w:t>Heartburn / acid regurgitation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Overlap with reflux; retrosternal burning or sour regurgitation.</w:t>
            </w:r>
          </w:p>
        </w:tc>
      </w:tr>
      <w:tr>
        <w:trPr>
          <w:cantSplit/>
        </w:trPr>
        <w:tc>
          <w:tcPr>
            <w:tcW w:type="dxa" w:w="2304"/>
            <w:vAlign w:val="top"/>
          </w:tcPr>
          <w:p>
            <w:pPr>
              <w:spacing w:after="40" w:before="0" w:line="259" w:lineRule="auto"/>
            </w:pPr>
            <w:r>
              <w:rPr>
                <w:rFonts w:ascii="Calibri" w:hAnsi="Calibri"/>
                <w:b/>
                <w:i w:val="0"/>
                <w:color w:val="212121"/>
                <w:sz w:val="19"/>
              </w:rPr>
              <w:t>Haematemesis or melena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Vomiting blood or passing black tarry stools indicates erosive/haemorrhagic gastritis - an emergency.</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iron-deficiency or B12 (macrocytic) anaemia complicating chronic/atrophic gastritis.</w:t>
            </w:r>
          </w:p>
        </w:tc>
      </w:tr>
      <w:tr>
        <w:trPr>
          <w:cantSplit/>
        </w:trPr>
        <w:tc>
          <w:tcPr>
            <w:tcW w:type="dxa" w:w="2304"/>
            <w:vAlign w:val="top"/>
          </w:tcPr>
          <w:p>
            <w:pPr>
              <w:spacing w:after="40" w:before="0" w:line="259" w:lineRule="auto"/>
            </w:pPr>
            <w:r>
              <w:rPr>
                <w:rFonts w:ascii="Calibri" w:hAnsi="Calibri"/>
                <w:b/>
                <w:i w:val="0"/>
                <w:color w:val="212121"/>
                <w:sz w:val="19"/>
              </w:rPr>
              <w:t>Glossitis, paraesthesia and neurological symptoms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Sore smooth tongue, tingling and gait/balance problems from vitamin B12 deficiency in autoimmune atrophic gastritis.</w:t>
            </w:r>
          </w:p>
        </w:tc>
      </w:tr>
      <w:tr>
        <w:trPr>
          <w:cantSplit/>
        </w:trPr>
        <w:tc>
          <w:tcPr>
            <w:tcW w:type="dxa" w:w="2304"/>
            <w:vAlign w:val="top"/>
          </w:tcPr>
          <w:p>
            <w:pPr>
              <w:spacing w:after="40" w:before="0" w:line="259" w:lineRule="auto"/>
            </w:pPr>
            <w:r>
              <w:rPr>
                <w:rFonts w:ascii="Calibri" w:hAnsi="Calibri"/>
                <w:b/>
                <w:i w:val="0"/>
                <w:color w:val="212121"/>
                <w:sz w:val="19"/>
              </w:rPr>
              <w:t>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people, especially with chronic H. pylori or early atrophic gastritis, have no symptoms and are found incidentally.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Epigastric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non-specific tenderness on deep palpation of the upper-central abdomen.</w:t>
            </w:r>
          </w:p>
        </w:tc>
      </w:tr>
      <w:tr>
        <w:trPr>
          <w:cantSplit/>
        </w:trPr>
        <w:tc>
          <w:tcPr>
            <w:tcW w:type="dxa" w:w="3456"/>
            <w:vAlign w:val="top"/>
          </w:tcPr>
          <w:p>
            <w:pPr>
              <w:spacing w:after="40" w:before="0" w:line="259" w:lineRule="auto"/>
            </w:pPr>
            <w:r>
              <w:rPr>
                <w:rFonts w:ascii="Calibri" w:hAnsi="Calibri"/>
                <w:b/>
                <w:i w:val="0"/>
                <w:color w:val="212121"/>
                <w:sz w:val="19"/>
              </w:rPr>
              <w:t>Mucosal erythema and erosions on endoscopy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inflamed mucosa with superficial breaks - the endoscopic hallmark of gastritis.</w:t>
            </w:r>
          </w:p>
        </w:tc>
      </w:tr>
      <w:tr>
        <w:trPr>
          <w:cantSplit/>
        </w:trPr>
        <w:tc>
          <w:tcPr>
            <w:tcW w:type="dxa" w:w="3456"/>
            <w:vAlign w:val="top"/>
          </w:tcPr>
          <w:p>
            <w:pPr>
              <w:spacing w:after="40" w:before="0" w:line="259" w:lineRule="auto"/>
            </w:pPr>
            <w:r>
              <w:rPr>
                <w:rFonts w:ascii="Calibri" w:hAnsi="Calibri"/>
                <w:b/>
                <w:i w:val="0"/>
                <w:color w:val="212121"/>
                <w:sz w:val="19"/>
              </w:rPr>
              <w:t>Active/chronic inflammation with H. pylori on histology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Neutrophilic/mononuclear infiltrate and visible organisms on biopsy - the diagnostic gold standard.</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Conjunctival/palmar pallor from iron-deficiency or B12 anaemia complicating chronic disease.</w:t>
            </w:r>
          </w:p>
        </w:tc>
      </w:tr>
      <w:tr>
        <w:trPr>
          <w:cantSplit/>
        </w:trPr>
        <w:tc>
          <w:tcPr>
            <w:tcW w:type="dxa" w:w="3456"/>
            <w:vAlign w:val="top"/>
          </w:tcPr>
          <w:p>
            <w:pPr>
              <w:spacing w:after="40" w:before="0" w:line="259" w:lineRule="auto"/>
            </w:pPr>
            <w:r>
              <w:rPr>
                <w:rFonts w:ascii="Calibri" w:hAnsi="Calibri"/>
                <w:b/>
                <w:i w:val="0"/>
                <w:color w:val="212121"/>
                <w:sz w:val="19"/>
              </w:rPr>
              <w:t>Positive faecal occult blood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Occult GI blood loss from erosive gastritis or ulceration.</w:t>
            </w:r>
          </w:p>
        </w:tc>
      </w:tr>
      <w:tr>
        <w:trPr>
          <w:cantSplit/>
        </w:trPr>
        <w:tc>
          <w:tcPr>
            <w:tcW w:type="dxa" w:w="3456"/>
            <w:vAlign w:val="top"/>
          </w:tcPr>
          <w:p>
            <w:pPr>
              <w:spacing w:after="40" w:before="0" w:line="259" w:lineRule="auto"/>
            </w:pPr>
            <w:r>
              <w:rPr>
                <w:rFonts w:ascii="Calibri" w:hAnsi="Calibri"/>
                <w:b/>
                <w:i w:val="0"/>
                <w:color w:val="212121"/>
                <w:sz w:val="19"/>
              </w:rPr>
              <w:t>Haemorrhagic / erosive changes on endoscopy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Sub-epithelial haemorrhages and bleeding erosions in acute stress, NSAID or alcohol gastritis.</w:t>
            </w:r>
          </w:p>
        </w:tc>
      </w:tr>
      <w:tr>
        <w:trPr>
          <w:cantSplit/>
        </w:trPr>
        <w:tc>
          <w:tcPr>
            <w:tcW w:type="dxa" w:w="3456"/>
            <w:vAlign w:val="top"/>
          </w:tcPr>
          <w:p>
            <w:pPr>
              <w:spacing w:after="40" w:before="0" w:line="259" w:lineRule="auto"/>
            </w:pPr>
            <w:r>
              <w:rPr>
                <w:rFonts w:ascii="Calibri" w:hAnsi="Calibri"/>
                <w:b/>
                <w:i w:val="0"/>
                <w:color w:val="212121"/>
                <w:sz w:val="19"/>
              </w:rPr>
              <w:t>Gastric atrophy and intestinal metaplasia on endoscopy/histology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Thinned, pale mucosa with visible vessels and metaplastic change - pre-malignant.</w:t>
            </w:r>
          </w:p>
        </w:tc>
      </w:tr>
      <w:tr>
        <w:trPr>
          <w:cantSplit/>
        </w:trPr>
        <w:tc>
          <w:tcPr>
            <w:tcW w:type="dxa" w:w="3456"/>
            <w:vAlign w:val="top"/>
          </w:tcPr>
          <w:p>
            <w:pPr>
              <w:spacing w:after="40" w:before="0" w:line="259" w:lineRule="auto"/>
            </w:pPr>
            <w:r>
              <w:rPr>
                <w:rFonts w:ascii="Calibri" w:hAnsi="Calibri"/>
                <w:b/>
                <w:i w:val="0"/>
                <w:color w:val="212121"/>
                <w:sz w:val="19"/>
              </w:rPr>
              <w:t>Glossitis and neurological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Smooth beefy tongue and posterior-column/peripheral-nerve signs from B12 deficiency in autoimmune gastritis.</w:t>
            </w:r>
          </w:p>
        </w:tc>
      </w:tr>
      <w:tr>
        <w:trPr>
          <w:cantSplit/>
        </w:trPr>
        <w:tc>
          <w:tcPr>
            <w:tcW w:type="dxa" w:w="3456"/>
            <w:vAlign w:val="top"/>
          </w:tcPr>
          <w:p>
            <w:pPr>
              <w:spacing w:after="40" w:before="0" w:line="259" w:lineRule="auto"/>
            </w:pPr>
            <w:r>
              <w:rPr>
                <w:rFonts w:ascii="Calibri" w:hAnsi="Calibri"/>
                <w:b/>
                <w:i w:val="0"/>
                <w:color w:val="212121"/>
                <w:sz w:val="19"/>
              </w:rPr>
              <w:t>Signs of chronic alcohol use / liver disease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alcoholic gastritis - may accompany features of chronic liver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erosive or haemorrhagic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erosions and superficial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Upper GI bleeding (haematemesis / melena)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dyspepsia with dehydration from vomiting</w:t>
            </w:r>
          </w:p>
        </w:tc>
        <w:tc>
          <w:tcPr>
            <w:tcW w:type="dxa" w:w="2980"/>
            <w:vAlign w:val="top"/>
          </w:tcPr>
          <w:p>
            <w:pPr>
              <w:spacing w:after="40" w:before="0" w:line="259" w:lineRule="auto"/>
            </w:pPr>
            <w:r>
              <w:rPr>
                <w:rFonts w:ascii="Calibri" w:hAnsi="Calibri"/>
                <w:b w:val="0"/>
                <w:i w:val="0"/>
                <w:color w:val="212121"/>
                <w:sz w:val="19"/>
              </w:rPr>
              <w:t>Direct, often reversible mucosal injury from acid, NSAIDs, alcohol or stress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(gastric and duodenal) ulcer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Iron-deficiency anaemia from chronic blood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B12 deficiency and pernicious anaemia (autoimmune atrophic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mucosal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metaplasia and dysplasia (Correa cascade)</w:t>
            </w:r>
          </w:p>
        </w:tc>
        <w:tc>
          <w:tcPr>
            <w:tcW w:type="dxa" w:w="2980"/>
            <w:vAlign w:val="top"/>
          </w:tcPr>
          <w:p>
            <w:pPr>
              <w:spacing w:after="40" w:before="0" w:line="259" w:lineRule="auto"/>
            </w:pPr>
            <w:r>
              <w:rPr>
                <w:rFonts w:ascii="Calibri" w:hAnsi="Calibri"/>
                <w:b w:val="0"/>
                <w:i w:val="0"/>
                <w:color w:val="212121"/>
                <w:sz w:val="19"/>
              </w:rPr>
              <w:t>Consequences of chronic, repeated inflammation and glandular loss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adenocarcinoma arising in atrophic gastritis / intestinal metaplasia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MALT (mucosa-associated lymphoid tissue) lymphoma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neuroendocrine tumours / type 1 carcinoids (autoimmune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combined degeneration of the cord from untreated B12 deficiency</w:t>
            </w:r>
          </w:p>
        </w:tc>
        <w:tc>
          <w:tcPr>
            <w:tcW w:type="dxa" w:w="2980"/>
            <w:vAlign w:val="top"/>
          </w:tcPr>
          <w:p>
            <w:pPr>
              <w:spacing w:after="40" w:before="0" w:line="259" w:lineRule="auto"/>
            </w:pPr>
            <w:r>
              <w:rPr>
                <w:rFonts w:ascii="Calibri" w:hAnsi="Calibri"/>
                <w:b w:val="0"/>
                <w:i w:val="0"/>
                <w:color w:val="212121"/>
                <w:sz w:val="19"/>
              </w:rPr>
              <w:t>Irreversible or life-threatening end-stage outcomes of longstanding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Helicobacter pylori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dominant cause of chronic gastritis and peptic ulcer; a group 1 carcinogen driving the Correa cascade.</w:t>
            </w:r>
          </w:p>
          <w:p>
            <w:pPr>
              <w:spacing w:after="40" w:before="0" w:line="259" w:lineRule="auto"/>
            </w:pPr>
            <w:r>
              <w:rPr>
                <w:rFonts w:ascii="Calibri" w:hAnsi="Calibri"/>
                <w:b/>
                <w:i w:val="0"/>
                <w:color w:val="212121"/>
                <w:sz w:val="19"/>
              </w:rPr>
              <w:t>~58% of Indians (pooled)</w:t>
            </w:r>
          </w:p>
        </w:tc>
      </w:tr>
      <w:tr>
        <w:trPr>
          <w:cantSplit/>
        </w:trPr>
        <w:tc>
          <w:tcPr>
            <w:tcW w:type="dxa" w:w="2232"/>
            <w:vAlign w:val="top"/>
          </w:tcPr>
          <w:p>
            <w:pPr>
              <w:spacing w:after="40" w:before="0" w:line="259" w:lineRule="auto"/>
            </w:pPr>
            <w:r>
              <w:rPr>
                <w:rFonts w:ascii="Calibri" w:hAnsi="Calibri"/>
                <w:b/>
                <w:i w:val="0"/>
                <w:color w:val="212121"/>
                <w:sz w:val="19"/>
              </w:rPr>
              <w:t>Peptic ulcer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the acid-peptic spectrum; chronic active gastritis is the mucosal background for most ulcers.</w:t>
            </w:r>
          </w:p>
          <w:p>
            <w:pPr>
              <w:spacing w:after="40" w:before="0" w:line="259" w:lineRule="auto"/>
            </w:pPr>
            <w:r>
              <w:rPr>
                <w:rFonts w:ascii="Calibri" w:hAnsi="Calibri"/>
                <w:b/>
                <w:i w:val="0"/>
                <w:color w:val="212121"/>
                <w:sz w:val="19"/>
              </w:rPr>
              <w:t>H. pylori in ~68% of PUD</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on the acid-peptic spectrum with overlapping dyspeptic symptoms.</w:t>
            </w:r>
          </w:p>
        </w:tc>
      </w:tr>
      <w:tr>
        <w:trPr>
          <w:cantSplit/>
        </w:trPr>
        <w:tc>
          <w:tcPr>
            <w:tcW w:type="dxa" w:w="2232"/>
            <w:vAlign w:val="top"/>
          </w:tcPr>
          <w:p>
            <w:pPr>
              <w:spacing w:after="40" w:before="0" w:line="259" w:lineRule="auto"/>
            </w:pPr>
            <w:r>
              <w:rPr>
                <w:rFonts w:ascii="Calibri" w:hAnsi="Calibri"/>
                <w:b/>
                <w:i w:val="0"/>
                <w:color w:val="212121"/>
                <w:sz w:val="19"/>
              </w:rPr>
              <w:t>Functional dyspepsia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Large symptomatic overlap; many dyspeptic patients have mild or H. pylori gastritis on endoscopy.</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chronic erosive blood loss and impaired iron absorption in atrophic gastritis.</w:t>
            </w:r>
          </w:p>
        </w:tc>
      </w:tr>
      <w:tr>
        <w:trPr>
          <w:cantSplit/>
        </w:trPr>
        <w:tc>
          <w:tcPr>
            <w:tcW w:type="dxa" w:w="2232"/>
            <w:vAlign w:val="top"/>
          </w:tcPr>
          <w:p>
            <w:pPr>
              <w:spacing w:after="40" w:before="0" w:line="259" w:lineRule="auto"/>
            </w:pPr>
            <w:r>
              <w:rPr>
                <w:rFonts w:ascii="Calibri" w:hAnsi="Calibri"/>
                <w:b/>
                <w:i w:val="0"/>
                <w:color w:val="212121"/>
                <w:sz w:val="19"/>
              </w:rPr>
              <w:t>Vitamin B12 deficiency / pernicious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Autoimmune corpus atrophy destroys intrinsic factor, causing B12 malabsorption.</w:t>
            </w:r>
          </w:p>
        </w:tc>
      </w:tr>
      <w:tr>
        <w:trPr>
          <w:cantSplit/>
        </w:trPr>
        <w:tc>
          <w:tcPr>
            <w:tcW w:type="dxa" w:w="2232"/>
            <w:vAlign w:val="top"/>
          </w:tcPr>
          <w:p>
            <w:pPr>
              <w:spacing w:after="40" w:before="0" w:line="259" w:lineRule="auto"/>
            </w:pPr>
            <w:r>
              <w:rPr>
                <w:rFonts w:ascii="Calibri" w:hAnsi="Calibri"/>
                <w:b/>
                <w:i w:val="0"/>
                <w:color w:val="212121"/>
                <w:sz w:val="19"/>
              </w:rPr>
              <w:t>Autoimmune thyroid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Clusters with autoimmune atrophic gastritis (polyglandular autoimmunity).</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parietal-cell antibodies and autoimmune atrophic gastritis.</w:t>
            </w:r>
          </w:p>
        </w:tc>
      </w:tr>
      <w:tr>
        <w:trPr>
          <w:cantSplit/>
        </w:trPr>
        <w:tc>
          <w:tcPr>
            <w:tcW w:type="dxa" w:w="2232"/>
            <w:vAlign w:val="top"/>
          </w:tcPr>
          <w:p>
            <w:pPr>
              <w:spacing w:after="40" w:before="0" w:line="259" w:lineRule="auto"/>
            </w:pPr>
            <w:r>
              <w:rPr>
                <w:rFonts w:ascii="Calibri" w:hAnsi="Calibri"/>
                <w:b/>
                <w:i w:val="0"/>
                <w:color w:val="212121"/>
                <w:sz w:val="19"/>
              </w:rPr>
              <w:t>Gastric adenocarcinoma / MALT lymphoma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End-stage malignant outcomes of chronic H. pylori and atrophic gastritis.</w:t>
            </w:r>
          </w:p>
          <w:p>
            <w:pPr>
              <w:spacing w:after="40" w:before="0" w:line="259" w:lineRule="auto"/>
            </w:pPr>
            <w:r>
              <w:rPr>
                <w:rFonts w:ascii="Calibri" w:hAnsi="Calibri"/>
                <w:b/>
                <w:i w:val="0"/>
                <w:color w:val="212121"/>
                <w:sz w:val="19"/>
              </w:rPr>
              <w:t>H. pylori in ~63% of gastric cancer</w:t>
            </w:r>
          </w:p>
        </w:tc>
      </w:tr>
      <w:tr>
        <w:trPr>
          <w:cantSplit/>
        </w:trPr>
        <w:tc>
          <w:tcPr>
            <w:tcW w:type="dxa" w:w="2232"/>
            <w:vAlign w:val="top"/>
          </w:tcPr>
          <w:p>
            <w:pPr>
              <w:spacing w:after="40" w:before="0" w:line="259" w:lineRule="auto"/>
            </w:pPr>
            <w:r>
              <w:rPr>
                <w:rFonts w:ascii="Calibri" w:hAnsi="Calibri"/>
                <w:b/>
                <w:i w:val="0"/>
                <w:color w:val="212121"/>
                <w:sz w:val="19"/>
              </w:rPr>
              <w:t>NSAID use / osteoarthritis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analgesic use causes reactive gastropathy and erosions.</w:t>
            </w:r>
          </w:p>
          <w:p>
            <w:pPr>
              <w:spacing w:after="40" w:before="0" w:line="259" w:lineRule="auto"/>
            </w:pPr>
            <w:r>
              <w:rPr>
                <w:rFonts w:ascii="Calibri" w:hAnsi="Calibri"/>
                <w:b/>
                <w:i w:val="0"/>
                <w:color w:val="212121"/>
                <w:sz w:val="19"/>
              </w:rPr>
              <w:t>~30% GI complications in NSAID users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gastritis is caused by H. pylori infection or by NSAIDs, alcohol and stress, and is treatable - and that symptoms may be mild even when the stomach lining is inflamed.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alarm features - vomiting blood or black stools, unintended weight loss, difficulty swallowing, persistent vomiting, or anaemia - which need endoscopy.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unsupervised, prolonged use of painkillers (NSAIDs/aspirin); use the lowest effective dose and ask about stomach-protecting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tested and treated for H. pylori when advised, complete the full antibiotic course, and confirm eradication with a breath or stool test.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hygiene - safe drinking water, hand-washing and clean food - to reduce H. pylori transmission within the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indefinitely on antacids; symptoms lasting or worsening beyond 2-4 weeks warrant a doctor's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in low-sanitation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NSAID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frequent acidity/dyspepsia</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physically active and maintain a healthy weight, which supports digestion and lowers stress-related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moderate exercise (brisk walking, cycling, yoga) as a stress-reduction tool, since stress aggravates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vigorous exercise immediately after large meals, which can worsen reflux-type discomfort.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smaller, regular meals at fixed times and avoid skipping meals or long fasting gaps.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very spicy (chilli), salty, fried and pickled/preserved foods, and note personal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slowly and avoid overeating, leftover or contaminated food; ensure safe drinking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strong tea, coffee and carbonated drinks, which stimulate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diet with vegetables, fruit, whole grains and adequate protein; some find fibre and fermented foods helpful.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taking NSAIDs or alcohol on an empty stomach.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Spicy/pickled-food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Irregular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tea/coffee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 eaters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and adequate sleep, since poor sleep heightens dyspeptic symptom perception.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late or spicy meals close to bedtime to reduce night-time acidity.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eating patterns to keep meals regular.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Late diners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smokeless tobacco (gutka, khaini, pan masala), which impair mucosal healing and promote H. pylori.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pharmacotherapy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Peptic ulcer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or substantially reduce alcohol, which directly erodes the stomach lining.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and drinking on an empty stomach.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acute alcoholic gastritis, abstinence usually allows the mucosa to heal.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where relevant.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Erosive-gastritis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anxiety with relaxation, yoga, breathing exercises or counselling, since stress worsens gastritis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brain-gut component of dyspepsia; cognitive-behavioural approaches help symptom-predominant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anxiety or depression, which amplify symptom perception.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dyspepsia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or depression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finiti.com/3105-0123/1/2025.0001" TargetMode="External"/><Relationship Id="rId10" Type="http://schemas.openxmlformats.org/officeDocument/2006/relationships/hyperlink" Target="https://www.ncbi.nlm.nih.gov/books/NBK544250/" TargetMode="External"/><Relationship Id="rId11" Type="http://schemas.openxmlformats.org/officeDocument/2006/relationships/hyperlink" Target="https://www.ijhsr.org/IJHSR_Vol.14_Issue.2_Feb2024/IJHSR-Abstract12.html" TargetMode="External"/><Relationship Id="rId12" Type="http://schemas.openxmlformats.org/officeDocument/2006/relationships/hyperlink" Target="https://ijmr.org.in/helicobacter-pylori-infection-in-india-from-a-western-perspective/" TargetMode="External"/><Relationship Id="rId13" Type="http://schemas.openxmlformats.org/officeDocument/2006/relationships/hyperlink" Target="https://journals.plos.org/plosone/article/file?type=printable&amp;id=10.1371/journal.pone.0246619" TargetMode="External"/><Relationship Id="rId14" Type="http://schemas.openxmlformats.org/officeDocument/2006/relationships/hyperlink" Target="https://www.gastrores.org/index.php/Gastrores/article/view/658/730" TargetMode="External"/><Relationship Id="rId15" Type="http://schemas.openxmlformats.org/officeDocument/2006/relationships/hyperlink" Target="https://pmc.ncbi.nlm.nih.gov/articles/PMC7368216/" TargetMode="External"/><Relationship Id="rId16" Type="http://schemas.openxmlformats.org/officeDocument/2006/relationships/hyperlink" Target="https://www.ncbi.nlm.nih.gov/books/NBK2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