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Irritable Bowel Syndrome</w:t>
      </w:r>
    </w:p>
    <w:p>
      <w:pPr>
        <w:spacing w:before="0" w:after="160"/>
      </w:pPr>
      <w:r>
        <w:rPr>
          <w:rFonts w:ascii="Calibri" w:hAnsi="Calibri"/>
          <w:b/>
          <w:i w:val="0"/>
          <w:color w:val="212121"/>
          <w:sz w:val="22"/>
        </w:rPr>
        <w:t xml:space="preserve">AKA </w:t>
      </w:r>
      <w:r>
        <w:rPr>
          <w:rFonts w:ascii="Calibri" w:hAnsi="Calibri"/>
          <w:b w:val="0"/>
          <w:i w:val="0"/>
          <w:color w:val="212121"/>
          <w:sz w:val="22"/>
        </w:rPr>
        <w:t>i.e., IBS, Spastic colon, Spastic colitis, Mucous colitis, Nervous stomach, Irritable colon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Irritable bowel syndrome (IBS) is a chronic disorder of gut-brain interaction (a functional gastrointestinal disorder) characterised by recurrent abdominal pain related to defecation and associated with a change in the frequency or form of stool, in the absence of any structural, biochemical or organic disease that explains the symptoms. The symptoms arise from a combination of visceral hypersensitivity, altered gut motility, gut-brain axis dysregulation, low-grade mucosal immune activation and an altered gut microbiota, rather than from inflammation or tissue damage.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Community-based Indian studies estimate that roughly 4% to 8% of the population has irritable bowel syndrome, with about 7 in every 100 people affected across South Asia. Urban surveys such as Mumbai report a prevalence near 7.5% (Manning criteria), rural north-Indian surveys 4-6.8% (Rome III), and among Indian college students the Rome IV prevalence is about 6.2%. Unlike Western populations, Indian community data show little urban-rural difference and a much narrower female-to-male gap, although more men present to clinics.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IBS is a positive clinical diagnosis based on the Rome IV criteria after excluding alarm features, supported by a limited set of tests to rule out organic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abdominal pain on average at least 1 day per week in the last 3 months (symptom onset at least 6 months before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pain is associated with two or more of: (i) related to defecation; (ii) associated with a change in stool frequency; (iii) associated with a change in stool form (appearance);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alarm / red-flag features (unintentional weight loss, rectal bleeding, iron-deficiency anaemia, nocturnal symptoms, onset after age 50, palpable mass, family history of colorectal cancer, coeliac disease or inflammatory bowel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normal or limited baseline tests — full blood count, CRP, faecal calprotectin, coeliac serology and, importantly in India, stool microscopy for ova and parasites (Giardia, Entamoeba) — to exclude organic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IBS is classified by the predominant stool form (Bristol Stool Form Scale) on days with at least one abnormal bowel movement:</w:t>
      </w:r>
    </w:p>
    <w:p>
      <w:pPr>
        <w:spacing w:before="0" w:after="80"/>
      </w:pPr>
      <w:r>
        <w:rPr>
          <w:rFonts w:ascii="Calibri" w:hAnsi="Calibri"/>
          <w:b w:val="0"/>
          <w:i w:val="0"/>
          <w:color w:val="212121"/>
          <w:sz w:val="21"/>
        </w:rPr>
        <w:t>(1) IBS-C (constipation-predominant), with more than 25% of stools hard or lumpy (Bristol 1-2) and fewer than 25% loose or watery;</w:t>
      </w:r>
    </w:p>
    <w:p>
      <w:pPr>
        <w:spacing w:before="0" w:after="80"/>
      </w:pPr>
      <w:r>
        <w:rPr>
          <w:rFonts w:ascii="Calibri" w:hAnsi="Calibri"/>
          <w:b w:val="0"/>
          <w:i w:val="0"/>
          <w:color w:val="212121"/>
          <w:sz w:val="21"/>
        </w:rPr>
        <w:t>(2) IBS-D (diarrhoea-predominant), with more than 25% of stools loose or watery (Bristol 6-7) and fewer than 25% hard or lumpy;</w:t>
      </w:r>
    </w:p>
    <w:p>
      <w:pPr>
        <w:spacing w:before="0" w:after="80"/>
      </w:pPr>
      <w:r>
        <w:rPr>
          <w:rFonts w:ascii="Calibri" w:hAnsi="Calibri"/>
          <w:b w:val="0"/>
          <w:i w:val="0"/>
          <w:color w:val="212121"/>
          <w:sz w:val="21"/>
        </w:rPr>
        <w:t>(3) IBS-M (mixed bowel habit), with more than 25% hard AND more than 25% loose stools; and</w:t>
      </w:r>
    </w:p>
    <w:p>
      <w:pPr>
        <w:spacing w:before="0" w:after="80"/>
      </w:pPr>
      <w:r>
        <w:rPr>
          <w:rFonts w:ascii="Calibri" w:hAnsi="Calibri"/>
          <w:b w:val="0"/>
          <w:i w:val="0"/>
          <w:color w:val="212121"/>
          <w:sz w:val="21"/>
        </w:rPr>
        <w:t>(4) IBS-U (unclassified), an abnormal bowel habit that does not fit the categories above. Post-infectious IBS (PI-IBS) is recognised as an onset subtype; in Indian cohorts many patients are difficult to sub-type and the Asian and Manning criteria capture more cases than Rome III.</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Gut-brain axis dysregulation: Altered bidirectional signalling between the central and enteric nervous systems amplifies pain perception (visceral hypersensitivity) and disturbs colonic motility and secretion.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Post-infectious change and dysbiosis: Acute gastroenteritis — bacterial, and in India commonly parasitic (Giardia, Entamoeba) — triggers PI-IBS in roughly 1 in 10; persistent dysbiosis and low-grade immune activation perpetuate symptoms.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Psychological stress and mental health: Anxiety, depression, somatisation and early-life stress both predispose to and perpetuate IBS through the gut-brain axis.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Dietary factors: Fermentable carbohydrates (FODMAPs), spicy and high-fat foods, caffeine and food intolerances (lactose, fructose) provoke luminal distension, altered motility and symptoms.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Familial aggregation and gene variants (e.g., serotonin transporter, sucrase-isomaltase, bile-acid handling) modestly increase susceptibility.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Altered motility and visceral hypersensitivity: Abnormal colonic transit and a lowered threshold for pain on gut distension generate cramping, urgency and bloating.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Bile-acid malabsorption and small-intestinal bacterial overgrowth (SIBO): Contribute in subsets, particularly diarrhoea-predominant IBS.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20-40 y)</w:t>
            </w:r>
          </w:p>
        </w:tc>
        <w:tc>
          <w:tcPr>
            <w:tcW w:type="dxa" w:w="4276"/>
            <w:vAlign w:val="top"/>
          </w:tcPr>
          <w:p>
            <w:pPr>
              <w:spacing w:after="60" w:line="259" w:lineRule="auto"/>
            </w:pPr>
            <w:r>
              <w:rPr>
                <w:rFonts w:ascii="Calibri" w:hAnsi="Calibri"/>
                <w:b w:val="0"/>
                <w:i w:val="0"/>
                <w:color w:val="212121"/>
                <w:sz w:val="19"/>
              </w:rPr>
              <w:t>IBS most often begins in the economically productive years, when work stress, irregular meals and gut-brain sensitivity peak. It disrupts the normal brain-gut regulation of motility and pain, producing chronic pain and altered bowel habit without organic disease.</w:t>
            </w:r>
          </w:p>
          <w:p>
            <w:pPr>
              <w:spacing w:after="40" w:before="60" w:line="259" w:lineRule="auto"/>
            </w:pPr>
            <w:r>
              <w:rPr>
                <w:rFonts w:ascii="Calibri" w:hAnsi="Calibri"/>
                <w:b w:val="0"/>
                <w:i w:val="0"/>
                <w:color w:val="212121"/>
                <w:sz w:val="19"/>
              </w:rPr>
              <w:t>IBS is most common between 20 and 40 years of age, with a clear female preponderance in most series.</w:t>
            </w:r>
          </w:p>
          <w:p>
            <w:pPr>
              <w:spacing w:after="40" w:line="252" w:lineRule="auto"/>
            </w:pPr>
            <w:hyperlink r:id="rId9">
              <w:r>
                <w:rPr>
                  <w:rFonts w:ascii="Calibri" w:hAnsi="Calibri" w:cs="Calibri"/>
                  <w:sz w:val="18"/>
                  <w:color w:val="1155CC"/>
                  <w:u w:val="single"/>
                </w:rPr>
                <w:t xml:space="preserve">ijmedicine.com — expert opinion on IBS in India</w:t>
              </w:r>
            </w:hyperlink>
          </w:p>
          <w:p>
            <w:pPr>
              <w:spacing w:before="60" w:after="40"/>
            </w:pPr>
            <w:r>
              <w:rPr>
                <w:rFonts w:ascii="Calibri" w:hAnsi="Calibri"/>
                <w:b w:val="0"/>
                <w:i w:val="0"/>
                <w:color w:val="5A5A5A"/>
                <w:sz w:val="18"/>
              </w:rPr>
              <w:t>#gutbrain  #youngadults  #workstress  #functionalgi  #visceralpain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(&gt;50 y)</w:t>
            </w:r>
          </w:p>
        </w:tc>
        <w:tc>
          <w:tcPr>
            <w:tcW w:type="dxa" w:w="4276"/>
            <w:vAlign w:val="top"/>
          </w:tcPr>
          <w:p>
            <w:pPr>
              <w:spacing w:after="60" w:line="259" w:lineRule="auto"/>
            </w:pPr>
            <w:r>
              <w:rPr>
                <w:rFonts w:ascii="Calibri" w:hAnsi="Calibri"/>
                <w:b w:val="0"/>
                <w:i w:val="0"/>
                <w:color w:val="212121"/>
                <w:sz w:val="19"/>
              </w:rPr>
              <w:t>New-onset symptoms after 50 are less likely to be primary IBS and must prompt exclusion of organic disease (malignancy, IBD, microscopic colitis). Where IBS persists into older age it interacts with polypharmacy, diverticulosis and constipation.</w:t>
            </w:r>
          </w:p>
          <w:p>
            <w:pPr>
              <w:spacing w:after="40" w:before="60" w:line="259" w:lineRule="auto"/>
            </w:pPr>
            <w:r>
              <w:rPr>
                <w:rFonts w:ascii="Calibri" w:hAnsi="Calibri"/>
                <w:b w:val="0"/>
                <w:i w:val="0"/>
                <w:color w:val="212121"/>
                <w:sz w:val="19"/>
              </w:rPr>
              <w:t>New-onset lower-GI symptoms after age 50 are an alarm feature and warrant colonoscopy before attributing them to IBS.</w:t>
            </w:r>
          </w:p>
          <w:p>
            <w:pPr>
              <w:spacing w:before="60" w:after="40"/>
            </w:pPr>
            <w:r>
              <w:rPr>
                <w:rFonts w:ascii="Calibri" w:hAnsi="Calibri"/>
                <w:b w:val="0"/>
                <w:i w:val="0"/>
                <w:color w:val="5A5A5A"/>
                <w:sz w:val="18"/>
              </w:rPr>
              <w:t>#alarmfeatures  #elderly  #redflags  #excludeorganic  #colonoscopy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higher visceral sensitivity and slower colonic transit; ovarian hormones (estrogen and progesterone) modulate gut motility and pain, and symptoms often flare perimenstrually. IBS-C is more common in women.</w:t>
            </w:r>
          </w:p>
          <w:p>
            <w:pPr>
              <w:spacing w:after="40" w:before="60" w:line="259" w:lineRule="auto"/>
            </w:pPr>
            <w:r>
              <w:rPr>
                <w:rFonts w:ascii="Calibri" w:hAnsi="Calibri"/>
                <w:b w:val="0"/>
                <w:i w:val="0"/>
                <w:color w:val="212121"/>
                <w:sz w:val="19"/>
              </w:rPr>
              <w:t>In northern-Indian college students overall functional-GI-disorder prevalence was 32.3% in females versus 17.6% in males.</w:t>
            </w:r>
          </w:p>
          <w:p>
            <w:pPr>
              <w:spacing w:after="40" w:line="252" w:lineRule="auto"/>
            </w:pPr>
            <w:hyperlink r:id="rId10">
              <w:r>
                <w:rPr>
                  <w:rFonts w:ascii="Calibri" w:hAnsi="Calibri" w:cs="Calibri"/>
                  <w:sz w:val="18"/>
                  <w:color w:val="1155CC"/>
                  <w:u w:val="single"/>
                </w:rPr>
                <w:t xml:space="preserve">Indian J Gastroenterol — Rome IV FGIDs in college students</w:t>
              </w:r>
            </w:hyperlink>
          </w:p>
          <w:p>
            <w:pPr>
              <w:spacing w:before="60" w:after="40"/>
            </w:pPr>
            <w:r>
              <w:rPr>
                <w:rFonts w:ascii="Calibri" w:hAnsi="Calibri"/>
                <w:b w:val="0"/>
                <w:i w:val="0"/>
                <w:color w:val="5A5A5A"/>
                <w:sz w:val="18"/>
              </w:rPr>
              <w:t>#female  #hormonal  #perimenstrual  #ibsc  #visceralsensitivity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(clinic-presenting, India)</w:t>
            </w:r>
          </w:p>
        </w:tc>
        <w:tc>
          <w:tcPr>
            <w:tcW w:type="dxa" w:w="4276"/>
            <w:vAlign w:val="top"/>
          </w:tcPr>
          <w:p>
            <w:pPr>
              <w:spacing w:after="60" w:line="259" w:lineRule="auto"/>
            </w:pPr>
            <w:r>
              <w:rPr>
                <w:rFonts w:ascii="Calibri" w:hAnsi="Calibri"/>
                <w:b w:val="0"/>
                <w:i w:val="0"/>
                <w:color w:val="212121"/>
                <w:sz w:val="19"/>
              </w:rPr>
              <w:t>Although Western community data show female predominance, Indian tertiary-clinic series have historically shown a male predominance, reflecting care-seeking and referral patterns rather than true biology.</w:t>
            </w:r>
          </w:p>
          <w:p>
            <w:pPr>
              <w:spacing w:after="40" w:before="60" w:line="259" w:lineRule="auto"/>
            </w:pPr>
            <w:r>
              <w:rPr>
                <w:rFonts w:ascii="Calibri" w:hAnsi="Calibri"/>
                <w:b w:val="0"/>
                <w:i w:val="0"/>
                <w:color w:val="212121"/>
                <w:sz w:val="19"/>
              </w:rPr>
              <w:t>Indian institution-based studies have reported male predominance, with men roughly 2-4 times more likely to present than women.</w:t>
            </w:r>
          </w:p>
          <w:p>
            <w:pPr>
              <w:spacing w:after="40" w:line="252" w:lineRule="auto"/>
            </w:pPr>
            <w:hyperlink r:id="rId11">
              <w:r>
                <w:rPr>
                  <w:rFonts w:ascii="Calibri" w:hAnsi="Calibri" w:cs="Calibri"/>
                  <w:sz w:val="18"/>
                  <w:color w:val="1155CC"/>
                  <w:u w:val="single"/>
                </w:rPr>
                <w:t xml:space="preserve">World J Gastroenterol — IBS in India, Bangladesh &amp; Malaysia</w:t>
              </w:r>
            </w:hyperlink>
          </w:p>
          <w:p>
            <w:pPr>
              <w:spacing w:before="60" w:after="40"/>
            </w:pPr>
            <w:r>
              <w:rPr>
                <w:rFonts w:ascii="Calibri" w:hAnsi="Calibri"/>
                <w:b w:val="0"/>
                <w:i w:val="0"/>
                <w:color w:val="5A5A5A"/>
                <w:sz w:val="18"/>
              </w:rPr>
              <w:t>#male  #careseeking  #referralbias  #india  #clinicbased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students &amp; white-collar workers</w:t>
            </w:r>
          </w:p>
        </w:tc>
        <w:tc>
          <w:tcPr>
            <w:tcW w:type="dxa" w:w="4276"/>
            <w:vAlign w:val="top"/>
          </w:tcPr>
          <w:p>
            <w:pPr>
              <w:spacing w:after="60" w:line="259" w:lineRule="auto"/>
            </w:pPr>
            <w:r>
              <w:rPr>
                <w:rFonts w:ascii="Calibri" w:hAnsi="Calibri"/>
                <w:b w:val="0"/>
                <w:i w:val="0"/>
                <w:color w:val="212121"/>
                <w:sz w:val="19"/>
              </w:rPr>
              <w:t>Academic and occupational stress, erratic meal timing, junk food and stimulant beverages characterise urban student and office populations, all of which drive gut-brain dysregulation.</w:t>
            </w:r>
          </w:p>
          <w:p>
            <w:pPr>
              <w:spacing w:after="40" w:before="60" w:line="259" w:lineRule="auto"/>
            </w:pPr>
            <w:r>
              <w:rPr>
                <w:rFonts w:ascii="Calibri" w:hAnsi="Calibri"/>
                <w:b w:val="0"/>
                <w:i w:val="0"/>
                <w:color w:val="212121"/>
                <w:sz w:val="19"/>
              </w:rPr>
              <w:t>Junk-food intake, tea/coffee consumption and poor physical activity were independent predictors of functional GI disorders in Indian students.</w:t>
            </w:r>
          </w:p>
          <w:p>
            <w:pPr>
              <w:spacing w:after="40" w:line="252" w:lineRule="auto"/>
            </w:pPr>
            <w:hyperlink r:id="rId10">
              <w:r>
                <w:rPr>
                  <w:rFonts w:ascii="Calibri" w:hAnsi="Calibri" w:cs="Calibri"/>
                  <w:sz w:val="18"/>
                  <w:color w:val="1155CC"/>
                  <w:u w:val="single"/>
                </w:rPr>
                <w:t xml:space="preserve">Indian J Gastroenterol — risk factors in students</w:t>
              </w:r>
            </w:hyperlink>
          </w:p>
          <w:p>
            <w:pPr>
              <w:spacing w:before="60" w:after="40"/>
            </w:pPr>
            <w:r>
              <w:rPr>
                <w:rFonts w:ascii="Calibri" w:hAnsi="Calibri"/>
                <w:b w:val="0"/>
                <w:i w:val="0"/>
                <w:color w:val="5A5A5A"/>
                <w:sz w:val="18"/>
              </w:rPr>
              <w:t>#urban  #students  #stress  #junkfood  #lifestyle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North-Indian rural &amp; semi-urban communities</w:t>
            </w:r>
          </w:p>
        </w:tc>
        <w:tc>
          <w:tcPr>
            <w:tcW w:type="dxa" w:w="4276"/>
            <w:vAlign w:val="top"/>
          </w:tcPr>
          <w:p>
            <w:pPr>
              <w:spacing w:after="60" w:line="259" w:lineRule="auto"/>
            </w:pPr>
            <w:r>
              <w:rPr>
                <w:rFonts w:ascii="Calibri" w:hAnsi="Calibri"/>
                <w:b w:val="0"/>
                <w:i w:val="0"/>
                <w:color w:val="212121"/>
                <w:sz w:val="19"/>
              </w:rPr>
              <w:t>High rates of enteric infection, water contamination and parasitic gastroenteritis in rural north India seed post-infectious IBS, while diet is high in cereals and spices.</w:t>
            </w:r>
          </w:p>
          <w:p>
            <w:pPr>
              <w:spacing w:after="40" w:before="60" w:line="259" w:lineRule="auto"/>
            </w:pPr>
            <w:r>
              <w:rPr>
                <w:rFonts w:ascii="Calibri" w:hAnsi="Calibri"/>
                <w:b w:val="0"/>
                <w:i w:val="0"/>
                <w:color w:val="212121"/>
                <w:sz w:val="19"/>
              </w:rPr>
              <w:t>Rural Uttar Pradesh community prevalence was about 6.8% (Rome III) and Haryana about 4%, with little urban-rural difference.</w:t>
            </w:r>
          </w:p>
          <w:p>
            <w:pPr>
              <w:spacing w:after="40" w:line="252" w:lineRule="auto"/>
            </w:pPr>
            <w:hyperlink r:id="rId11">
              <w:r>
                <w:rPr>
                  <w:rFonts w:ascii="Calibri" w:hAnsi="Calibri" w:cs="Calibri"/>
                  <w:sz w:val="18"/>
                  <w:color w:val="1155CC"/>
                  <w:u w:val="single"/>
                </w:rPr>
                <w:t xml:space="preserve">World J Gastroenterol — north-India community prevalence</w:t>
              </w:r>
            </w:hyperlink>
          </w:p>
          <w:p>
            <w:pPr>
              <w:spacing w:before="60" w:after="40"/>
            </w:pPr>
            <w:r>
              <w:rPr>
                <w:rFonts w:ascii="Calibri" w:hAnsi="Calibri"/>
                <w:b w:val="0"/>
                <w:i w:val="0"/>
                <w:color w:val="5A5A5A"/>
                <w:sz w:val="18"/>
              </w:rPr>
              <w:t>#ruralindia  #entericinfection  #waterhygiene  #northindia  #pi-ibs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Urban metros (e.g., Mumbai)</w:t>
            </w:r>
          </w:p>
        </w:tc>
        <w:tc>
          <w:tcPr>
            <w:tcW w:type="dxa" w:w="4276"/>
            <w:vAlign w:val="top"/>
          </w:tcPr>
          <w:p>
            <w:pPr>
              <w:spacing w:after="60" w:line="259" w:lineRule="auto"/>
            </w:pPr>
            <w:r>
              <w:rPr>
                <w:rFonts w:ascii="Calibri" w:hAnsi="Calibri"/>
                <w:b w:val="0"/>
                <w:i w:val="0"/>
                <w:color w:val="212121"/>
                <w:sz w:val="19"/>
              </w:rPr>
              <w:t>Dense urban living combines stress, sedentary work, processed and restaurant food and disturbed sleep, sustaining a comparable or slightly higher IBS burden than rural areas.</w:t>
            </w:r>
          </w:p>
          <w:p>
            <w:pPr>
              <w:spacing w:after="40" w:before="60" w:line="259" w:lineRule="auto"/>
            </w:pPr>
            <w:r>
              <w:rPr>
                <w:rFonts w:ascii="Calibri" w:hAnsi="Calibri"/>
                <w:b w:val="0"/>
                <w:i w:val="0"/>
                <w:color w:val="212121"/>
                <w:sz w:val="19"/>
              </w:rPr>
              <w:t>Urban Mumbai community prevalence was 7.5% (Manning criteria) in a survey of 2,549 subjects.</w:t>
            </w:r>
          </w:p>
          <w:p>
            <w:pPr>
              <w:spacing w:after="40" w:line="252" w:lineRule="auto"/>
            </w:pPr>
            <w:hyperlink r:id="rId11">
              <w:r>
                <w:rPr>
                  <w:rFonts w:ascii="Calibri" w:hAnsi="Calibri" w:cs="Calibri"/>
                  <w:sz w:val="18"/>
                  <w:color w:val="1155CC"/>
                  <w:u w:val="single"/>
                </w:rPr>
                <w:t xml:space="preserve">World J Gastroenterol — urban Mumbai prevalence</w:t>
              </w:r>
            </w:hyperlink>
          </w:p>
          <w:p>
            <w:pPr>
              <w:spacing w:before="60" w:after="40"/>
            </w:pPr>
            <w:r>
              <w:rPr>
                <w:rFonts w:ascii="Calibri" w:hAnsi="Calibri"/>
                <w:b w:val="0"/>
                <w:i w:val="0"/>
                <w:color w:val="5A5A5A"/>
                <w:sz w:val="18"/>
              </w:rPr>
              <w:t>#urbanmetro  #mumbai  #processedfood  #sedentary  #stress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students, desk workers</w:t>
            </w:r>
          </w:p>
        </w:tc>
        <w:tc>
          <w:tcPr>
            <w:tcW w:type="dxa" w:w="4276"/>
            <w:vAlign w:val="top"/>
          </w:tcPr>
          <w:p>
            <w:pPr>
              <w:spacing w:after="60" w:line="259" w:lineRule="auto"/>
            </w:pPr>
            <w:r>
              <w:rPr>
                <w:rFonts w:ascii="Calibri" w:hAnsi="Calibri"/>
                <w:b w:val="0"/>
                <w:i w:val="0"/>
                <w:color w:val="212121"/>
                <w:sz w:val="19"/>
              </w:rPr>
              <w:t>Low physical activity slows colonic transit, worsens bloating and constipation, and removes the stress-buffering and motility-stimulating benefits of exercise on the gut-brain axis.</w:t>
            </w:r>
          </w:p>
          <w:p>
            <w:pPr>
              <w:spacing w:after="40" w:before="60" w:line="259" w:lineRule="auto"/>
            </w:pPr>
            <w:r>
              <w:rPr>
                <w:rFonts w:ascii="Calibri" w:hAnsi="Calibri"/>
                <w:b w:val="0"/>
                <w:i w:val="0"/>
                <w:color w:val="212121"/>
                <w:sz w:val="19"/>
              </w:rPr>
              <w:t>Poor physical activity was an independent predictor of functional GI disorders including IBS in Indian college students; exercise improves IBS symptom severity in randomised trials.</w:t>
            </w:r>
          </w:p>
          <w:p>
            <w:pPr>
              <w:spacing w:after="40" w:line="252" w:lineRule="auto"/>
            </w:pPr>
            <w:hyperlink r:id="rId10">
              <w:r>
                <w:rPr>
                  <w:rFonts w:ascii="Calibri" w:hAnsi="Calibri" w:cs="Calibri"/>
                  <w:sz w:val="18"/>
                  <w:color w:val="1155CC"/>
                  <w:u w:val="single"/>
                </w:rPr>
                <w:t xml:space="preserve">Indian J Gastroenterol — low activity predicts FGIDs</w:t>
              </w:r>
            </w:hyperlink>
          </w:p>
          <w:p>
            <w:pPr>
              <w:spacing w:before="60" w:after="40"/>
            </w:pPr>
            <w:r>
              <w:rPr>
                <w:rFonts w:ascii="Calibri" w:hAnsi="Calibri"/>
                <w:b w:val="0"/>
                <w:i w:val="0"/>
                <w:color w:val="5A5A5A"/>
                <w:sz w:val="18"/>
              </w:rPr>
              <w:t>#sedentary  #slowtransit  #bloating  #exercise  #gutmotility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alters colonic motility and the gut-brain axis and is associated with greater symptom severity and anxiety sensitivity in people with IBS.</w:t>
            </w:r>
          </w:p>
          <w:p>
            <w:pPr>
              <w:spacing w:after="40" w:before="60" w:line="259" w:lineRule="auto"/>
            </w:pPr>
            <w:r>
              <w:rPr>
                <w:rFonts w:ascii="Calibri" w:hAnsi="Calibri"/>
                <w:b w:val="0"/>
                <w:i w:val="0"/>
                <w:color w:val="212121"/>
                <w:sz w:val="19"/>
              </w:rPr>
              <w:t>IBS and troublesome GI symptoms are associated with smoking in general-population studies.</w:t>
            </w:r>
          </w:p>
          <w:p>
            <w:pPr>
              <w:spacing w:after="40" w:line="252" w:lineRule="auto"/>
            </w:pPr>
            <w:hyperlink r:id="rId12">
              <w:r>
                <w:rPr>
                  <w:rFonts w:ascii="Calibri" w:hAnsi="Calibri" w:cs="Calibri"/>
                  <w:sz w:val="18"/>
                  <w:color w:val="1155CC"/>
                  <w:u w:val="single"/>
                </w:rPr>
                <w:t xml:space="preserve">PMC — GI symptoms/IBS associated with smoking</w:t>
              </w:r>
            </w:hyperlink>
          </w:p>
          <w:p>
            <w:pPr>
              <w:spacing w:before="60" w:after="40"/>
            </w:pPr>
            <w:r>
              <w:rPr>
                <w:rFonts w:ascii="Calibri" w:hAnsi="Calibri"/>
                <w:b w:val="0"/>
                <w:i w:val="0"/>
                <w:color w:val="5A5A5A"/>
                <w:sz w:val="18"/>
              </w:rPr>
              <w:t>#smoking  #nicotine  #symptomseverity  #gutbrain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Alcohol accelerates small-bowel transit, increases intestinal permeability and provokes diarrhoea and pain, particularly binge patterns and in diarrhoea-predominant IBS.</w:t>
            </w:r>
          </w:p>
          <w:p>
            <w:pPr>
              <w:spacing w:after="40" w:before="60" w:line="259" w:lineRule="auto"/>
            </w:pPr>
            <w:r>
              <w:rPr>
                <w:rFonts w:ascii="Calibri" w:hAnsi="Calibri"/>
                <w:b w:val="0"/>
                <w:i w:val="0"/>
                <w:color w:val="212121"/>
                <w:sz w:val="19"/>
              </w:rPr>
              <w:t>Heavy and binge alcohol use is linked to next-day GI symptoms and worse IBS-D control; moderate intake shows less consistent effects.</w:t>
            </w:r>
          </w:p>
          <w:p>
            <w:pPr>
              <w:spacing w:before="60" w:after="40"/>
            </w:pPr>
            <w:r>
              <w:rPr>
                <w:rFonts w:ascii="Calibri" w:hAnsi="Calibri"/>
                <w:b w:val="0"/>
                <w:i w:val="0"/>
                <w:color w:val="5A5A5A"/>
                <w:sz w:val="18"/>
              </w:rPr>
              <w:t>#alcohol  #bingedrinking  #permeability  #ibsd  #diarrhoea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 circadian</w:t>
            </w:r>
          </w:p>
        </w:tc>
        <w:tc>
          <w:tcPr>
            <w:tcW w:type="dxa" w:w="2160"/>
            <w:vAlign w:val="top"/>
          </w:tcPr>
          <w:p>
            <w:pPr>
              <w:spacing w:after="40" w:before="0" w:line="259" w:lineRule="auto"/>
            </w:pPr>
            <w:r>
              <w:rPr>
                <w:rFonts w:ascii="Calibri" w:hAnsi="Calibri"/>
                <w:b w:val="0"/>
                <w:i w:val="0"/>
                <w:color w:val="212121"/>
                <w:sz w:val="19"/>
              </w:rPr>
              <w:t>Insomniacs, shift workers, poor sleepers</w:t>
            </w:r>
          </w:p>
        </w:tc>
        <w:tc>
          <w:tcPr>
            <w:tcW w:type="dxa" w:w="4276"/>
            <w:vAlign w:val="top"/>
          </w:tcPr>
          <w:p>
            <w:pPr>
              <w:spacing w:after="60" w:line="259" w:lineRule="auto"/>
            </w:pPr>
            <w:r>
              <w:rPr>
                <w:rFonts w:ascii="Calibri" w:hAnsi="Calibri"/>
                <w:b w:val="0"/>
                <w:i w:val="0"/>
                <w:color w:val="212121"/>
                <w:sz w:val="19"/>
              </w:rPr>
              <w:t>Disturbed sleep dysregulates the gut-brain axis and autonomic tone, lowering the visceral pain threshold; poor sleep quality predicts worse IBS symptoms the following day.</w:t>
            </w:r>
          </w:p>
          <w:p>
            <w:pPr>
              <w:spacing w:after="40" w:before="60" w:line="259" w:lineRule="auto"/>
            </w:pPr>
            <w:r>
              <w:rPr>
                <w:rFonts w:ascii="Calibri" w:hAnsi="Calibri"/>
                <w:b w:val="0"/>
                <w:i w:val="0"/>
                <w:color w:val="212121"/>
                <w:sz w:val="19"/>
              </w:rPr>
              <w:t>Insomnia was an independent predictor of functional GI disorders in Indian students, and healthy sleep is associated with a lower risk of IBS.</w:t>
            </w:r>
          </w:p>
          <w:p>
            <w:pPr>
              <w:spacing w:after="40" w:line="252" w:lineRule="auto"/>
            </w:pPr>
            <w:hyperlink r:id="rId10">
              <w:r>
                <w:rPr>
                  <w:rFonts w:ascii="Calibri" w:hAnsi="Calibri" w:cs="Calibri"/>
                  <w:sz w:val="18"/>
                  <w:color w:val="1155CC"/>
                  <w:u w:val="single"/>
                </w:rPr>
                <w:t xml:space="preserve">Indian J Gastroenterol — insomnia predicts FGIDs</w:t>
              </w:r>
            </w:hyperlink>
          </w:p>
          <w:p>
            <w:pPr>
              <w:spacing w:before="60" w:after="40"/>
            </w:pPr>
            <w:r>
              <w:rPr>
                <w:rFonts w:ascii="Calibri" w:hAnsi="Calibri"/>
                <w:b w:val="0"/>
                <w:i w:val="0"/>
                <w:color w:val="5A5A5A"/>
                <w:sz w:val="18"/>
              </w:rPr>
              <w:t>#sleep  #insomnia  #shiftwork  #circadian  #visceralpain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Non-vegetarian &amp; junk-food consumers</w:t>
            </w:r>
          </w:p>
        </w:tc>
        <w:tc>
          <w:tcPr>
            <w:tcW w:type="dxa" w:w="4276"/>
            <w:vAlign w:val="top"/>
          </w:tcPr>
          <w:p>
            <w:pPr>
              <w:spacing w:after="60" w:line="259" w:lineRule="auto"/>
            </w:pPr>
            <w:r>
              <w:rPr>
                <w:rFonts w:ascii="Calibri" w:hAnsi="Calibri"/>
                <w:b w:val="0"/>
                <w:i w:val="0"/>
                <w:color w:val="212121"/>
                <w:sz w:val="19"/>
              </w:rPr>
              <w:t>High-fat, fried and ultra-processed foods and heavy non-vegetarian meals delay gastric emptying, exaggerate the gastro-colic reflex and trigger post-prandial pain, urgency and bloating.</w:t>
            </w:r>
          </w:p>
          <w:p>
            <w:pPr>
              <w:spacing w:after="40" w:before="60" w:line="259" w:lineRule="auto"/>
            </w:pPr>
            <w:r>
              <w:rPr>
                <w:rFonts w:ascii="Calibri" w:hAnsi="Calibri"/>
                <w:b w:val="0"/>
                <w:i w:val="0"/>
                <w:color w:val="212121"/>
                <w:sz w:val="19"/>
              </w:rPr>
              <w:t>Non-vegetarian diet and junk-food consumption independently predicted functional GI disorders in Indian college students.</w:t>
            </w:r>
          </w:p>
          <w:p>
            <w:pPr>
              <w:spacing w:after="40" w:line="252" w:lineRule="auto"/>
            </w:pPr>
            <w:hyperlink r:id="rId10">
              <w:r>
                <w:rPr>
                  <w:rFonts w:ascii="Calibri" w:hAnsi="Calibri" w:cs="Calibri"/>
                  <w:sz w:val="18"/>
                  <w:color w:val="1155CC"/>
                  <w:u w:val="single"/>
                </w:rPr>
                <w:t xml:space="preserve">Indian J Gastroenterol — diet predictors of FGIDs</w:t>
              </w:r>
            </w:hyperlink>
          </w:p>
          <w:p>
            <w:pPr>
              <w:spacing w:before="60" w:after="40"/>
            </w:pPr>
            <w:r>
              <w:rPr>
                <w:rFonts w:ascii="Calibri" w:hAnsi="Calibri"/>
                <w:b w:val="0"/>
                <w:i w:val="0"/>
                <w:color w:val="5A5A5A"/>
                <w:sz w:val="18"/>
              </w:rPr>
              <w:t>#junkfood  #highfat  #gastrocolic  #nonveg  #postprandial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Beverages</w:t>
            </w:r>
          </w:p>
        </w:tc>
        <w:tc>
          <w:tcPr>
            <w:tcW w:type="dxa" w:w="2160"/>
            <w:vAlign w:val="top"/>
          </w:tcPr>
          <w:p>
            <w:pPr>
              <w:spacing w:after="40" w:before="0" w:line="259" w:lineRule="auto"/>
            </w:pPr>
            <w:r>
              <w:rPr>
                <w:rFonts w:ascii="Calibri" w:hAnsi="Calibri"/>
                <w:b w:val="0"/>
                <w:i w:val="0"/>
                <w:color w:val="212121"/>
                <w:sz w:val="19"/>
              </w:rPr>
              <w:t>High tea / coffee (caffeine) intake</w:t>
            </w:r>
          </w:p>
        </w:tc>
        <w:tc>
          <w:tcPr>
            <w:tcW w:type="dxa" w:w="4276"/>
            <w:vAlign w:val="top"/>
          </w:tcPr>
          <w:p>
            <w:pPr>
              <w:spacing w:after="60" w:line="259" w:lineRule="auto"/>
            </w:pPr>
            <w:r>
              <w:rPr>
                <w:rFonts w:ascii="Calibri" w:hAnsi="Calibri"/>
                <w:b w:val="0"/>
                <w:i w:val="0"/>
                <w:color w:val="212121"/>
                <w:sz w:val="19"/>
              </w:rPr>
              <w:t>Caffeine stimulates colonic motor activity and gastric acid secretion; in the Indian setting frequent chai and coffee contribute to urgency, loose stools and reflux-overlap symptoms.</w:t>
            </w:r>
          </w:p>
          <w:p>
            <w:pPr>
              <w:spacing w:after="40" w:before="60" w:line="259" w:lineRule="auto"/>
            </w:pPr>
            <w:r>
              <w:rPr>
                <w:rFonts w:ascii="Calibri" w:hAnsi="Calibri"/>
                <w:b w:val="0"/>
                <w:i w:val="0"/>
                <w:color w:val="212121"/>
                <w:sz w:val="19"/>
              </w:rPr>
              <w:t>Tea/coffee intake was an independent predictor of functional GI disorders in Indian students.</w:t>
            </w:r>
          </w:p>
          <w:p>
            <w:pPr>
              <w:spacing w:after="40" w:line="252" w:lineRule="auto"/>
            </w:pPr>
            <w:hyperlink r:id="rId10">
              <w:r>
                <w:rPr>
                  <w:rFonts w:ascii="Calibri" w:hAnsi="Calibri" w:cs="Calibri"/>
                  <w:sz w:val="18"/>
                  <w:color w:val="1155CC"/>
                  <w:u w:val="single"/>
                </w:rPr>
                <w:t xml:space="preserve">Indian J Gastroenterol — caffeine predicts FGIDs</w:t>
              </w:r>
            </w:hyperlink>
          </w:p>
          <w:p>
            <w:pPr>
              <w:spacing w:before="60" w:after="40"/>
            </w:pPr>
            <w:r>
              <w:rPr>
                <w:rFonts w:ascii="Calibri" w:hAnsi="Calibri"/>
                <w:b w:val="0"/>
                <w:i w:val="0"/>
                <w:color w:val="5A5A5A"/>
                <w:sz w:val="18"/>
              </w:rPr>
              <w:t>#caffeine  #chai  #coffee  #colonicmotility  #urgency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 intolerance / FODMAPs</w:t>
            </w:r>
          </w:p>
        </w:tc>
        <w:tc>
          <w:tcPr>
            <w:tcW w:type="dxa" w:w="2160"/>
            <w:vAlign w:val="top"/>
          </w:tcPr>
          <w:p>
            <w:pPr>
              <w:spacing w:after="40" w:before="0" w:line="259" w:lineRule="auto"/>
            </w:pPr>
            <w:r>
              <w:rPr>
                <w:rFonts w:ascii="Calibri" w:hAnsi="Calibri"/>
                <w:b w:val="0"/>
                <w:i w:val="0"/>
                <w:color w:val="212121"/>
                <w:sz w:val="19"/>
              </w:rPr>
              <w:t>Lactose- &amp; fructose-intolerant, high-FODMAP diets</w:t>
            </w:r>
          </w:p>
        </w:tc>
        <w:tc>
          <w:tcPr>
            <w:tcW w:type="dxa" w:w="4276"/>
            <w:vAlign w:val="top"/>
          </w:tcPr>
          <w:p>
            <w:pPr>
              <w:spacing w:after="60" w:line="259" w:lineRule="auto"/>
            </w:pPr>
            <w:r>
              <w:rPr>
                <w:rFonts w:ascii="Calibri" w:hAnsi="Calibri"/>
                <w:b w:val="0"/>
                <w:i w:val="0"/>
                <w:color w:val="212121"/>
                <w:sz w:val="19"/>
              </w:rPr>
              <w:t>Poorly absorbed fermentable sugars (lactose, fructose, polyols) draw water into the lumen and are fermented to gas, producing distension, pain and altered stool — the basis for the low-FODMAP diet.</w:t>
            </w:r>
          </w:p>
          <w:p>
            <w:pPr>
              <w:spacing w:after="40" w:before="60" w:line="259" w:lineRule="auto"/>
            </w:pPr>
            <w:r>
              <w:rPr>
                <w:rFonts w:ascii="Calibri" w:hAnsi="Calibri"/>
                <w:b w:val="0"/>
                <w:i w:val="0"/>
                <w:color w:val="212121"/>
                <w:sz w:val="19"/>
              </w:rPr>
              <w:t>Self-reported milk intolerance affected 32% and fructose malabsorption 14.4% of Indian IBS patients (vs 2.4% of controls).</w:t>
            </w:r>
          </w:p>
          <w:p>
            <w:pPr>
              <w:spacing w:after="40" w:line="252" w:lineRule="auto"/>
            </w:pPr>
            <w:hyperlink r:id="rId11">
              <w:r>
                <w:rPr>
                  <w:rFonts w:ascii="Calibri" w:hAnsi="Calibri" w:cs="Calibri"/>
                  <w:sz w:val="18"/>
                  <w:color w:val="1155CC"/>
                  <w:u w:val="single"/>
                </w:rPr>
                <w:t xml:space="preserve">World J Gastroenterol — lactose/fructose in Indian IBS</w:t>
              </w:r>
            </w:hyperlink>
          </w:p>
          <w:p>
            <w:pPr>
              <w:spacing w:before="60" w:after="40"/>
            </w:pPr>
            <w:r>
              <w:rPr>
                <w:rFonts w:ascii="Calibri" w:hAnsi="Calibri"/>
                <w:b w:val="0"/>
                <w:i w:val="0"/>
                <w:color w:val="5A5A5A"/>
                <w:sz w:val="18"/>
              </w:rPr>
              <w:t>#fodmap  #lactose  #fructose  #fermentation  #bloating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IBS / functional GI disorder</w:t>
            </w:r>
          </w:p>
        </w:tc>
        <w:tc>
          <w:tcPr>
            <w:tcW w:type="dxa" w:w="4276"/>
            <w:vAlign w:val="top"/>
          </w:tcPr>
          <w:p>
            <w:pPr>
              <w:spacing w:after="60" w:line="259" w:lineRule="auto"/>
            </w:pPr>
            <w:r>
              <w:rPr>
                <w:rFonts w:ascii="Calibri" w:hAnsi="Calibri"/>
                <w:b w:val="0"/>
                <w:i w:val="0"/>
                <w:color w:val="212121"/>
                <w:sz w:val="19"/>
              </w:rPr>
              <w:t>IBS aggregates in families through both shared genes (serotonin transporter, bile-acid and epithelial-barrier variants) and shared environment and learned illness behaviour, raising individual risk.</w:t>
            </w:r>
          </w:p>
          <w:p>
            <w:pPr>
              <w:spacing w:after="40" w:before="60" w:line="259" w:lineRule="auto"/>
            </w:pPr>
            <w:r>
              <w:rPr>
                <w:rFonts w:ascii="Calibri" w:hAnsi="Calibri"/>
                <w:b w:val="0"/>
                <w:i w:val="0"/>
                <w:color w:val="212121"/>
                <w:sz w:val="19"/>
              </w:rPr>
              <w:t>A positive family history and twin studies indicate a modest heritable component in addition to shared environmental exposure.</w:t>
            </w:r>
          </w:p>
          <w:p>
            <w:pPr>
              <w:spacing w:before="60" w:after="40"/>
            </w:pPr>
            <w:r>
              <w:rPr>
                <w:rFonts w:ascii="Calibri" w:hAnsi="Calibri"/>
                <w:b w:val="0"/>
                <w:i w:val="0"/>
                <w:color w:val="5A5A5A"/>
                <w:sz w:val="18"/>
              </w:rPr>
              <w:t>#familyhistory  #heritability  #serotonin  #twinstudies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Post-infectious state</w:t>
            </w:r>
          </w:p>
        </w:tc>
        <w:tc>
          <w:tcPr>
            <w:tcW w:type="dxa" w:w="2160"/>
            <w:vAlign w:val="top"/>
          </w:tcPr>
          <w:p>
            <w:pPr>
              <w:spacing w:after="40" w:before="0" w:line="259" w:lineRule="auto"/>
            </w:pPr>
            <w:r>
              <w:rPr>
                <w:rFonts w:ascii="Calibri" w:hAnsi="Calibri"/>
                <w:b w:val="0"/>
                <w:i w:val="0"/>
                <w:color w:val="212121"/>
                <w:sz w:val="19"/>
              </w:rPr>
              <w:t>Patients after acute gastroenteritis</w:t>
            </w:r>
          </w:p>
        </w:tc>
        <w:tc>
          <w:tcPr>
            <w:tcW w:type="dxa" w:w="4276"/>
            <w:vAlign w:val="top"/>
          </w:tcPr>
          <w:p>
            <w:pPr>
              <w:spacing w:after="60" w:line="259" w:lineRule="auto"/>
            </w:pPr>
            <w:r>
              <w:rPr>
                <w:rFonts w:ascii="Calibri" w:hAnsi="Calibri"/>
                <w:b w:val="0"/>
                <w:i w:val="0"/>
                <w:color w:val="212121"/>
                <w:sz w:val="19"/>
              </w:rPr>
              <w:t>Acute enteric infection triggers persistent low-grade inflammation, altered microbiota and visceral hypersensitivity, producing post-infectious IBS (usually IBS-D). Parasitic infections common in India carry the highest risk.</w:t>
            </w:r>
          </w:p>
          <w:p>
            <w:pPr>
              <w:spacing w:after="40" w:before="60" w:line="259" w:lineRule="auto"/>
            </w:pPr>
            <w:r>
              <w:rPr>
                <w:rFonts w:ascii="Calibri" w:hAnsi="Calibri"/>
                <w:b w:val="0"/>
                <w:i w:val="0"/>
                <w:color w:val="212121"/>
                <w:sz w:val="19"/>
              </w:rPr>
              <w:t>About 10% develop IBS within 12 months of gastroenteritis — a roughly 4-fold increased risk; over 40% after parasitic and about 14% after bacterial infection.</w:t>
            </w:r>
          </w:p>
          <w:p>
            <w:pPr>
              <w:spacing w:after="40" w:line="252" w:lineRule="auto"/>
            </w:pPr>
            <w:hyperlink r:id="rId13">
              <w:r>
                <w:rPr>
                  <w:rFonts w:ascii="Calibri" w:hAnsi="Calibri" w:cs="Calibri"/>
                  <w:sz w:val="18"/>
                  <w:color w:val="1155CC"/>
                  <w:u w:val="single"/>
                </w:rPr>
                <w:t xml:space="preserve">Monash FODMAP — post-infectious IBS</w:t>
              </w:r>
            </w:hyperlink>
          </w:p>
          <w:p>
            <w:pPr>
              <w:spacing w:before="60" w:after="40"/>
            </w:pPr>
            <w:r>
              <w:rPr>
                <w:rFonts w:ascii="Calibri" w:hAnsi="Calibri"/>
                <w:b w:val="0"/>
                <w:i w:val="0"/>
                <w:color w:val="5A5A5A"/>
                <w:sz w:val="18"/>
              </w:rPr>
              <w:t>#postinfectious  #gastroenteritis  #parasites  #dysbiosis  #ibsd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Patients with anxiety or depressive disorders</w:t>
            </w:r>
          </w:p>
        </w:tc>
        <w:tc>
          <w:tcPr>
            <w:tcW w:type="dxa" w:w="4276"/>
            <w:vAlign w:val="top"/>
          </w:tcPr>
          <w:p>
            <w:pPr>
              <w:spacing w:after="60" w:line="259" w:lineRule="auto"/>
            </w:pPr>
            <w:r>
              <w:rPr>
                <w:rFonts w:ascii="Calibri" w:hAnsi="Calibri"/>
                <w:b w:val="0"/>
                <w:i w:val="0"/>
                <w:color w:val="212121"/>
                <w:sz w:val="19"/>
              </w:rPr>
              <w:t>Psychiatric comorbidity and IBS are bidirectionally linked through the gut-brain axis; mood and anxiety disorders amplify visceral pain, worsen symptoms and reduce treatment response.</w:t>
            </w:r>
          </w:p>
          <w:p>
            <w:pPr>
              <w:spacing w:after="40" w:before="60" w:line="259" w:lineRule="auto"/>
            </w:pPr>
            <w:r>
              <w:rPr>
                <w:rFonts w:ascii="Calibri" w:hAnsi="Calibri"/>
                <w:b w:val="0"/>
                <w:i w:val="0"/>
                <w:color w:val="212121"/>
                <w:sz w:val="19"/>
              </w:rPr>
              <w:t>Indian IBS patients have about 8-fold higher odds of anxiety (OR 8.06) and about 7-fold higher odds of depression (OR 7.05) than controls.</w:t>
            </w:r>
          </w:p>
          <w:p>
            <w:pPr>
              <w:spacing w:after="40" w:line="252" w:lineRule="auto"/>
            </w:pPr>
            <w:hyperlink r:id="rId14">
              <w:r>
                <w:rPr>
                  <w:rFonts w:ascii="Calibri" w:hAnsi="Calibri" w:cs="Calibri"/>
                  <w:sz w:val="18"/>
                  <w:color w:val="1155CC"/>
                  <w:u w:val="single"/>
                </w:rPr>
                <w:t xml:space="preserve">Indian J Gastroenterol — anxiety/depression meta-analysis</w:t>
              </w:r>
            </w:hyperlink>
          </w:p>
          <w:p>
            <w:pPr>
              <w:spacing w:before="60" w:after="40"/>
            </w:pPr>
            <w:r>
              <w:rPr>
                <w:rFonts w:ascii="Calibri" w:hAnsi="Calibri"/>
                <w:b w:val="0"/>
                <w:i w:val="0"/>
                <w:color w:val="5A5A5A"/>
                <w:sz w:val="18"/>
              </w:rPr>
              <w:t>#anxiety  #depression  #gutbrain  #comorbidity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Functional dyspepsia</w:t>
            </w:r>
          </w:p>
        </w:tc>
        <w:tc>
          <w:tcPr>
            <w:tcW w:type="dxa" w:w="2160"/>
            <w:vAlign w:val="top"/>
          </w:tcPr>
          <w:p>
            <w:pPr>
              <w:spacing w:after="40" w:before="0" w:line="259" w:lineRule="auto"/>
            </w:pPr>
            <w:r>
              <w:rPr>
                <w:rFonts w:ascii="Calibri" w:hAnsi="Calibri"/>
                <w:b w:val="0"/>
                <w:i w:val="0"/>
                <w:color w:val="212121"/>
                <w:sz w:val="19"/>
              </w:rPr>
              <w:t>Patients with functional dyspepsia</w:t>
            </w:r>
          </w:p>
        </w:tc>
        <w:tc>
          <w:tcPr>
            <w:tcW w:type="dxa" w:w="4276"/>
            <w:vAlign w:val="top"/>
          </w:tcPr>
          <w:p>
            <w:pPr>
              <w:spacing w:after="60" w:line="259" w:lineRule="auto"/>
            </w:pPr>
            <w:r>
              <w:rPr>
                <w:rFonts w:ascii="Calibri" w:hAnsi="Calibri"/>
                <w:b w:val="0"/>
                <w:i w:val="0"/>
                <w:color w:val="212121"/>
                <w:sz w:val="19"/>
              </w:rPr>
              <w:t>IBS and functional dyspepsia share disordered gut-brain interaction and frequently overlap, compounding upper- and lower-GI symptoms and lowering quality of life.</w:t>
            </w:r>
          </w:p>
          <w:p>
            <w:pPr>
              <w:spacing w:after="40" w:before="60" w:line="259" w:lineRule="auto"/>
            </w:pPr>
            <w:r>
              <w:rPr>
                <w:rFonts w:ascii="Calibri" w:hAnsi="Calibri"/>
                <w:b w:val="0"/>
                <w:i w:val="0"/>
                <w:color w:val="212121"/>
                <w:sz w:val="19"/>
              </w:rPr>
              <w:t>Up to 64% of functional-dyspepsia patients also meet criteria for IBS; overlap is common in Indian cohorts.</w:t>
            </w:r>
          </w:p>
          <w:p>
            <w:pPr>
              <w:spacing w:after="40" w:line="252" w:lineRule="auto"/>
            </w:pPr>
            <w:hyperlink r:id="rId15">
              <w:r>
                <w:rPr>
                  <w:rFonts w:ascii="Calibri" w:hAnsi="Calibri" w:cs="Calibri"/>
                  <w:sz w:val="18"/>
                  <w:color w:val="1155CC"/>
                  <w:u w:val="single"/>
                </w:rPr>
                <w:t xml:space="preserve">Overlap of IBS with other gut-brain disorders</w:t>
              </w:r>
            </w:hyperlink>
          </w:p>
          <w:p>
            <w:pPr>
              <w:spacing w:before="60" w:after="40"/>
            </w:pPr>
            <w:r>
              <w:rPr>
                <w:rFonts w:ascii="Calibri" w:hAnsi="Calibri"/>
                <w:b w:val="0"/>
                <w:i w:val="0"/>
                <w:color w:val="5A5A5A"/>
                <w:sz w:val="18"/>
              </w:rPr>
              <w:t>#dyspepsia  #overlap  #gutbrain  #upperGI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Fibromyalgia / Chronic fatigue</w:t>
            </w:r>
          </w:p>
        </w:tc>
        <w:tc>
          <w:tcPr>
            <w:tcW w:type="dxa" w:w="2160"/>
            <w:vAlign w:val="top"/>
          </w:tcPr>
          <w:p>
            <w:pPr>
              <w:spacing w:after="40" w:before="0" w:line="259" w:lineRule="auto"/>
            </w:pPr>
            <w:r>
              <w:rPr>
                <w:rFonts w:ascii="Calibri" w:hAnsi="Calibri"/>
                <w:b w:val="0"/>
                <w:i w:val="0"/>
                <w:color w:val="212121"/>
                <w:sz w:val="19"/>
              </w:rPr>
              <w:t>Patients with fibromyalgia or chronic fatigue syndrome</w:t>
            </w:r>
          </w:p>
        </w:tc>
        <w:tc>
          <w:tcPr>
            <w:tcW w:type="dxa" w:w="4276"/>
            <w:vAlign w:val="top"/>
          </w:tcPr>
          <w:p>
            <w:pPr>
              <w:spacing w:after="60" w:line="259" w:lineRule="auto"/>
            </w:pPr>
            <w:r>
              <w:rPr>
                <w:rFonts w:ascii="Calibri" w:hAnsi="Calibri"/>
                <w:b w:val="0"/>
                <w:i w:val="0"/>
                <w:color w:val="212121"/>
                <w:sz w:val="19"/>
              </w:rPr>
              <w:t>Shared central sensitisation links IBS with fibromyalgia and chronic fatigue; these somatic syndromes cluster and predict more severe, treatment-refractory IBS.</w:t>
            </w:r>
          </w:p>
          <w:p>
            <w:pPr>
              <w:spacing w:after="40" w:before="60" w:line="259" w:lineRule="auto"/>
            </w:pPr>
            <w:r>
              <w:rPr>
                <w:rFonts w:ascii="Calibri" w:hAnsi="Calibri"/>
                <w:b w:val="0"/>
                <w:i w:val="0"/>
                <w:color w:val="212121"/>
                <w:sz w:val="19"/>
              </w:rPr>
              <w:t>Up to 65% of IBS patients meet criteria for fibromyalgia or chronic fatigue syndrome.</w:t>
            </w:r>
          </w:p>
          <w:p>
            <w:pPr>
              <w:spacing w:after="40" w:line="252" w:lineRule="auto"/>
            </w:pPr>
            <w:hyperlink r:id="rId15">
              <w:r>
                <w:rPr>
                  <w:rFonts w:ascii="Calibri" w:hAnsi="Calibri" w:cs="Calibri"/>
                  <w:sz w:val="18"/>
                  <w:color w:val="1155CC"/>
                  <w:u w:val="single"/>
                </w:rPr>
                <w:t xml:space="preserve">Overlap of IBS with somatic syndromes</w:t>
              </w:r>
            </w:hyperlink>
          </w:p>
          <w:p>
            <w:pPr>
              <w:spacing w:before="60" w:after="40"/>
            </w:pPr>
            <w:r>
              <w:rPr>
                <w:rFonts w:ascii="Calibri" w:hAnsi="Calibri"/>
                <w:b w:val="0"/>
                <w:i w:val="0"/>
                <w:color w:val="5A5A5A"/>
                <w:sz w:val="18"/>
              </w:rPr>
              <w:t>#fibromyalgia  #chronicfatigue  #centralsensitisation  #somatic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w:t>
            </w:r>
          </w:p>
        </w:tc>
        <w:tc>
          <w:tcPr>
            <w:tcW w:type="dxa" w:w="2160"/>
            <w:vAlign w:val="top"/>
          </w:tcPr>
          <w:p>
            <w:pPr>
              <w:spacing w:after="40" w:before="0" w:line="259" w:lineRule="auto"/>
            </w:pPr>
            <w:r>
              <w:rPr>
                <w:rFonts w:ascii="Calibri" w:hAnsi="Calibri"/>
                <w:b w:val="0"/>
                <w:i w:val="0"/>
                <w:color w:val="212121"/>
                <w:sz w:val="19"/>
              </w:rPr>
              <w:t>Patients with gastro-oesophageal reflux disease</w:t>
            </w:r>
          </w:p>
        </w:tc>
        <w:tc>
          <w:tcPr>
            <w:tcW w:type="dxa" w:w="4276"/>
            <w:vAlign w:val="top"/>
          </w:tcPr>
          <w:p>
            <w:pPr>
              <w:spacing w:after="60" w:line="259" w:lineRule="auto"/>
            </w:pPr>
            <w:r>
              <w:rPr>
                <w:rFonts w:ascii="Calibri" w:hAnsi="Calibri"/>
                <w:b w:val="0"/>
                <w:i w:val="0"/>
                <w:color w:val="212121"/>
                <w:sz w:val="19"/>
              </w:rPr>
              <w:t>Reflux and IBS frequently coexist as overlapping disorders of gut-brain interaction, with shared visceral hypersensitivity and dysmotility across the GI tract.</w:t>
            </w:r>
          </w:p>
          <w:p>
            <w:pPr>
              <w:spacing w:after="40" w:before="60" w:line="259" w:lineRule="auto"/>
            </w:pPr>
            <w:r>
              <w:rPr>
                <w:rFonts w:ascii="Calibri" w:hAnsi="Calibri"/>
                <w:b w:val="0"/>
                <w:i w:val="0"/>
                <w:color w:val="212121"/>
                <w:sz w:val="19"/>
              </w:rPr>
              <w:t>IBS and GERD overlap in up to 47% of cases.</w:t>
            </w:r>
          </w:p>
          <w:p>
            <w:pPr>
              <w:spacing w:after="40" w:line="252" w:lineRule="auto"/>
            </w:pPr>
            <w:hyperlink r:id="rId15">
              <w:r>
                <w:rPr>
                  <w:rFonts w:ascii="Calibri" w:hAnsi="Calibri" w:cs="Calibri"/>
                  <w:sz w:val="18"/>
                  <w:color w:val="1155CC"/>
                  <w:u w:val="single"/>
                </w:rPr>
                <w:t xml:space="preserve">Overlap of IBS with GERD</w:t>
              </w:r>
            </w:hyperlink>
          </w:p>
          <w:p>
            <w:pPr>
              <w:spacing w:before="60" w:after="40"/>
            </w:pPr>
            <w:r>
              <w:rPr>
                <w:rFonts w:ascii="Calibri" w:hAnsi="Calibri"/>
                <w:b w:val="0"/>
                <w:i w:val="0"/>
                <w:color w:val="5A5A5A"/>
                <w:sz w:val="18"/>
              </w:rPr>
              <w:t>#gerd  #reflux  #overlap  #dysmotility  #comorbidity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moderate exercise stimulates colonic transit, reduces bloating and buffers stress; a randomised trial and a Cochrane review show physical activity improves IBS symptom severity, and inactive patients are more likely to deteriorate.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Fermentable carbohydrates (FODMAPs), high-fat, fried, spicy and ultra-processed foods provoke symptoms; a low-FODMAP diet improves global symptoms (RR ~1.54) and abdominal pain in meta-analysis.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sleep quality dysregulates the gut-brain axis and lowers the visceral pain threshold; poor subjective sleep predicts next-day IBS symptoms and healthy sleep is linked to lower IBS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alters colonic motility and is associated with greater IBS symptom severity and anxiety sensitivity, though a direct causal role is not firmly established.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and binge drinking accelerates small-bowel transit and increases permeability, provoking next-day diarrhoea and pain, especially in IBS-D.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and stress are bidirectionally linked to IBS via the gut-brain axis; Indian patients show about 8-fold higher odds of anxiety and 7-fold of depression than controls.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supports stool softening and, combined with soluble fibre, improves constipation-predominant IBS; dehydration worsens hard stool and straining.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stimulates colonic motor activity and gastric secretion; frequent tea/coffee intake independently predicted functional GI disorders in Indian students.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water-hygiene reduces acute gastroenteritis and thus post-infectious IBS — highly relevant in India, where parasitic enteritis carries the greatest PI-IBS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enteric infection, psychological stress, specific trigger foods (FODMAPs, dairy, spicy/fatty meals), the menstrual cycle and antibiotic exposure precipitate or flare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IBS, sedentary workers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90 min/week</w:t>
            </w:r>
          </w:p>
        </w:tc>
        <w:tc>
          <w:tcPr>
            <w:tcW w:type="dxa" w:w="1468"/>
            <w:vAlign w:val="top"/>
          </w:tcPr>
          <w:p>
            <w:pPr>
              <w:spacing w:after="60" w:line="259" w:lineRule="auto"/>
            </w:pPr>
            <w:r>
              <w:rPr>
                <w:rFonts w:ascii="Calibri" w:hAnsi="Calibri"/>
                <w:b w:val="0"/>
                <w:i w:val="0"/>
                <w:color w:val="212121"/>
                <w:sz w:val="19"/>
              </w:rPr>
              <w:t>Regular activity speeds transit and eases bloating; low activity predicts FGIDs</w:t>
            </w:r>
          </w:p>
          <w:p>
            <w:pPr>
              <w:spacing w:after="40" w:line="252" w:lineRule="auto"/>
            </w:pPr>
            <w:hyperlink r:id="rId10">
              <w:r>
                <w:rPr>
                  <w:rFonts w:ascii="Calibri" w:hAnsi="Calibri" w:cs="Calibri"/>
                  <w:sz w:val="18"/>
                  <w:color w:val="1155CC"/>
                  <w:u w:val="single"/>
                </w:rPr>
                <w:t xml:space="preserve">https://link.springer.com/article/10.1007/s12664-020-01106-y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(from food avoidance) or ≥ 25</w:t>
            </w:r>
          </w:p>
        </w:tc>
        <w:tc>
          <w:tcPr>
            <w:tcW w:type="dxa" w:w="1468"/>
            <w:vAlign w:val="top"/>
          </w:tcPr>
          <w:p>
            <w:pPr>
              <w:spacing w:after="40" w:before="0" w:line="259" w:lineRule="auto"/>
            </w:pPr>
            <w:r>
              <w:rPr>
                <w:rFonts w:ascii="Calibri" w:hAnsi="Calibri"/>
                <w:b w:val="0"/>
                <w:i w:val="0"/>
                <w:color w:val="212121"/>
                <w:sz w:val="19"/>
              </w:rPr>
              <w:t>Restrictive eating can cause underweight; obesity worsens overlap reflux/bloating</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IBS-C predominant</w:t>
            </w:r>
          </w:p>
        </w:tc>
        <w:tc>
          <w:tcPr>
            <w:tcW w:type="dxa" w:w="1512"/>
            <w:vAlign w:val="top"/>
          </w:tcPr>
          <w:p>
            <w:pPr>
              <w:spacing w:after="40" w:before="0" w:line="259" w:lineRule="auto"/>
            </w:pPr>
            <w:r>
              <w:rPr>
                <w:rFonts w:ascii="Calibri" w:hAnsi="Calibri"/>
                <w:b w:val="0"/>
                <w:i w:val="0"/>
                <w:color w:val="212121"/>
                <w:sz w:val="19"/>
              </w:rPr>
              <w:t>20-35 g/day, soluble-rich</w:t>
            </w:r>
          </w:p>
        </w:tc>
        <w:tc>
          <w:tcPr>
            <w:tcW w:type="dxa" w:w="1512"/>
            <w:vAlign w:val="top"/>
          </w:tcPr>
          <w:p>
            <w:pPr>
              <w:spacing w:after="40" w:before="0" w:line="259" w:lineRule="auto"/>
            </w:pPr>
            <w:r>
              <w:rPr>
                <w:rFonts w:ascii="Calibri" w:hAnsi="Calibri"/>
                <w:b w:val="0"/>
                <w:i w:val="0"/>
                <w:color w:val="212121"/>
                <w:sz w:val="19"/>
              </w:rPr>
              <w:t>Very low fibre, or high insoluble bran</w:t>
            </w:r>
          </w:p>
        </w:tc>
        <w:tc>
          <w:tcPr>
            <w:tcW w:type="dxa" w:w="1468"/>
            <w:vAlign w:val="top"/>
          </w:tcPr>
          <w:p>
            <w:pPr>
              <w:spacing w:after="60" w:line="259" w:lineRule="auto"/>
            </w:pPr>
            <w:r>
              <w:rPr>
                <w:rFonts w:ascii="Calibri" w:hAnsi="Calibri"/>
                <w:b w:val="0"/>
                <w:i w:val="0"/>
                <w:color w:val="212121"/>
                <w:sz w:val="19"/>
              </w:rPr>
              <w:t>Soluble fibre (psyllium/ispaghula) helps; insoluble bran can worsen pain/bloating</w:t>
            </w:r>
          </w:p>
          <w:p>
            <w:pPr>
              <w:spacing w:after="40" w:line="252" w:lineRule="auto"/>
            </w:pPr>
            <w:hyperlink r:id="rId16">
              <w:r>
                <w:rPr>
                  <w:rFonts w:ascii="Calibri" w:hAnsi="Calibri" w:cs="Calibri"/>
                  <w:sz w:val="18"/>
                  <w:color w:val="1155CC"/>
                  <w:u w:val="single"/>
                </w:rPr>
                <w:t xml:space="preserve">https://www.ncbi.nlm.nih.gov/books/NBK80911/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FODMAP / trigger-food load</w:t>
            </w:r>
          </w:p>
        </w:tc>
        <w:tc>
          <w:tcPr>
            <w:tcW w:type="dxa" w:w="1655"/>
            <w:vAlign w:val="top"/>
          </w:tcPr>
          <w:p>
            <w:pPr>
              <w:spacing w:after="40" w:before="0" w:line="259" w:lineRule="auto"/>
            </w:pPr>
            <w:r>
              <w:rPr>
                <w:rFonts w:ascii="Calibri" w:hAnsi="Calibri"/>
                <w:b w:val="0"/>
                <w:i w:val="0"/>
                <w:color w:val="212121"/>
                <w:sz w:val="19"/>
              </w:rPr>
              <w:t>IBS-D and IBS-M</w:t>
            </w:r>
          </w:p>
        </w:tc>
        <w:tc>
          <w:tcPr>
            <w:tcW w:type="dxa" w:w="1512"/>
            <w:vAlign w:val="top"/>
          </w:tcPr>
          <w:p>
            <w:pPr>
              <w:spacing w:after="40" w:before="0" w:line="259" w:lineRule="auto"/>
            </w:pPr>
            <w:r>
              <w:rPr>
                <w:rFonts w:ascii="Calibri" w:hAnsi="Calibri"/>
                <w:b w:val="0"/>
                <w:i w:val="0"/>
                <w:color w:val="212121"/>
                <w:sz w:val="19"/>
              </w:rPr>
              <w:t>Low-FODMAP during elimination phase</w:t>
            </w:r>
          </w:p>
        </w:tc>
        <w:tc>
          <w:tcPr>
            <w:tcW w:type="dxa" w:w="1512"/>
            <w:vAlign w:val="top"/>
          </w:tcPr>
          <w:p>
            <w:pPr>
              <w:spacing w:after="40" w:before="0" w:line="259" w:lineRule="auto"/>
            </w:pPr>
            <w:r>
              <w:rPr>
                <w:rFonts w:ascii="Calibri" w:hAnsi="Calibri"/>
                <w:b w:val="0"/>
                <w:i w:val="0"/>
                <w:color w:val="212121"/>
                <w:sz w:val="19"/>
              </w:rPr>
              <w:t>High-FODMAP, fried, spicy, dairy triggers</w:t>
            </w:r>
          </w:p>
        </w:tc>
        <w:tc>
          <w:tcPr>
            <w:tcW w:type="dxa" w:w="1468"/>
            <w:vAlign w:val="top"/>
          </w:tcPr>
          <w:p>
            <w:pPr>
              <w:spacing w:after="60" w:line="259" w:lineRule="auto"/>
            </w:pPr>
            <w:r>
              <w:rPr>
                <w:rFonts w:ascii="Calibri" w:hAnsi="Calibri"/>
                <w:b w:val="0"/>
                <w:i w:val="0"/>
                <w:color w:val="212121"/>
                <w:sz w:val="19"/>
              </w:rPr>
              <w:t>Low-FODMAP improves global symptoms (RR ~1.54); reintroduce to personalise</w:t>
            </w:r>
          </w:p>
          <w:p>
            <w:pPr>
              <w:spacing w:after="40" w:line="252" w:lineRule="auto"/>
            </w:pPr>
            <w:hyperlink r:id="rId17">
              <w:r>
                <w:rPr>
                  <w:rFonts w:ascii="Calibri" w:hAnsi="Calibri" w:cs="Calibri"/>
                  <w:sz w:val="18"/>
                  <w:color w:val="1155CC"/>
                  <w:u w:val="single"/>
                </w:rPr>
                <w:t xml:space="preserve">https://www.frontiersin.org/journals/nutrition/articles/10.3389/fnut.2021.683191/full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 (hours/night)</w:t>
            </w:r>
          </w:p>
        </w:tc>
        <w:tc>
          <w:tcPr>
            <w:tcW w:type="dxa" w:w="1655"/>
            <w:vAlign w:val="top"/>
          </w:tcPr>
          <w:p>
            <w:pPr>
              <w:spacing w:after="40" w:before="0" w:line="259" w:lineRule="auto"/>
            </w:pPr>
            <w:r>
              <w:rPr>
                <w:rFonts w:ascii="Calibri" w:hAnsi="Calibri"/>
                <w:b w:val="0"/>
                <w:i w:val="0"/>
                <w:color w:val="212121"/>
                <w:sz w:val="19"/>
              </w:rPr>
              <w:t>Adults with IBS</w:t>
            </w:r>
          </w:p>
        </w:tc>
        <w:tc>
          <w:tcPr>
            <w:tcW w:type="dxa" w:w="1512"/>
            <w:vAlign w:val="top"/>
          </w:tcPr>
          <w:p>
            <w:pPr>
              <w:spacing w:after="40" w:before="0" w:line="259" w:lineRule="auto"/>
            </w:pPr>
            <w:r>
              <w:rPr>
                <w:rFonts w:ascii="Calibri" w:hAnsi="Calibri"/>
                <w:b w:val="0"/>
                <w:i w:val="0"/>
                <w:color w:val="212121"/>
                <w:sz w:val="19"/>
              </w:rPr>
              <w:t>7-9 h, good quality (PSQI ≤ 5)</w:t>
            </w:r>
          </w:p>
        </w:tc>
        <w:tc>
          <w:tcPr>
            <w:tcW w:type="dxa" w:w="1512"/>
            <w:vAlign w:val="top"/>
          </w:tcPr>
          <w:p>
            <w:pPr>
              <w:spacing w:after="40" w:before="0" w:line="259" w:lineRule="auto"/>
            </w:pPr>
            <w:r>
              <w:rPr>
                <w:rFonts w:ascii="Calibri" w:hAnsi="Calibri"/>
                <w:b w:val="0"/>
                <w:i w:val="0"/>
                <w:color w:val="212121"/>
                <w:sz w:val="19"/>
              </w:rPr>
              <w:t>&lt; 6 h or poor quality / shift work</w:t>
            </w:r>
          </w:p>
        </w:tc>
        <w:tc>
          <w:tcPr>
            <w:tcW w:type="dxa" w:w="1468"/>
            <w:vAlign w:val="top"/>
          </w:tcPr>
          <w:p>
            <w:pPr>
              <w:spacing w:after="60" w:line="259" w:lineRule="auto"/>
            </w:pPr>
            <w:r>
              <w:rPr>
                <w:rFonts w:ascii="Calibri" w:hAnsi="Calibri"/>
                <w:b w:val="0"/>
                <w:i w:val="0"/>
                <w:color w:val="212121"/>
                <w:sz w:val="19"/>
              </w:rPr>
              <w:t>Poor sleep predicts next-day symptoms</w:t>
            </w:r>
          </w:p>
          <w:p>
            <w:pPr>
              <w:spacing w:after="40" w:line="252" w:lineRule="auto"/>
            </w:pPr>
            <w:hyperlink r:id="rId18">
              <w:r>
                <w:rPr>
                  <w:rFonts w:ascii="Calibri" w:hAnsi="Calibri" w:cs="Calibri"/>
                  <w:sz w:val="18"/>
                  <w:color w:val="1155CC"/>
                  <w:u w:val="single"/>
                </w:rPr>
                <w:t xml:space="preserve">https://www.sciencedirect.com/science/article/abs/pii/S0165032723003737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IBS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associated with greater symptom severity</w:t>
            </w:r>
          </w:p>
          <w:p>
            <w:pPr>
              <w:spacing w:after="40" w:line="252" w:lineRule="auto"/>
            </w:pPr>
            <w:hyperlink r:id="rId12">
              <w:r>
                <w:rPr>
                  <w:rFonts w:ascii="Calibri" w:hAnsi="Calibri" w:cs="Calibri"/>
                  <w:sz w:val="18"/>
                  <w:color w:val="1155CC"/>
                  <w:u w:val="single"/>
                </w:rPr>
                <w:t xml:space="preserve">https://pmc.ncbi.nlm.nih.gov/articles/PMC8440854/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pattern (drinks/occasion)</w:t>
            </w:r>
          </w:p>
        </w:tc>
        <w:tc>
          <w:tcPr>
            <w:tcW w:type="dxa" w:w="1655"/>
            <w:vAlign w:val="top"/>
          </w:tcPr>
          <w:p>
            <w:pPr>
              <w:spacing w:after="40" w:before="0" w:line="259" w:lineRule="auto"/>
            </w:pPr>
            <w:r>
              <w:rPr>
                <w:rFonts w:ascii="Calibri" w:hAnsi="Calibri"/>
                <w:b w:val="0"/>
                <w:i w:val="0"/>
                <w:color w:val="212121"/>
                <w:sz w:val="19"/>
              </w:rPr>
              <w:t>IBS-D, heavy drinkers</w:t>
            </w:r>
          </w:p>
        </w:tc>
        <w:tc>
          <w:tcPr>
            <w:tcW w:type="dxa" w:w="1512"/>
            <w:vAlign w:val="top"/>
          </w:tcPr>
          <w:p>
            <w:pPr>
              <w:spacing w:after="40" w:before="0" w:line="259" w:lineRule="auto"/>
            </w:pPr>
            <w:r>
              <w:rPr>
                <w:rFonts w:ascii="Calibri" w:hAnsi="Calibri"/>
                <w:b w:val="0"/>
                <w:i w:val="0"/>
                <w:color w:val="212121"/>
                <w:sz w:val="19"/>
              </w:rPr>
              <w:t>≤ 1-2 drinks, avoid binges</w:t>
            </w:r>
          </w:p>
        </w:tc>
        <w:tc>
          <w:tcPr>
            <w:tcW w:type="dxa" w:w="1512"/>
            <w:vAlign w:val="top"/>
          </w:tcPr>
          <w:p>
            <w:pPr>
              <w:spacing w:after="40" w:before="0" w:line="259" w:lineRule="auto"/>
            </w:pPr>
            <w:r>
              <w:rPr>
                <w:rFonts w:ascii="Calibri" w:hAnsi="Calibri"/>
                <w:b w:val="0"/>
                <w:i w:val="0"/>
                <w:color w:val="212121"/>
                <w:sz w:val="19"/>
              </w:rPr>
              <w:t>Binge (≥ 4-5 drinks/occasion)</w:t>
            </w:r>
          </w:p>
        </w:tc>
        <w:tc>
          <w:tcPr>
            <w:tcW w:type="dxa" w:w="1468"/>
            <w:vAlign w:val="top"/>
          </w:tcPr>
          <w:p>
            <w:pPr>
              <w:spacing w:after="40" w:before="0" w:line="259" w:lineRule="auto"/>
            </w:pPr>
            <w:r>
              <w:rPr>
                <w:rFonts w:ascii="Calibri" w:hAnsi="Calibri"/>
                <w:b w:val="0"/>
                <w:i w:val="0"/>
                <w:color w:val="212121"/>
                <w:sz w:val="19"/>
              </w:rPr>
              <w:t>Binge drinking triggers next-day diarrhoea and pain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cups per day</w:t>
            </w:r>
          </w:p>
        </w:tc>
        <w:tc>
          <w:tcPr>
            <w:tcW w:type="dxa" w:w="1655"/>
            <w:vAlign w:val="top"/>
          </w:tcPr>
          <w:p>
            <w:pPr>
              <w:spacing w:after="40" w:before="0" w:line="259" w:lineRule="auto"/>
            </w:pPr>
            <w:r>
              <w:rPr>
                <w:rFonts w:ascii="Calibri" w:hAnsi="Calibri"/>
                <w:b w:val="0"/>
                <w:i w:val="0"/>
                <w:color w:val="212121"/>
                <w:sz w:val="19"/>
              </w:rPr>
              <w:t>Adults with IBS, students</w:t>
            </w:r>
          </w:p>
        </w:tc>
        <w:tc>
          <w:tcPr>
            <w:tcW w:type="dxa" w:w="1512"/>
            <w:vAlign w:val="top"/>
          </w:tcPr>
          <w:p>
            <w:pPr>
              <w:spacing w:after="40" w:before="0" w:line="259" w:lineRule="auto"/>
            </w:pPr>
            <w:r>
              <w:rPr>
                <w:rFonts w:ascii="Calibri" w:hAnsi="Calibri"/>
                <w:b w:val="0"/>
                <w:i w:val="0"/>
                <w:color w:val="212121"/>
                <w:sz w:val="19"/>
              </w:rPr>
              <w:t>≤ 2-3 cups/day</w:t>
            </w:r>
          </w:p>
        </w:tc>
        <w:tc>
          <w:tcPr>
            <w:tcW w:type="dxa" w:w="1512"/>
            <w:vAlign w:val="top"/>
          </w:tcPr>
          <w:p>
            <w:pPr>
              <w:spacing w:after="40" w:before="0" w:line="259" w:lineRule="auto"/>
            </w:pPr>
            <w:r>
              <w:rPr>
                <w:rFonts w:ascii="Calibri" w:hAnsi="Calibri"/>
                <w:b w:val="0"/>
                <w:i w:val="0"/>
                <w:color w:val="212121"/>
                <w:sz w:val="19"/>
              </w:rPr>
              <w:t>&gt; 3 cups/day or on empty stomach</w:t>
            </w:r>
          </w:p>
        </w:tc>
        <w:tc>
          <w:tcPr>
            <w:tcW w:type="dxa" w:w="1468"/>
            <w:vAlign w:val="top"/>
          </w:tcPr>
          <w:p>
            <w:pPr>
              <w:spacing w:after="60" w:line="259" w:lineRule="auto"/>
            </w:pPr>
            <w:r>
              <w:rPr>
                <w:rFonts w:ascii="Calibri" w:hAnsi="Calibri"/>
                <w:b w:val="0"/>
                <w:i w:val="0"/>
                <w:color w:val="212121"/>
                <w:sz w:val="19"/>
              </w:rPr>
              <w:t>Stimulates colonic motility and urgency</w:t>
            </w:r>
          </w:p>
          <w:p>
            <w:pPr>
              <w:spacing w:after="40" w:line="252" w:lineRule="auto"/>
            </w:pPr>
            <w:hyperlink r:id="rId10">
              <w:r>
                <w:rPr>
                  <w:rFonts w:ascii="Calibri" w:hAnsi="Calibri" w:cs="Calibri"/>
                  <w:sz w:val="18"/>
                  <w:color w:val="1155CC"/>
                  <w:u w:val="single"/>
                </w:rPr>
                <w:t xml:space="preserve">https://link.springer.com/article/10.1007/s12664-020-01106-y</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(L/day)</w:t>
            </w:r>
          </w:p>
        </w:tc>
        <w:tc>
          <w:tcPr>
            <w:tcW w:type="dxa" w:w="1655"/>
            <w:vAlign w:val="top"/>
          </w:tcPr>
          <w:p>
            <w:pPr>
              <w:spacing w:after="40" w:before="0" w:line="259" w:lineRule="auto"/>
            </w:pPr>
            <w:r>
              <w:rPr>
                <w:rFonts w:ascii="Calibri" w:hAnsi="Calibri"/>
                <w:b w:val="0"/>
                <w:i w:val="0"/>
                <w:color w:val="212121"/>
                <w:sz w:val="19"/>
              </w:rPr>
              <w:t>IBS-C predominant</w:t>
            </w:r>
          </w:p>
        </w:tc>
        <w:tc>
          <w:tcPr>
            <w:tcW w:type="dxa" w:w="1512"/>
            <w:vAlign w:val="top"/>
          </w:tcPr>
          <w:p>
            <w:pPr>
              <w:spacing w:after="40" w:before="0" w:line="259" w:lineRule="auto"/>
            </w:pPr>
            <w:r>
              <w:rPr>
                <w:rFonts w:ascii="Calibri" w:hAnsi="Calibri"/>
                <w:b w:val="0"/>
                <w:i w:val="0"/>
                <w:color w:val="212121"/>
                <w:sz w:val="19"/>
              </w:rPr>
              <w:t>2-3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Adequate fluid with fibre softens stool and eases straining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(GAD-7 / PHQ-9)</w:t>
            </w:r>
          </w:p>
        </w:tc>
        <w:tc>
          <w:tcPr>
            <w:tcW w:type="dxa" w:w="1655"/>
            <w:vAlign w:val="top"/>
          </w:tcPr>
          <w:p>
            <w:pPr>
              <w:spacing w:after="40" w:before="0" w:line="259" w:lineRule="auto"/>
            </w:pPr>
            <w:r>
              <w:rPr>
                <w:rFonts w:ascii="Calibri" w:hAnsi="Calibri"/>
                <w:b w:val="0"/>
                <w:i w:val="0"/>
                <w:color w:val="212121"/>
                <w:sz w:val="19"/>
              </w:rPr>
              <w:t>All IBS patients</w:t>
            </w:r>
          </w:p>
        </w:tc>
        <w:tc>
          <w:tcPr>
            <w:tcW w:type="dxa" w:w="1512"/>
            <w:vAlign w:val="top"/>
          </w:tcPr>
          <w:p>
            <w:pPr>
              <w:spacing w:after="40" w:before="0" w:line="259" w:lineRule="auto"/>
            </w:pPr>
            <w:r>
              <w:rPr>
                <w:rFonts w:ascii="Calibri" w:hAnsi="Calibri"/>
                <w:b w:val="0"/>
                <w:i w:val="0"/>
                <w:color w:val="212121"/>
                <w:sz w:val="19"/>
              </w:rPr>
              <w:t>GAD-7 &lt; 5 and PHQ-9 &lt; 5</w:t>
            </w:r>
          </w:p>
        </w:tc>
        <w:tc>
          <w:tcPr>
            <w:tcW w:type="dxa" w:w="1512"/>
            <w:vAlign w:val="top"/>
          </w:tcPr>
          <w:p>
            <w:pPr>
              <w:spacing w:after="40" w:before="0" w:line="259" w:lineRule="auto"/>
            </w:pPr>
            <w:r>
              <w:rPr>
                <w:rFonts w:ascii="Calibri" w:hAnsi="Calibri"/>
                <w:b w:val="0"/>
                <w:i w:val="0"/>
                <w:color w:val="212121"/>
                <w:sz w:val="19"/>
              </w:rPr>
              <w:t>GAD-7 ≥ 10 or PHQ-9 ≥ 10</w:t>
            </w:r>
          </w:p>
        </w:tc>
        <w:tc>
          <w:tcPr>
            <w:tcW w:type="dxa" w:w="1468"/>
            <w:vAlign w:val="top"/>
          </w:tcPr>
          <w:p>
            <w:pPr>
              <w:spacing w:after="60" w:line="259" w:lineRule="auto"/>
            </w:pPr>
            <w:r>
              <w:rPr>
                <w:rFonts w:ascii="Calibri" w:hAnsi="Calibri"/>
                <w:b w:val="0"/>
                <w:i w:val="0"/>
                <w:color w:val="212121"/>
                <w:sz w:val="19"/>
              </w:rPr>
              <w:t>Indian IBS patients: ~8x anxiety, ~7x depression odds</w:t>
            </w:r>
          </w:p>
          <w:p>
            <w:pPr>
              <w:spacing w:after="40" w:line="252" w:lineRule="auto"/>
            </w:pPr>
            <w:hyperlink r:id="rId14">
              <w:r>
                <w:rPr>
                  <w:rFonts w:ascii="Calibri" w:hAnsi="Calibri" w:cs="Calibri"/>
                  <w:sz w:val="18"/>
                  <w:color w:val="1155CC"/>
                  <w:u w:val="single"/>
                </w:rPr>
                <w:t xml:space="preserve">https://link.springer.com/article/10.1007/s12664-022-01300-0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IBS Symptom Severity Score (IBS-SSS)</w:t>
            </w:r>
          </w:p>
        </w:tc>
        <w:tc>
          <w:tcPr>
            <w:tcW w:type="dxa" w:w="1655"/>
            <w:vAlign w:val="top"/>
          </w:tcPr>
          <w:p>
            <w:pPr>
              <w:spacing w:after="40" w:before="0" w:line="259" w:lineRule="auto"/>
            </w:pPr>
            <w:r>
              <w:rPr>
                <w:rFonts w:ascii="Calibri" w:hAnsi="Calibri"/>
                <w:b w:val="0"/>
                <w:i w:val="0"/>
                <w:color w:val="212121"/>
                <w:sz w:val="19"/>
              </w:rPr>
              <w:t>All IBS patients</w:t>
            </w:r>
          </w:p>
        </w:tc>
        <w:tc>
          <w:tcPr>
            <w:tcW w:type="dxa" w:w="1512"/>
            <w:vAlign w:val="top"/>
          </w:tcPr>
          <w:p>
            <w:pPr>
              <w:spacing w:after="40" w:before="0" w:line="259" w:lineRule="auto"/>
            </w:pPr>
            <w:r>
              <w:rPr>
                <w:rFonts w:ascii="Calibri" w:hAnsi="Calibri"/>
                <w:b w:val="0"/>
                <w:i w:val="0"/>
                <w:color w:val="212121"/>
                <w:sz w:val="19"/>
              </w:rPr>
              <w:t>&lt; 75 (remission)</w:t>
            </w:r>
          </w:p>
        </w:tc>
        <w:tc>
          <w:tcPr>
            <w:tcW w:type="dxa" w:w="1512"/>
            <w:vAlign w:val="top"/>
          </w:tcPr>
          <w:p>
            <w:pPr>
              <w:spacing w:after="40" w:before="0" w:line="259" w:lineRule="auto"/>
            </w:pPr>
            <w:r>
              <w:rPr>
                <w:rFonts w:ascii="Calibri" w:hAnsi="Calibri"/>
                <w:b w:val="0"/>
                <w:i w:val="0"/>
                <w:color w:val="212121"/>
                <w:sz w:val="19"/>
              </w:rPr>
              <w:t>≥ 175 (moderate-severe)</w:t>
            </w:r>
          </w:p>
        </w:tc>
        <w:tc>
          <w:tcPr>
            <w:tcW w:type="dxa" w:w="1468"/>
            <w:vAlign w:val="top"/>
          </w:tcPr>
          <w:p>
            <w:pPr>
              <w:spacing w:after="40" w:before="0" w:line="259" w:lineRule="auto"/>
            </w:pPr>
            <w:r>
              <w:rPr>
                <w:rFonts w:ascii="Calibri" w:hAnsi="Calibri"/>
                <w:b w:val="0"/>
                <w:i w:val="0"/>
                <w:color w:val="212121"/>
                <w:sz w:val="19"/>
              </w:rPr>
              <w:t>Tracks flares against triggers and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Hb, WBC, platelets normal</w:t>
            </w:r>
          </w:p>
        </w:tc>
        <w:tc>
          <w:tcPr>
            <w:tcW w:type="dxa" w:w="950"/>
            <w:vAlign w:val="top"/>
          </w:tcPr>
          <w:p>
            <w:pPr>
              <w:spacing w:after="40" w:before="0" w:line="259" w:lineRule="auto"/>
            </w:pPr>
            <w:r>
              <w:rPr>
                <w:rFonts w:ascii="Calibri" w:hAnsi="Calibri"/>
                <w:b w:val="0"/>
                <w:i w:val="0"/>
                <w:color w:val="212121"/>
                <w:sz w:val="16"/>
              </w:rPr>
              <w:t>Anaemia, leucocytosis, thrombocytosis</w:t>
            </w:r>
          </w:p>
        </w:tc>
        <w:tc>
          <w:tcPr>
            <w:tcW w:type="dxa" w:w="1036"/>
            <w:vAlign w:val="top"/>
          </w:tcPr>
          <w:p>
            <w:pPr>
              <w:spacing w:after="40" w:before="0" w:line="259" w:lineRule="auto"/>
            </w:pPr>
            <w:r>
              <w:rPr>
                <w:rFonts w:ascii="Calibri" w:hAnsi="Calibri"/>
                <w:b w:val="0"/>
                <w:i w:val="0"/>
                <w:color w:val="212121"/>
                <w:sz w:val="16"/>
              </w:rPr>
              <w:t>IBS shows a normal CBC; anaemia is an alarm feature suggesting organic disease (IBD, malignancy, coeliac)</w:t>
            </w:r>
          </w:p>
        </w:tc>
        <w:tc>
          <w:tcPr>
            <w:tcW w:type="dxa" w:w="1036"/>
            <w:vAlign w:val="top"/>
          </w:tcPr>
          <w:p>
            <w:pPr>
              <w:spacing w:after="40" w:before="0" w:line="259" w:lineRule="auto"/>
            </w:pPr>
            <w:r>
              <w:rPr>
                <w:rFonts w:ascii="Calibri" w:hAnsi="Calibri"/>
                <w:b w:val="0"/>
                <w:i w:val="0"/>
                <w:color w:val="212121"/>
                <w:sz w:val="16"/>
              </w:rPr>
              <w:t>All suspected IBS, patients with red flags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 exclusion</w:t>
            </w:r>
          </w:p>
        </w:tc>
        <w:tc>
          <w:tcPr>
            <w:tcW w:type="dxa" w:w="720"/>
            <w:vAlign w:val="top"/>
          </w:tcPr>
          <w:p>
            <w:pPr>
              <w:spacing w:after="40" w:before="0" w:line="259" w:lineRule="auto"/>
            </w:pPr>
            <w:r>
              <w:rPr>
                <w:rFonts w:ascii="Calibri" w:hAnsi="Calibri"/>
                <w:b w:val="0"/>
                <w:i w:val="0"/>
                <w:color w:val="212121"/>
                <w:sz w:val="16"/>
              </w:rPr>
              <w:t>Abnormality mandates further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C-reactive protein</w:t>
            </w:r>
          </w:p>
        </w:tc>
        <w:tc>
          <w:tcPr>
            <w:tcW w:type="dxa" w:w="950"/>
            <w:vAlign w:val="top"/>
          </w:tcPr>
          <w:p>
            <w:pPr>
              <w:spacing w:after="40" w:before="0" w:line="259" w:lineRule="auto"/>
            </w:pPr>
            <w:r>
              <w:rPr>
                <w:rFonts w:ascii="Calibri" w:hAnsi="Calibri"/>
                <w:b w:val="0"/>
                <w:i w:val="0"/>
                <w:color w:val="212121"/>
                <w:sz w:val="16"/>
              </w:rPr>
              <w:t>CRP &lt; 5 mg/L; ESR normal</w:t>
            </w:r>
          </w:p>
        </w:tc>
        <w:tc>
          <w:tcPr>
            <w:tcW w:type="dxa" w:w="950"/>
            <w:vAlign w:val="top"/>
          </w:tcPr>
          <w:p>
            <w:pPr>
              <w:spacing w:after="40" w:before="0" w:line="259" w:lineRule="auto"/>
            </w:pPr>
            <w:r>
              <w:rPr>
                <w:rFonts w:ascii="Calibri" w:hAnsi="Calibri"/>
                <w:b w:val="0"/>
                <w:i w:val="0"/>
                <w:color w:val="212121"/>
                <w:sz w:val="16"/>
              </w:rPr>
              <w:t>Elevated CRP/ESR</w:t>
            </w:r>
          </w:p>
        </w:tc>
        <w:tc>
          <w:tcPr>
            <w:tcW w:type="dxa" w:w="1036"/>
            <w:vAlign w:val="top"/>
          </w:tcPr>
          <w:p>
            <w:pPr>
              <w:spacing w:after="40" w:before="0" w:line="259" w:lineRule="auto"/>
            </w:pPr>
            <w:r>
              <w:rPr>
                <w:rFonts w:ascii="Calibri" w:hAnsi="Calibri"/>
                <w:b w:val="0"/>
                <w:i w:val="0"/>
                <w:color w:val="212121"/>
                <w:sz w:val="16"/>
              </w:rPr>
              <w:t>Normal in IBS; elevation points to inflammatory bowel disease or infection rather than IBS</w:t>
            </w:r>
          </w:p>
        </w:tc>
        <w:tc>
          <w:tcPr>
            <w:tcW w:type="dxa" w:w="1036"/>
            <w:vAlign w:val="top"/>
          </w:tcPr>
          <w:p>
            <w:pPr>
              <w:spacing w:after="40" w:before="0" w:line="259" w:lineRule="auto"/>
            </w:pPr>
            <w:r>
              <w:rPr>
                <w:rFonts w:ascii="Calibri" w:hAnsi="Calibri"/>
                <w:b w:val="0"/>
                <w:i w:val="0"/>
                <w:color w:val="212121"/>
                <w:sz w:val="16"/>
              </w:rPr>
              <w:t>Suspected IBS vs IBD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Use with faecal calprotectin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Faecal marker</w:t>
            </w:r>
          </w:p>
        </w:tc>
        <w:tc>
          <w:tcPr>
            <w:tcW w:type="dxa" w:w="1036"/>
            <w:vAlign w:val="top"/>
          </w:tcPr>
          <w:p>
            <w:pPr>
              <w:spacing w:after="40" w:before="0" w:line="259" w:lineRule="auto"/>
            </w:pPr>
            <w:r>
              <w:rPr>
                <w:rFonts w:ascii="Calibri" w:hAnsi="Calibri"/>
                <w:b w:val="0"/>
                <w:i w:val="0"/>
                <w:color w:val="212121"/>
                <w:sz w:val="16"/>
              </w:rPr>
              <w:t>Faecal Calprotectin</w:t>
            </w:r>
          </w:p>
        </w:tc>
        <w:tc>
          <w:tcPr>
            <w:tcW w:type="dxa" w:w="892"/>
            <w:vAlign w:val="top"/>
          </w:tcPr>
          <w:p>
            <w:pPr>
              <w:spacing w:after="40" w:before="0" w:line="259" w:lineRule="auto"/>
            </w:pPr>
            <w:r>
              <w:rPr>
                <w:rFonts w:ascii="Calibri" w:hAnsi="Calibri"/>
                <w:b w:val="0"/>
                <w:i w:val="0"/>
                <w:color w:val="212121"/>
                <w:sz w:val="16"/>
              </w:rPr>
              <w:t>Stool calprotectin</w:t>
            </w:r>
          </w:p>
        </w:tc>
        <w:tc>
          <w:tcPr>
            <w:tcW w:type="dxa" w:w="950"/>
            <w:vAlign w:val="top"/>
          </w:tcPr>
          <w:p>
            <w:pPr>
              <w:spacing w:after="40" w:before="0" w:line="259" w:lineRule="auto"/>
            </w:pPr>
            <w:r>
              <w:rPr>
                <w:rFonts w:ascii="Calibri" w:hAnsi="Calibri"/>
                <w:b w:val="0"/>
                <w:i w:val="0"/>
                <w:color w:val="212121"/>
                <w:sz w:val="16"/>
              </w:rPr>
              <w:t>&lt; 50 µg/g</w:t>
            </w:r>
          </w:p>
        </w:tc>
        <w:tc>
          <w:tcPr>
            <w:tcW w:type="dxa" w:w="950"/>
            <w:vAlign w:val="top"/>
          </w:tcPr>
          <w:p>
            <w:pPr>
              <w:spacing w:after="40" w:before="0" w:line="259" w:lineRule="auto"/>
            </w:pPr>
            <w:r>
              <w:rPr>
                <w:rFonts w:ascii="Calibri" w:hAnsi="Calibri"/>
                <w:b w:val="0"/>
                <w:i w:val="0"/>
                <w:color w:val="212121"/>
                <w:sz w:val="16"/>
              </w:rPr>
              <w:t>≥ 50-150 µg/g (raised)</w:t>
            </w:r>
          </w:p>
        </w:tc>
        <w:tc>
          <w:tcPr>
            <w:tcW w:type="dxa" w:w="1036"/>
            <w:vAlign w:val="top"/>
          </w:tcPr>
          <w:p>
            <w:pPr>
              <w:spacing w:after="40" w:before="0" w:line="259" w:lineRule="auto"/>
            </w:pPr>
            <w:r>
              <w:rPr>
                <w:rFonts w:ascii="Calibri" w:hAnsi="Calibri"/>
                <w:b w:val="0"/>
                <w:i w:val="0"/>
                <w:color w:val="212121"/>
                <w:sz w:val="16"/>
              </w:rPr>
              <w:t>Key test to distinguish IBS from IBD; normal level makes IBD unlikely in a patient with IBS-type symptoms</w:t>
            </w:r>
          </w:p>
        </w:tc>
        <w:tc>
          <w:tcPr>
            <w:tcW w:type="dxa" w:w="1036"/>
            <w:vAlign w:val="top"/>
          </w:tcPr>
          <w:p>
            <w:pPr>
              <w:spacing w:after="40" w:before="0" w:line="259" w:lineRule="auto"/>
            </w:pPr>
            <w:r>
              <w:rPr>
                <w:rFonts w:ascii="Calibri" w:hAnsi="Calibri"/>
                <w:b w:val="0"/>
                <w:i w:val="0"/>
                <w:color w:val="212121"/>
                <w:sz w:val="16"/>
              </w:rPr>
              <w:t>IBS-D, suspected IBD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(differentiator)</w:t>
            </w:r>
          </w:p>
        </w:tc>
        <w:tc>
          <w:tcPr>
            <w:tcW w:type="dxa" w:w="720"/>
            <w:vAlign w:val="top"/>
          </w:tcPr>
          <w:p>
            <w:pPr>
              <w:spacing w:after="40" w:before="0" w:line="259" w:lineRule="auto"/>
            </w:pPr>
            <w:r>
              <w:rPr>
                <w:rFonts w:ascii="Calibri" w:hAnsi="Calibri"/>
                <w:b w:val="0"/>
                <w:i w:val="0"/>
                <w:color w:val="212121"/>
                <w:sz w:val="16"/>
              </w:rPr>
              <w:t>Falsely raised by NSAIDs/infection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Anti-tTG IgA (+ total IgA)</w:t>
            </w:r>
          </w:p>
        </w:tc>
        <w:tc>
          <w:tcPr>
            <w:tcW w:type="dxa" w:w="892"/>
            <w:vAlign w:val="top"/>
          </w:tcPr>
          <w:p>
            <w:pPr>
              <w:spacing w:after="40" w:before="0" w:line="259" w:lineRule="auto"/>
            </w:pPr>
            <w:r>
              <w:rPr>
                <w:rFonts w:ascii="Calibri" w:hAnsi="Calibri"/>
                <w:b w:val="0"/>
                <w:i w:val="0"/>
                <w:color w:val="212121"/>
                <w:sz w:val="16"/>
              </w:rPr>
              <w:t>Coeliac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anti-tTG / anti-endomysial</w:t>
            </w:r>
          </w:p>
        </w:tc>
        <w:tc>
          <w:tcPr>
            <w:tcW w:type="dxa" w:w="1036"/>
            <w:vAlign w:val="top"/>
          </w:tcPr>
          <w:p>
            <w:pPr>
              <w:spacing w:after="40" w:before="0" w:line="259" w:lineRule="auto"/>
            </w:pPr>
            <w:r>
              <w:rPr>
                <w:rFonts w:ascii="Calibri" w:hAnsi="Calibri"/>
                <w:b w:val="0"/>
                <w:i w:val="0"/>
                <w:color w:val="212121"/>
                <w:sz w:val="16"/>
              </w:rPr>
              <w:t>Screens for coeliac disease, which mimics IBS-D; positive result needs duodenal biopsy</w:t>
            </w:r>
          </w:p>
        </w:tc>
        <w:tc>
          <w:tcPr>
            <w:tcW w:type="dxa" w:w="1036"/>
            <w:vAlign w:val="top"/>
          </w:tcPr>
          <w:p>
            <w:pPr>
              <w:spacing w:after="40" w:before="0" w:line="259" w:lineRule="auto"/>
            </w:pPr>
            <w:r>
              <w:rPr>
                <w:rFonts w:ascii="Calibri" w:hAnsi="Calibri"/>
                <w:b w:val="0"/>
                <w:i w:val="0"/>
                <w:color w:val="212121"/>
                <w:sz w:val="16"/>
              </w:rPr>
              <w:t>IBS-D and IBS-M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Check on a gluten-containing diet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examination</w:t>
            </w:r>
          </w:p>
        </w:tc>
        <w:tc>
          <w:tcPr>
            <w:tcW w:type="dxa" w:w="1036"/>
            <w:vAlign w:val="top"/>
          </w:tcPr>
          <w:p>
            <w:pPr>
              <w:spacing w:after="40" w:before="0" w:line="259" w:lineRule="auto"/>
            </w:pPr>
            <w:r>
              <w:rPr>
                <w:rFonts w:ascii="Calibri" w:hAnsi="Calibri"/>
                <w:b w:val="0"/>
                <w:i w:val="0"/>
                <w:color w:val="212121"/>
                <w:sz w:val="16"/>
              </w:rPr>
              <w:t>Stool microscopy / O&amp;P, antigen</w:t>
            </w:r>
          </w:p>
        </w:tc>
        <w:tc>
          <w:tcPr>
            <w:tcW w:type="dxa" w:w="892"/>
            <w:vAlign w:val="top"/>
          </w:tcPr>
          <w:p>
            <w:pPr>
              <w:spacing w:after="40" w:before="0" w:line="259" w:lineRule="auto"/>
            </w:pPr>
            <w:r>
              <w:rPr>
                <w:rFonts w:ascii="Calibri" w:hAnsi="Calibri"/>
                <w:b w:val="0"/>
                <w:i w:val="0"/>
                <w:color w:val="212121"/>
                <w:sz w:val="16"/>
              </w:rPr>
              <w:t>Stool for ova &amp; parasites</w:t>
            </w:r>
          </w:p>
        </w:tc>
        <w:tc>
          <w:tcPr>
            <w:tcW w:type="dxa" w:w="950"/>
            <w:vAlign w:val="top"/>
          </w:tcPr>
          <w:p>
            <w:pPr>
              <w:spacing w:after="40" w:before="0" w:line="259" w:lineRule="auto"/>
            </w:pPr>
            <w:r>
              <w:rPr>
                <w:rFonts w:ascii="Calibri" w:hAnsi="Calibri"/>
                <w:b w:val="0"/>
                <w:i w:val="0"/>
                <w:color w:val="212121"/>
                <w:sz w:val="16"/>
              </w:rPr>
              <w:t>No parasites/pathogens</w:t>
            </w:r>
          </w:p>
        </w:tc>
        <w:tc>
          <w:tcPr>
            <w:tcW w:type="dxa" w:w="950"/>
            <w:vAlign w:val="top"/>
          </w:tcPr>
          <w:p>
            <w:pPr>
              <w:spacing w:after="40" w:before="0" w:line="259" w:lineRule="auto"/>
            </w:pPr>
            <w:r>
              <w:rPr>
                <w:rFonts w:ascii="Calibri" w:hAnsi="Calibri"/>
                <w:b w:val="0"/>
                <w:i w:val="0"/>
                <w:color w:val="212121"/>
                <w:sz w:val="16"/>
              </w:rPr>
              <w:t>Giardia, Entamoeba, cysts, occult blood</w:t>
            </w:r>
          </w:p>
        </w:tc>
        <w:tc>
          <w:tcPr>
            <w:tcW w:type="dxa" w:w="1036"/>
            <w:vAlign w:val="top"/>
          </w:tcPr>
          <w:p>
            <w:pPr>
              <w:spacing w:after="40" w:before="0" w:line="259" w:lineRule="auto"/>
            </w:pPr>
            <w:r>
              <w:rPr>
                <w:rFonts w:ascii="Calibri" w:hAnsi="Calibri"/>
                <w:b w:val="0"/>
                <w:i w:val="0"/>
                <w:color w:val="212121"/>
                <w:sz w:val="16"/>
              </w:rPr>
              <w:t>Excludes parasitic and infective causes that mimic IBS — especially important in India</w:t>
            </w:r>
          </w:p>
        </w:tc>
        <w:tc>
          <w:tcPr>
            <w:tcW w:type="dxa" w:w="1036"/>
            <w:vAlign w:val="top"/>
          </w:tcPr>
          <w:p>
            <w:pPr>
              <w:spacing w:after="40" w:before="0" w:line="259" w:lineRule="auto"/>
            </w:pPr>
            <w:r>
              <w:rPr>
                <w:rFonts w:ascii="Calibri" w:hAnsi="Calibri"/>
                <w:b w:val="0"/>
                <w:i w:val="0"/>
                <w:color w:val="212121"/>
                <w:sz w:val="16"/>
              </w:rPr>
              <w:t>IBS-D, post-infectious, rural</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 (India)</w:t>
            </w:r>
          </w:p>
        </w:tc>
        <w:tc>
          <w:tcPr>
            <w:tcW w:type="dxa" w:w="720"/>
            <w:vAlign w:val="top"/>
          </w:tcPr>
          <w:p>
            <w:pPr>
              <w:spacing w:after="40" w:before="0" w:line="259" w:lineRule="auto"/>
            </w:pPr>
            <w:r>
              <w:rPr>
                <w:rFonts w:ascii="Calibri" w:hAnsi="Calibri"/>
                <w:b w:val="0"/>
                <w:i w:val="0"/>
                <w:color w:val="212121"/>
                <w:sz w:val="16"/>
              </w:rPr>
              <w:t>Consider Giardia antigen/stool PCR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Thyroid profile</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High (hypo-) or low (hyper-) TSH</w:t>
            </w:r>
          </w:p>
        </w:tc>
        <w:tc>
          <w:tcPr>
            <w:tcW w:type="dxa" w:w="1036"/>
            <w:vAlign w:val="top"/>
          </w:tcPr>
          <w:p>
            <w:pPr>
              <w:spacing w:after="40" w:before="0" w:line="259" w:lineRule="auto"/>
            </w:pPr>
            <w:r>
              <w:rPr>
                <w:rFonts w:ascii="Calibri" w:hAnsi="Calibri"/>
                <w:b w:val="0"/>
                <w:i w:val="0"/>
                <w:color w:val="212121"/>
                <w:sz w:val="16"/>
              </w:rPr>
              <w:t>Thyroid dysfunction alters bowel habit; hypothyroidism mimics IBS-C, hyperthyroidism IBS-D</w:t>
            </w:r>
          </w:p>
        </w:tc>
        <w:tc>
          <w:tcPr>
            <w:tcW w:type="dxa" w:w="1036"/>
            <w:vAlign w:val="top"/>
          </w:tcPr>
          <w:p>
            <w:pPr>
              <w:spacing w:after="40" w:before="0" w:line="259" w:lineRule="auto"/>
            </w:pPr>
            <w:r>
              <w:rPr>
                <w:rFonts w:ascii="Calibri" w:hAnsi="Calibri"/>
                <w:b w:val="0"/>
                <w:i w:val="0"/>
                <w:color w:val="212121"/>
                <w:sz w:val="16"/>
              </w:rPr>
              <w:t>IBS-C and IBS-D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Especially if refractory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Colonoscopy + biopsy</w:t>
            </w:r>
          </w:p>
        </w:tc>
        <w:tc>
          <w:tcPr>
            <w:tcW w:type="dxa" w:w="892"/>
            <w:vAlign w:val="top"/>
          </w:tcPr>
          <w:p>
            <w:pPr>
              <w:spacing w:after="40" w:before="0" w:line="259" w:lineRule="auto"/>
            </w:pPr>
            <w:r>
              <w:rPr>
                <w:rFonts w:ascii="Calibri" w:hAnsi="Calibri"/>
                <w:b w:val="0"/>
                <w:i w:val="0"/>
                <w:color w:val="212121"/>
                <w:sz w:val="16"/>
              </w:rPr>
              <w:t>Lower GI endoscopy</w:t>
            </w:r>
          </w:p>
        </w:tc>
        <w:tc>
          <w:tcPr>
            <w:tcW w:type="dxa" w:w="950"/>
            <w:vAlign w:val="top"/>
          </w:tcPr>
          <w:p>
            <w:pPr>
              <w:spacing w:after="40" w:before="0" w:line="259" w:lineRule="auto"/>
            </w:pPr>
            <w:r>
              <w:rPr>
                <w:rFonts w:ascii="Calibri" w:hAnsi="Calibri"/>
                <w:b w:val="0"/>
                <w:i w:val="0"/>
                <w:color w:val="212121"/>
                <w:sz w:val="16"/>
              </w:rPr>
              <w:t>Macroscopically normal mucosa</w:t>
            </w:r>
          </w:p>
        </w:tc>
        <w:tc>
          <w:tcPr>
            <w:tcW w:type="dxa" w:w="950"/>
            <w:vAlign w:val="top"/>
          </w:tcPr>
          <w:p>
            <w:pPr>
              <w:spacing w:after="40" w:before="0" w:line="259" w:lineRule="auto"/>
            </w:pPr>
            <w:r>
              <w:rPr>
                <w:rFonts w:ascii="Calibri" w:hAnsi="Calibri"/>
                <w:b w:val="0"/>
                <w:i w:val="0"/>
                <w:color w:val="212121"/>
                <w:sz w:val="16"/>
              </w:rPr>
              <w:t>Inflammation, ulcers, mass, microscopic colitis</w:t>
            </w:r>
          </w:p>
        </w:tc>
        <w:tc>
          <w:tcPr>
            <w:tcW w:type="dxa" w:w="1036"/>
            <w:vAlign w:val="top"/>
          </w:tcPr>
          <w:p>
            <w:pPr>
              <w:spacing w:after="40" w:before="0" w:line="259" w:lineRule="auto"/>
            </w:pPr>
            <w:r>
              <w:rPr>
                <w:rFonts w:ascii="Calibri" w:hAnsi="Calibri"/>
                <w:b w:val="0"/>
                <w:i w:val="0"/>
                <w:color w:val="212121"/>
                <w:sz w:val="16"/>
              </w:rPr>
              <w:t>Reserved for alarm features (bleeding, weight loss, anaemia, age &gt;50, family history) to exclude cancer, IBD, microscopic colitis</w:t>
            </w:r>
          </w:p>
        </w:tc>
        <w:tc>
          <w:tcPr>
            <w:tcW w:type="dxa" w:w="1036"/>
            <w:vAlign w:val="top"/>
          </w:tcPr>
          <w:p>
            <w:pPr>
              <w:spacing w:after="40" w:before="0" w:line="259" w:lineRule="auto"/>
            </w:pPr>
            <w:r>
              <w:rPr>
                <w:rFonts w:ascii="Calibri" w:hAnsi="Calibri"/>
                <w:b w:val="0"/>
                <w:i w:val="0"/>
                <w:color w:val="212121"/>
                <w:sz w:val="16"/>
              </w:rPr>
              <w:t>Red-flag patients, onset &gt;50</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 diagnostic</w:t>
            </w:r>
          </w:p>
        </w:tc>
        <w:tc>
          <w:tcPr>
            <w:tcW w:type="dxa" w:w="720"/>
            <w:vAlign w:val="top"/>
          </w:tcPr>
          <w:p>
            <w:pPr>
              <w:spacing w:after="40" w:before="0" w:line="259" w:lineRule="auto"/>
            </w:pPr>
            <w:r>
              <w:rPr>
                <w:rFonts w:ascii="Calibri" w:hAnsi="Calibri"/>
                <w:b w:val="0"/>
                <w:i w:val="0"/>
                <w:color w:val="212121"/>
                <w:sz w:val="16"/>
              </w:rPr>
              <w:t>Not routine in typical young IBS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(Rome IV)</w:t>
            </w:r>
          </w:p>
        </w:tc>
        <w:tc>
          <w:tcPr>
            <w:tcW w:type="dxa" w:w="979"/>
            <w:vAlign w:val="top"/>
          </w:tcPr>
          <w:p>
            <w:pPr>
              <w:spacing w:after="40" w:before="0" w:line="259" w:lineRule="auto"/>
            </w:pPr>
            <w:r>
              <w:rPr>
                <w:rFonts w:ascii="Calibri" w:hAnsi="Calibri"/>
                <w:b w:val="0"/>
                <w:i w:val="0"/>
                <w:color w:val="212121"/>
                <w:sz w:val="16"/>
              </w:rPr>
              <w:t>Recurrent abdominal pain related to defecation, altered stool frequency/form</w:t>
            </w:r>
          </w:p>
        </w:tc>
        <w:tc>
          <w:tcPr>
            <w:tcW w:type="dxa" w:w="950"/>
            <w:vAlign w:val="top"/>
          </w:tcPr>
          <w:p>
            <w:pPr>
              <w:spacing w:after="40" w:before="0" w:line="259" w:lineRule="auto"/>
            </w:pPr>
            <w:r>
              <w:rPr>
                <w:rFonts w:ascii="Calibri" w:hAnsi="Calibri"/>
                <w:b w:val="0"/>
                <w:i w:val="0"/>
                <w:color w:val="212121"/>
                <w:sz w:val="16"/>
              </w:rPr>
              <w:t>No recurrent pain</w:t>
            </w:r>
          </w:p>
        </w:tc>
        <w:tc>
          <w:tcPr>
            <w:tcW w:type="dxa" w:w="950"/>
            <w:vAlign w:val="top"/>
          </w:tcPr>
          <w:p>
            <w:pPr>
              <w:spacing w:after="40" w:before="0" w:line="259" w:lineRule="auto"/>
            </w:pPr>
            <w:r>
              <w:rPr>
                <w:rFonts w:ascii="Calibri" w:hAnsi="Calibri"/>
                <w:b w:val="0"/>
                <w:i w:val="0"/>
                <w:color w:val="212121"/>
                <w:sz w:val="16"/>
              </w:rPr>
              <w:t>Pain ≥ 1 day/week for 3 months with ≥ 2 Rome IV features</w:t>
            </w:r>
          </w:p>
        </w:tc>
        <w:tc>
          <w:tcPr>
            <w:tcW w:type="dxa" w:w="1036"/>
            <w:vAlign w:val="top"/>
          </w:tcPr>
          <w:p>
            <w:pPr>
              <w:spacing w:after="40" w:before="0" w:line="259" w:lineRule="auto"/>
            </w:pPr>
            <w:r>
              <w:rPr>
                <w:rFonts w:ascii="Calibri" w:hAnsi="Calibri"/>
                <w:b w:val="0"/>
                <w:i w:val="0"/>
                <w:color w:val="212121"/>
                <w:sz w:val="16"/>
              </w:rPr>
              <w:t>Establishes a positive clinical diagnosis of IBS</w:t>
            </w:r>
          </w:p>
        </w:tc>
        <w:tc>
          <w:tcPr>
            <w:tcW w:type="dxa" w:w="1036"/>
            <w:vAlign w:val="top"/>
          </w:tcPr>
          <w:p>
            <w:pPr>
              <w:spacing w:after="40" w:before="0" w:line="259" w:lineRule="auto"/>
            </w:pPr>
            <w:r>
              <w:rPr>
                <w:rFonts w:ascii="Calibri" w:hAnsi="Calibri"/>
                <w:b w:val="0"/>
                <w:i w:val="0"/>
                <w:color w:val="212121"/>
                <w:sz w:val="16"/>
              </w:rPr>
              <w:t>All suspected IBS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Gold standard (clinical)</w:t>
            </w:r>
          </w:p>
        </w:tc>
        <w:tc>
          <w:tcPr>
            <w:tcW w:type="dxa" w:w="720"/>
            <w:vAlign w:val="top"/>
          </w:tcPr>
          <w:p>
            <w:pPr>
              <w:spacing w:after="40" w:before="0" w:line="259" w:lineRule="auto"/>
            </w:pPr>
            <w:r>
              <w:rPr>
                <w:rFonts w:ascii="Calibri" w:hAnsi="Calibri"/>
                <w:b w:val="0"/>
                <w:i w:val="0"/>
                <w:color w:val="212121"/>
                <w:sz w:val="16"/>
              </w:rPr>
              <w:t>Onset ≥ 6 months before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Stool form / bowel habit</w:t>
            </w:r>
          </w:p>
        </w:tc>
        <w:tc>
          <w:tcPr>
            <w:tcW w:type="dxa" w:w="979"/>
            <w:vAlign w:val="top"/>
          </w:tcPr>
          <w:p>
            <w:pPr>
              <w:spacing w:after="40" w:before="0" w:line="259" w:lineRule="auto"/>
            </w:pPr>
            <w:r>
              <w:rPr>
                <w:rFonts w:ascii="Calibri" w:hAnsi="Calibri"/>
                <w:b w:val="0"/>
                <w:i w:val="0"/>
                <w:color w:val="212121"/>
                <w:sz w:val="16"/>
              </w:rPr>
              <w:t>Bristol Stool Form Scale</w:t>
            </w:r>
          </w:p>
        </w:tc>
        <w:tc>
          <w:tcPr>
            <w:tcW w:type="dxa" w:w="950"/>
            <w:vAlign w:val="top"/>
          </w:tcPr>
          <w:p>
            <w:pPr>
              <w:spacing w:after="40" w:before="0" w:line="259" w:lineRule="auto"/>
            </w:pPr>
            <w:r>
              <w:rPr>
                <w:rFonts w:ascii="Calibri" w:hAnsi="Calibri"/>
                <w:b w:val="0"/>
                <w:i w:val="0"/>
                <w:color w:val="212121"/>
                <w:sz w:val="16"/>
              </w:rPr>
              <w:t>Bristol 3-4</w:t>
            </w:r>
          </w:p>
        </w:tc>
        <w:tc>
          <w:tcPr>
            <w:tcW w:type="dxa" w:w="950"/>
            <w:vAlign w:val="top"/>
          </w:tcPr>
          <w:p>
            <w:pPr>
              <w:spacing w:after="40" w:before="0" w:line="259" w:lineRule="auto"/>
            </w:pPr>
            <w:r>
              <w:rPr>
                <w:rFonts w:ascii="Calibri" w:hAnsi="Calibri"/>
                <w:b w:val="0"/>
                <w:i w:val="0"/>
                <w:color w:val="212121"/>
                <w:sz w:val="16"/>
              </w:rPr>
              <w:t>Bristol 1-2 (hard) or 6-7 (loose)</w:t>
            </w:r>
          </w:p>
        </w:tc>
        <w:tc>
          <w:tcPr>
            <w:tcW w:type="dxa" w:w="1036"/>
            <w:vAlign w:val="top"/>
          </w:tcPr>
          <w:p>
            <w:pPr>
              <w:spacing w:after="40" w:before="0" w:line="259" w:lineRule="auto"/>
            </w:pPr>
            <w:r>
              <w:rPr>
                <w:rFonts w:ascii="Calibri" w:hAnsi="Calibri"/>
                <w:b w:val="0"/>
                <w:i w:val="0"/>
                <w:color w:val="212121"/>
                <w:sz w:val="16"/>
              </w:rPr>
              <w:t>Defines subtype IBS-C, IBS-D, IBS-M or IBS-U</w:t>
            </w:r>
          </w:p>
        </w:tc>
        <w:tc>
          <w:tcPr>
            <w:tcW w:type="dxa" w:w="1036"/>
            <w:vAlign w:val="top"/>
          </w:tcPr>
          <w:p>
            <w:pPr>
              <w:spacing w:after="40" w:before="0" w:line="259" w:lineRule="auto"/>
            </w:pPr>
            <w:r>
              <w:rPr>
                <w:rFonts w:ascii="Calibri" w:hAnsi="Calibri"/>
                <w:b w:val="0"/>
                <w:i w:val="0"/>
                <w:color w:val="212121"/>
                <w:sz w:val="16"/>
              </w:rPr>
              <w:t>All IBS, for subtyping</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 (subtype)</w:t>
            </w:r>
          </w:p>
        </w:tc>
        <w:tc>
          <w:tcPr>
            <w:tcW w:type="dxa" w:w="720"/>
            <w:vAlign w:val="top"/>
          </w:tcPr>
          <w:p>
            <w:pPr>
              <w:spacing w:after="40" w:before="0" w:line="259" w:lineRule="auto"/>
            </w:pPr>
            <w:r>
              <w:rPr>
                <w:rFonts w:ascii="Calibri" w:hAnsi="Calibri"/>
                <w:b w:val="0"/>
                <w:i w:val="0"/>
                <w:color w:val="212121"/>
                <w:sz w:val="16"/>
              </w:rPr>
              <w:t>Use a stool diary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 red-flag screen</w:t>
            </w:r>
          </w:p>
        </w:tc>
        <w:tc>
          <w:tcPr>
            <w:tcW w:type="dxa" w:w="979"/>
            <w:vAlign w:val="top"/>
          </w:tcPr>
          <w:p>
            <w:pPr>
              <w:spacing w:after="40" w:before="0" w:line="259" w:lineRule="auto"/>
            </w:pPr>
            <w:r>
              <w:rPr>
                <w:rFonts w:ascii="Calibri" w:hAnsi="Calibri"/>
                <w:b w:val="0"/>
                <w:i w:val="0"/>
                <w:color w:val="212121"/>
                <w:sz w:val="16"/>
              </w:rPr>
              <w:t>Weight loss, rectal bleeding, nocturnal symptoms, anaemia, age &gt;50, family history</w:t>
            </w:r>
          </w:p>
        </w:tc>
        <w:tc>
          <w:tcPr>
            <w:tcW w:type="dxa" w:w="950"/>
            <w:vAlign w:val="top"/>
          </w:tcPr>
          <w:p>
            <w:pPr>
              <w:spacing w:after="40" w:before="0" w:line="259" w:lineRule="auto"/>
            </w:pPr>
            <w:r>
              <w:rPr>
                <w:rFonts w:ascii="Calibri" w:hAnsi="Calibri"/>
                <w:b w:val="0"/>
                <w:i w:val="0"/>
                <w:color w:val="212121"/>
                <w:sz w:val="16"/>
              </w:rPr>
              <w:t>No alarm features</w:t>
            </w:r>
          </w:p>
        </w:tc>
        <w:tc>
          <w:tcPr>
            <w:tcW w:type="dxa" w:w="950"/>
            <w:vAlign w:val="top"/>
          </w:tcPr>
          <w:p>
            <w:pPr>
              <w:spacing w:after="40" w:before="0" w:line="259" w:lineRule="auto"/>
            </w:pPr>
            <w:r>
              <w:rPr>
                <w:rFonts w:ascii="Calibri" w:hAnsi="Calibri"/>
                <w:b w:val="0"/>
                <w:i w:val="0"/>
                <w:color w:val="212121"/>
                <w:sz w:val="16"/>
              </w:rPr>
              <w:t>Any alarm feature present</w:t>
            </w:r>
          </w:p>
        </w:tc>
        <w:tc>
          <w:tcPr>
            <w:tcW w:type="dxa" w:w="1036"/>
            <w:vAlign w:val="top"/>
          </w:tcPr>
          <w:p>
            <w:pPr>
              <w:spacing w:after="40" w:before="0" w:line="259" w:lineRule="auto"/>
            </w:pPr>
            <w:r>
              <w:rPr>
                <w:rFonts w:ascii="Calibri" w:hAnsi="Calibri"/>
                <w:b w:val="0"/>
                <w:i w:val="0"/>
                <w:color w:val="212121"/>
                <w:sz w:val="16"/>
              </w:rPr>
              <w:t>Presence argues against IBS and mandates investigation for organic disease</w:t>
            </w:r>
          </w:p>
        </w:tc>
        <w:tc>
          <w:tcPr>
            <w:tcW w:type="dxa" w:w="1036"/>
            <w:vAlign w:val="top"/>
          </w:tcPr>
          <w:p>
            <w:pPr>
              <w:spacing w:after="40" w:before="0" w:line="259" w:lineRule="auto"/>
            </w:pPr>
            <w:r>
              <w:rPr>
                <w:rFonts w:ascii="Calibri" w:hAnsi="Calibri"/>
                <w:b w:val="0"/>
                <w:i w:val="0"/>
                <w:color w:val="212121"/>
                <w:sz w:val="16"/>
              </w:rPr>
              <w:t>All patients before labelling IBS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(safety)</w:t>
            </w:r>
          </w:p>
        </w:tc>
        <w:tc>
          <w:tcPr>
            <w:tcW w:type="dxa" w:w="720"/>
            <w:vAlign w:val="top"/>
          </w:tcPr>
          <w:p>
            <w:pPr>
              <w:spacing w:after="40" w:before="0" w:line="259" w:lineRule="auto"/>
            </w:pPr>
            <w:r>
              <w:rPr>
                <w:rFonts w:ascii="Calibri" w:hAnsi="Calibri"/>
                <w:b w:val="0"/>
                <w:i w:val="0"/>
                <w:color w:val="212121"/>
                <w:sz w:val="16"/>
              </w:rPr>
              <w:t>Nocturnal diarrhoea is atypical for IBS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trigger history</w:t>
            </w:r>
          </w:p>
        </w:tc>
        <w:tc>
          <w:tcPr>
            <w:tcW w:type="dxa" w:w="979"/>
            <w:vAlign w:val="top"/>
          </w:tcPr>
          <w:p>
            <w:pPr>
              <w:spacing w:after="40" w:before="0" w:line="259" w:lineRule="auto"/>
            </w:pPr>
            <w:r>
              <w:rPr>
                <w:rFonts w:ascii="Calibri" w:hAnsi="Calibri"/>
                <w:b w:val="0"/>
                <w:i w:val="0"/>
                <w:color w:val="212121"/>
                <w:sz w:val="16"/>
              </w:rPr>
              <w:t>FODMAP/dairy/spicy/caffeine intake, symptom-food relationship</w:t>
            </w:r>
          </w:p>
        </w:tc>
        <w:tc>
          <w:tcPr>
            <w:tcW w:type="dxa" w:w="950"/>
            <w:vAlign w:val="top"/>
          </w:tcPr>
          <w:p>
            <w:pPr>
              <w:spacing w:after="40" w:before="0" w:line="259" w:lineRule="auto"/>
            </w:pPr>
            <w:r>
              <w:rPr>
                <w:rFonts w:ascii="Calibri" w:hAnsi="Calibri"/>
                <w:b w:val="0"/>
                <w:i w:val="0"/>
                <w:color w:val="212121"/>
                <w:sz w:val="16"/>
              </w:rPr>
              <w:t>No consistent trigger</w:t>
            </w:r>
          </w:p>
        </w:tc>
        <w:tc>
          <w:tcPr>
            <w:tcW w:type="dxa" w:w="950"/>
            <w:vAlign w:val="top"/>
          </w:tcPr>
          <w:p>
            <w:pPr>
              <w:spacing w:after="40" w:before="0" w:line="259" w:lineRule="auto"/>
            </w:pPr>
            <w:r>
              <w:rPr>
                <w:rFonts w:ascii="Calibri" w:hAnsi="Calibri"/>
                <w:b w:val="0"/>
                <w:i w:val="0"/>
                <w:color w:val="212121"/>
                <w:sz w:val="16"/>
              </w:rPr>
              <w:t>Reproducible food triggers</w:t>
            </w:r>
          </w:p>
        </w:tc>
        <w:tc>
          <w:tcPr>
            <w:tcW w:type="dxa" w:w="1036"/>
            <w:vAlign w:val="top"/>
          </w:tcPr>
          <w:p>
            <w:pPr>
              <w:spacing w:after="40" w:before="0" w:line="259" w:lineRule="auto"/>
            </w:pPr>
            <w:r>
              <w:rPr>
                <w:rFonts w:ascii="Calibri" w:hAnsi="Calibri"/>
                <w:b w:val="0"/>
                <w:i w:val="0"/>
                <w:color w:val="212121"/>
                <w:sz w:val="16"/>
              </w:rPr>
              <w:t>Identifies dietary drivers and guides low-FODMAP or lactose trials</w:t>
            </w:r>
          </w:p>
        </w:tc>
        <w:tc>
          <w:tcPr>
            <w:tcW w:type="dxa" w:w="1036"/>
            <w:vAlign w:val="top"/>
          </w:tcPr>
          <w:p>
            <w:pPr>
              <w:spacing w:after="40" w:before="0" w:line="259" w:lineRule="auto"/>
            </w:pPr>
            <w:r>
              <w:rPr>
                <w:rFonts w:ascii="Calibri" w:hAnsi="Calibri"/>
                <w:b w:val="0"/>
                <w:i w:val="0"/>
                <w:color w:val="212121"/>
                <w:sz w:val="16"/>
              </w:rPr>
              <w:t>IBS-D, IBS-M, bloating-predominant</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Therapeutic planning</w:t>
            </w:r>
          </w:p>
        </w:tc>
        <w:tc>
          <w:tcPr>
            <w:tcW w:type="dxa" w:w="720"/>
            <w:vAlign w:val="top"/>
          </w:tcPr>
          <w:p>
            <w:pPr>
              <w:spacing w:after="40" w:before="0" w:line="259" w:lineRule="auto"/>
            </w:pPr>
            <w:r>
              <w:rPr>
                <w:rFonts w:ascii="Calibri" w:hAnsi="Calibri"/>
                <w:b w:val="0"/>
                <w:i w:val="0"/>
                <w:color w:val="212121"/>
                <w:sz w:val="16"/>
              </w:rPr>
              <w:t>Link to a food-symptom diary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assessment</w:t>
            </w:r>
          </w:p>
        </w:tc>
        <w:tc>
          <w:tcPr>
            <w:tcW w:type="dxa" w:w="979"/>
            <w:vAlign w:val="top"/>
          </w:tcPr>
          <w:p>
            <w:pPr>
              <w:spacing w:after="40" w:before="0" w:line="259" w:lineRule="auto"/>
            </w:pPr>
            <w:r>
              <w:rPr>
                <w:rFonts w:ascii="Calibri" w:hAnsi="Calibri"/>
                <w:b w:val="0"/>
                <w:i w:val="0"/>
                <w:color w:val="212121"/>
                <w:sz w:val="16"/>
              </w:rPr>
              <w:t>Anxiety, depression, stress, somatisation, abuse history</w:t>
            </w:r>
          </w:p>
        </w:tc>
        <w:tc>
          <w:tcPr>
            <w:tcW w:type="dxa" w:w="950"/>
            <w:vAlign w:val="top"/>
          </w:tcPr>
          <w:p>
            <w:pPr>
              <w:spacing w:after="40" w:before="0" w:line="259" w:lineRule="auto"/>
            </w:pPr>
            <w:r>
              <w:rPr>
                <w:rFonts w:ascii="Calibri" w:hAnsi="Calibri"/>
                <w:b w:val="0"/>
                <w:i w:val="0"/>
                <w:color w:val="212121"/>
                <w:sz w:val="16"/>
              </w:rPr>
              <w:t>No significant distress</w:t>
            </w:r>
          </w:p>
        </w:tc>
        <w:tc>
          <w:tcPr>
            <w:tcW w:type="dxa" w:w="950"/>
            <w:vAlign w:val="top"/>
          </w:tcPr>
          <w:p>
            <w:pPr>
              <w:spacing w:after="40" w:before="0" w:line="259" w:lineRule="auto"/>
            </w:pPr>
            <w:r>
              <w:rPr>
                <w:rFonts w:ascii="Calibri" w:hAnsi="Calibri"/>
                <w:b w:val="0"/>
                <w:i w:val="0"/>
                <w:color w:val="212121"/>
                <w:sz w:val="16"/>
              </w:rPr>
              <w:t>Positive anxiety/depression screen</w:t>
            </w:r>
          </w:p>
        </w:tc>
        <w:tc>
          <w:tcPr>
            <w:tcW w:type="dxa" w:w="1036"/>
            <w:vAlign w:val="top"/>
          </w:tcPr>
          <w:p>
            <w:pPr>
              <w:spacing w:after="40" w:before="0" w:line="259" w:lineRule="auto"/>
            </w:pPr>
            <w:r>
              <w:rPr>
                <w:rFonts w:ascii="Calibri" w:hAnsi="Calibri"/>
                <w:b w:val="0"/>
                <w:i w:val="0"/>
                <w:color w:val="212121"/>
                <w:sz w:val="16"/>
              </w:rPr>
              <w:t>Psychological comorbidity worsens symptoms and shapes management via gut-brain therapies</w:t>
            </w:r>
          </w:p>
        </w:tc>
        <w:tc>
          <w:tcPr>
            <w:tcW w:type="dxa" w:w="1036"/>
            <w:vAlign w:val="top"/>
          </w:tcPr>
          <w:p>
            <w:pPr>
              <w:spacing w:after="40" w:before="0" w:line="259" w:lineRule="auto"/>
            </w:pPr>
            <w:r>
              <w:rPr>
                <w:rFonts w:ascii="Calibri" w:hAnsi="Calibri"/>
                <w:b w:val="0"/>
                <w:i w:val="0"/>
                <w:color w:val="212121"/>
                <w:sz w:val="16"/>
              </w:rPr>
              <w:t>All IBS, refractory cases</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GAD-7 / PHQ-9</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Tenderness, distension, palpable sigmoid, bowel sounds</w:t>
            </w:r>
          </w:p>
        </w:tc>
        <w:tc>
          <w:tcPr>
            <w:tcW w:type="dxa" w:w="950"/>
            <w:vAlign w:val="top"/>
          </w:tcPr>
          <w:p>
            <w:pPr>
              <w:spacing w:after="40" w:before="0" w:line="259" w:lineRule="auto"/>
            </w:pPr>
            <w:r>
              <w:rPr>
                <w:rFonts w:ascii="Calibri" w:hAnsi="Calibri"/>
                <w:b w:val="0"/>
                <w:i w:val="0"/>
                <w:color w:val="212121"/>
                <w:sz w:val="16"/>
              </w:rPr>
              <w:t>Soft, non-tender or mild LLQ tenderness</w:t>
            </w:r>
          </w:p>
        </w:tc>
        <w:tc>
          <w:tcPr>
            <w:tcW w:type="dxa" w:w="950"/>
            <w:vAlign w:val="top"/>
          </w:tcPr>
          <w:p>
            <w:pPr>
              <w:spacing w:after="40" w:before="0" w:line="259" w:lineRule="auto"/>
            </w:pPr>
            <w:r>
              <w:rPr>
                <w:rFonts w:ascii="Calibri" w:hAnsi="Calibri"/>
                <w:b w:val="0"/>
                <w:i w:val="0"/>
                <w:color w:val="212121"/>
                <w:sz w:val="16"/>
              </w:rPr>
              <w:t>Mass, organomegaly, guarding, ascites</w:t>
            </w:r>
          </w:p>
        </w:tc>
        <w:tc>
          <w:tcPr>
            <w:tcW w:type="dxa" w:w="1036"/>
            <w:vAlign w:val="top"/>
          </w:tcPr>
          <w:p>
            <w:pPr>
              <w:spacing w:after="40" w:before="0" w:line="259" w:lineRule="auto"/>
            </w:pPr>
            <w:r>
              <w:rPr>
                <w:rFonts w:ascii="Calibri" w:hAnsi="Calibri"/>
                <w:b w:val="0"/>
                <w:i w:val="0"/>
                <w:color w:val="212121"/>
                <w:sz w:val="16"/>
              </w:rPr>
              <w:t>IBS shows a largely normal abdomen with at most mild tenderness; a mass or organomegaly excludes IBS</w:t>
            </w:r>
          </w:p>
        </w:tc>
        <w:tc>
          <w:tcPr>
            <w:tcW w:type="dxa" w:w="1036"/>
            <w:vAlign w:val="top"/>
          </w:tcPr>
          <w:p>
            <w:pPr>
              <w:spacing w:after="40" w:before="0" w:line="259" w:lineRule="auto"/>
            </w:pPr>
            <w:r>
              <w:rPr>
                <w:rFonts w:ascii="Calibri" w:hAnsi="Calibri"/>
                <w:b w:val="0"/>
                <w:i w:val="0"/>
                <w:color w:val="212121"/>
                <w:sz w:val="16"/>
              </w:rPr>
              <w:t>All suspected IBS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reassurance</w:t>
            </w:r>
          </w:p>
        </w:tc>
        <w:tc>
          <w:tcPr>
            <w:tcW w:type="dxa" w:w="720"/>
            <w:vAlign w:val="top"/>
          </w:tcPr>
          <w:p>
            <w:pPr>
              <w:spacing w:after="40" w:before="0" w:line="259" w:lineRule="auto"/>
            </w:pPr>
            <w:r>
              <w:rPr>
                <w:rFonts w:ascii="Calibri" w:hAnsi="Calibri"/>
                <w:b w:val="0"/>
                <w:i w:val="0"/>
                <w:color w:val="212121"/>
                <w:sz w:val="16"/>
              </w:rPr>
              <w:t>Reassuringly normal exam supports IBS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 perianal exam</w:t>
            </w:r>
          </w:p>
        </w:tc>
        <w:tc>
          <w:tcPr>
            <w:tcW w:type="dxa" w:w="979"/>
            <w:vAlign w:val="top"/>
          </w:tcPr>
          <w:p>
            <w:pPr>
              <w:spacing w:after="40" w:before="0" w:line="259" w:lineRule="auto"/>
            </w:pPr>
            <w:r>
              <w:rPr>
                <w:rFonts w:ascii="Calibri" w:hAnsi="Calibri"/>
                <w:b w:val="0"/>
                <w:i w:val="0"/>
                <w:color w:val="212121"/>
                <w:sz w:val="16"/>
              </w:rPr>
              <w:t>Sphincter tone, masses, blood, fissures</w:t>
            </w:r>
          </w:p>
        </w:tc>
        <w:tc>
          <w:tcPr>
            <w:tcW w:type="dxa" w:w="950"/>
            <w:vAlign w:val="top"/>
          </w:tcPr>
          <w:p>
            <w:pPr>
              <w:spacing w:after="40" w:before="0" w:line="259" w:lineRule="auto"/>
            </w:pPr>
            <w:r>
              <w:rPr>
                <w:rFonts w:ascii="Calibri" w:hAnsi="Calibri"/>
                <w:b w:val="0"/>
                <w:i w:val="0"/>
                <w:color w:val="212121"/>
                <w:sz w:val="16"/>
              </w:rPr>
              <w:t>Normal tone, no mass, no blood</w:t>
            </w:r>
          </w:p>
        </w:tc>
        <w:tc>
          <w:tcPr>
            <w:tcW w:type="dxa" w:w="950"/>
            <w:vAlign w:val="top"/>
          </w:tcPr>
          <w:p>
            <w:pPr>
              <w:spacing w:after="40" w:before="0" w:line="259" w:lineRule="auto"/>
            </w:pPr>
            <w:r>
              <w:rPr>
                <w:rFonts w:ascii="Calibri" w:hAnsi="Calibri"/>
                <w:b w:val="0"/>
                <w:i w:val="0"/>
                <w:color w:val="212121"/>
                <w:sz w:val="16"/>
              </w:rPr>
              <w:t>Mass, blood, fissure, dyssynergia</w:t>
            </w:r>
          </w:p>
        </w:tc>
        <w:tc>
          <w:tcPr>
            <w:tcW w:type="dxa" w:w="1036"/>
            <w:vAlign w:val="top"/>
          </w:tcPr>
          <w:p>
            <w:pPr>
              <w:spacing w:after="40" w:before="0" w:line="259" w:lineRule="auto"/>
            </w:pPr>
            <w:r>
              <w:rPr>
                <w:rFonts w:ascii="Calibri" w:hAnsi="Calibri"/>
                <w:b w:val="0"/>
                <w:i w:val="0"/>
                <w:color w:val="212121"/>
                <w:sz w:val="16"/>
              </w:rPr>
              <w:t>Excludes anorectal pathology and detects pelvic-floor dyssynergia in IBS-C</w:t>
            </w:r>
          </w:p>
        </w:tc>
        <w:tc>
          <w:tcPr>
            <w:tcW w:type="dxa" w:w="1036"/>
            <w:vAlign w:val="top"/>
          </w:tcPr>
          <w:p>
            <w:pPr>
              <w:spacing w:after="40" w:before="0" w:line="259" w:lineRule="auto"/>
            </w:pPr>
            <w:r>
              <w:rPr>
                <w:rFonts w:ascii="Calibri" w:hAnsi="Calibri"/>
                <w:b w:val="0"/>
                <w:i w:val="0"/>
                <w:color w:val="212121"/>
                <w:sz w:val="16"/>
              </w:rPr>
              <w:t>IBS-C, patients with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Blood PR is a red flag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Recurrent abdominal pain / cramping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Lower-abdominal, colicky pain related to defecation — often relieved or triggered by passing stool; the core Rome IV symptom.</w:t>
            </w:r>
          </w:p>
        </w:tc>
      </w:tr>
      <w:tr>
        <w:trPr>
          <w:cantSplit/>
        </w:trPr>
        <w:tc>
          <w:tcPr>
            <w:tcW w:type="dxa" w:w="2304"/>
            <w:vAlign w:val="top"/>
          </w:tcPr>
          <w:p>
            <w:pPr>
              <w:spacing w:after="40" w:before="0" w:line="259" w:lineRule="auto"/>
            </w:pPr>
            <w:r>
              <w:rPr>
                <w:rFonts w:ascii="Calibri" w:hAnsi="Calibri"/>
                <w:b/>
                <w:i w:val="0"/>
                <w:color w:val="212121"/>
                <w:sz w:val="19"/>
              </w:rPr>
              <w:t>Altered bowel habit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Diarrhoea, constipation, or alternating between the two, defining the IBS subtype.</w:t>
            </w:r>
          </w:p>
        </w:tc>
      </w:tr>
      <w:tr>
        <w:trPr>
          <w:cantSplit/>
        </w:trPr>
        <w:tc>
          <w:tcPr>
            <w:tcW w:type="dxa" w:w="2304"/>
            <w:vAlign w:val="top"/>
          </w:tcPr>
          <w:p>
            <w:pPr>
              <w:spacing w:after="40" w:before="0" w:line="259" w:lineRule="auto"/>
            </w:pPr>
            <w:r>
              <w:rPr>
                <w:rFonts w:ascii="Calibri" w:hAnsi="Calibri"/>
                <w:b/>
                <w:i w:val="0"/>
                <w:color w:val="212121"/>
                <w:sz w:val="19"/>
              </w:rPr>
              <w:t>Abdominal bloating / distension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fullness with visible daytime distension; reported by up to 90% of patients at some point.</w:t>
            </w:r>
          </w:p>
        </w:tc>
      </w:tr>
      <w:tr>
        <w:trPr>
          <w:cantSplit/>
        </w:trPr>
        <w:tc>
          <w:tcPr>
            <w:tcW w:type="dxa" w:w="2304"/>
            <w:vAlign w:val="top"/>
          </w:tcPr>
          <w:p>
            <w:pPr>
              <w:spacing w:after="40" w:before="0" w:line="259" w:lineRule="auto"/>
            </w:pPr>
            <w:r>
              <w:rPr>
                <w:rFonts w:ascii="Calibri" w:hAnsi="Calibri"/>
                <w:b/>
                <w:i w:val="0"/>
                <w:color w:val="212121"/>
                <w:sz w:val="19"/>
              </w:rPr>
              <w:t>Excessive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gas from fermentation of poorly absorbed carbohydrates (FODMAPs).</w:t>
            </w:r>
          </w:p>
        </w:tc>
      </w:tr>
      <w:tr>
        <w:trPr>
          <w:cantSplit/>
        </w:trPr>
        <w:tc>
          <w:tcPr>
            <w:tcW w:type="dxa" w:w="2304"/>
            <w:vAlign w:val="top"/>
          </w:tcPr>
          <w:p>
            <w:pPr>
              <w:spacing w:after="40" w:before="0" w:line="259" w:lineRule="auto"/>
            </w:pPr>
            <w:r>
              <w:rPr>
                <w:rFonts w:ascii="Calibri" w:hAnsi="Calibri"/>
                <w:b/>
                <w:i w:val="0"/>
                <w:color w:val="212121"/>
                <w:sz w:val="19"/>
              </w:rPr>
              <w:t>Urgency of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need to pass stool, prominent in IBS-D and post-prandially.</w:t>
            </w:r>
          </w:p>
        </w:tc>
      </w:tr>
      <w:tr>
        <w:trPr>
          <w:cantSplit/>
        </w:trPr>
        <w:tc>
          <w:tcPr>
            <w:tcW w:type="dxa" w:w="2304"/>
            <w:vAlign w:val="top"/>
          </w:tcPr>
          <w:p>
            <w:pPr>
              <w:spacing w:after="40" w:before="0" w:line="259" w:lineRule="auto"/>
            </w:pPr>
            <w:r>
              <w:rPr>
                <w:rFonts w:ascii="Calibri" w:hAnsi="Calibri"/>
                <w:b/>
                <w:i w:val="0"/>
                <w:color w:val="212121"/>
                <w:sz w:val="19"/>
              </w:rPr>
              <w:t>Sensation of incomplete evacuation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of not fully emptying the bowel (tenesmus), common in IBS-C.</w:t>
            </w:r>
          </w:p>
        </w:tc>
      </w:tr>
      <w:tr>
        <w:trPr>
          <w:cantSplit/>
        </w:trPr>
        <w:tc>
          <w:tcPr>
            <w:tcW w:type="dxa" w:w="2304"/>
            <w:vAlign w:val="top"/>
          </w:tcPr>
          <w:p>
            <w:pPr>
              <w:spacing w:after="40" w:before="0" w:line="259" w:lineRule="auto"/>
            </w:pPr>
            <w:r>
              <w:rPr>
                <w:rFonts w:ascii="Calibri" w:hAnsi="Calibri"/>
                <w:b/>
                <w:i w:val="0"/>
                <w:color w:val="212121"/>
                <w:sz w:val="19"/>
              </w:rPr>
              <w:t>Passage of mucus per rectum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Clear or white mucus with stool; a classic IBS feature with no pathological significance.</w:t>
            </w:r>
          </w:p>
        </w:tc>
      </w:tr>
      <w:tr>
        <w:trPr>
          <w:cantSplit/>
        </w:trPr>
        <w:tc>
          <w:tcPr>
            <w:tcW w:type="dxa" w:w="2304"/>
            <w:vAlign w:val="top"/>
          </w:tcPr>
          <w:p>
            <w:pPr>
              <w:spacing w:after="40" w:before="0" w:line="259" w:lineRule="auto"/>
            </w:pPr>
            <w:r>
              <w:rPr>
                <w:rFonts w:ascii="Calibri" w:hAnsi="Calibri"/>
                <w:b/>
                <w:i w:val="0"/>
                <w:color w:val="212121"/>
                <w:sz w:val="19"/>
              </w:rPr>
              <w:t>Post-prandial symptom worsening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urgency and bloating after meals due to an exaggerated gastro-colic reflex.</w:t>
            </w:r>
          </w:p>
        </w:tc>
      </w:tr>
      <w:tr>
        <w:trPr>
          <w:cantSplit/>
        </w:trPr>
        <w:tc>
          <w:tcPr>
            <w:tcW w:type="dxa" w:w="2304"/>
            <w:vAlign w:val="top"/>
          </w:tcPr>
          <w:p>
            <w:pPr>
              <w:spacing w:after="40" w:before="0" w:line="259" w:lineRule="auto"/>
            </w:pPr>
            <w:r>
              <w:rPr>
                <w:rFonts w:ascii="Calibri" w:hAnsi="Calibri"/>
                <w:b/>
                <w:i w:val="0"/>
                <w:color w:val="212121"/>
                <w:sz w:val="19"/>
              </w:rPr>
              <w:t>Straining or hard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Effortful defecation with lumpy/hard stool in constipation-predominant IBS.</w:t>
            </w:r>
          </w:p>
        </w:tc>
      </w:tr>
      <w:tr>
        <w:trPr>
          <w:cantSplit/>
        </w:trPr>
        <w:tc>
          <w:tcPr>
            <w:tcW w:type="dxa" w:w="2304"/>
            <w:vAlign w:val="top"/>
          </w:tcPr>
          <w:p>
            <w:pPr>
              <w:spacing w:after="40" w:before="0" w:line="259" w:lineRule="auto"/>
            </w:pPr>
            <w:r>
              <w:rPr>
                <w:rFonts w:ascii="Calibri" w:hAnsi="Calibri"/>
                <w:b/>
                <w:i w:val="0"/>
                <w:color w:val="212121"/>
                <w:sz w:val="19"/>
              </w:rPr>
              <w:t>Nausea / early satiety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overlap with functional dyspepsia.</w:t>
            </w:r>
          </w:p>
        </w:tc>
      </w:tr>
      <w:tr>
        <w:trPr>
          <w:cantSplit/>
        </w:trPr>
        <w:tc>
          <w:tcPr>
            <w:tcW w:type="dxa" w:w="2304"/>
            <w:vAlign w:val="top"/>
          </w:tcPr>
          <w:p>
            <w:pPr>
              <w:spacing w:after="40" w:before="0" w:line="259" w:lineRule="auto"/>
            </w:pPr>
            <w:r>
              <w:rPr>
                <w:rFonts w:ascii="Calibri" w:hAnsi="Calibri"/>
                <w:b/>
                <w:i w:val="0"/>
                <w:color w:val="212121"/>
                <w:sz w:val="19"/>
              </w:rPr>
              <w:t>Fatigue / lethargy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Non-GI symptom linked to poor sleep and psychological comorbidity.</w:t>
            </w:r>
          </w:p>
        </w:tc>
      </w:tr>
      <w:tr>
        <w:trPr>
          <w:cantSplit/>
        </w:trPr>
        <w:tc>
          <w:tcPr>
            <w:tcW w:type="dxa" w:w="2304"/>
            <w:vAlign w:val="top"/>
          </w:tcPr>
          <w:p>
            <w:pPr>
              <w:spacing w:after="40" w:before="0" w:line="259" w:lineRule="auto"/>
            </w:pPr>
            <w:r>
              <w:rPr>
                <w:rFonts w:ascii="Calibri" w:hAnsi="Calibri"/>
                <w:b/>
                <w:i w:val="0"/>
                <w:color w:val="212121"/>
                <w:sz w:val="19"/>
              </w:rPr>
              <w:t>Backache and generalised body aches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Somatic symptoms reflecting central sensitisation and fibromyalgia overlap.</w:t>
            </w:r>
          </w:p>
        </w:tc>
      </w:tr>
      <w:tr>
        <w:trPr>
          <w:cantSplit/>
        </w:trPr>
        <w:tc>
          <w:tcPr>
            <w:tcW w:type="dxa" w:w="2304"/>
            <w:vAlign w:val="top"/>
          </w:tcPr>
          <w:p>
            <w:pPr>
              <w:spacing w:after="40" w:before="0" w:line="259" w:lineRule="auto"/>
            </w:pPr>
            <w:r>
              <w:rPr>
                <w:rFonts w:ascii="Calibri" w:hAnsi="Calibri"/>
                <w:b/>
                <w:i w:val="0"/>
                <w:color w:val="212121"/>
                <w:sz w:val="19"/>
              </w:rPr>
              <w:t>Nocturnal diarrhoea waking from sleep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Atypical for IBS — an alarm feature that should prompt exclusion of organic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Largely normal general and systemic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alarm signs (no pallor, no weight loss, no mass) is reassuring and supports IBS.</w:t>
            </w:r>
          </w:p>
        </w:tc>
      </w:tr>
      <w:tr>
        <w:trPr>
          <w:cantSplit/>
        </w:trPr>
        <w:tc>
          <w:tcPr>
            <w:tcW w:type="dxa" w:w="3456"/>
            <w:vAlign w:val="top"/>
          </w:tcPr>
          <w:p>
            <w:pPr>
              <w:spacing w:after="40" w:before="0" w:line="259" w:lineRule="auto"/>
            </w:pPr>
            <w:r>
              <w:rPr>
                <w:rFonts w:ascii="Calibri" w:hAnsi="Calibri"/>
                <w:b/>
                <w:i w:val="0"/>
                <w:color w:val="212121"/>
                <w:sz w:val="19"/>
              </w:rPr>
              <w:t>Mild lower-abdominal (often left iliac fossa)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or LLQ tenderness without guarding or rebound.</w:t>
            </w:r>
          </w:p>
        </w:tc>
      </w:tr>
      <w:tr>
        <w:trPr>
          <w:cantSplit/>
        </w:trPr>
        <w:tc>
          <w:tcPr>
            <w:tcW w:type="dxa" w:w="3456"/>
            <w:vAlign w:val="top"/>
          </w:tcPr>
          <w:p>
            <w:pPr>
              <w:spacing w:after="40" w:before="0" w:line="259" w:lineRule="auto"/>
            </w:pPr>
            <w:r>
              <w:rPr>
                <w:rFonts w:ascii="Calibri" w:hAnsi="Calibri"/>
                <w:b/>
                <w:i w:val="0"/>
                <w:color w:val="212121"/>
                <w:sz w:val="19"/>
              </w:rPr>
              <w:t>Palpable, tender sigmoid / descending colon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firm, tender colonic cord may be felt, especially in IBS-C.</w:t>
            </w:r>
          </w:p>
        </w:tc>
      </w:tr>
      <w:tr>
        <w:trPr>
          <w:cantSplit/>
        </w:trPr>
        <w:tc>
          <w:tcPr>
            <w:tcW w:type="dxa" w:w="3456"/>
            <w:vAlign w:val="top"/>
          </w:tcPr>
          <w:p>
            <w:pPr>
              <w:spacing w:after="40" w:before="0" w:line="259" w:lineRule="auto"/>
            </w:pPr>
            <w:r>
              <w:rPr>
                <w:rFonts w:ascii="Calibri" w:hAnsi="Calibri"/>
                <w:b/>
                <w:i w:val="0"/>
                <w:color w:val="212121"/>
                <w:sz w:val="19"/>
              </w:rPr>
              <w:t>Abdominal distension with tympanic percussion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Gaseous distension that varies through the day.</w:t>
            </w:r>
          </w:p>
        </w:tc>
      </w:tr>
      <w:tr>
        <w:trPr>
          <w:cantSplit/>
        </w:trPr>
        <w:tc>
          <w:tcPr>
            <w:tcW w:type="dxa" w:w="3456"/>
            <w:vAlign w:val="top"/>
          </w:tcPr>
          <w:p>
            <w:pPr>
              <w:spacing w:after="40" w:before="0" w:line="259" w:lineRule="auto"/>
            </w:pPr>
            <w:r>
              <w:rPr>
                <w:rFonts w:ascii="Calibri" w:hAnsi="Calibri"/>
                <w:b/>
                <w:i w:val="0"/>
                <w:color w:val="212121"/>
                <w:sz w:val="19"/>
              </w:rPr>
              <w:t>Audible borborygmi / increased bowel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altered motility, prominent in IBS-D.</w:t>
            </w:r>
          </w:p>
        </w:tc>
      </w:tr>
      <w:tr>
        <w:trPr>
          <w:cantSplit/>
        </w:trPr>
        <w:tc>
          <w:tcPr>
            <w:tcW w:type="dxa" w:w="3456"/>
            <w:vAlign w:val="top"/>
          </w:tcPr>
          <w:p>
            <w:pPr>
              <w:spacing w:after="40" w:before="0" w:line="259" w:lineRule="auto"/>
            </w:pPr>
            <w:r>
              <w:rPr>
                <w:rFonts w:ascii="Calibri" w:hAnsi="Calibri"/>
                <w:b/>
                <w:i w:val="0"/>
                <w:color w:val="212121"/>
                <w:sz w:val="19"/>
              </w:rPr>
              <w:t>Signs of anxiety or autonomic arousal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Tension, sweaty palms or tachycardia reflecting psychological comorbidity.</w:t>
            </w:r>
          </w:p>
        </w:tc>
      </w:tr>
      <w:tr>
        <w:trPr>
          <w:cantSplit/>
        </w:trPr>
        <w:tc>
          <w:tcPr>
            <w:tcW w:type="dxa" w:w="3456"/>
            <w:vAlign w:val="top"/>
          </w:tcPr>
          <w:p>
            <w:pPr>
              <w:spacing w:after="40" w:before="0" w:line="259" w:lineRule="auto"/>
            </w:pPr>
            <w:r>
              <w:rPr>
                <w:rFonts w:ascii="Calibri" w:hAnsi="Calibri"/>
                <w:b/>
                <w:i w:val="0"/>
                <w:color w:val="212121"/>
                <w:sz w:val="19"/>
              </w:rPr>
              <w:t>Normal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tone with no mass or blood; may reveal pelvic-floor dyssynergia in IBS-C.</w:t>
            </w:r>
          </w:p>
        </w:tc>
      </w:tr>
      <w:tr>
        <w:trPr>
          <w:cantSplit/>
        </w:trPr>
        <w:tc>
          <w:tcPr>
            <w:tcW w:type="dxa" w:w="3456"/>
            <w:vAlign w:val="top"/>
          </w:tcPr>
          <w:p>
            <w:pPr>
              <w:spacing w:after="40" w:before="0" w:line="259" w:lineRule="auto"/>
            </w:pPr>
            <w:r>
              <w:rPr>
                <w:rFonts w:ascii="Calibri" w:hAnsi="Calibri"/>
                <w:b/>
                <w:i w:val="0"/>
                <w:color w:val="212121"/>
                <w:sz w:val="19"/>
              </w:rPr>
              <w:t>Absence of organomegaly, mass, blood or ascites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Their presence is a red flag that excludes IBS and mandates investigation.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abdominal pain and disabling bloating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diarrhoea or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Straining-related anorectal problems in IBS-C (haemorrhoids, anal fissures)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disturbance in severe IBS-D</w:t>
            </w:r>
          </w:p>
        </w:tc>
        <w:tc>
          <w:tcPr>
            <w:tcW w:type="dxa" w:w="2980"/>
            <w:vAlign w:val="top"/>
          </w:tcPr>
          <w:p>
            <w:pPr>
              <w:spacing w:after="40" w:before="0" w:line="259" w:lineRule="auto"/>
            </w:pPr>
            <w:r>
              <w:rPr>
                <w:rFonts w:ascii="Calibri" w:hAnsi="Calibri"/>
                <w:b w:val="0"/>
                <w:i w:val="0"/>
                <w:color w:val="212121"/>
                <w:sz w:val="19"/>
              </w:rPr>
              <w:t>Direct consequences of the disordered motility, secretion and visceral hypersensitivity of IBS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chronic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 / disordered eating and nutritional deficiency from over-elimination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Laxative, anti-diarrhoeal or opioid over-use (opioid-induced bowel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and school absenteeism and impaired productivity</w:t>
            </w:r>
          </w:p>
        </w:tc>
        <w:tc>
          <w:tcPr>
            <w:tcW w:type="dxa" w:w="2980"/>
            <w:vAlign w:val="top"/>
          </w:tcPr>
          <w:p>
            <w:pPr>
              <w:spacing w:after="40" w:before="0" w:line="259" w:lineRule="auto"/>
            </w:pPr>
            <w:r>
              <w:rPr>
                <w:rFonts w:ascii="Calibri" w:hAnsi="Calibri"/>
                <w:b w:val="0"/>
                <w:i w:val="0"/>
                <w:color w:val="212121"/>
                <w:sz w:val="19"/>
              </w:rPr>
              <w:t>Psychosocial and behavioural consequences driven by the gut-brain axis and symptom burden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social withdrawal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healthcare use and high consultation costs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Unnecessary investigations and surgery (higher rates of appendicectomy, cholecystectomy and hysterectomy)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harm from inappropriate long-term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Entrenched illness behaviour and treatment-refractory symptoms</w:t>
            </w:r>
          </w:p>
        </w:tc>
        <w:tc>
          <w:tcPr>
            <w:tcW w:type="dxa" w:w="2980"/>
            <w:vAlign w:val="top"/>
          </w:tcPr>
          <w:p>
            <w:pPr>
              <w:spacing w:after="40" w:before="0" w:line="259" w:lineRule="auto"/>
            </w:pPr>
            <w:r>
              <w:rPr>
                <w:rFonts w:ascii="Calibri" w:hAnsi="Calibri"/>
                <w:b w:val="0"/>
                <w:i w:val="0"/>
                <w:color w:val="212121"/>
                <w:sz w:val="19"/>
              </w:rPr>
              <w:t>Irreversible functional, social and economic outcomes of longstanding, poorly managed IBS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Fibromyalgia / Chronic fatigue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central sensitisation; clusters with more severe, refractory IBS.</w:t>
            </w:r>
          </w:p>
          <w:p>
            <w:pPr>
              <w:spacing w:after="40" w:before="0" w:line="259" w:lineRule="auto"/>
            </w:pPr>
            <w:r>
              <w:rPr>
                <w:rFonts w:ascii="Calibri" w:hAnsi="Calibri"/>
                <w:b/>
                <w:i w:val="0"/>
                <w:color w:val="212121"/>
                <w:sz w:val="19"/>
              </w:rPr>
              <w:t>Up to 65%</w:t>
            </w:r>
          </w:p>
        </w:tc>
      </w:tr>
      <w:tr>
        <w:trPr>
          <w:cantSplit/>
        </w:trPr>
        <w:tc>
          <w:tcPr>
            <w:tcW w:type="dxa" w:w="2232"/>
            <w:vAlign w:val="top"/>
          </w:tcPr>
          <w:p>
            <w:pPr>
              <w:spacing w:after="40" w:before="0" w:line="259" w:lineRule="auto"/>
            </w:pPr>
            <w:r>
              <w:rPr>
                <w:rFonts w:ascii="Calibri" w:hAnsi="Calibri"/>
                <w:b/>
                <w:i w:val="0"/>
                <w:color w:val="212121"/>
                <w:sz w:val="19"/>
              </w:rPr>
              <w:t>Functional dyspepsia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disorder of gut-brain interaction with upper-GI symptoms.</w:t>
            </w:r>
          </w:p>
          <w:p>
            <w:pPr>
              <w:spacing w:after="40" w:before="0" w:line="259" w:lineRule="auto"/>
            </w:pPr>
            <w:r>
              <w:rPr>
                <w:rFonts w:ascii="Calibri" w:hAnsi="Calibri"/>
                <w:b/>
                <w:i w:val="0"/>
                <w:color w:val="212121"/>
                <w:sz w:val="19"/>
              </w:rPr>
              <w:t>Up to 64%</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 co-occurrence via shared visceral hypersensitivity and dysmotility.</w:t>
            </w:r>
          </w:p>
          <w:p>
            <w:pPr>
              <w:spacing w:after="40" w:before="0" w:line="259" w:lineRule="auto"/>
            </w:pPr>
            <w:r>
              <w:rPr>
                <w:rFonts w:ascii="Calibri" w:hAnsi="Calibri"/>
                <w:b/>
                <w:i w:val="0"/>
                <w:color w:val="212121"/>
                <w:sz w:val="19"/>
              </w:rPr>
              <w:t>Up to 47%</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gut-brain link amplifying visceral pain and symptoms.</w:t>
            </w:r>
          </w:p>
          <w:p>
            <w:pPr>
              <w:spacing w:after="40" w:before="0" w:line="259" w:lineRule="auto"/>
            </w:pPr>
            <w:r>
              <w:rPr>
                <w:rFonts w:ascii="Calibri" w:hAnsi="Calibri"/>
                <w:b/>
                <w:i w:val="0"/>
                <w:color w:val="212121"/>
                <w:sz w:val="19"/>
              </w:rPr>
              <w:t>~8x higher odds (India)</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Common mood comorbidity worsening symptoms and treatment response.</w:t>
            </w:r>
          </w:p>
          <w:p>
            <w:pPr>
              <w:spacing w:after="40" w:before="0" w:line="259" w:lineRule="auto"/>
            </w:pPr>
            <w:r>
              <w:rPr>
                <w:rFonts w:ascii="Calibri" w:hAnsi="Calibri"/>
                <w:b/>
                <w:i w:val="0"/>
                <w:color w:val="212121"/>
                <w:sz w:val="19"/>
              </w:rPr>
              <w:t>~7x higher odds (India)</w:t>
            </w:r>
          </w:p>
        </w:tc>
      </w:tr>
      <w:tr>
        <w:trPr>
          <w:cantSplit/>
        </w:trPr>
        <w:tc>
          <w:tcPr>
            <w:tcW w:type="dxa" w:w="2232"/>
            <w:vAlign w:val="top"/>
          </w:tcPr>
          <w:p>
            <w:pPr>
              <w:spacing w:after="40" w:before="0" w:line="259" w:lineRule="auto"/>
            </w:pPr>
            <w:r>
              <w:rPr>
                <w:rFonts w:ascii="Calibri" w:hAnsi="Calibri"/>
                <w:b/>
                <w:i w:val="0"/>
                <w:color w:val="212121"/>
                <w:sz w:val="19"/>
              </w:rPr>
              <w:t>Interstitial cystitis / painful bladder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pelvic pain and visceral hypersensitivity syndrome.</w:t>
            </w:r>
          </w:p>
          <w:p>
            <w:pPr>
              <w:spacing w:after="40" w:before="0" w:line="259" w:lineRule="auto"/>
            </w:pPr>
            <w:r>
              <w:rPr>
                <w:rFonts w:ascii="Calibri" w:hAnsi="Calibri"/>
                <w:b/>
                <w:i w:val="0"/>
                <w:color w:val="212121"/>
                <w:sz w:val="19"/>
              </w:rPr>
              <w:t>~30-40%</w:t>
            </w:r>
          </w:p>
        </w:tc>
      </w:tr>
      <w:tr>
        <w:trPr>
          <w:cantSplit/>
        </w:trPr>
        <w:tc>
          <w:tcPr>
            <w:tcW w:type="dxa" w:w="2232"/>
            <w:vAlign w:val="top"/>
          </w:tcPr>
          <w:p>
            <w:pPr>
              <w:spacing w:after="40" w:before="0" w:line="259" w:lineRule="auto"/>
            </w:pPr>
            <w:r>
              <w:rPr>
                <w:rFonts w:ascii="Calibri" w:hAnsi="Calibri"/>
                <w:b/>
                <w:i w:val="0"/>
                <w:color w:val="212121"/>
                <w:sz w:val="19"/>
              </w:rPr>
              <w:t>Dysmenorrhoea / chronic pelvic pain (women)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Gynaecological pain syndromes frequently coexist with IBS in women.</w:t>
            </w:r>
          </w:p>
          <w:p>
            <w:pPr>
              <w:spacing w:after="40" w:before="0" w:line="259" w:lineRule="auto"/>
            </w:pPr>
            <w:r>
              <w:rPr>
                <w:rFonts w:ascii="Calibri" w:hAnsi="Calibri"/>
                <w:b/>
                <w:i w:val="0"/>
                <w:color w:val="212121"/>
                <w:sz w:val="19"/>
              </w:rPr>
              <w:t>~20-50%</w:t>
            </w:r>
          </w:p>
        </w:tc>
      </w:tr>
      <w:tr>
        <w:trPr>
          <w:cantSplit/>
        </w:trPr>
        <w:tc>
          <w:tcPr>
            <w:tcW w:type="dxa" w:w="2232"/>
            <w:vAlign w:val="top"/>
          </w:tcPr>
          <w:p>
            <w:pPr>
              <w:spacing w:after="40" w:before="0" w:line="259" w:lineRule="auto"/>
            </w:pPr>
            <w:r>
              <w:rPr>
                <w:rFonts w:ascii="Calibri" w:hAnsi="Calibri"/>
                <w:b/>
                <w:i w:val="0"/>
                <w:color w:val="212121"/>
                <w:sz w:val="19"/>
              </w:rPr>
              <w:t>Migraine and tension headache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Central-sensitisation-related comorbidity common in IBS.</w:t>
            </w:r>
          </w:p>
        </w:tc>
      </w:tr>
      <w:tr>
        <w:trPr>
          <w:cantSplit/>
        </w:trPr>
        <w:tc>
          <w:tcPr>
            <w:tcW w:type="dxa" w:w="2232"/>
            <w:vAlign w:val="top"/>
          </w:tcPr>
          <w:p>
            <w:pPr>
              <w:spacing w:after="40" w:before="0" w:line="259" w:lineRule="auto"/>
            </w:pPr>
            <w:r>
              <w:rPr>
                <w:rFonts w:ascii="Calibri" w:hAnsi="Calibri"/>
                <w:b/>
                <w:i w:val="0"/>
                <w:color w:val="212121"/>
                <w:sz w:val="19"/>
              </w:rPr>
              <w:t>Small-intestinal bacterial overgrowth (SIBO)</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Contributes to bloating and diarrhoea in a subset, particularly IBS-D.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IBS is a genuine disorder of gut-brain interaction, not 'all in the mind' and not a cause of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personal triggers (specific foods, stress, poor sleep, caffeine) using a simple food-and-symptom diary.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alarm features (weight loss, rectal bleeding, anaemia, night-time symptoms, onset after 50) that require prompt medical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food and water hygiene to prevent gastroenteritis, the main cause of post-infectious IBS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the goal is symptom control and quality of life, using diet, activity, sleep and gut-brain therapies together.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Post-infectious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working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to speed transit and ease bloating.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10-15 minute walk after meals to reduce post-prandial urgency and distension.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and diaphragmatic breathing, which improve IBS symptoms and reduce stress in trials.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gentle core and pelvic-floor work, especially for constipation-predominant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and consistently rather than intense, irregular bouts.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Trial a dietitian-supervised low-FODMAP diet (elimination, then structured reintroduction to personalise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soluble fibre (psyllium/ispaghula, oats) for constipation; avoid excess insoluble bran, which can worsen pain and bloating.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unhurried meals; avoid large, fatty, fried and very spicy meals and long fasting gaps.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gas-producing and high-FODMAP foods (excess wheat, onion, garlic, legumes, certain fruits) during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 a 2-4 week dairy reduction if lactose intolerance is suspected, common in Indian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(2-3 L/day), particularly when increasing fibre.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Bloating-predominant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Lactose/fructose intolerant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Junk-food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home-cooked diet with regular meal timing over ultra-processed and restaurant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fibre gradually to build tolerance and avoid sudden bloating.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and very spicy, fried foods occasional rather than habitual.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fruits and vegetables in tolerated portions rather than fruit juices and sugary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IBS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aim for 7-9 hours of good-quality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screens, caffeine and heavy meals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disruption with planned rest and light exposure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and sleep-related anxiety, as poor sleep predicts next-day IBS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second-hand smoke to reduce symptom severity and overall gut and cardiovascular 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therapy and behavioural support or quit-lines to aid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on an empty stomach, which can aggravate urgency and cramping.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IBS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the pattern most strongly linked to next-day diarrhoea and abdominal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within low-risk limits and include several alcohol-free days each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alcohol triggers, especially in diarrhoea-predominant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drink on an empty stomach and stay hydrated.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drinkers with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gut-directed cognitive behavioural therapy (CBT) or gut-directed hypnotherapy, which have strong evidence in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(GAD-7/PHQ-9), which are markedly more common in Indian IBS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stress-reduction (yoga, meditation, mindfulness, breathing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neuromodulator (e.g., low-dose tricyclic for pain/IBS-D or an SSRI for IBS-C with anxiety) under specialist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multidisciplinary team (gastroenterologist, dietitian, psychologist) for refractory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 severe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Post-infectious IBS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somatic overlap (fibromyalgia)</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jmedicine.com/index.php/ijam/article/download/4062/2724/17828" TargetMode="External"/><Relationship Id="rId10" Type="http://schemas.openxmlformats.org/officeDocument/2006/relationships/hyperlink" Target="https://link.springer.com/article/10.1007/s12664-020-01106-y" TargetMode="External"/><Relationship Id="rId11" Type="http://schemas.openxmlformats.org/officeDocument/2006/relationships/hyperlink" Target="https://www.wjgnet.com/1007-9327/full/v23/i37/6788.htm" TargetMode="External"/><Relationship Id="rId12" Type="http://schemas.openxmlformats.org/officeDocument/2006/relationships/hyperlink" Target="https://pmc.ncbi.nlm.nih.gov/articles/PMC8440854/" TargetMode="External"/><Relationship Id="rId13" Type="http://schemas.openxmlformats.org/officeDocument/2006/relationships/hyperlink" Target="https://www.monashfodmap.com/blog/post-infectious-ibs/" TargetMode="External"/><Relationship Id="rId14" Type="http://schemas.openxmlformats.org/officeDocument/2006/relationships/hyperlink" Target="https://link.springer.com/article/10.1007/s12664-022-01300-0" TargetMode="External"/><Relationship Id="rId15" Type="http://schemas.openxmlformats.org/officeDocument/2006/relationships/hyperlink" Target="https://clinicasgastroenterologiademexico.com/en/2025-en/overlap-of-irritable-bowel-syndrome-with-other-disorders-of-gut-brain-interaction-and-other-comorbidity/" TargetMode="External"/><Relationship Id="rId16" Type="http://schemas.openxmlformats.org/officeDocument/2006/relationships/hyperlink" Target="https://www.ncbi.nlm.nih.gov/books/NBK80911/" TargetMode="External"/><Relationship Id="rId17" Type="http://schemas.openxmlformats.org/officeDocument/2006/relationships/hyperlink" Target="https://www.frontiersin.org/journals/nutrition/articles/10.3389/fnut.2021.683191/full" TargetMode="External"/><Relationship Id="rId18" Type="http://schemas.openxmlformats.org/officeDocument/2006/relationships/hyperlink" Target="https://www.sciencedirect.com/science/article/abs/pii/S01650327230037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