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 pylori Infection</w:t>
      </w:r>
    </w:p>
    <w:p>
      <w:pPr>
        <w:spacing w:before="0" w:after="160"/>
      </w:pPr>
      <w:r>
        <w:rPr>
          <w:rFonts w:ascii="Calibri" w:hAnsi="Calibri"/>
          <w:b/>
          <w:i w:val="0"/>
          <w:color w:val="212121"/>
          <w:sz w:val="22"/>
        </w:rPr>
        <w:t xml:space="preserve">AKA </w:t>
      </w:r>
      <w:r>
        <w:rPr>
          <w:rFonts w:ascii="Calibri" w:hAnsi="Calibri"/>
          <w:b w:val="0"/>
          <w:i w:val="0"/>
          <w:color w:val="212121"/>
          <w:sz w:val="22"/>
        </w:rPr>
        <w:t>i.e., Helicobacter pylori infection, H. pylori-associated gastritis, Stomach ulcer bacteria / ulcer bug</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Helicobacter pylori infection is chronic colonisation of the gastric mucosa by H. pylori, a gram-negative, spiral, microaerophilic, urease-producing bacterium. It is the most common chronic bacterial infection of humans and the principal cause of chronic gastritis and peptic ulcer disease. The organism is classified by WHO's International Agency for Research on Cancer (IARC) as a Group 1 (definite) human carcinogen and is the leading cause of gastric adenocarcinoma and gastric MALT lymphoma. Most infections are acquired in early childhood, persist for life if untreated, and remain asymptomatic in the majority of carriers.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Helicobacter pylori is the most widespread chronic bacterial infection in India. Community- and hospital-based studies estimate that roughly 60-80% of Indian adults are infected - among the highest burdens in the world - with most infection acquired in early childhood and driven by crowding, poor sanitation and unsafe drinking water. Globally about half of all people are infected; prevalence is around 50% across developing countries and ~51% in Asia, versus far lower rates in high-income settings.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 pylori infection is confirmed with tests that detect ACTIVE infection; serology only shows past exposure and cannot confirm current infection or cure. Recent proton-pump inhibitors, antibiotics or bismuth must be withheld before testing to avoid false negatives (stop PPIs &gt;= 2 weeks and antibiotics/bismuth &gt;= 4 weeks).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Urea breath test (13C or 14C UBT): high sensitivity and specificity; the preferred non-invasive test for both initial diagnosis and confirmation of eradication (test of cure).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antigen test (monoclonal ELISA): high sensitivity and specificity; validated for diagnosis and for confirming eradication after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Rapid urease test (RUT) on an endoscopic gastric biopsy: rapid, bedside detection of bacterial urease; a colour change indicates active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Histopathology of gastric biopsy (H&amp;E with Giemsa / immunostain): up to ~90% sensitivity and specificity; also grades gastritis, atrophy and intestinal metaplasia (updated Sydney sampling of antrum + corpus).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Bacterial culture with antimicrobial susceptibility testing: 100% specific; reserved for refractory infection or resistance-guided therapy (important where clarithromycin/metronidazole resistance is high).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(anti-H. pylori IgG): indicates exposure but NOT active infection; remains positive after cure, so it is unreliable to guide treatment or confirm eradication.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 pylori-related disease is classified by the pattern of gastritis, the resulting clinical phenotype, strain virulence, and treatment/resistance status:</w:t>
      </w:r>
    </w:p>
    <w:p>
      <w:pPr>
        <w:spacing w:before="0" w:after="80"/>
      </w:pPr>
      <w:r>
        <w:rPr>
          <w:rFonts w:ascii="Calibri" w:hAnsi="Calibri"/>
          <w:b w:val="0"/>
          <w:i w:val="0"/>
          <w:color w:val="212121"/>
          <w:sz w:val="21"/>
        </w:rPr>
        <w:t>(1) By gastritis pattern: antral-predominant gastritis (preserved/high acid output, a duodenal-ulcer phenotype); corpus-predominant or pangastritis (reduced acid, atrophy and intestinal metaplasia - the gastric-ulcer and gastric-cancer phenotype); and mild non-atrophic gastritis (the asymptomatic majority).</w:t>
      </w:r>
    </w:p>
    <w:p>
      <w:pPr>
        <w:spacing w:before="0" w:after="80"/>
      </w:pPr>
      <w:r>
        <w:rPr>
          <w:rFonts w:ascii="Calibri" w:hAnsi="Calibri"/>
          <w:b w:val="0"/>
          <w:i w:val="0"/>
          <w:color w:val="212121"/>
          <w:sz w:val="21"/>
        </w:rPr>
        <w:t>(2) By clinical outcome: asymptomatic colonisation (most carriers), chronic active gastritis, peptic ulcer disease (gastric and duodenal), H. pylori-associated (functional) dyspepsia, gastric adenocarcinoma, and gastric MALT lymphoma.</w:t>
      </w:r>
    </w:p>
    <w:p>
      <w:pPr>
        <w:spacing w:before="0" w:after="80"/>
      </w:pPr>
      <w:r>
        <w:rPr>
          <w:rFonts w:ascii="Calibri" w:hAnsi="Calibri"/>
          <w:b w:val="0"/>
          <w:i w:val="0"/>
          <w:color w:val="212121"/>
          <w:sz w:val="21"/>
        </w:rPr>
        <w:t>(3) By strain virulence: CagA-positive strains (carrying the cag pathogenicity island) and VacA s1/m1 genotypes cause more intense inflammation and carry a higher risk of ulcer and gastric cancer than CagA-negative, less virulent strains.</w:t>
      </w:r>
    </w:p>
    <w:p>
      <w:pPr>
        <w:spacing w:before="0" w:after="80"/>
      </w:pPr>
      <w:r>
        <w:rPr>
          <w:rFonts w:ascii="Calibri" w:hAnsi="Calibri"/>
          <w:b w:val="0"/>
          <w:i w:val="0"/>
          <w:color w:val="212121"/>
          <w:sz w:val="21"/>
        </w:rPr>
        <w:t>(4) By treatment/resistance status: treatment-naive versus refractory infection, and antibiotic-susceptible versus resistant strains (clarithromycin, metronidazole, levofloxacin). This distinction is clinically critical in India, where nitroimidazole and clarithromycin resistance are high and increasingly guide first-line regimen choice.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Helicobacter pylori - a gram-negative, microaerophilic, spiral bacterium whose urease (neutralises gastric acid), flagella (motility), adhesins (BabA) and toxins (CagA, VacA) allow it to colonise the gastric mucus layer and injure the epithelium.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Faecal-oral, oral-oral and gastric-oral transmission: spread through contaminated water and food, shared utensils, saliva and vomitus, mainly person-to-person within households.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Poor sanitation and unsafe water: inadequate sanitation, open defecation and untreated drinking water drive the very high rate of childhood acquisition seen across much of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Household crowding and early-childhood exposure: intrafamilial (especially mother-to-child) spread in crowded homes; most infection is established before 10 years of age and then persists.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Low socioeconomic status: the strongest social determinant - poverty, crowding and limited access to clean water and hygiene sharply raise prevalence.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and strain factors: virulent CagA/VacA strains together with host genetic, immune and gastric-acid factors determine whether infection stays silent or progresses to ulcer or cancer.</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Infection acquired in childhood persists lifelong, so carriage is very common across adulthood; a birth-cohort effect means most Indian adults grew up amid conditions of high transmission. Chronic colonisation quietly drives gastritis and ulcer risk, and Indian adult series commonly report prevalence around 60-80%.</w:t>
            </w:r>
          </w:p>
          <w:p>
            <w:pPr>
              <w:spacing w:after="40" w:before="60" w:line="259" w:lineRule="auto"/>
            </w:pPr>
            <w:r>
              <w:rPr>
                <w:rFonts w:ascii="Calibri" w:hAnsi="Calibri"/>
                <w:b w:val="0"/>
                <w:i w:val="0"/>
                <w:color w:val="212121"/>
                <w:sz w:val="19"/>
              </w:rPr>
              <w:t>About 51% of people across Asia and ~50% in developing countries are infected.</w:t>
            </w:r>
          </w:p>
          <w:p>
            <w:pPr>
              <w:spacing w:after="40" w:line="252" w:lineRule="auto"/>
            </w:pPr>
            <w:hyperlink r:id="rId9">
              <w:r>
                <w:rPr>
                  <w:rFonts w:ascii="Calibri" w:hAnsi="Calibri" w:cs="Calibri"/>
                  <w:sz w:val="18"/>
                  <w:color w:val="1155CC"/>
                  <w:u w:val="single"/>
                </w:rPr>
                <w:t xml:space="preserve">ncbi.nlm.nih.gov/books/NBK544250 - StatPearls: Gastritis</w:t>
              </w:r>
            </w:hyperlink>
          </w:p>
          <w:p>
            <w:pPr>
              <w:spacing w:before="60" w:after="40"/>
            </w:pPr>
            <w:r>
              <w:rPr>
                <w:rFonts w:ascii="Calibri" w:hAnsi="Calibri"/>
                <w:b w:val="0"/>
                <w:i w:val="0"/>
                <w:color w:val="5A5A5A"/>
                <w:sz w:val="18"/>
              </w:rPr>
              <w:t>#hpylori  #chronicinfection  #cohorteffect  #gastritis  #indiaburden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Highest prevalence (cohort effect) plus the longest duration of infection, so more atrophic gastritis, intestinal metaplasia, peptic ulcers and gastric cancer accrue. Frequent NSAID/aspirin use in this group compounds ulcer and bleeding risk.</w:t>
            </w:r>
          </w:p>
          <w:p>
            <w:pPr>
              <w:spacing w:after="40" w:before="60" w:line="259" w:lineRule="auto"/>
            </w:pPr>
            <w:r>
              <w:rPr>
                <w:rFonts w:ascii="Calibri" w:hAnsi="Calibri"/>
                <w:b w:val="0"/>
                <w:i w:val="0"/>
                <w:color w:val="212121"/>
                <w:sz w:val="19"/>
              </w:rPr>
              <w:t>Atrophic gastritis affects roughly 25% of the global population, and H. pylori-infected people have about 2.4x the risk of developing chronic atrophic gastritis.</w:t>
            </w:r>
          </w:p>
          <w:p>
            <w:pPr>
              <w:spacing w:after="40" w:line="252" w:lineRule="auto"/>
            </w:pPr>
            <w:hyperlink r:id="rId9">
              <w:r>
                <w:rPr>
                  <w:rFonts w:ascii="Calibri" w:hAnsi="Calibri" w:cs="Calibri"/>
                  <w:sz w:val="18"/>
                  <w:color w:val="1155CC"/>
                  <w:u w:val="single"/>
                </w:rPr>
                <w:t xml:space="preserve">ncbi.nlm.nih.gov/books/NBK544250 - StatPearls: Gastritis</w:t>
              </w:r>
            </w:hyperlink>
          </w:p>
          <w:p>
            <w:pPr>
              <w:spacing w:before="60" w:after="40"/>
            </w:pPr>
            <w:r>
              <w:rPr>
                <w:rFonts w:ascii="Calibri" w:hAnsi="Calibri"/>
                <w:b w:val="0"/>
                <w:i w:val="0"/>
                <w:color w:val="5A5A5A"/>
                <w:sz w:val="18"/>
              </w:rPr>
              <w:t>#elderly  #atrophicgastritis  #nsaids  #gicancer  #bleedingrisk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develop peptic ulcers and gastric adenocarcinoma more often than women, reflecting higher rates of smoking, alcohol and NSAID use layered on chronic H. pylori gastritis.</w:t>
            </w:r>
          </w:p>
          <w:p>
            <w:pPr>
              <w:spacing w:after="40" w:before="60" w:line="259" w:lineRule="auto"/>
            </w:pPr>
            <w:r>
              <w:rPr>
                <w:rFonts w:ascii="Calibri" w:hAnsi="Calibri"/>
                <w:b w:val="0"/>
                <w:i w:val="0"/>
                <w:color w:val="212121"/>
                <w:sz w:val="19"/>
              </w:rPr>
              <w:t>Gastric cancer is more prevalent among men than women, and intestinal-type gastric adenocarcinoma (the H. pylori-driven type) is more common in men.</w:t>
            </w:r>
          </w:p>
          <w:p>
            <w:pPr>
              <w:spacing w:after="40" w:line="252" w:lineRule="auto"/>
            </w:pPr>
            <w:hyperlink r:id="rId10">
              <w:r>
                <w:rPr>
                  <w:rFonts w:ascii="Calibri" w:hAnsi="Calibri" w:cs="Calibri"/>
                  <w:sz w:val="18"/>
                  <w:color w:val="1155CC"/>
                  <w:u w:val="single"/>
                </w:rPr>
                <w:t xml:space="preserve">ncbi.nlm.nih.gov/books/NBK459142 - StatPearls: Gastric Cancer</w:t>
              </w:r>
            </w:hyperlink>
          </w:p>
          <w:p>
            <w:pPr>
              <w:spacing w:before="60" w:after="40"/>
            </w:pPr>
            <w:r>
              <w:rPr>
                <w:rFonts w:ascii="Calibri" w:hAnsi="Calibri"/>
                <w:b w:val="0"/>
                <w:i w:val="0"/>
                <w:color w:val="5A5A5A"/>
                <w:sz w:val="18"/>
              </w:rPr>
              <w:t>#male  #pepticulcer  #gastriccancer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households</w:t>
            </w:r>
          </w:p>
        </w:tc>
        <w:tc>
          <w:tcPr>
            <w:tcW w:type="dxa" w:w="4276"/>
            <w:vAlign w:val="top"/>
          </w:tcPr>
          <w:p>
            <w:pPr>
              <w:spacing w:after="60" w:line="259" w:lineRule="auto"/>
            </w:pPr>
            <w:r>
              <w:rPr>
                <w:rFonts w:ascii="Calibri" w:hAnsi="Calibri"/>
                <w:b w:val="0"/>
                <w:i w:val="0"/>
                <w:color w:val="212121"/>
                <w:sz w:val="19"/>
              </w:rPr>
              <w:t>Poverty clusters the key drivers of transmission - crowding, shared/contaminated water and limited hygiene - so infection is acquired earlier and is far more prevalent.</w:t>
            </w:r>
          </w:p>
          <w:p>
            <w:pPr>
              <w:spacing w:after="40" w:before="60" w:line="259" w:lineRule="auto"/>
            </w:pPr>
            <w:r>
              <w:rPr>
                <w:rFonts w:ascii="Calibri" w:hAnsi="Calibri"/>
                <w:b w:val="0"/>
                <w:i w:val="0"/>
                <w:color w:val="212121"/>
                <w:sz w:val="19"/>
              </w:rPr>
              <w:t>Lower socioeconomic status is a major risk factor for H. pylori infection, with much higher prevalence in developing countries.</w:t>
            </w:r>
          </w:p>
          <w:p>
            <w:pPr>
              <w:spacing w:after="40" w:line="252" w:lineRule="auto"/>
            </w:pPr>
            <w:hyperlink r:id="rId11">
              <w:r>
                <w:rPr>
                  <w:rFonts w:ascii="Calibri" w:hAnsi="Calibri" w:cs="Calibri"/>
                  <w:sz w:val="18"/>
                  <w:color w:val="1155CC"/>
                  <w:u w:val="single"/>
                </w:rPr>
                <w:t xml:space="preserve">ncbi.nlm.nih.gov/books/NBK534233 - StatPearls: H. pylori</w:t>
              </w:r>
            </w:hyperlink>
          </w:p>
          <w:p>
            <w:pPr>
              <w:spacing w:before="60" w:after="40"/>
            </w:pPr>
            <w:r>
              <w:rPr>
                <w:rFonts w:ascii="Calibri" w:hAnsi="Calibri"/>
                <w:b w:val="0"/>
                <w:i w:val="0"/>
                <w:color w:val="5A5A5A"/>
                <w:sz w:val="18"/>
              </w:rPr>
              <w:t>#poverty  #lowSES  #socialdeterminants  #crowding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country income</w:t>
            </w:r>
          </w:p>
        </w:tc>
        <w:tc>
          <w:tcPr>
            <w:tcW w:type="dxa" w:w="2160"/>
            <w:vAlign w:val="top"/>
          </w:tcPr>
          <w:p>
            <w:pPr>
              <w:spacing w:after="40" w:before="0" w:line="259" w:lineRule="auto"/>
            </w:pPr>
            <w:r>
              <w:rPr>
                <w:rFonts w:ascii="Calibri" w:hAnsi="Calibri"/>
                <w:b w:val="0"/>
                <w:i w:val="0"/>
                <w:color w:val="212121"/>
                <w:sz w:val="19"/>
              </w:rPr>
              <w:t>India &amp; other high-burden Asian settings</w:t>
            </w:r>
          </w:p>
        </w:tc>
        <w:tc>
          <w:tcPr>
            <w:tcW w:type="dxa" w:w="4276"/>
            <w:vAlign w:val="top"/>
          </w:tcPr>
          <w:p>
            <w:pPr>
              <w:spacing w:after="60" w:line="259" w:lineRule="auto"/>
            </w:pPr>
            <w:r>
              <w:rPr>
                <w:rFonts w:ascii="Calibri" w:hAnsi="Calibri"/>
                <w:b w:val="0"/>
                <w:i w:val="0"/>
                <w:color w:val="212121"/>
                <w:sz w:val="19"/>
              </w:rPr>
              <w:t>India sits in a high-transmission belt: dense populations, variable sanitation and unsafe water sustain early-childhood acquisition, so community prevalence is among the world's highest despite falling rates in high-income countries; Indian community series commonly report roughly 60-80% among adults.</w:t>
            </w:r>
          </w:p>
          <w:p>
            <w:pPr>
              <w:spacing w:after="40" w:before="60" w:line="259" w:lineRule="auto"/>
            </w:pPr>
            <w:r>
              <w:rPr>
                <w:rFonts w:ascii="Calibri" w:hAnsi="Calibri"/>
                <w:b w:val="0"/>
                <w:i w:val="0"/>
                <w:color w:val="212121"/>
                <w:sz w:val="19"/>
              </w:rPr>
              <w:t>Prevalence is ~51% across Asia and ~50% in developing countries, versus 69% in Africa and 78% in South America.</w:t>
            </w:r>
          </w:p>
          <w:p>
            <w:pPr>
              <w:spacing w:after="40" w:line="252" w:lineRule="auto"/>
            </w:pPr>
            <w:hyperlink r:id="rId9">
              <w:r>
                <w:rPr>
                  <w:rFonts w:ascii="Calibri" w:hAnsi="Calibri" w:cs="Calibri"/>
                  <w:sz w:val="18"/>
                  <w:color w:val="1155CC"/>
                  <w:u w:val="single"/>
                </w:rPr>
                <w:t xml:space="preserve">ncbi.nlm.nih.gov/books/NBK544250 - StatPearls: Gastritis</w:t>
              </w:r>
            </w:hyperlink>
          </w:p>
          <w:p>
            <w:pPr>
              <w:spacing w:before="60" w:after="40"/>
            </w:pPr>
            <w:r>
              <w:rPr>
                <w:rFonts w:ascii="Calibri" w:hAnsi="Calibri"/>
                <w:b w:val="0"/>
                <w:i w:val="0"/>
                <w:color w:val="5A5A5A"/>
                <w:sz w:val="18"/>
              </w:rPr>
              <w:t>#india  #asia  #developingworld  #highprevalence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Sanitation / water access</w:t>
            </w:r>
          </w:p>
        </w:tc>
        <w:tc>
          <w:tcPr>
            <w:tcW w:type="dxa" w:w="2160"/>
            <w:vAlign w:val="top"/>
          </w:tcPr>
          <w:p>
            <w:pPr>
              <w:spacing w:after="40" w:before="0" w:line="259" w:lineRule="auto"/>
            </w:pPr>
            <w:r>
              <w:rPr>
                <w:rFonts w:ascii="Calibri" w:hAnsi="Calibri"/>
                <w:b w:val="0"/>
                <w:i w:val="0"/>
                <w:color w:val="212121"/>
                <w:sz w:val="19"/>
              </w:rPr>
              <w:t>Rural &amp; poorly-sanitised communities</w:t>
            </w:r>
          </w:p>
        </w:tc>
        <w:tc>
          <w:tcPr>
            <w:tcW w:type="dxa" w:w="4276"/>
            <w:vAlign w:val="top"/>
          </w:tcPr>
          <w:p>
            <w:pPr>
              <w:spacing w:after="60" w:line="259" w:lineRule="auto"/>
            </w:pPr>
            <w:r>
              <w:rPr>
                <w:rFonts w:ascii="Calibri" w:hAnsi="Calibri"/>
                <w:b w:val="0"/>
                <w:i w:val="0"/>
                <w:color w:val="212121"/>
                <w:sz w:val="19"/>
              </w:rPr>
              <w:t>Open defecation, untreated well or surface water and inadequate sewage promote faecal-oral spread, giving the highest childhood infection rates.</w:t>
            </w:r>
          </w:p>
          <w:p>
            <w:pPr>
              <w:spacing w:after="40" w:before="60" w:line="259" w:lineRule="auto"/>
            </w:pPr>
            <w:r>
              <w:rPr>
                <w:rFonts w:ascii="Calibri" w:hAnsi="Calibri"/>
                <w:b w:val="0"/>
                <w:i w:val="0"/>
                <w:color w:val="212121"/>
                <w:sz w:val="19"/>
              </w:rPr>
              <w:t>Risk is increased by living in developing countries, crowded conditions and without a reliable supply of clean water.</w:t>
            </w:r>
          </w:p>
          <w:p>
            <w:pPr>
              <w:spacing w:after="40" w:line="252" w:lineRule="auto"/>
            </w:pPr>
            <w:hyperlink r:id="rId12">
              <w:r>
                <w:rPr>
                  <w:rFonts w:ascii="Calibri" w:hAnsi="Calibri" w:cs="Calibri"/>
                  <w:sz w:val="18"/>
                  <w:color w:val="1155CC"/>
                  <w:u w:val="single"/>
                </w:rPr>
                <w:t xml:space="preserve">mayoclinic.org - H. pylori risk factors</w:t>
              </w:r>
            </w:hyperlink>
          </w:p>
          <w:p>
            <w:pPr>
              <w:spacing w:before="60" w:after="40"/>
            </w:pPr>
            <w:r>
              <w:rPr>
                <w:rFonts w:ascii="Calibri" w:hAnsi="Calibri"/>
                <w:b w:val="0"/>
                <w:i w:val="0"/>
                <w:color w:val="5A5A5A"/>
                <w:sz w:val="18"/>
              </w:rPr>
              <w:t>#sanitation  #unsafewater  #faecaloral  #rural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density</w:t>
            </w:r>
          </w:p>
        </w:tc>
        <w:tc>
          <w:tcPr>
            <w:tcW w:type="dxa" w:w="2160"/>
            <w:vAlign w:val="top"/>
          </w:tcPr>
          <w:p>
            <w:pPr>
              <w:spacing w:after="40" w:before="0" w:line="259" w:lineRule="auto"/>
            </w:pPr>
            <w:r>
              <w:rPr>
                <w:rFonts w:ascii="Calibri" w:hAnsi="Calibri"/>
                <w:b w:val="0"/>
                <w:i w:val="0"/>
                <w:color w:val="212121"/>
                <w:sz w:val="19"/>
              </w:rPr>
              <w:t>Overcrowded urban slums / large joint families</w:t>
            </w:r>
          </w:p>
        </w:tc>
        <w:tc>
          <w:tcPr>
            <w:tcW w:type="dxa" w:w="4276"/>
            <w:vAlign w:val="top"/>
          </w:tcPr>
          <w:p>
            <w:pPr>
              <w:spacing w:after="60" w:line="259" w:lineRule="auto"/>
            </w:pPr>
            <w:r>
              <w:rPr>
                <w:rFonts w:ascii="Calibri" w:hAnsi="Calibri"/>
                <w:b w:val="0"/>
                <w:i w:val="0"/>
                <w:color w:val="212121"/>
                <w:sz w:val="19"/>
              </w:rPr>
              <w:t>Close, prolonged contact and sharing of food, utensils and sleeping space enable intrafamilial (notably mother-to-child) transmission and reinfection.</w:t>
            </w:r>
          </w:p>
          <w:p>
            <w:pPr>
              <w:spacing w:after="40" w:before="60" w:line="259" w:lineRule="auto"/>
            </w:pPr>
            <w:r>
              <w:rPr>
                <w:rFonts w:ascii="Calibri" w:hAnsi="Calibri"/>
                <w:b w:val="0"/>
                <w:i w:val="0"/>
                <w:color w:val="212121"/>
                <w:sz w:val="19"/>
              </w:rPr>
              <w:t>Living in crowded conditions and with someone who has H. pylori raises the risk of infection.</w:t>
            </w:r>
          </w:p>
          <w:p>
            <w:pPr>
              <w:spacing w:after="40" w:line="252" w:lineRule="auto"/>
            </w:pPr>
            <w:hyperlink r:id="rId12">
              <w:r>
                <w:rPr>
                  <w:rFonts w:ascii="Calibri" w:hAnsi="Calibri" w:cs="Calibri"/>
                  <w:sz w:val="18"/>
                  <w:color w:val="1155CC"/>
                  <w:u w:val="single"/>
                </w:rPr>
                <w:t xml:space="preserve">mayoclinic.org - H. pylori risk factors</w:t>
              </w:r>
            </w:hyperlink>
          </w:p>
          <w:p>
            <w:pPr>
              <w:spacing w:before="60" w:after="40"/>
            </w:pPr>
            <w:r>
              <w:rPr>
                <w:rFonts w:ascii="Calibri" w:hAnsi="Calibri"/>
                <w:b w:val="0"/>
                <w:i w:val="0"/>
                <w:color w:val="5A5A5A"/>
                <w:sz w:val="18"/>
              </w:rPr>
              <w:t>#crowding  #householdtransmission  #slums  #jointfamily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Smokers and bidi/tobacco users</w:t>
            </w:r>
          </w:p>
        </w:tc>
        <w:tc>
          <w:tcPr>
            <w:tcW w:type="dxa" w:w="4276"/>
            <w:vAlign w:val="top"/>
          </w:tcPr>
          <w:p>
            <w:pPr>
              <w:spacing w:after="60" w:line="259" w:lineRule="auto"/>
            </w:pPr>
            <w:r>
              <w:rPr>
                <w:rFonts w:ascii="Calibri" w:hAnsi="Calibri"/>
                <w:b w:val="0"/>
                <w:i w:val="0"/>
                <w:color w:val="212121"/>
                <w:sz w:val="19"/>
              </w:rPr>
              <w:t>Tobacco impairs gastric mucosal defence and blood flow, lowers the success of eradication therapy, and multiplies the risk that chronic infection progresses to ulcer and gastric cancer.</w:t>
            </w:r>
          </w:p>
          <w:p>
            <w:pPr>
              <w:spacing w:after="40" w:before="60" w:line="259" w:lineRule="auto"/>
            </w:pPr>
            <w:r>
              <w:rPr>
                <w:rFonts w:ascii="Calibri" w:hAnsi="Calibri"/>
                <w:b w:val="0"/>
                <w:i w:val="0"/>
                <w:color w:val="212121"/>
                <w:sz w:val="19"/>
              </w:rPr>
              <w:t>Clinical statement: smoking is a recognised co-factor that worsens ulcer risk, delays healing and reduces H. pylori eradication success (India-first framing; number not independently verified).</w:t>
            </w:r>
          </w:p>
          <w:p>
            <w:pPr>
              <w:spacing w:before="60" w:after="40"/>
            </w:pPr>
            <w:r>
              <w:rPr>
                <w:rFonts w:ascii="Calibri" w:hAnsi="Calibri"/>
                <w:b w:val="0"/>
                <w:i w:val="0"/>
                <w:color w:val="5A5A5A"/>
                <w:sz w:val="18"/>
              </w:rPr>
              <w:t>#smoking  #tobacco  #bidi  #eradicationfailure  #ulcer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Heavy alcohol directly irritates and inflames the gastric mucosa and, combined with H. pylori, aggravates gastritis and ulceration; alcohol during therapy also interacts with metronidazole.</w:t>
            </w:r>
          </w:p>
          <w:p>
            <w:pPr>
              <w:spacing w:after="40" w:before="60" w:line="259" w:lineRule="auto"/>
            </w:pPr>
            <w:r>
              <w:rPr>
                <w:rFonts w:ascii="Calibri" w:hAnsi="Calibri"/>
                <w:b w:val="0"/>
                <w:i w:val="0"/>
                <w:color w:val="212121"/>
                <w:sz w:val="19"/>
              </w:rPr>
              <w:t>Clinical statement: heavy alcohol use compounds mucosal injury in infected individuals (evidence on acquisition is mixed; figure not independently verified).</w:t>
            </w:r>
          </w:p>
          <w:p>
            <w:pPr>
              <w:spacing w:before="60" w:after="40"/>
            </w:pPr>
            <w:r>
              <w:rPr>
                <w:rFonts w:ascii="Calibri" w:hAnsi="Calibri"/>
                <w:b w:val="0"/>
                <w:i w:val="0"/>
                <w:color w:val="5A5A5A"/>
                <w:sz w:val="18"/>
              </w:rPr>
              <w:t>#alcohol  #gastritis  #mucosalinjury  #metronidazole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Food &amp; water hygiene</w:t>
            </w:r>
          </w:p>
        </w:tc>
        <w:tc>
          <w:tcPr>
            <w:tcW w:type="dxa" w:w="2160"/>
            <w:vAlign w:val="top"/>
          </w:tcPr>
          <w:p>
            <w:pPr>
              <w:spacing w:after="40" w:before="0" w:line="259" w:lineRule="auto"/>
            </w:pPr>
            <w:r>
              <w:rPr>
                <w:rFonts w:ascii="Calibri" w:hAnsi="Calibri"/>
                <w:b w:val="0"/>
                <w:i w:val="0"/>
                <w:color w:val="212121"/>
                <w:sz w:val="19"/>
              </w:rPr>
              <w:t>Consumers of unsafe street food / untreated water</w:t>
            </w:r>
          </w:p>
        </w:tc>
        <w:tc>
          <w:tcPr>
            <w:tcW w:type="dxa" w:w="4276"/>
            <w:vAlign w:val="top"/>
          </w:tcPr>
          <w:p>
            <w:pPr>
              <w:spacing w:after="60" w:line="259" w:lineRule="auto"/>
            </w:pPr>
            <w:r>
              <w:rPr>
                <w:rFonts w:ascii="Calibri" w:hAnsi="Calibri"/>
                <w:b w:val="0"/>
                <w:i w:val="0"/>
                <w:color w:val="212121"/>
                <w:sz w:val="19"/>
              </w:rPr>
              <w:t>Eating food prepared with poor hand hygiene and drinking untreated water are direct faecal-oral transmission routes and a major driver of acquisition in India.</w:t>
            </w:r>
          </w:p>
          <w:p>
            <w:pPr>
              <w:spacing w:after="40" w:before="60" w:line="259" w:lineRule="auto"/>
            </w:pPr>
            <w:r>
              <w:rPr>
                <w:rFonts w:ascii="Calibri" w:hAnsi="Calibri"/>
                <w:b w:val="0"/>
                <w:i w:val="0"/>
                <w:color w:val="212121"/>
                <w:sz w:val="19"/>
              </w:rPr>
              <w:t>H. pylori is thought to spread through contaminated food and water and via direct contact with saliva, vomit or stool of an infected person.</w:t>
            </w:r>
          </w:p>
          <w:p>
            <w:pPr>
              <w:spacing w:after="40" w:line="252" w:lineRule="auto"/>
            </w:pPr>
            <w:hyperlink r:id="rId12">
              <w:r>
                <w:rPr>
                  <w:rFonts w:ascii="Calibri" w:hAnsi="Calibri" w:cs="Calibri"/>
                  <w:sz w:val="18"/>
                  <w:color w:val="1155CC"/>
                  <w:u w:val="single"/>
                </w:rPr>
                <w:t xml:space="preserve">mayoclinic.org - how H. pylori spreads</w:t>
              </w:r>
            </w:hyperlink>
          </w:p>
          <w:p>
            <w:pPr>
              <w:spacing w:before="60" w:after="40"/>
            </w:pPr>
            <w:r>
              <w:rPr>
                <w:rFonts w:ascii="Calibri" w:hAnsi="Calibri"/>
                <w:b w:val="0"/>
                <w:i w:val="0"/>
                <w:color w:val="5A5A5A"/>
                <w:sz w:val="18"/>
              </w:rPr>
              <w:t>#streetfood  #unsafewater  #handhygiene  #foodsafety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High-salt / preserved diet</w:t>
            </w:r>
          </w:p>
        </w:tc>
        <w:tc>
          <w:tcPr>
            <w:tcW w:type="dxa" w:w="2160"/>
            <w:vAlign w:val="top"/>
          </w:tcPr>
          <w:p>
            <w:pPr>
              <w:spacing w:after="40" w:before="0" w:line="259" w:lineRule="auto"/>
            </w:pPr>
            <w:r>
              <w:rPr>
                <w:rFonts w:ascii="Calibri" w:hAnsi="Calibri"/>
                <w:b w:val="0"/>
                <w:i w:val="0"/>
                <w:color w:val="212121"/>
                <w:sz w:val="19"/>
              </w:rPr>
              <w:t>High intake of salt, salted, pickled &amp; smoked foods</w:t>
            </w:r>
          </w:p>
        </w:tc>
        <w:tc>
          <w:tcPr>
            <w:tcW w:type="dxa" w:w="4276"/>
            <w:vAlign w:val="top"/>
          </w:tcPr>
          <w:p>
            <w:pPr>
              <w:spacing w:after="60" w:line="259" w:lineRule="auto"/>
            </w:pPr>
            <w:r>
              <w:rPr>
                <w:rFonts w:ascii="Calibri" w:hAnsi="Calibri"/>
                <w:b w:val="0"/>
                <w:i w:val="0"/>
                <w:color w:val="212121"/>
                <w:sz w:val="19"/>
              </w:rPr>
              <w:t>A high-salt and salt-preserved diet damages the gastric mucosa and acts synergistically with H. pylori to accelerate the atrophic gastritis - intestinal metaplasia - cancer (Correa) cascade.</w:t>
            </w:r>
          </w:p>
          <w:p>
            <w:pPr>
              <w:spacing w:after="40" w:before="60" w:line="259" w:lineRule="auto"/>
            </w:pPr>
            <w:r>
              <w:rPr>
                <w:rFonts w:ascii="Calibri" w:hAnsi="Calibri"/>
                <w:b w:val="0"/>
                <w:i w:val="0"/>
                <w:color w:val="212121"/>
                <w:sz w:val="19"/>
              </w:rPr>
              <w:t>Persistent H. pylori inflammation depletes acid- and gastrin-producing cells, causing atrophy and intestinal metaplasia on the pathway to gastric adenocarcinoma.</w:t>
            </w:r>
          </w:p>
          <w:p>
            <w:pPr>
              <w:spacing w:after="40" w:line="252" w:lineRule="auto"/>
            </w:pPr>
            <w:hyperlink r:id="rId9">
              <w:r>
                <w:rPr>
                  <w:rFonts w:ascii="Calibri" w:hAnsi="Calibri" w:cs="Calibri"/>
                  <w:sz w:val="18"/>
                  <w:color w:val="1155CC"/>
                  <w:u w:val="single"/>
                </w:rPr>
                <w:t xml:space="preserve">ncbi.nlm.nih.gov/books/NBK544250 - StatPearls: Gastritis</w:t>
              </w:r>
            </w:hyperlink>
          </w:p>
          <w:p>
            <w:pPr>
              <w:spacing w:before="60" w:after="40"/>
            </w:pPr>
            <w:r>
              <w:rPr>
                <w:rFonts w:ascii="Calibri" w:hAnsi="Calibri"/>
                <w:b w:val="0"/>
                <w:i w:val="0"/>
                <w:color w:val="5A5A5A"/>
                <w:sz w:val="18"/>
              </w:rPr>
              <w:t>#highsalt  #pickles  #preservedfood  #correascascade  #gastriccancer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fruit &amp; vegetable intake</w:t>
            </w:r>
          </w:p>
        </w:tc>
        <w:tc>
          <w:tcPr>
            <w:tcW w:type="dxa" w:w="2160"/>
            <w:vAlign w:val="top"/>
          </w:tcPr>
          <w:p>
            <w:pPr>
              <w:spacing w:after="40" w:before="0" w:line="259" w:lineRule="auto"/>
            </w:pPr>
            <w:r>
              <w:rPr>
                <w:rFonts w:ascii="Calibri" w:hAnsi="Calibri"/>
                <w:b w:val="0"/>
                <w:i w:val="0"/>
                <w:color w:val="212121"/>
                <w:sz w:val="19"/>
              </w:rPr>
              <w:t>Diets low in fresh fruit, vegetables &amp; vitamin C</w:t>
            </w:r>
          </w:p>
        </w:tc>
        <w:tc>
          <w:tcPr>
            <w:tcW w:type="dxa" w:w="4276"/>
            <w:vAlign w:val="top"/>
          </w:tcPr>
          <w:p>
            <w:pPr>
              <w:spacing w:after="60" w:line="259" w:lineRule="auto"/>
            </w:pPr>
            <w:r>
              <w:rPr>
                <w:rFonts w:ascii="Calibri" w:hAnsi="Calibri"/>
                <w:b w:val="0"/>
                <w:i w:val="0"/>
                <w:color w:val="212121"/>
                <w:sz w:val="19"/>
              </w:rPr>
              <w:t>Antioxidant-poor diets reduce mucosal protection against H. pylori-driven oxidative injury; low fruit and vegetable intake is associated with higher gastric cancer risk.</w:t>
            </w:r>
          </w:p>
          <w:p>
            <w:pPr>
              <w:spacing w:after="40" w:before="60" w:line="259" w:lineRule="auto"/>
            </w:pPr>
            <w:r>
              <w:rPr>
                <w:rFonts w:ascii="Calibri" w:hAnsi="Calibri"/>
                <w:b w:val="0"/>
                <w:i w:val="0"/>
                <w:color w:val="212121"/>
                <w:sz w:val="19"/>
              </w:rPr>
              <w:t>Clinical statement: adequate fruit and vegetable intake is protective against gastric cancer, whereas low intake raises risk in H. pylori-infected people (figure not independently verified).</w:t>
            </w:r>
          </w:p>
          <w:p>
            <w:pPr>
              <w:spacing w:before="60" w:after="40"/>
            </w:pPr>
            <w:r>
              <w:rPr>
                <w:rFonts w:ascii="Calibri" w:hAnsi="Calibri"/>
                <w:b w:val="0"/>
                <w:i w:val="0"/>
                <w:color w:val="5A5A5A"/>
                <w:sz w:val="18"/>
              </w:rPr>
              <w:t>#lowfibre  #antioxidants  #vitaminC  #fruitveg</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infected or with gastric cancer</w:t>
            </w:r>
          </w:p>
        </w:tc>
        <w:tc>
          <w:tcPr>
            <w:tcW w:type="dxa" w:w="4276"/>
            <w:vAlign w:val="top"/>
          </w:tcPr>
          <w:p>
            <w:pPr>
              <w:spacing w:after="60" w:line="259" w:lineRule="auto"/>
            </w:pPr>
            <w:r>
              <w:rPr>
                <w:rFonts w:ascii="Calibri" w:hAnsi="Calibri"/>
                <w:b w:val="0"/>
                <w:i w:val="0"/>
                <w:color w:val="212121"/>
                <w:sz w:val="19"/>
              </w:rPr>
              <w:t>Shared household exposure means infection clusters in families, and a family history of gastric cancer combines inherited susceptibility with a shared virulent strain to raise risk.</w:t>
            </w:r>
          </w:p>
          <w:p>
            <w:pPr>
              <w:spacing w:after="40" w:before="60" w:line="259" w:lineRule="auto"/>
            </w:pPr>
            <w:r>
              <w:rPr>
                <w:rFonts w:ascii="Calibri" w:hAnsi="Calibri"/>
                <w:b w:val="0"/>
                <w:i w:val="0"/>
                <w:color w:val="212121"/>
                <w:sz w:val="19"/>
              </w:rPr>
              <w:t>A family history of stomach cancer, and having a family member with H. pylori, are recognised risk factors.</w:t>
            </w:r>
          </w:p>
          <w:p>
            <w:pPr>
              <w:spacing w:after="40" w:line="252" w:lineRule="auto"/>
            </w:pPr>
            <w:hyperlink r:id="rId12">
              <w:r>
                <w:rPr>
                  <w:rFonts w:ascii="Calibri" w:hAnsi="Calibri" w:cs="Calibri"/>
                  <w:sz w:val="18"/>
                  <w:color w:val="1155CC"/>
                  <w:u w:val="single"/>
                </w:rPr>
                <w:t xml:space="preserve">mayoclinic.org - H. pylori risk factors</w:t>
              </w:r>
            </w:hyperlink>
          </w:p>
          <w:p>
            <w:pPr>
              <w:spacing w:before="60" w:after="40"/>
            </w:pPr>
            <w:r>
              <w:rPr>
                <w:rFonts w:ascii="Calibri" w:hAnsi="Calibri"/>
                <w:b w:val="0"/>
                <w:i w:val="0"/>
                <w:color w:val="5A5A5A"/>
                <w:sz w:val="18"/>
              </w:rPr>
              <w:t>#familyhistory  #intrafamilial  #gastriccancer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Host inflammatory genotype</w:t>
            </w:r>
          </w:p>
        </w:tc>
        <w:tc>
          <w:tcPr>
            <w:tcW w:type="dxa" w:w="2160"/>
            <w:vAlign w:val="top"/>
          </w:tcPr>
          <w:p>
            <w:pPr>
              <w:spacing w:after="40" w:before="0" w:line="259" w:lineRule="auto"/>
            </w:pPr>
            <w:r>
              <w:rPr>
                <w:rFonts w:ascii="Calibri" w:hAnsi="Calibri"/>
                <w:b w:val="0"/>
                <w:i w:val="0"/>
                <w:color w:val="212121"/>
                <w:sz w:val="19"/>
              </w:rPr>
              <w:t>Pro-inflammatory cytokine polymorphisms (e.g., IL-1beta)</w:t>
            </w:r>
          </w:p>
        </w:tc>
        <w:tc>
          <w:tcPr>
            <w:tcW w:type="dxa" w:w="4276"/>
            <w:vAlign w:val="top"/>
          </w:tcPr>
          <w:p>
            <w:pPr>
              <w:spacing w:after="60" w:line="259" w:lineRule="auto"/>
            </w:pPr>
            <w:r>
              <w:rPr>
                <w:rFonts w:ascii="Calibri" w:hAnsi="Calibri"/>
                <w:b w:val="0"/>
                <w:i w:val="0"/>
                <w:color w:val="212121"/>
                <w:sz w:val="19"/>
              </w:rPr>
              <w:t>Pro-inflammatory host polymorphisms (such as IL-1beta and TNF-alpha variants) amplify the acid-suppressing inflammatory response to H. pylori, favouring atrophy and a higher gastric-cancer phenotype.</w:t>
            </w:r>
          </w:p>
          <w:p>
            <w:pPr>
              <w:spacing w:after="40" w:before="60" w:line="259" w:lineRule="auto"/>
            </w:pPr>
            <w:r>
              <w:rPr>
                <w:rFonts w:ascii="Calibri" w:hAnsi="Calibri"/>
                <w:b w:val="0"/>
                <w:i w:val="0"/>
                <w:color w:val="212121"/>
                <w:sz w:val="19"/>
              </w:rPr>
              <w:t>Clinical statement: host inflammatory-cytokine polymorphisms modulate outcome of infection (mechanistic; specific frequency not independently verified).</w:t>
            </w:r>
          </w:p>
          <w:p>
            <w:pPr>
              <w:spacing w:before="60" w:after="40"/>
            </w:pPr>
            <w:r>
              <w:rPr>
                <w:rFonts w:ascii="Calibri" w:hAnsi="Calibri"/>
                <w:b w:val="0"/>
                <w:i w:val="0"/>
                <w:color w:val="5A5A5A"/>
                <w:sz w:val="18"/>
              </w:rPr>
              <w:t>#hostgenetics  #IL1beta  #inflammation  #atrophy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Peptic ulcer disease</w:t>
            </w:r>
          </w:p>
        </w:tc>
        <w:tc>
          <w:tcPr>
            <w:tcW w:type="dxa" w:w="2160"/>
            <w:vAlign w:val="top"/>
          </w:tcPr>
          <w:p>
            <w:pPr>
              <w:spacing w:after="40" w:before="0" w:line="259" w:lineRule="auto"/>
            </w:pPr>
            <w:r>
              <w:rPr>
                <w:rFonts w:ascii="Calibri" w:hAnsi="Calibri"/>
                <w:b w:val="0"/>
                <w:i w:val="0"/>
                <w:color w:val="212121"/>
                <w:sz w:val="19"/>
              </w:rPr>
              <w:t>Patients with gastric or duodenal ulcer</w:t>
            </w:r>
          </w:p>
        </w:tc>
        <w:tc>
          <w:tcPr>
            <w:tcW w:type="dxa" w:w="4276"/>
            <w:vAlign w:val="top"/>
          </w:tcPr>
          <w:p>
            <w:pPr>
              <w:spacing w:after="60" w:line="259" w:lineRule="auto"/>
            </w:pPr>
            <w:r>
              <w:rPr>
                <w:rFonts w:ascii="Calibri" w:hAnsi="Calibri"/>
                <w:b w:val="0"/>
                <w:i w:val="0"/>
                <w:color w:val="212121"/>
                <w:sz w:val="19"/>
              </w:rPr>
              <w:t>H. pylori is the dominant cause of peptic ulcer disease; infection plus NSAID use accounts for the large majority of ulcers, and eradication both heals ulcers and prevents recurrence.</w:t>
            </w:r>
          </w:p>
          <w:p>
            <w:pPr>
              <w:spacing w:after="40" w:before="60" w:line="259" w:lineRule="auto"/>
            </w:pPr>
            <w:r>
              <w:rPr>
                <w:rFonts w:ascii="Calibri" w:hAnsi="Calibri"/>
                <w:b w:val="0"/>
                <w:i w:val="0"/>
                <w:color w:val="212121"/>
                <w:sz w:val="19"/>
              </w:rPr>
              <w:t>H. pylori is responsible for ~90% of duodenal ulcers and 70-90% of gastric ulcers.</w:t>
            </w:r>
          </w:p>
          <w:p>
            <w:pPr>
              <w:spacing w:after="40" w:line="252" w:lineRule="auto"/>
            </w:pPr>
            <w:hyperlink r:id="rId13">
              <w:r>
                <w:rPr>
                  <w:rFonts w:ascii="Calibri" w:hAnsi="Calibri" w:cs="Calibri"/>
                  <w:sz w:val="18"/>
                  <w:color w:val="1155CC"/>
                  <w:u w:val="single"/>
                </w:rPr>
                <w:t xml:space="preserve">ncbi.nlm.nih.gov/books/NBK534792 - StatPearls: Peptic Ulcer Disease</w:t>
              </w:r>
            </w:hyperlink>
          </w:p>
          <w:p>
            <w:pPr>
              <w:spacing w:before="60" w:after="40"/>
            </w:pPr>
            <w:r>
              <w:rPr>
                <w:rFonts w:ascii="Calibri" w:hAnsi="Calibri"/>
                <w:b w:val="0"/>
                <w:i w:val="0"/>
                <w:color w:val="5A5A5A"/>
                <w:sz w:val="18"/>
              </w:rPr>
              <w:t>#pepticulcer  #duodenalulcer  #gastriculcer  #nsaids  #eradication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Gastric cancer / MALT lymphoma</w:t>
            </w:r>
          </w:p>
        </w:tc>
        <w:tc>
          <w:tcPr>
            <w:tcW w:type="dxa" w:w="2160"/>
            <w:vAlign w:val="top"/>
          </w:tcPr>
          <w:p>
            <w:pPr>
              <w:spacing w:after="40" w:before="0" w:line="259" w:lineRule="auto"/>
            </w:pPr>
            <w:r>
              <w:rPr>
                <w:rFonts w:ascii="Calibri" w:hAnsi="Calibri"/>
                <w:b w:val="0"/>
                <w:i w:val="0"/>
                <w:color w:val="212121"/>
                <w:sz w:val="19"/>
              </w:rPr>
              <w:t>Patients with gastric adenocarcinoma or MALT lymphoma</w:t>
            </w:r>
          </w:p>
        </w:tc>
        <w:tc>
          <w:tcPr>
            <w:tcW w:type="dxa" w:w="4276"/>
            <w:vAlign w:val="top"/>
          </w:tcPr>
          <w:p>
            <w:pPr>
              <w:spacing w:after="60" w:line="259" w:lineRule="auto"/>
            </w:pPr>
            <w:r>
              <w:rPr>
                <w:rFonts w:ascii="Calibri" w:hAnsi="Calibri"/>
                <w:b w:val="0"/>
                <w:i w:val="0"/>
                <w:color w:val="212121"/>
                <w:sz w:val="19"/>
              </w:rPr>
              <w:t>Chronic H. pylori infection is the leading cause of non-cardia gastric adenocarcinoma and gastric MALT lymphoma; it was classified by WHO/IARC as a Group 1 human carcinogen in 1994, and eradication can induce remission of early MALT lymphoma.</w:t>
            </w:r>
          </w:p>
          <w:p>
            <w:pPr>
              <w:spacing w:after="40" w:before="60" w:line="259" w:lineRule="auto"/>
            </w:pPr>
            <w:r>
              <w:rPr>
                <w:rFonts w:ascii="Calibri" w:hAnsi="Calibri"/>
                <w:b w:val="0"/>
                <w:i w:val="0"/>
                <w:color w:val="212121"/>
                <w:sz w:val="19"/>
              </w:rPr>
              <w:t>WHO/IARC classifies H. pylori as a human carcinogen; the majority of gastric adenocarcinoma and gastric MALT lymphoma cases are attributed to the infection.</w:t>
            </w:r>
          </w:p>
          <w:p>
            <w:pPr>
              <w:spacing w:after="40" w:line="252" w:lineRule="auto"/>
            </w:pPr>
            <w:hyperlink r:id="rId14">
              <w:r>
                <w:rPr>
                  <w:rFonts w:ascii="Calibri" w:hAnsi="Calibri" w:cs="Calibri"/>
                  <w:sz w:val="18"/>
                  <w:color w:val="1155CC"/>
                  <w:u w:val="single"/>
                </w:rPr>
                <w:t xml:space="preserve">cancer.gov - H. pylori and cancer fact sheet</w:t>
              </w:r>
            </w:hyperlink>
          </w:p>
          <w:p>
            <w:pPr>
              <w:spacing w:before="60" w:after="40"/>
            </w:pPr>
            <w:r>
              <w:rPr>
                <w:rFonts w:ascii="Calibri" w:hAnsi="Calibri"/>
                <w:b w:val="0"/>
                <w:i w:val="0"/>
                <w:color w:val="5A5A5A"/>
                <w:sz w:val="18"/>
              </w:rPr>
              <w:t>#gastriccancer  #MALTlymphoma  #IARCgroup1  #carcinogen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Iron-deficiency anaemia / ITP</w:t>
            </w:r>
          </w:p>
        </w:tc>
        <w:tc>
          <w:tcPr>
            <w:tcW w:type="dxa" w:w="2160"/>
            <w:vAlign w:val="top"/>
          </w:tcPr>
          <w:p>
            <w:pPr>
              <w:spacing w:after="40" w:before="0" w:line="259" w:lineRule="auto"/>
            </w:pPr>
            <w:r>
              <w:rPr>
                <w:rFonts w:ascii="Calibri" w:hAnsi="Calibri"/>
                <w:b w:val="0"/>
                <w:i w:val="0"/>
                <w:color w:val="212121"/>
                <w:sz w:val="19"/>
              </w:rPr>
              <w:t>Unexplained IDA, refractory anaemia, immune thrombocytopenia</w:t>
            </w:r>
          </w:p>
        </w:tc>
        <w:tc>
          <w:tcPr>
            <w:tcW w:type="dxa" w:w="4276"/>
            <w:vAlign w:val="top"/>
          </w:tcPr>
          <w:p>
            <w:pPr>
              <w:spacing w:after="60" w:line="259" w:lineRule="auto"/>
            </w:pPr>
            <w:r>
              <w:rPr>
                <w:rFonts w:ascii="Calibri" w:hAnsi="Calibri"/>
                <w:b w:val="0"/>
                <w:i w:val="0"/>
                <w:color w:val="212121"/>
                <w:sz w:val="19"/>
              </w:rPr>
              <w:t>H. pylori is an established cause of otherwise-unexplained iron-deficiency anaemia and is linked to immune thrombocytopenic purpura; eradication is recommended and often corrects these.</w:t>
            </w:r>
          </w:p>
          <w:p>
            <w:pPr>
              <w:spacing w:after="40" w:before="60" w:line="259" w:lineRule="auto"/>
            </w:pPr>
            <w:r>
              <w:rPr>
                <w:rFonts w:ascii="Calibri" w:hAnsi="Calibri"/>
                <w:b w:val="0"/>
                <w:i w:val="0"/>
                <w:color w:val="212121"/>
                <w:sz w:val="19"/>
              </w:rPr>
              <w:t>H. pylori infection is associated with iron-deficiency anaemia and chronic immune thrombocytopenia, both of which can improve after eradication.</w:t>
            </w:r>
          </w:p>
          <w:p>
            <w:pPr>
              <w:spacing w:after="40" w:line="252" w:lineRule="auto"/>
            </w:pPr>
            <w:hyperlink r:id="rId11">
              <w:r>
                <w:rPr>
                  <w:rFonts w:ascii="Calibri" w:hAnsi="Calibri" w:cs="Calibri"/>
                  <w:sz w:val="18"/>
                  <w:color w:val="1155CC"/>
                  <w:u w:val="single"/>
                </w:rPr>
                <w:t xml:space="preserve">ncbi.nlm.nih.gov/books/NBK534233 - StatPearls: H. pylori</w:t>
              </w:r>
            </w:hyperlink>
          </w:p>
          <w:p>
            <w:pPr>
              <w:spacing w:before="60" w:after="40"/>
            </w:pPr>
            <w:r>
              <w:rPr>
                <w:rFonts w:ascii="Calibri" w:hAnsi="Calibri"/>
                <w:b w:val="0"/>
                <w:i w:val="0"/>
                <w:color w:val="5A5A5A"/>
                <w:sz w:val="18"/>
              </w:rPr>
              <w:t>#irondeficiency  #anaemia  #ITP  #extragastric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little direct effect on acquiring H. pylori, which is driven by sanitation and childhood exposure; regular activity supports general and metabolic health, and H. pylori has been linked epidemiologically to metabolic syndrome.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Contaminated food and water are principal transmission routes, and high-salt, salt-preserved and smoked foods with low fruit/vegetable intake act synergistically with H. pylori to promote atrophic gastritis and gastric cancer.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role in acquiring or clearing infection, though poor sleep can worsen the perception of dyspeptic and reflux-type symptoms.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mucosal defence, reduces eradication success and increases the risk that chronic infection progresses to peptic ulcer and gastric cancer.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irritates the gastric mucosa and aggravates gastritis; evidence on acquisition is mixed, and alcohol interacts with metronidazole during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does not cause infection but, through the gut-brain axis, amplifies dyspeptic symptom perception in colonised individuals.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Unsafe, untreated or faecally-contaminated drinking water is a key faecal-oral transmission route and a central driver of India's high childhood acquisition.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role in infection but can aggravate acid-related and dyspeptic symptoms in patients with gastritis or ulcers.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Hand-washing with soap, safe food handling and improved sanitation are primary determinants of transmission; poor hygiene sustains person-to-person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NSAIDs/aspirin and smoking act synergistically with H. pylori to precipitate peptic ulcers and gastrointestinal bleeding.</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&amp; improved sanitation</w:t>
            </w:r>
          </w:p>
        </w:tc>
        <w:tc>
          <w:tcPr>
            <w:tcW w:type="dxa" w:w="1655"/>
            <w:vAlign w:val="top"/>
          </w:tcPr>
          <w:p>
            <w:pPr>
              <w:spacing w:after="40" w:before="0" w:line="259" w:lineRule="auto"/>
            </w:pPr>
            <w:r>
              <w:rPr>
                <w:rFonts w:ascii="Calibri" w:hAnsi="Calibri"/>
                <w:b w:val="0"/>
                <w:i w:val="0"/>
                <w:color w:val="212121"/>
                <w:sz w:val="19"/>
              </w:rPr>
              <w:t>Children, households, food handlers</w:t>
            </w:r>
          </w:p>
        </w:tc>
        <w:tc>
          <w:tcPr>
            <w:tcW w:type="dxa" w:w="1512"/>
            <w:vAlign w:val="top"/>
          </w:tcPr>
          <w:p>
            <w:pPr>
              <w:spacing w:after="40" w:before="0" w:line="259" w:lineRule="auto"/>
            </w:pPr>
            <w:r>
              <w:rPr>
                <w:rFonts w:ascii="Calibri" w:hAnsi="Calibri"/>
                <w:b w:val="0"/>
                <w:i w:val="0"/>
                <w:color w:val="212121"/>
                <w:sz w:val="19"/>
              </w:rPr>
              <w:t>Hand-washing with soap; use of a toilet / improved sanitation</w:t>
            </w:r>
          </w:p>
        </w:tc>
        <w:tc>
          <w:tcPr>
            <w:tcW w:type="dxa" w:w="1512"/>
            <w:vAlign w:val="top"/>
          </w:tcPr>
          <w:p>
            <w:pPr>
              <w:spacing w:after="40" w:before="0" w:line="259" w:lineRule="auto"/>
            </w:pPr>
            <w:r>
              <w:rPr>
                <w:rFonts w:ascii="Calibri" w:hAnsi="Calibri"/>
                <w:b w:val="0"/>
                <w:i w:val="0"/>
                <w:color w:val="212121"/>
                <w:sz w:val="19"/>
              </w:rPr>
              <w:t>Open defecation; no hand-washing after toilet / before food</w:t>
            </w:r>
          </w:p>
        </w:tc>
        <w:tc>
          <w:tcPr>
            <w:tcW w:type="dxa" w:w="1468"/>
            <w:vAlign w:val="top"/>
          </w:tcPr>
          <w:p>
            <w:pPr>
              <w:spacing w:after="40" w:before="0" w:line="259" w:lineRule="auto"/>
            </w:pPr>
            <w:r>
              <w:rPr>
                <w:rFonts w:ascii="Calibri" w:hAnsi="Calibri"/>
                <w:b w:val="0"/>
                <w:i w:val="0"/>
                <w:color w:val="212121"/>
                <w:sz w:val="19"/>
              </w:rPr>
              <w:t>Interrupts the faecal-oral route responsible for most childhood acquisition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safety</w:t>
            </w:r>
          </w:p>
        </w:tc>
        <w:tc>
          <w:tcPr>
            <w:tcW w:type="dxa" w:w="1655"/>
            <w:vAlign w:val="top"/>
          </w:tcPr>
          <w:p>
            <w:pPr>
              <w:spacing w:after="40" w:before="0" w:line="259" w:lineRule="auto"/>
            </w:pPr>
            <w:r>
              <w:rPr>
                <w:rFonts w:ascii="Calibri" w:hAnsi="Calibri"/>
                <w:b w:val="0"/>
                <w:i w:val="0"/>
                <w:color w:val="212121"/>
                <w:sz w:val="19"/>
              </w:rPr>
              <w:t>All ages, rural &amp; slum residents</w:t>
            </w:r>
          </w:p>
        </w:tc>
        <w:tc>
          <w:tcPr>
            <w:tcW w:type="dxa" w:w="1512"/>
            <w:vAlign w:val="top"/>
          </w:tcPr>
          <w:p>
            <w:pPr>
              <w:spacing w:after="40" w:before="0" w:line="259" w:lineRule="auto"/>
            </w:pPr>
            <w:r>
              <w:rPr>
                <w:rFonts w:ascii="Calibri" w:hAnsi="Calibri"/>
                <w:b w:val="0"/>
                <w:i w:val="0"/>
                <w:color w:val="212121"/>
                <w:sz w:val="19"/>
              </w:rPr>
              <w:t>Boiled, filtered or reliably treated piped water</w:t>
            </w:r>
          </w:p>
        </w:tc>
        <w:tc>
          <w:tcPr>
            <w:tcW w:type="dxa" w:w="1512"/>
            <w:vAlign w:val="top"/>
          </w:tcPr>
          <w:p>
            <w:pPr>
              <w:spacing w:after="40" w:before="0" w:line="259" w:lineRule="auto"/>
            </w:pPr>
            <w:r>
              <w:rPr>
                <w:rFonts w:ascii="Calibri" w:hAnsi="Calibri"/>
                <w:b w:val="0"/>
                <w:i w:val="0"/>
                <w:color w:val="212121"/>
                <w:sz w:val="19"/>
              </w:rPr>
              <w:t>Untreated well, surface or shared unsafe water</w:t>
            </w:r>
          </w:p>
        </w:tc>
        <w:tc>
          <w:tcPr>
            <w:tcW w:type="dxa" w:w="1468"/>
            <w:vAlign w:val="top"/>
          </w:tcPr>
          <w:p>
            <w:pPr>
              <w:spacing w:after="40" w:before="0" w:line="259" w:lineRule="auto"/>
            </w:pPr>
            <w:r>
              <w:rPr>
                <w:rFonts w:ascii="Calibri" w:hAnsi="Calibri"/>
                <w:b w:val="0"/>
                <w:i w:val="0"/>
                <w:color w:val="212121"/>
                <w:sz w:val="19"/>
              </w:rPr>
              <w:t>Contaminated water is a key transmission route in India</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crowding (persons per room)</w:t>
            </w:r>
          </w:p>
        </w:tc>
        <w:tc>
          <w:tcPr>
            <w:tcW w:type="dxa" w:w="1655"/>
            <w:vAlign w:val="top"/>
          </w:tcPr>
          <w:p>
            <w:pPr>
              <w:spacing w:after="40" w:before="0" w:line="259" w:lineRule="auto"/>
            </w:pPr>
            <w:r>
              <w:rPr>
                <w:rFonts w:ascii="Calibri" w:hAnsi="Calibri"/>
                <w:b w:val="0"/>
                <w:i w:val="0"/>
                <w:color w:val="212121"/>
                <w:sz w:val="19"/>
              </w:rPr>
              <w:t>Large / joint families, slum households</w:t>
            </w:r>
          </w:p>
        </w:tc>
        <w:tc>
          <w:tcPr>
            <w:tcW w:type="dxa" w:w="1512"/>
            <w:vAlign w:val="top"/>
          </w:tcPr>
          <w:p>
            <w:pPr>
              <w:spacing w:after="40" w:before="0" w:line="259" w:lineRule="auto"/>
            </w:pPr>
            <w:r>
              <w:rPr>
                <w:rFonts w:ascii="Calibri" w:hAnsi="Calibri"/>
                <w:b w:val="0"/>
                <w:i w:val="0"/>
                <w:color w:val="212121"/>
                <w:sz w:val="19"/>
              </w:rPr>
              <w:t>Low occupancy per room</w:t>
            </w:r>
          </w:p>
        </w:tc>
        <w:tc>
          <w:tcPr>
            <w:tcW w:type="dxa" w:w="1512"/>
            <w:vAlign w:val="top"/>
          </w:tcPr>
          <w:p>
            <w:pPr>
              <w:spacing w:after="40" w:before="0" w:line="259" w:lineRule="auto"/>
            </w:pPr>
            <w:r>
              <w:rPr>
                <w:rFonts w:ascii="Calibri" w:hAnsi="Calibri"/>
                <w:b w:val="0"/>
                <w:i w:val="0"/>
                <w:color w:val="212121"/>
                <w:sz w:val="19"/>
              </w:rPr>
              <w:t>Overcrowding with shared utensils &amp; bedding</w:t>
            </w:r>
          </w:p>
        </w:tc>
        <w:tc>
          <w:tcPr>
            <w:tcW w:type="dxa" w:w="1468"/>
            <w:vAlign w:val="top"/>
          </w:tcPr>
          <w:p>
            <w:pPr>
              <w:spacing w:after="40" w:before="0" w:line="259" w:lineRule="auto"/>
            </w:pPr>
            <w:r>
              <w:rPr>
                <w:rFonts w:ascii="Calibri" w:hAnsi="Calibri"/>
                <w:b w:val="0"/>
                <w:i w:val="0"/>
                <w:color w:val="212121"/>
                <w:sz w:val="19"/>
              </w:rPr>
              <w:t>Facilitates intrafamilial (mother-to-child) transmission and reinfection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salt (g/day)</w:t>
            </w:r>
          </w:p>
        </w:tc>
        <w:tc>
          <w:tcPr>
            <w:tcW w:type="dxa" w:w="1655"/>
            <w:vAlign w:val="top"/>
          </w:tcPr>
          <w:p>
            <w:pPr>
              <w:spacing w:after="40" w:before="0" w:line="259" w:lineRule="auto"/>
            </w:pPr>
            <w:r>
              <w:rPr>
                <w:rFonts w:ascii="Calibri" w:hAnsi="Calibri"/>
                <w:b w:val="0"/>
                <w:i w:val="0"/>
                <w:color w:val="212121"/>
                <w:sz w:val="19"/>
              </w:rPr>
              <w:t>High-salt diets, pickled-food consumers</w:t>
            </w:r>
          </w:p>
        </w:tc>
        <w:tc>
          <w:tcPr>
            <w:tcW w:type="dxa" w:w="1512"/>
            <w:vAlign w:val="top"/>
          </w:tcPr>
          <w:p>
            <w:pPr>
              <w:spacing w:after="40" w:before="0" w:line="259" w:lineRule="auto"/>
            </w:pPr>
            <w:r>
              <w:rPr>
                <w:rFonts w:ascii="Calibri" w:hAnsi="Calibri"/>
                <w:b w:val="0"/>
                <w:i w:val="0"/>
                <w:color w:val="212121"/>
                <w:sz w:val="19"/>
              </w:rPr>
              <w:t>&lt; 5 g salt/day</w:t>
            </w:r>
          </w:p>
        </w:tc>
        <w:tc>
          <w:tcPr>
            <w:tcW w:type="dxa" w:w="1512"/>
            <w:vAlign w:val="top"/>
          </w:tcPr>
          <w:p>
            <w:pPr>
              <w:spacing w:after="40" w:before="0" w:line="259" w:lineRule="auto"/>
            </w:pPr>
            <w:r>
              <w:rPr>
                <w:rFonts w:ascii="Calibri" w:hAnsi="Calibri"/>
                <w:b w:val="0"/>
                <w:i w:val="0"/>
                <w:color w:val="212121"/>
                <w:sz w:val="19"/>
              </w:rPr>
              <w:t>&gt; 5 g/day; frequent salted/pickled/smoked foods</w:t>
            </w:r>
          </w:p>
        </w:tc>
        <w:tc>
          <w:tcPr>
            <w:tcW w:type="dxa" w:w="1468"/>
            <w:vAlign w:val="top"/>
          </w:tcPr>
          <w:p>
            <w:pPr>
              <w:spacing w:after="40" w:before="0" w:line="259" w:lineRule="auto"/>
            </w:pPr>
            <w:r>
              <w:rPr>
                <w:rFonts w:ascii="Calibri" w:hAnsi="Calibri"/>
                <w:b w:val="0"/>
                <w:i w:val="0"/>
                <w:color w:val="212121"/>
                <w:sz w:val="19"/>
              </w:rPr>
              <w:t>Salt synergises with H. pylori to promote atrophic gastritis and gastric cancer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&amp; vegetable intake</w:t>
            </w:r>
          </w:p>
        </w:tc>
        <w:tc>
          <w:tcPr>
            <w:tcW w:type="dxa" w:w="1655"/>
            <w:vAlign w:val="top"/>
          </w:tcPr>
          <w:p>
            <w:pPr>
              <w:spacing w:after="40" w:before="0" w:line="259" w:lineRule="auto"/>
            </w:pPr>
            <w:r>
              <w:rPr>
                <w:rFonts w:ascii="Calibri" w:hAnsi="Calibri"/>
                <w:b w:val="0"/>
                <w:i w:val="0"/>
                <w:color w:val="212121"/>
                <w:sz w:val="19"/>
              </w:rPr>
              <w:t>Adults with low fresh-produce intake</w:t>
            </w:r>
          </w:p>
        </w:tc>
        <w:tc>
          <w:tcPr>
            <w:tcW w:type="dxa" w:w="1512"/>
            <w:vAlign w:val="top"/>
          </w:tcPr>
          <w:p>
            <w:pPr>
              <w:spacing w:after="40" w:before="0" w:line="259" w:lineRule="auto"/>
            </w:pPr>
            <w:r>
              <w:rPr>
                <w:rFonts w:ascii="Calibri" w:hAnsi="Calibri"/>
                <w:b w:val="0"/>
                <w:i w:val="0"/>
                <w:color w:val="212121"/>
                <w:sz w:val="19"/>
              </w:rPr>
              <w:t>&gt;= 400 g/day (&gt;= 5 servings)</w:t>
            </w:r>
          </w:p>
        </w:tc>
        <w:tc>
          <w:tcPr>
            <w:tcW w:type="dxa" w:w="1512"/>
            <w:vAlign w:val="top"/>
          </w:tcPr>
          <w:p>
            <w:pPr>
              <w:spacing w:after="40" w:before="0" w:line="259" w:lineRule="auto"/>
            </w:pPr>
            <w:r>
              <w:rPr>
                <w:rFonts w:ascii="Calibri" w:hAnsi="Calibri"/>
                <w:b w:val="0"/>
                <w:i w:val="0"/>
                <w:color w:val="212121"/>
                <w:sz w:val="19"/>
              </w:rPr>
              <w:t>&lt; 400 g/day</w:t>
            </w:r>
          </w:p>
        </w:tc>
        <w:tc>
          <w:tcPr>
            <w:tcW w:type="dxa" w:w="1468"/>
            <w:vAlign w:val="top"/>
          </w:tcPr>
          <w:p>
            <w:pPr>
              <w:spacing w:after="40" w:before="0" w:line="259" w:lineRule="auto"/>
            </w:pPr>
            <w:r>
              <w:rPr>
                <w:rFonts w:ascii="Calibri" w:hAnsi="Calibri"/>
                <w:b w:val="0"/>
                <w:i w:val="0"/>
                <w:color w:val="212121"/>
                <w:sz w:val="19"/>
              </w:rPr>
              <w:t>Antioxidant-rich intake is protective; low intake raises gastric-cancer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(cigarettes/bidis per day)</w:t>
            </w:r>
          </w:p>
        </w:tc>
        <w:tc>
          <w:tcPr>
            <w:tcW w:type="dxa" w:w="1655"/>
            <w:vAlign w:val="top"/>
          </w:tcPr>
          <w:p>
            <w:pPr>
              <w:spacing w:after="40" w:before="0" w:line="259" w:lineRule="auto"/>
            </w:pPr>
            <w:r>
              <w:rPr>
                <w:rFonts w:ascii="Calibri" w:hAnsi="Calibri"/>
                <w:b w:val="0"/>
                <w:i w:val="0"/>
                <w:color w:val="212121"/>
                <w:sz w:val="19"/>
              </w:rPr>
              <w:t>Smokers, bidi users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40" w:before="0" w:line="259" w:lineRule="auto"/>
            </w:pPr>
            <w:r>
              <w:rPr>
                <w:rFonts w:ascii="Calibri" w:hAnsi="Calibri"/>
                <w:b w:val="0"/>
                <w:i w:val="0"/>
                <w:color w:val="212121"/>
                <w:sz w:val="19"/>
              </w:rPr>
              <w:t>Any smoking lowers eradication success and raises ulcer &amp; gastric-cancer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Regular / heavy drinkers</w:t>
            </w:r>
          </w:p>
        </w:tc>
        <w:tc>
          <w:tcPr>
            <w:tcW w:type="dxa" w:w="1512"/>
            <w:vAlign w:val="top"/>
          </w:tcPr>
          <w:p>
            <w:pPr>
              <w:spacing w:after="40" w:before="0" w:line="259" w:lineRule="auto"/>
            </w:pPr>
            <w:r>
              <w:rPr>
                <w:rFonts w:ascii="Calibri" w:hAnsi="Calibri"/>
                <w:b w:val="0"/>
                <w:i w:val="0"/>
                <w:color w:val="212121"/>
                <w:sz w:val="19"/>
              </w:rPr>
              <w:t>None to low (&lt;= 7 F / &lt;= 14 M standard drinks/week)</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40" w:before="0" w:line="259" w:lineRule="auto"/>
            </w:pPr>
            <w:r>
              <w:rPr>
                <w:rFonts w:ascii="Calibri" w:hAnsi="Calibri"/>
                <w:b w:val="0"/>
                <w:i w:val="0"/>
                <w:color w:val="212121"/>
                <w:sz w:val="19"/>
              </w:rPr>
              <w:t>Aggravates gastritis; avoid entirely with metronidazole-containing therapy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NSAID / aspirin use</w:t>
            </w:r>
          </w:p>
        </w:tc>
        <w:tc>
          <w:tcPr>
            <w:tcW w:type="dxa" w:w="1655"/>
            <w:vAlign w:val="top"/>
          </w:tcPr>
          <w:p>
            <w:pPr>
              <w:spacing w:after="40" w:before="0" w:line="259" w:lineRule="auto"/>
            </w:pPr>
            <w:r>
              <w:rPr>
                <w:rFonts w:ascii="Calibri" w:hAnsi="Calibri"/>
                <w:b w:val="0"/>
                <w:i w:val="0"/>
                <w:color w:val="212121"/>
                <w:sz w:val="19"/>
              </w:rPr>
              <w:t>Arthritis, chronic pain, cardiac (aspirin) patients</w:t>
            </w:r>
          </w:p>
        </w:tc>
        <w:tc>
          <w:tcPr>
            <w:tcW w:type="dxa" w:w="1512"/>
            <w:vAlign w:val="top"/>
          </w:tcPr>
          <w:p>
            <w:pPr>
              <w:spacing w:after="40" w:before="0" w:line="259" w:lineRule="auto"/>
            </w:pPr>
            <w:r>
              <w:rPr>
                <w:rFonts w:ascii="Calibri" w:hAnsi="Calibri"/>
                <w:b w:val="0"/>
                <w:i w:val="0"/>
                <w:color w:val="212121"/>
                <w:sz w:val="19"/>
              </w:rPr>
              <w:t>Avoid, or use lowest dose with PPI co-therapy</w:t>
            </w:r>
          </w:p>
        </w:tc>
        <w:tc>
          <w:tcPr>
            <w:tcW w:type="dxa" w:w="1512"/>
            <w:vAlign w:val="top"/>
          </w:tcPr>
          <w:p>
            <w:pPr>
              <w:spacing w:after="40" w:before="0" w:line="259" w:lineRule="auto"/>
            </w:pPr>
            <w:r>
              <w:rPr>
                <w:rFonts w:ascii="Calibri" w:hAnsi="Calibri"/>
                <w:b w:val="0"/>
                <w:i w:val="0"/>
                <w:color w:val="212121"/>
                <w:sz w:val="19"/>
              </w:rPr>
              <w:t>Regular NSAID/aspirin without gastroprotection</w:t>
            </w:r>
          </w:p>
        </w:tc>
        <w:tc>
          <w:tcPr>
            <w:tcW w:type="dxa" w:w="1468"/>
            <w:vAlign w:val="top"/>
          </w:tcPr>
          <w:p>
            <w:pPr>
              <w:spacing w:after="60" w:line="259" w:lineRule="auto"/>
            </w:pPr>
            <w:r>
              <w:rPr>
                <w:rFonts w:ascii="Calibri" w:hAnsi="Calibri"/>
                <w:b w:val="0"/>
                <w:i w:val="0"/>
                <w:color w:val="212121"/>
                <w:sz w:val="19"/>
              </w:rPr>
              <w:t>NSAIDs are the second major cause of ulcers and act synergistically with H. pylori</w:t>
            </w:r>
          </w:p>
          <w:p>
            <w:pPr>
              <w:spacing w:after="40" w:line="252" w:lineRule="auto"/>
            </w:pPr>
            <w:hyperlink r:id="rId13">
              <w:r>
                <w:rPr>
                  <w:rFonts w:ascii="Calibri" w:hAnsi="Calibri" w:cs="Calibri"/>
                  <w:sz w:val="18"/>
                  <w:color w:val="1155CC"/>
                  <w:u w:val="single"/>
                </w:rPr>
                <w:t xml:space="preserve">https://www.ncbi.nlm.nih.gov/books/NBK534792/</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(non-invasive)</w:t>
            </w:r>
          </w:p>
        </w:tc>
        <w:tc>
          <w:tcPr>
            <w:tcW w:type="dxa" w:w="1036"/>
            <w:vAlign w:val="top"/>
          </w:tcPr>
          <w:p>
            <w:pPr>
              <w:spacing w:after="40" w:before="0" w:line="259" w:lineRule="auto"/>
            </w:pPr>
            <w:r>
              <w:rPr>
                <w:rFonts w:ascii="Calibri" w:hAnsi="Calibri"/>
                <w:b w:val="0"/>
                <w:i w:val="0"/>
                <w:color w:val="212121"/>
                <w:sz w:val="16"/>
              </w:rPr>
              <w:t>Urea Breath Test (13C/14C UBT)</w:t>
            </w:r>
          </w:p>
        </w:tc>
        <w:tc>
          <w:tcPr>
            <w:tcW w:type="dxa" w:w="892"/>
            <w:vAlign w:val="top"/>
          </w:tcPr>
          <w:p>
            <w:pPr>
              <w:spacing w:after="40" w:before="0" w:line="259" w:lineRule="auto"/>
            </w:pPr>
            <w:r>
              <w:rPr>
                <w:rFonts w:ascii="Calibri" w:hAnsi="Calibri"/>
                <w:b w:val="0"/>
                <w:i w:val="0"/>
                <w:color w:val="212121"/>
                <w:sz w:val="16"/>
              </w:rPr>
              <w:t>H. pylori active-infection test</w:t>
            </w:r>
          </w:p>
        </w:tc>
        <w:tc>
          <w:tcPr>
            <w:tcW w:type="dxa" w:w="950"/>
            <w:vAlign w:val="top"/>
          </w:tcPr>
          <w:p>
            <w:pPr>
              <w:spacing w:after="40" w:before="0" w:line="259" w:lineRule="auto"/>
            </w:pPr>
            <w:r>
              <w:rPr>
                <w:rFonts w:ascii="Calibri" w:hAnsi="Calibri"/>
                <w:b w:val="0"/>
                <w:i w:val="0"/>
                <w:color w:val="212121"/>
                <w:sz w:val="16"/>
              </w:rPr>
              <w:t>Negative (delta-over-baseline below cutoff)</w:t>
            </w:r>
          </w:p>
        </w:tc>
        <w:tc>
          <w:tcPr>
            <w:tcW w:type="dxa" w:w="950"/>
            <w:vAlign w:val="top"/>
          </w:tcPr>
          <w:p>
            <w:pPr>
              <w:spacing w:after="40" w:before="0" w:line="259" w:lineRule="auto"/>
            </w:pPr>
            <w:r>
              <w:rPr>
                <w:rFonts w:ascii="Calibri" w:hAnsi="Calibri"/>
                <w:b w:val="0"/>
                <w:i w:val="0"/>
                <w:color w:val="212121"/>
                <w:sz w:val="16"/>
              </w:rPr>
              <w:t>Positive (DOB at/above cutoff)</w:t>
            </w:r>
          </w:p>
        </w:tc>
        <w:tc>
          <w:tcPr>
            <w:tcW w:type="dxa" w:w="1036"/>
            <w:vAlign w:val="top"/>
          </w:tcPr>
          <w:p>
            <w:pPr>
              <w:spacing w:after="40" w:before="0" w:line="259" w:lineRule="auto"/>
            </w:pPr>
            <w:r>
              <w:rPr>
                <w:rFonts w:ascii="Calibri" w:hAnsi="Calibri"/>
                <w:b w:val="0"/>
                <w:i w:val="0"/>
                <w:color w:val="212121"/>
                <w:sz w:val="16"/>
              </w:rPr>
              <w:t>Detects active infection via bacterial urease; preferred for diagnosis and to confirm eradication</w:t>
            </w:r>
          </w:p>
        </w:tc>
        <w:tc>
          <w:tcPr>
            <w:tcW w:type="dxa" w:w="1036"/>
            <w:vAlign w:val="top"/>
          </w:tcPr>
          <w:p>
            <w:pPr>
              <w:spacing w:after="40" w:before="0" w:line="259" w:lineRule="auto"/>
            </w:pPr>
            <w:r>
              <w:rPr>
                <w:rFonts w:ascii="Calibri" w:hAnsi="Calibri"/>
                <w:b w:val="0"/>
                <w:i w:val="0"/>
                <w:color w:val="212121"/>
                <w:sz w:val="16"/>
              </w:rPr>
              <w:t>Dyspepsia &lt; 60y without alarm features; post-treatment test of cure</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Gold standard (non-invasive)</w:t>
            </w:r>
          </w:p>
        </w:tc>
        <w:tc>
          <w:tcPr>
            <w:tcW w:type="dxa" w:w="720"/>
            <w:vAlign w:val="top"/>
          </w:tcPr>
          <w:p>
            <w:pPr>
              <w:spacing w:after="40" w:before="0" w:line="259" w:lineRule="auto"/>
            </w:pPr>
            <w:r>
              <w:rPr>
                <w:rFonts w:ascii="Calibri" w:hAnsi="Calibri"/>
                <w:b w:val="0"/>
                <w:i w:val="0"/>
                <w:color w:val="212121"/>
                <w:sz w:val="16"/>
              </w:rPr>
              <w:t>Stop PPI &gt;= 2 weeks and antibiotics/bismuth &gt;= 4 weeks before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(non-invasive)</w:t>
            </w:r>
          </w:p>
        </w:tc>
        <w:tc>
          <w:tcPr>
            <w:tcW w:type="dxa" w:w="1036"/>
            <w:vAlign w:val="top"/>
          </w:tcPr>
          <w:p>
            <w:pPr>
              <w:spacing w:after="40" w:before="0" w:line="259" w:lineRule="auto"/>
            </w:pPr>
            <w:r>
              <w:rPr>
                <w:rFonts w:ascii="Calibri" w:hAnsi="Calibri"/>
                <w:b w:val="0"/>
                <w:i w:val="0"/>
                <w:color w:val="212121"/>
                <w:sz w:val="16"/>
              </w:rPr>
              <w:t>Stool Antigen Test (monoclonal ELISA)</w:t>
            </w:r>
          </w:p>
        </w:tc>
        <w:tc>
          <w:tcPr>
            <w:tcW w:type="dxa" w:w="892"/>
            <w:vAlign w:val="top"/>
          </w:tcPr>
          <w:p>
            <w:pPr>
              <w:spacing w:after="40" w:before="0" w:line="259" w:lineRule="auto"/>
            </w:pPr>
            <w:r>
              <w:rPr>
                <w:rFonts w:ascii="Calibri" w:hAnsi="Calibri"/>
                <w:b w:val="0"/>
                <w:i w:val="0"/>
                <w:color w:val="212121"/>
                <w:sz w:val="16"/>
              </w:rPr>
              <w:t>H. pylori active-infection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Detects active infection; validated for diagnosis and confirmation of cure</w:t>
            </w:r>
          </w:p>
        </w:tc>
        <w:tc>
          <w:tcPr>
            <w:tcW w:type="dxa" w:w="1036"/>
            <w:vAlign w:val="top"/>
          </w:tcPr>
          <w:p>
            <w:pPr>
              <w:spacing w:after="40" w:before="0" w:line="259" w:lineRule="auto"/>
            </w:pPr>
            <w:r>
              <w:rPr>
                <w:rFonts w:ascii="Calibri" w:hAnsi="Calibri"/>
                <w:b w:val="0"/>
                <w:i w:val="0"/>
                <w:color w:val="212121"/>
                <w:sz w:val="16"/>
              </w:rPr>
              <w:t>Children and adults; post-treatment confirmation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 (accurate, low-cost)</w:t>
            </w:r>
          </w:p>
        </w:tc>
        <w:tc>
          <w:tcPr>
            <w:tcW w:type="dxa" w:w="720"/>
            <w:vAlign w:val="top"/>
          </w:tcPr>
          <w:p>
            <w:pPr>
              <w:spacing w:after="40" w:before="0" w:line="259" w:lineRule="auto"/>
            </w:pPr>
            <w:r>
              <w:rPr>
                <w:rFonts w:ascii="Calibri" w:hAnsi="Calibri"/>
                <w:b w:val="0"/>
                <w:i w:val="0"/>
                <w:color w:val="212121"/>
                <w:sz w:val="16"/>
              </w:rPr>
              <w:t>Same PPI/antibiotic washout as UBT to avoid false negatives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Gastric biopsy histology (H&amp;E + Giemsa)</w:t>
            </w:r>
          </w:p>
        </w:tc>
        <w:tc>
          <w:tcPr>
            <w:tcW w:type="dxa" w:w="892"/>
            <w:vAlign w:val="top"/>
          </w:tcPr>
          <w:p>
            <w:pPr>
              <w:spacing w:after="40" w:before="0" w:line="259" w:lineRule="auto"/>
            </w:pPr>
            <w:r>
              <w:rPr>
                <w:rFonts w:ascii="Calibri" w:hAnsi="Calibri"/>
                <w:b w:val="0"/>
                <w:i w:val="0"/>
                <w:color w:val="212121"/>
                <w:sz w:val="16"/>
              </w:rPr>
              <w:t>Endoscopic biopsy</w:t>
            </w:r>
          </w:p>
        </w:tc>
        <w:tc>
          <w:tcPr>
            <w:tcW w:type="dxa" w:w="950"/>
            <w:vAlign w:val="top"/>
          </w:tcPr>
          <w:p>
            <w:pPr>
              <w:spacing w:after="40" w:before="0" w:line="259" w:lineRule="auto"/>
            </w:pPr>
            <w:r>
              <w:rPr>
                <w:rFonts w:ascii="Calibri" w:hAnsi="Calibri"/>
                <w:b w:val="0"/>
                <w:i w:val="0"/>
                <w:color w:val="212121"/>
                <w:sz w:val="16"/>
              </w:rPr>
              <w:t>No organisms; normal mucosa</w:t>
            </w:r>
          </w:p>
        </w:tc>
        <w:tc>
          <w:tcPr>
            <w:tcW w:type="dxa" w:w="950"/>
            <w:vAlign w:val="top"/>
          </w:tcPr>
          <w:p>
            <w:pPr>
              <w:spacing w:after="40" w:before="0" w:line="259" w:lineRule="auto"/>
            </w:pPr>
            <w:r>
              <w:rPr>
                <w:rFonts w:ascii="Calibri" w:hAnsi="Calibri"/>
                <w:b w:val="0"/>
                <w:i w:val="0"/>
                <w:color w:val="212121"/>
                <w:sz w:val="16"/>
              </w:rPr>
              <w:t>H. pylori identified; chronic active gastritis +/- atrophy / intestinal metaplasia</w:t>
            </w:r>
          </w:p>
        </w:tc>
        <w:tc>
          <w:tcPr>
            <w:tcW w:type="dxa" w:w="1036"/>
            <w:vAlign w:val="top"/>
          </w:tcPr>
          <w:p>
            <w:pPr>
              <w:spacing w:after="40" w:before="0" w:line="259" w:lineRule="auto"/>
            </w:pPr>
            <w:r>
              <w:rPr>
                <w:rFonts w:ascii="Calibri" w:hAnsi="Calibri"/>
                <w:b w:val="0"/>
                <w:i w:val="0"/>
                <w:color w:val="212121"/>
                <w:sz w:val="16"/>
              </w:rPr>
              <w:t>Up to ~90% sensitivity/specificity; also grades gastritis and detects pre-malignant change</w:t>
            </w:r>
          </w:p>
        </w:tc>
        <w:tc>
          <w:tcPr>
            <w:tcW w:type="dxa" w:w="1036"/>
            <w:vAlign w:val="top"/>
          </w:tcPr>
          <w:p>
            <w:pPr>
              <w:spacing w:after="40" w:before="0" w:line="259" w:lineRule="auto"/>
            </w:pPr>
            <w:r>
              <w:rPr>
                <w:rFonts w:ascii="Calibri" w:hAnsi="Calibri"/>
                <w:b w:val="0"/>
                <w:i w:val="0"/>
                <w:color w:val="212121"/>
                <w:sz w:val="16"/>
              </w:rPr>
              <w:t>Patients undergoing endoscopy; age &gt; 60 or alarm features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 (invasive)</w:t>
            </w:r>
          </w:p>
        </w:tc>
        <w:tc>
          <w:tcPr>
            <w:tcW w:type="dxa" w:w="720"/>
            <w:vAlign w:val="top"/>
          </w:tcPr>
          <w:p>
            <w:pPr>
              <w:spacing w:after="40" w:before="0" w:line="259" w:lineRule="auto"/>
            </w:pPr>
            <w:r>
              <w:rPr>
                <w:rFonts w:ascii="Calibri" w:hAnsi="Calibri"/>
                <w:b w:val="0"/>
                <w:i w:val="0"/>
                <w:color w:val="212121"/>
                <w:sz w:val="16"/>
              </w:rPr>
              <w:t>Sample antrum + corpus (updated Sydney system)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(invasive)</w:t>
            </w:r>
          </w:p>
        </w:tc>
        <w:tc>
          <w:tcPr>
            <w:tcW w:type="dxa" w:w="1036"/>
            <w:vAlign w:val="top"/>
          </w:tcPr>
          <w:p>
            <w:pPr>
              <w:spacing w:after="40" w:before="0" w:line="259" w:lineRule="auto"/>
            </w:pPr>
            <w:r>
              <w:rPr>
                <w:rFonts w:ascii="Calibri" w:hAnsi="Calibri"/>
                <w:b w:val="0"/>
                <w:i w:val="0"/>
                <w:color w:val="212121"/>
                <w:sz w:val="16"/>
              </w:rPr>
              <w:t>Rapid Urease Test (RUT) on biopsy</w:t>
            </w:r>
          </w:p>
        </w:tc>
        <w:tc>
          <w:tcPr>
            <w:tcW w:type="dxa" w:w="892"/>
            <w:vAlign w:val="top"/>
          </w:tcPr>
          <w:p>
            <w:pPr>
              <w:spacing w:after="40" w:before="0" w:line="259" w:lineRule="auto"/>
            </w:pPr>
            <w:r>
              <w:rPr>
                <w:rFonts w:ascii="Calibri" w:hAnsi="Calibri"/>
                <w:b w:val="0"/>
                <w:i w:val="0"/>
                <w:color w:val="212121"/>
                <w:sz w:val="16"/>
              </w:rPr>
              <w:t>Endoscopic biopsy</w:t>
            </w:r>
          </w:p>
        </w:tc>
        <w:tc>
          <w:tcPr>
            <w:tcW w:type="dxa" w:w="950"/>
            <w:vAlign w:val="top"/>
          </w:tcPr>
          <w:p>
            <w:pPr>
              <w:spacing w:after="40" w:before="0" w:line="259" w:lineRule="auto"/>
            </w:pPr>
            <w:r>
              <w:rPr>
                <w:rFonts w:ascii="Calibri" w:hAnsi="Calibri"/>
                <w:b w:val="0"/>
                <w:i w:val="0"/>
                <w:color w:val="212121"/>
                <w:sz w:val="16"/>
              </w:rPr>
              <w:t>Negative (no colour change)</w:t>
            </w:r>
          </w:p>
        </w:tc>
        <w:tc>
          <w:tcPr>
            <w:tcW w:type="dxa" w:w="950"/>
            <w:vAlign w:val="top"/>
          </w:tcPr>
          <w:p>
            <w:pPr>
              <w:spacing w:after="40" w:before="0" w:line="259" w:lineRule="auto"/>
            </w:pPr>
            <w:r>
              <w:rPr>
                <w:rFonts w:ascii="Calibri" w:hAnsi="Calibri"/>
                <w:b w:val="0"/>
                <w:i w:val="0"/>
                <w:color w:val="212121"/>
                <w:sz w:val="16"/>
              </w:rPr>
              <w:t>Positive (colour change)</w:t>
            </w:r>
          </w:p>
        </w:tc>
        <w:tc>
          <w:tcPr>
            <w:tcW w:type="dxa" w:w="1036"/>
            <w:vAlign w:val="top"/>
          </w:tcPr>
          <w:p>
            <w:pPr>
              <w:spacing w:after="40" w:before="0" w:line="259" w:lineRule="auto"/>
            </w:pPr>
            <w:r>
              <w:rPr>
                <w:rFonts w:ascii="Calibri" w:hAnsi="Calibri"/>
                <w:b w:val="0"/>
                <w:i w:val="0"/>
                <w:color w:val="212121"/>
                <w:sz w:val="16"/>
              </w:rPr>
              <w:t>Rapid bedside detection of urease indicating active infection</w:t>
            </w:r>
          </w:p>
        </w:tc>
        <w:tc>
          <w:tcPr>
            <w:tcW w:type="dxa" w:w="1036"/>
            <w:vAlign w:val="top"/>
          </w:tcPr>
          <w:p>
            <w:pPr>
              <w:spacing w:after="40" w:before="0" w:line="259" w:lineRule="auto"/>
            </w:pPr>
            <w:r>
              <w:rPr>
                <w:rFonts w:ascii="Calibri" w:hAnsi="Calibri"/>
                <w:b w:val="0"/>
                <w:i w:val="0"/>
                <w:color w:val="212121"/>
                <w:sz w:val="16"/>
              </w:rPr>
              <w:t>Any patient undergoing upper GI endoscopy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 (at endoscopy)</w:t>
            </w:r>
          </w:p>
        </w:tc>
        <w:tc>
          <w:tcPr>
            <w:tcW w:type="dxa" w:w="720"/>
            <w:vAlign w:val="top"/>
          </w:tcPr>
          <w:p>
            <w:pPr>
              <w:spacing w:after="40" w:before="0" w:line="259" w:lineRule="auto"/>
            </w:pPr>
            <w:r>
              <w:rPr>
                <w:rFonts w:ascii="Calibri" w:hAnsi="Calibri"/>
                <w:b w:val="0"/>
                <w:i w:val="0"/>
                <w:color w:val="212121"/>
                <w:sz w:val="16"/>
              </w:rPr>
              <w:t>False negatives with recent PPI, bleeding or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(invasive)</w:t>
            </w:r>
          </w:p>
        </w:tc>
        <w:tc>
          <w:tcPr>
            <w:tcW w:type="dxa" w:w="1036"/>
            <w:vAlign w:val="top"/>
          </w:tcPr>
          <w:p>
            <w:pPr>
              <w:spacing w:after="40" w:before="0" w:line="259" w:lineRule="auto"/>
            </w:pPr>
            <w:r>
              <w:rPr>
                <w:rFonts w:ascii="Calibri" w:hAnsi="Calibri"/>
                <w:b w:val="0"/>
                <w:i w:val="0"/>
                <w:color w:val="212121"/>
                <w:sz w:val="16"/>
              </w:rPr>
              <w:t>Culture &amp; antimicrobial susceptibility</w:t>
            </w:r>
          </w:p>
        </w:tc>
        <w:tc>
          <w:tcPr>
            <w:tcW w:type="dxa" w:w="892"/>
            <w:vAlign w:val="top"/>
          </w:tcPr>
          <w:p>
            <w:pPr>
              <w:spacing w:after="40" w:before="0" w:line="259" w:lineRule="auto"/>
            </w:pPr>
            <w:r>
              <w:rPr>
                <w:rFonts w:ascii="Calibri" w:hAnsi="Calibri"/>
                <w:b w:val="0"/>
                <w:i w:val="0"/>
                <w:color w:val="212121"/>
                <w:sz w:val="16"/>
              </w:rPr>
              <w:t>Endoscopic biopsy 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H. pylori isolated with resistance profile</w:t>
            </w:r>
          </w:p>
        </w:tc>
        <w:tc>
          <w:tcPr>
            <w:tcW w:type="dxa" w:w="1036"/>
            <w:vAlign w:val="top"/>
          </w:tcPr>
          <w:p>
            <w:pPr>
              <w:spacing w:after="40" w:before="0" w:line="259" w:lineRule="auto"/>
            </w:pPr>
            <w:r>
              <w:rPr>
                <w:rFonts w:ascii="Calibri" w:hAnsi="Calibri"/>
                <w:b w:val="0"/>
                <w:i w:val="0"/>
                <w:color w:val="212121"/>
                <w:sz w:val="16"/>
              </w:rPr>
              <w:t>100% specific; guides therapy after treatment failure or in resistant infection</w:t>
            </w:r>
          </w:p>
        </w:tc>
        <w:tc>
          <w:tcPr>
            <w:tcW w:type="dxa" w:w="1036"/>
            <w:vAlign w:val="top"/>
          </w:tcPr>
          <w:p>
            <w:pPr>
              <w:spacing w:after="40" w:before="0" w:line="259" w:lineRule="auto"/>
            </w:pPr>
            <w:r>
              <w:rPr>
                <w:rFonts w:ascii="Calibri" w:hAnsi="Calibri"/>
                <w:b w:val="0"/>
                <w:i w:val="0"/>
                <w:color w:val="212121"/>
                <w:sz w:val="16"/>
              </w:rPr>
              <w:t>Treatment failures; refractory infection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(resistance-guided)</w:t>
            </w:r>
          </w:p>
        </w:tc>
        <w:tc>
          <w:tcPr>
            <w:tcW w:type="dxa" w:w="720"/>
            <w:vAlign w:val="top"/>
          </w:tcPr>
          <w:p>
            <w:pPr>
              <w:spacing w:after="40" w:before="0" w:line="259" w:lineRule="auto"/>
            </w:pPr>
            <w:r>
              <w:rPr>
                <w:rFonts w:ascii="Calibri" w:hAnsi="Calibri"/>
                <w:b w:val="0"/>
                <w:i w:val="0"/>
                <w:color w:val="212121"/>
                <w:sz w:val="16"/>
              </w:rPr>
              <w:t>Valuable where clarithromycin/metronidazole resistance is high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Anti-H. pylori IgG antibody</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Indicates exposure, NOT active infection; cannot confirm cure (stays positive after eradication)</w:t>
            </w:r>
          </w:p>
        </w:tc>
        <w:tc>
          <w:tcPr>
            <w:tcW w:type="dxa" w:w="1036"/>
            <w:vAlign w:val="top"/>
          </w:tcPr>
          <w:p>
            <w:pPr>
              <w:spacing w:after="40" w:before="0" w:line="259" w:lineRule="auto"/>
            </w:pPr>
            <w:r>
              <w:rPr>
                <w:rFonts w:ascii="Calibri" w:hAnsi="Calibri"/>
                <w:b w:val="0"/>
                <w:i w:val="0"/>
                <w:color w:val="212121"/>
                <w:sz w:val="16"/>
              </w:rPr>
              <w:t>Epidemiological surveys only; not for test of cure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Limited (poor clinical reliability)</w:t>
            </w:r>
          </w:p>
        </w:tc>
        <w:tc>
          <w:tcPr>
            <w:tcW w:type="dxa" w:w="720"/>
            <w:vAlign w:val="top"/>
          </w:tcPr>
          <w:p>
            <w:pPr>
              <w:spacing w:after="40" w:before="0" w:line="259" w:lineRule="auto"/>
            </w:pPr>
            <w:r>
              <w:rPr>
                <w:rFonts w:ascii="Calibri" w:hAnsi="Calibri"/>
                <w:b w:val="0"/>
                <w:i w:val="0"/>
                <w:color w:val="212121"/>
                <w:sz w:val="16"/>
              </w:rPr>
              <w:t>Do not use to guide or confirm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CBC - haemoglobin &amp; MCV; iron studies</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Normal Hb / MCV</w:t>
            </w:r>
          </w:p>
        </w:tc>
        <w:tc>
          <w:tcPr>
            <w:tcW w:type="dxa" w:w="950"/>
            <w:vAlign w:val="top"/>
          </w:tcPr>
          <w:p>
            <w:pPr>
              <w:spacing w:after="40" w:before="0" w:line="259" w:lineRule="auto"/>
            </w:pPr>
            <w:r>
              <w:rPr>
                <w:rFonts w:ascii="Calibri" w:hAnsi="Calibri"/>
                <w:b w:val="0"/>
                <w:i w:val="0"/>
                <w:color w:val="212121"/>
                <w:sz w:val="16"/>
              </w:rPr>
              <w:t>Low Hb, microcytosis; low ferritin</w:t>
            </w:r>
          </w:p>
        </w:tc>
        <w:tc>
          <w:tcPr>
            <w:tcW w:type="dxa" w:w="1036"/>
            <w:vAlign w:val="top"/>
          </w:tcPr>
          <w:p>
            <w:pPr>
              <w:spacing w:after="40" w:before="0" w:line="259" w:lineRule="auto"/>
            </w:pPr>
            <w:r>
              <w:rPr>
                <w:rFonts w:ascii="Calibri" w:hAnsi="Calibri"/>
                <w:b w:val="0"/>
                <w:i w:val="0"/>
                <w:color w:val="212121"/>
                <w:sz w:val="16"/>
              </w:rPr>
              <w:t>Unexplained iron-deficiency anaemia is an indication to test for and treat H. pylori</w:t>
            </w:r>
          </w:p>
        </w:tc>
        <w:tc>
          <w:tcPr>
            <w:tcW w:type="dxa" w:w="1036"/>
            <w:vAlign w:val="top"/>
          </w:tcPr>
          <w:p>
            <w:pPr>
              <w:spacing w:after="40" w:before="0" w:line="259" w:lineRule="auto"/>
            </w:pPr>
            <w:r>
              <w:rPr>
                <w:rFonts w:ascii="Calibri" w:hAnsi="Calibri"/>
                <w:b w:val="0"/>
                <w:i w:val="0"/>
                <w:color w:val="212121"/>
                <w:sz w:val="16"/>
              </w:rPr>
              <w:t>Unexplained IDA; ITP;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screen for B12 deficiency in atrophic gastritis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Upper GI endoscopy (OGD)</w:t>
            </w:r>
          </w:p>
        </w:tc>
        <w:tc>
          <w:tcPr>
            <w:tcW w:type="dxa" w:w="892"/>
            <w:vAlign w:val="top"/>
          </w:tcPr>
          <w:p>
            <w:pPr>
              <w:spacing w:after="40" w:before="0" w:line="259" w:lineRule="auto"/>
            </w:pPr>
            <w:r>
              <w:rPr>
                <w:rFonts w:ascii="Calibri" w:hAnsi="Calibri"/>
                <w:b w:val="0"/>
                <w:i w:val="0"/>
                <w:color w:val="212121"/>
                <w:sz w:val="16"/>
              </w:rPr>
              <w:t>Endoscopy +/- biopsy</w:t>
            </w:r>
          </w:p>
        </w:tc>
        <w:tc>
          <w:tcPr>
            <w:tcW w:type="dxa" w:w="950"/>
            <w:vAlign w:val="top"/>
          </w:tcPr>
          <w:p>
            <w:pPr>
              <w:spacing w:after="40" w:before="0" w:line="259" w:lineRule="auto"/>
            </w:pPr>
            <w:r>
              <w:rPr>
                <w:rFonts w:ascii="Calibri" w:hAnsi="Calibri"/>
                <w:b w:val="0"/>
                <w:i w:val="0"/>
                <w:color w:val="212121"/>
                <w:sz w:val="16"/>
              </w:rPr>
              <w:t>Normal mucosa</w:t>
            </w:r>
          </w:p>
        </w:tc>
        <w:tc>
          <w:tcPr>
            <w:tcW w:type="dxa" w:w="950"/>
            <w:vAlign w:val="top"/>
          </w:tcPr>
          <w:p>
            <w:pPr>
              <w:spacing w:after="40" w:before="0" w:line="259" w:lineRule="auto"/>
            </w:pPr>
            <w:r>
              <w:rPr>
                <w:rFonts w:ascii="Calibri" w:hAnsi="Calibri"/>
                <w:b w:val="0"/>
                <w:i w:val="0"/>
                <w:color w:val="212121"/>
                <w:sz w:val="16"/>
              </w:rPr>
              <w:t>Ulcer, erosions, mass, MALT infiltrate</w:t>
            </w:r>
          </w:p>
        </w:tc>
        <w:tc>
          <w:tcPr>
            <w:tcW w:type="dxa" w:w="1036"/>
            <w:vAlign w:val="top"/>
          </w:tcPr>
          <w:p>
            <w:pPr>
              <w:spacing w:after="40" w:before="0" w:line="259" w:lineRule="auto"/>
            </w:pPr>
            <w:r>
              <w:rPr>
                <w:rFonts w:ascii="Calibri" w:hAnsi="Calibri"/>
                <w:b w:val="0"/>
                <w:i w:val="0"/>
                <w:color w:val="212121"/>
                <w:sz w:val="16"/>
              </w:rPr>
              <w:t>Identifies ulcers/malignancy and enables biopsy; mandatory with alarm features</w:t>
            </w:r>
          </w:p>
        </w:tc>
        <w:tc>
          <w:tcPr>
            <w:tcW w:type="dxa" w:w="1036"/>
            <w:vAlign w:val="top"/>
          </w:tcPr>
          <w:p>
            <w:pPr>
              <w:spacing w:after="40" w:before="0" w:line="259" w:lineRule="auto"/>
            </w:pPr>
            <w:r>
              <w:rPr>
                <w:rFonts w:ascii="Calibri" w:hAnsi="Calibri"/>
                <w:b w:val="0"/>
                <w:i w:val="0"/>
                <w:color w:val="212121"/>
                <w:sz w:val="16"/>
              </w:rPr>
              <w:t>Age &gt; 60 new-onset dyspepsia; weight loss, bleeding, dysphagia, anaemia, mass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(definitive with alarm features)</w:t>
            </w:r>
          </w:p>
        </w:tc>
        <w:tc>
          <w:tcPr>
            <w:tcW w:type="dxa" w:w="720"/>
            <w:vAlign w:val="top"/>
          </w:tcPr>
          <w:p>
            <w:pPr>
              <w:spacing w:after="40" w:before="0" w:line="259" w:lineRule="auto"/>
            </w:pPr>
            <w:r>
              <w:rPr>
                <w:rFonts w:ascii="Calibri" w:hAnsi="Calibri"/>
                <w:b w:val="0"/>
                <w:i w:val="0"/>
                <w:color w:val="212121"/>
                <w:sz w:val="16"/>
              </w:rPr>
              <w:t>Allows RUT, histology and culture from the same sample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Epigastric pain/burning, dyspepsia, bloating, nausea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 often meal-related</w:t>
            </w:r>
          </w:p>
        </w:tc>
        <w:tc>
          <w:tcPr>
            <w:tcW w:type="dxa" w:w="1036"/>
            <w:vAlign w:val="top"/>
          </w:tcPr>
          <w:p>
            <w:pPr>
              <w:spacing w:after="40" w:before="0" w:line="259" w:lineRule="auto"/>
            </w:pPr>
            <w:r>
              <w:rPr>
                <w:rFonts w:ascii="Calibri" w:hAnsi="Calibri"/>
                <w:b w:val="0"/>
                <w:i w:val="0"/>
                <w:color w:val="212121"/>
                <w:sz w:val="16"/>
              </w:rPr>
              <w:t>Suggests gastritis or peptic ulcer disease and prompts H. pylori testing</w:t>
            </w:r>
          </w:p>
        </w:tc>
        <w:tc>
          <w:tcPr>
            <w:tcW w:type="dxa" w:w="1036"/>
            <w:vAlign w:val="top"/>
          </w:tcPr>
          <w:p>
            <w:pPr>
              <w:spacing w:after="40" w:before="0" w:line="259" w:lineRule="auto"/>
            </w:pPr>
            <w:r>
              <w:rPr>
                <w:rFonts w:ascii="Calibri" w:hAnsi="Calibri"/>
                <w:b w:val="0"/>
                <w:i w:val="0"/>
                <w:color w:val="212121"/>
                <w:sz w:val="16"/>
              </w:rPr>
              <w:t>Dyspeptic adults &lt; 60 without alarm features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Most infections are asymptomatic - symptoms are not required to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Alarm (red-flag) features</w:t>
            </w:r>
          </w:p>
        </w:tc>
        <w:tc>
          <w:tcPr>
            <w:tcW w:type="dxa" w:w="979"/>
            <w:vAlign w:val="top"/>
          </w:tcPr>
          <w:p>
            <w:pPr>
              <w:spacing w:after="40" w:before="0" w:line="259" w:lineRule="auto"/>
            </w:pPr>
            <w:r>
              <w:rPr>
                <w:rFonts w:ascii="Calibri" w:hAnsi="Calibri"/>
                <w:b w:val="0"/>
                <w:i w:val="0"/>
                <w:color w:val="212121"/>
                <w:sz w:val="16"/>
              </w:rPr>
              <w:t>Weight loss, GI bleeding/melena, dysphagia, persistent vomiting, anaemia, mass, new dyspepsia &gt; 60y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Mandates prompt endoscopy to exclude ulcer or malignancy - do not rely on test-and-treat alone</w:t>
            </w:r>
          </w:p>
        </w:tc>
        <w:tc>
          <w:tcPr>
            <w:tcW w:type="dxa" w:w="1036"/>
            <w:vAlign w:val="top"/>
          </w:tcPr>
          <w:p>
            <w:pPr>
              <w:spacing w:after="40" w:before="0" w:line="259" w:lineRule="auto"/>
            </w:pPr>
            <w:r>
              <w:rPr>
                <w:rFonts w:ascii="Calibri" w:hAnsi="Calibri"/>
                <w:b w:val="0"/>
                <w:i w:val="0"/>
                <w:color w:val="212121"/>
                <w:sz w:val="16"/>
              </w:rPr>
              <w:t>Older adults; high-risk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Alarm features change management from non-invasive testing to endoscopy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social history</w:t>
            </w:r>
          </w:p>
        </w:tc>
        <w:tc>
          <w:tcPr>
            <w:tcW w:type="dxa" w:w="979"/>
            <w:vAlign w:val="top"/>
          </w:tcPr>
          <w:p>
            <w:pPr>
              <w:spacing w:after="40" w:before="0" w:line="259" w:lineRule="auto"/>
            </w:pPr>
            <w:r>
              <w:rPr>
                <w:rFonts w:ascii="Calibri" w:hAnsi="Calibri"/>
                <w:b w:val="0"/>
                <w:i w:val="0"/>
                <w:color w:val="212121"/>
                <w:sz w:val="16"/>
              </w:rPr>
              <w:t>Sanitation, drinking-water source, crowding, family infection / gastric cancer</w:t>
            </w:r>
          </w:p>
        </w:tc>
        <w:tc>
          <w:tcPr>
            <w:tcW w:type="dxa" w:w="950"/>
            <w:vAlign w:val="top"/>
          </w:tcPr>
          <w:p>
            <w:pPr>
              <w:spacing w:after="40" w:before="0" w:line="259" w:lineRule="auto"/>
            </w:pPr>
            <w:r>
              <w:rPr>
                <w:rFonts w:ascii="Calibri" w:hAnsi="Calibri"/>
                <w:b w:val="0"/>
                <w:i w:val="0"/>
                <w:color w:val="212121"/>
                <w:sz w:val="16"/>
              </w:rPr>
              <w:t>Safe water &amp; sanitation; no family history</w:t>
            </w:r>
          </w:p>
        </w:tc>
        <w:tc>
          <w:tcPr>
            <w:tcW w:type="dxa" w:w="950"/>
            <w:vAlign w:val="top"/>
          </w:tcPr>
          <w:p>
            <w:pPr>
              <w:spacing w:after="40" w:before="0" w:line="259" w:lineRule="auto"/>
            </w:pPr>
            <w:r>
              <w:rPr>
                <w:rFonts w:ascii="Calibri" w:hAnsi="Calibri"/>
                <w:b w:val="0"/>
                <w:i w:val="0"/>
                <w:color w:val="212121"/>
                <w:sz w:val="16"/>
              </w:rPr>
              <w:t>Unsafe water, crowding, affected relatives</w:t>
            </w:r>
          </w:p>
        </w:tc>
        <w:tc>
          <w:tcPr>
            <w:tcW w:type="dxa" w:w="1036"/>
            <w:vAlign w:val="top"/>
          </w:tcPr>
          <w:p>
            <w:pPr>
              <w:spacing w:after="40" w:before="0" w:line="259" w:lineRule="auto"/>
            </w:pPr>
            <w:r>
              <w:rPr>
                <w:rFonts w:ascii="Calibri" w:hAnsi="Calibri"/>
                <w:b w:val="0"/>
                <w:i w:val="0"/>
                <w:color w:val="212121"/>
                <w:sz w:val="16"/>
              </w:rPr>
              <w:t>Identifies transmission risk and hereditary/shared-strain cancer predisposition</w:t>
            </w:r>
          </w:p>
        </w:tc>
        <w:tc>
          <w:tcPr>
            <w:tcW w:type="dxa" w:w="1036"/>
            <w:vAlign w:val="top"/>
          </w:tcPr>
          <w:p>
            <w:pPr>
              <w:spacing w:after="40" w:before="0" w:line="259" w:lineRule="auto"/>
            </w:pPr>
            <w:r>
              <w:rPr>
                <w:rFonts w:ascii="Calibri" w:hAnsi="Calibri"/>
                <w:b w:val="0"/>
                <w:i w:val="0"/>
                <w:color w:val="212121"/>
                <w:sz w:val="16"/>
              </w:rPr>
              <w:t>Low-SES, rural, slum residents, migrants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Consider screening/treating infected household contacts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treatment history</w:t>
            </w:r>
          </w:p>
        </w:tc>
        <w:tc>
          <w:tcPr>
            <w:tcW w:type="dxa" w:w="979"/>
            <w:vAlign w:val="top"/>
          </w:tcPr>
          <w:p>
            <w:pPr>
              <w:spacing w:after="40" w:before="0" w:line="259" w:lineRule="auto"/>
            </w:pPr>
            <w:r>
              <w:rPr>
                <w:rFonts w:ascii="Calibri" w:hAnsi="Calibri"/>
                <w:b w:val="0"/>
                <w:i w:val="0"/>
                <w:color w:val="212121"/>
                <w:sz w:val="16"/>
              </w:rPr>
              <w:t>NSAID/aspirin use, prior eradication, previous macrolide/nitroimidazole exposure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NSAID use; prior failed eradication</w:t>
            </w:r>
          </w:p>
        </w:tc>
        <w:tc>
          <w:tcPr>
            <w:tcW w:type="dxa" w:w="1036"/>
            <w:vAlign w:val="top"/>
          </w:tcPr>
          <w:p>
            <w:pPr>
              <w:spacing w:after="40" w:before="0" w:line="259" w:lineRule="auto"/>
            </w:pPr>
            <w:r>
              <w:rPr>
                <w:rFonts w:ascii="Calibri" w:hAnsi="Calibri"/>
                <w:b w:val="0"/>
                <w:i w:val="0"/>
                <w:color w:val="212121"/>
                <w:sz w:val="16"/>
              </w:rPr>
              <w:t>NSAID synergy raises ulcer/bleed risk; past antibiotic use predicts resistance and guides regimen</w:t>
            </w:r>
          </w:p>
        </w:tc>
        <w:tc>
          <w:tcPr>
            <w:tcW w:type="dxa" w:w="1036"/>
            <w:vAlign w:val="top"/>
          </w:tcPr>
          <w:p>
            <w:pPr>
              <w:spacing w:after="40" w:before="0" w:line="259" w:lineRule="auto"/>
            </w:pPr>
            <w:r>
              <w:rPr>
                <w:rFonts w:ascii="Calibri" w:hAnsi="Calibri"/>
                <w:b w:val="0"/>
                <w:i w:val="0"/>
                <w:color w:val="212121"/>
                <w:sz w:val="16"/>
              </w:rPr>
              <w:t>Arthritis, chronic pain, cardiac (aspirin)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Prior clarithromycin exposure argues against clarithromycin-based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Epigastric tenderness</w:t>
            </w:r>
          </w:p>
        </w:tc>
        <w:tc>
          <w:tcPr>
            <w:tcW w:type="dxa" w:w="950"/>
            <w:vAlign w:val="top"/>
          </w:tcPr>
          <w:p>
            <w:pPr>
              <w:spacing w:after="40" w:before="0" w:line="259" w:lineRule="auto"/>
            </w:pPr>
            <w:r>
              <w:rPr>
                <w:rFonts w:ascii="Calibri" w:hAnsi="Calibri"/>
                <w:b w:val="0"/>
                <w:i w:val="0"/>
                <w:color w:val="212121"/>
                <w:sz w:val="16"/>
              </w:rPr>
              <w:t>Soft, non-tender abdomen</w:t>
            </w:r>
          </w:p>
        </w:tc>
        <w:tc>
          <w:tcPr>
            <w:tcW w:type="dxa" w:w="950"/>
            <w:vAlign w:val="top"/>
          </w:tcPr>
          <w:p>
            <w:pPr>
              <w:spacing w:after="40" w:before="0" w:line="259" w:lineRule="auto"/>
            </w:pPr>
            <w:r>
              <w:rPr>
                <w:rFonts w:ascii="Calibri" w:hAnsi="Calibri"/>
                <w:b w:val="0"/>
                <w:i w:val="0"/>
                <w:color w:val="212121"/>
                <w:sz w:val="16"/>
              </w:rPr>
              <w:t>Epigastric tenderness</w:t>
            </w:r>
          </w:p>
        </w:tc>
        <w:tc>
          <w:tcPr>
            <w:tcW w:type="dxa" w:w="1036"/>
            <w:vAlign w:val="top"/>
          </w:tcPr>
          <w:p>
            <w:pPr>
              <w:spacing w:after="40" w:before="0" w:line="259" w:lineRule="auto"/>
            </w:pPr>
            <w:r>
              <w:rPr>
                <w:rFonts w:ascii="Calibri" w:hAnsi="Calibri"/>
                <w:b w:val="0"/>
                <w:i w:val="0"/>
                <w:color w:val="212121"/>
                <w:sz w:val="16"/>
              </w:rPr>
              <w:t>Non-specific finding supporting gastritis or peptic ulcer disease</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Examination is often unremarkable in uncomplicated infection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Signs of complications</w:t>
            </w:r>
          </w:p>
        </w:tc>
        <w:tc>
          <w:tcPr>
            <w:tcW w:type="dxa" w:w="979"/>
            <w:vAlign w:val="top"/>
          </w:tcPr>
          <w:p>
            <w:pPr>
              <w:spacing w:after="40" w:before="0" w:line="259" w:lineRule="auto"/>
            </w:pPr>
            <w:r>
              <w:rPr>
                <w:rFonts w:ascii="Calibri" w:hAnsi="Calibri"/>
                <w:b w:val="0"/>
                <w:i w:val="0"/>
                <w:color w:val="212121"/>
                <w:sz w:val="16"/>
              </w:rPr>
              <w:t>Pallor, melena / positive faecal occult blood, epigastric mass, purpura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Suggests bleeding ulcer, malignancy, iron-deficiency anaemia or associated ITP - needs urgent workup</w:t>
            </w:r>
          </w:p>
        </w:tc>
        <w:tc>
          <w:tcPr>
            <w:tcW w:type="dxa" w:w="1036"/>
            <w:vAlign w:val="top"/>
          </w:tcPr>
          <w:p>
            <w:pPr>
              <w:spacing w:after="40" w:before="0" w:line="259" w:lineRule="auto"/>
            </w:pPr>
            <w:r>
              <w:rPr>
                <w:rFonts w:ascii="Calibri" w:hAnsi="Calibri"/>
                <w:b w:val="0"/>
                <w:i w:val="0"/>
                <w:color w:val="212121"/>
                <w:sz w:val="16"/>
              </w:rPr>
              <w:t>Elderly, chronic NSAID users, weight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Triggers urgent endoscopy and blood investigations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colonisation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majority of infected people have no symptoms and are unaware they carry the organism.</w:t>
            </w:r>
          </w:p>
        </w:tc>
      </w:tr>
      <w:tr>
        <w:trPr>
          <w:cantSplit/>
        </w:trPr>
        <w:tc>
          <w:tcPr>
            <w:tcW w:type="dxa" w:w="2304"/>
            <w:vAlign w:val="top"/>
          </w:tcPr>
          <w:p>
            <w:pPr>
              <w:spacing w:after="40" w:before="0" w:line="259" w:lineRule="auto"/>
            </w:pPr>
            <w:r>
              <w:rPr>
                <w:rFonts w:ascii="Calibri" w:hAnsi="Calibri"/>
                <w:b/>
                <w:i w:val="0"/>
                <w:color w:val="212121"/>
                <w:sz w:val="19"/>
              </w:rPr>
              <w:t>Epigastric pain / burning (dyspepsia)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Gnawing or burning upper-abdominal pain, often related to meals; the commonest symptomatic presentation.</w:t>
            </w:r>
          </w:p>
        </w:tc>
      </w:tr>
      <w:tr>
        <w:trPr>
          <w:cantSplit/>
        </w:trPr>
        <w:tc>
          <w:tcPr>
            <w:tcW w:type="dxa" w:w="2304"/>
            <w:vAlign w:val="top"/>
          </w:tcPr>
          <w:p>
            <w:pPr>
              <w:spacing w:after="40" w:before="0" w:line="259" w:lineRule="auto"/>
            </w:pPr>
            <w:r>
              <w:rPr>
                <w:rFonts w:ascii="Calibri" w:hAnsi="Calibri"/>
                <w:b/>
                <w:i w:val="0"/>
                <w:color w:val="212121"/>
                <w:sz w:val="19"/>
              </w:rPr>
              <w:t>Bloating &amp; early satiety / fullness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Post-meal fullness and feeling full quickly, from gastritis and impaired accommodation.</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low-grade nausea associated with gastric inflammation.</w:t>
            </w:r>
          </w:p>
        </w:tc>
      </w:tr>
      <w:tr>
        <w:trPr>
          <w:cantSplit/>
        </w:trPr>
        <w:tc>
          <w:tcPr>
            <w:tcW w:type="dxa" w:w="2304"/>
            <w:vAlign w:val="top"/>
          </w:tcPr>
          <w:p>
            <w:pPr>
              <w:spacing w:after="40" w:before="0" w:line="259" w:lineRule="auto"/>
            </w:pPr>
            <w:r>
              <w:rPr>
                <w:rFonts w:ascii="Calibri" w:hAnsi="Calibri"/>
                <w:b/>
                <w:i w:val="0"/>
                <w:color w:val="212121"/>
                <w:sz w:val="19"/>
              </w:rPr>
              <w:t>Belching / excessive burping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non-specific dyspeptic symptom.</w:t>
            </w:r>
          </w:p>
        </w:tc>
      </w:tr>
      <w:tr>
        <w:trPr>
          <w:cantSplit/>
        </w:trPr>
        <w:tc>
          <w:tcPr>
            <w:tcW w:type="dxa" w:w="2304"/>
            <w:vAlign w:val="top"/>
          </w:tcPr>
          <w:p>
            <w:pPr>
              <w:spacing w:after="40" w:before="0" w:line="259" w:lineRule="auto"/>
            </w:pPr>
            <w:r>
              <w:rPr>
                <w:rFonts w:ascii="Calibri" w:hAnsi="Calibri"/>
                <w:b/>
                <w:i w:val="0"/>
                <w:color w:val="212121"/>
                <w:sz w:val="19"/>
              </w:rPr>
              <w:t>Loss of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appetite accompanying chronic gastritis.</w:t>
            </w:r>
          </w:p>
        </w:tc>
      </w:tr>
      <w:tr>
        <w:trPr>
          <w:cantSplit/>
        </w:trPr>
        <w:tc>
          <w:tcPr>
            <w:tcW w:type="dxa" w:w="2304"/>
            <w:vAlign w:val="top"/>
          </w:tcPr>
          <w:p>
            <w:pPr>
              <w:spacing w:after="40" w:before="0" w:line="259" w:lineRule="auto"/>
            </w:pPr>
            <w:r>
              <w:rPr>
                <w:rFonts w:ascii="Calibri" w:hAnsi="Calibri"/>
                <w:b/>
                <w:i w:val="0"/>
                <w:color w:val="212121"/>
                <w:sz w:val="19"/>
              </w:rPr>
              <w:t>Heartburn / acid reflux</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Overlaps with reflux symptoms; relationship with H. pylori is variable.</w:t>
            </w:r>
          </w:p>
        </w:tc>
      </w:tr>
      <w:tr>
        <w:trPr>
          <w:cantSplit/>
        </w:trPr>
        <w:tc>
          <w:tcPr>
            <w:tcW w:type="dxa" w:w="2304"/>
            <w:vAlign w:val="top"/>
          </w:tcPr>
          <w:p>
            <w:pPr>
              <w:spacing w:after="40" w:before="0" w:line="259" w:lineRule="auto"/>
            </w:pPr>
            <w:r>
              <w:rPr>
                <w:rFonts w:ascii="Calibri" w:hAnsi="Calibri"/>
                <w:b/>
                <w:i w:val="0"/>
                <w:color w:val="212121"/>
                <w:sz w:val="19"/>
              </w:rPr>
              <w:t>Unintended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alarm feature - raises concern for complicated ulcer or gastric malignancy.</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indicate more severe gastritis, ulcer or gastric outlet obstruction.</w:t>
            </w:r>
          </w:p>
        </w:tc>
      </w:tr>
      <w:tr>
        <w:trPr>
          <w:cantSplit/>
        </w:trPr>
        <w:tc>
          <w:tcPr>
            <w:tcW w:type="dxa" w:w="2304"/>
            <w:vAlign w:val="top"/>
          </w:tcPr>
          <w:p>
            <w:pPr>
              <w:spacing w:after="40" w:before="0" w:line="259" w:lineRule="auto"/>
            </w:pPr>
            <w:r>
              <w:rPr>
                <w:rFonts w:ascii="Calibri" w:hAnsi="Calibri"/>
                <w:b/>
                <w:i w:val="0"/>
                <w:color w:val="212121"/>
                <w:sz w:val="19"/>
              </w:rPr>
              <w:t>Fatigue &amp; pallor (from iron-deficiency anaemia)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Extra-gastric manifestation from chronic occult blood loss / impaired iron absorption.</w:t>
            </w:r>
          </w:p>
        </w:tc>
      </w:tr>
      <w:tr>
        <w:trPr>
          <w:cantSplit/>
        </w:trPr>
        <w:tc>
          <w:tcPr>
            <w:tcW w:type="dxa" w:w="2304"/>
            <w:vAlign w:val="top"/>
          </w:tcPr>
          <w:p>
            <w:pPr>
              <w:spacing w:after="40" w:before="0" w:line="259" w:lineRule="auto"/>
            </w:pPr>
            <w:r>
              <w:rPr>
                <w:rFonts w:ascii="Calibri" w:hAnsi="Calibri"/>
                <w:b/>
                <w:i w:val="0"/>
                <w:color w:val="212121"/>
                <w:sz w:val="19"/>
              </w:rPr>
              <w:t>Haematemesis / melena (GI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Bleeding peptic ulcer - a medical emergency presenting as vomiting blood or black stools.</w:t>
            </w:r>
          </w:p>
        </w:tc>
      </w:tr>
      <w:tr>
        <w:trPr>
          <w:cantSplit/>
        </w:trPr>
        <w:tc>
          <w:tcPr>
            <w:tcW w:type="dxa" w:w="2304"/>
            <w:vAlign w:val="top"/>
          </w:tcPr>
          <w:p>
            <w:pPr>
              <w:spacing w:after="40" w:before="0" w:line="259" w:lineRule="auto"/>
            </w:pPr>
            <w:r>
              <w:rPr>
                <w:rFonts w:ascii="Calibri" w:hAnsi="Calibri"/>
                <w:b/>
                <w:i w:val="0"/>
                <w:color w:val="212121"/>
                <w:sz w:val="19"/>
              </w:rPr>
              <w:t>Dysphagia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Alarm symptom; suggests stricture or gastric/oesophageal malignancy and needs endoscopy.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Epigastric tenderness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Non-specific sign supporting gastritis or peptic ulcer disease.</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chronic GI blood loss or H. pylori-associated iron-deficiency anaemia.</w:t>
            </w:r>
          </w:p>
        </w:tc>
      </w:tr>
      <w:tr>
        <w:trPr>
          <w:cantSplit/>
        </w:trPr>
        <w:tc>
          <w:tcPr>
            <w:tcW w:type="dxa" w:w="3456"/>
            <w:vAlign w:val="top"/>
          </w:tcPr>
          <w:p>
            <w:pPr>
              <w:spacing w:after="40" w:before="0" w:line="259" w:lineRule="auto"/>
            </w:pPr>
            <w:r>
              <w:rPr>
                <w:rFonts w:ascii="Calibri" w:hAnsi="Calibri"/>
                <w:b/>
                <w:i w:val="0"/>
                <w:color w:val="212121"/>
                <w:sz w:val="19"/>
              </w:rPr>
              <w:t>Melena / positive faecal occult blood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 bleeding gastric or duodenal ulcer.</w:t>
            </w:r>
          </w:p>
        </w:tc>
      </w:tr>
      <w:tr>
        <w:trPr>
          <w:cantSplit/>
        </w:trPr>
        <w:tc>
          <w:tcPr>
            <w:tcW w:type="dxa" w:w="3456"/>
            <w:vAlign w:val="top"/>
          </w:tcPr>
          <w:p>
            <w:pPr>
              <w:spacing w:after="40" w:before="0" w:line="259" w:lineRule="auto"/>
            </w:pPr>
            <w:r>
              <w:rPr>
                <w:rFonts w:ascii="Calibri" w:hAnsi="Calibri"/>
                <w:b/>
                <w:i w:val="0"/>
                <w:color w:val="212121"/>
                <w:sz w:val="19"/>
              </w:rPr>
              <w:t>Halitosis / coated tongue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Non-specific; partly attributed to gastric urease activity.</w:t>
            </w:r>
          </w:p>
        </w:tc>
      </w:tr>
      <w:tr>
        <w:trPr>
          <w:cantSplit/>
        </w:trPr>
        <w:tc>
          <w:tcPr>
            <w:tcW w:type="dxa" w:w="3456"/>
            <w:vAlign w:val="top"/>
          </w:tcPr>
          <w:p>
            <w:pPr>
              <w:spacing w:after="40" w:before="0" w:line="259" w:lineRule="auto"/>
            </w:pPr>
            <w:r>
              <w:rPr>
                <w:rFonts w:ascii="Calibri" w:hAnsi="Calibri"/>
                <w:b/>
                <w:i w:val="0"/>
                <w:color w:val="212121"/>
                <w:sz w:val="19"/>
              </w:rPr>
              <w:t>Succussion splash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Audible gastric splash suggesting gastric outlet obstruction from chronic ulcer scarring / pyloric stenosis.</w:t>
            </w:r>
          </w:p>
        </w:tc>
      </w:tr>
      <w:tr>
        <w:trPr>
          <w:cantSplit/>
        </w:trPr>
        <w:tc>
          <w:tcPr>
            <w:tcW w:type="dxa" w:w="3456"/>
            <w:vAlign w:val="top"/>
          </w:tcPr>
          <w:p>
            <w:pPr>
              <w:spacing w:after="40" w:before="0" w:line="259" w:lineRule="auto"/>
            </w:pPr>
            <w:r>
              <w:rPr>
                <w:rFonts w:ascii="Calibri" w:hAnsi="Calibri"/>
                <w:b/>
                <w:i w:val="0"/>
                <w:color w:val="212121"/>
                <w:sz w:val="19"/>
              </w:rPr>
              <w:t>Epigastric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Palpable mass raising concern for advanced gastric adenocarcinoma.</w:t>
            </w:r>
          </w:p>
        </w:tc>
      </w:tr>
      <w:tr>
        <w:trPr>
          <w:cantSplit/>
        </w:trPr>
        <w:tc>
          <w:tcPr>
            <w:tcW w:type="dxa" w:w="3456"/>
            <w:vAlign w:val="top"/>
          </w:tcPr>
          <w:p>
            <w:pPr>
              <w:spacing w:after="40" w:before="0" w:line="259" w:lineRule="auto"/>
            </w:pPr>
            <w:r>
              <w:rPr>
                <w:rFonts w:ascii="Calibri" w:hAnsi="Calibri"/>
                <w:b/>
                <w:i w:val="0"/>
                <w:color w:val="212121"/>
                <w:sz w:val="19"/>
              </w:rPr>
              <w:t>Guarding / rigidity (peritonism)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Acute abdomen from a perforated peptic ulcer - a surgical emergency.</w:t>
            </w:r>
          </w:p>
        </w:tc>
      </w:tr>
      <w:tr>
        <w:trPr>
          <w:cantSplit/>
        </w:trPr>
        <w:tc>
          <w:tcPr>
            <w:tcW w:type="dxa" w:w="3456"/>
            <w:vAlign w:val="top"/>
          </w:tcPr>
          <w:p>
            <w:pPr>
              <w:spacing w:after="40" w:before="0" w:line="259" w:lineRule="auto"/>
            </w:pPr>
            <w:r>
              <w:rPr>
                <w:rFonts w:ascii="Calibri" w:hAnsi="Calibri"/>
                <w:b/>
                <w:i w:val="0"/>
                <w:color w:val="212121"/>
                <w:sz w:val="19"/>
              </w:rPr>
              <w:t>Tachycardia &amp; hypotension (shock)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massive upper-GI haemorrhage from a bleeding ulcer.</w:t>
            </w:r>
          </w:p>
        </w:tc>
      </w:tr>
      <w:tr>
        <w:trPr>
          <w:cantSplit/>
        </w:trPr>
        <w:tc>
          <w:tcPr>
            <w:tcW w:type="dxa" w:w="3456"/>
            <w:vAlign w:val="top"/>
          </w:tcPr>
          <w:p>
            <w:pPr>
              <w:spacing w:after="40" w:before="0" w:line="259" w:lineRule="auto"/>
            </w:pPr>
            <w:r>
              <w:rPr>
                <w:rFonts w:ascii="Calibri" w:hAnsi="Calibri"/>
                <w:b/>
                <w:i w:val="0"/>
                <w:color w:val="212121"/>
                <w:sz w:val="19"/>
              </w:rPr>
              <w:t>Petechiae / purpura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accompany H. pylori-associated immune thrombocytopenia (ITP).</w:t>
            </w:r>
          </w:p>
        </w:tc>
      </w:tr>
      <w:tr>
        <w:trPr>
          <w:cantSplit/>
        </w:trPr>
        <w:tc>
          <w:tcPr>
            <w:tcW w:type="dxa" w:w="3456"/>
            <w:vAlign w:val="top"/>
          </w:tcPr>
          <w:p>
            <w:pPr>
              <w:spacing w:after="40" w:before="0" w:line="259" w:lineRule="auto"/>
            </w:pPr>
            <w:r>
              <w:rPr>
                <w:rFonts w:ascii="Calibri" w:hAnsi="Calibri"/>
                <w:b/>
                <w:i w:val="0"/>
                <w:color w:val="212121"/>
                <w:sz w:val="19"/>
              </w:rPr>
              <w:t>Weight loss / cachexia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malignancy or long-standing complicated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active gastritis (near-universal histological consequence of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Peptic ulcer disease - gastric and duodenal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 pylori-associated (functional) dyspepsia</w:t>
            </w:r>
          </w:p>
        </w:tc>
        <w:tc>
          <w:tcPr>
            <w:tcW w:type="dxa" w:w="2980"/>
            <w:vAlign w:val="top"/>
          </w:tcPr>
          <w:p>
            <w:pPr>
              <w:spacing w:after="40" w:before="0" w:line="259" w:lineRule="auto"/>
            </w:pPr>
            <w:r>
              <w:rPr>
                <w:rFonts w:ascii="Calibri" w:hAnsi="Calibri"/>
                <w:b w:val="0"/>
                <w:i w:val="0"/>
                <w:color w:val="212121"/>
                <w:sz w:val="19"/>
              </w:rPr>
              <w:t>Direct consequences of bacterial colonisation and chronic mucosal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Upper-GI bleeding (haematemesis, melena) from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outlet obstruction from chronic ulcer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Atrophic gastritis with intestinal metaplasia (Correa cascade - pre-malignant)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anaemia and vitamin B12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Immune thrombocytopenic purpura (ITP)</w:t>
            </w:r>
          </w:p>
        </w:tc>
        <w:tc>
          <w:tcPr>
            <w:tcW w:type="dxa" w:w="2980"/>
            <w:vAlign w:val="top"/>
          </w:tcPr>
          <w:p>
            <w:pPr>
              <w:spacing w:after="40" w:before="0" w:line="259" w:lineRule="auto"/>
            </w:pPr>
            <w:r>
              <w:rPr>
                <w:rFonts w:ascii="Calibri" w:hAnsi="Calibri"/>
                <w:b w:val="0"/>
                <w:i w:val="0"/>
                <w:color w:val="212121"/>
                <w:sz w:val="19"/>
              </w:rPr>
              <w:t>Result from chronic ulceration, mucosal atrophy and extra-gastric immune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Perforated peptic ulcer with peritonitis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adenocarcinoma (WHO/IARC Group 1 carcinogen)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MALT (mucosa-associated lymphoid tissue) lymphoma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infection from antibiotic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and cancer-related mortality</w:t>
            </w:r>
          </w:p>
        </w:tc>
        <w:tc>
          <w:tcPr>
            <w:tcW w:type="dxa" w:w="2980"/>
            <w:vAlign w:val="top"/>
          </w:tcPr>
          <w:p>
            <w:pPr>
              <w:spacing w:after="40" w:before="0" w:line="259" w:lineRule="auto"/>
            </w:pPr>
            <w:r>
              <w:rPr>
                <w:rFonts w:ascii="Calibri" w:hAnsi="Calibri"/>
                <w:b w:val="0"/>
                <w:i w:val="0"/>
                <w:color w:val="212121"/>
                <w:sz w:val="19"/>
              </w:rPr>
              <w:t>Severe, potentially irreversible or life-threatening outcomes of long-standing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Peptic ulcer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 pylori causes ~90% of duodenal and 70-90% of gastric ulcers; eradication heals ulcers and prevents recurrence.</w:t>
            </w:r>
          </w:p>
          <w:p>
            <w:pPr>
              <w:spacing w:after="40" w:before="0" w:line="259" w:lineRule="auto"/>
            </w:pPr>
            <w:r>
              <w:rPr>
                <w:rFonts w:ascii="Calibri" w:hAnsi="Calibri"/>
                <w:b/>
                <w:i w:val="0"/>
                <w:color w:val="212121"/>
                <w:sz w:val="19"/>
              </w:rPr>
              <w:t>~10-15% of infected develop an ulcer</w:t>
            </w:r>
          </w:p>
        </w:tc>
      </w:tr>
      <w:tr>
        <w:trPr>
          <w:cantSplit/>
        </w:trPr>
        <w:tc>
          <w:tcPr>
            <w:tcW w:type="dxa" w:w="2232"/>
            <w:vAlign w:val="top"/>
          </w:tcPr>
          <w:p>
            <w:pPr>
              <w:spacing w:after="40" w:before="0" w:line="259" w:lineRule="auto"/>
            </w:pPr>
            <w:r>
              <w:rPr>
                <w:rFonts w:ascii="Calibri" w:hAnsi="Calibri"/>
                <w:b/>
                <w:i w:val="0"/>
                <w:color w:val="212121"/>
                <w:sz w:val="19"/>
              </w:rPr>
              <w:t>Chronic &amp; atrophic gastritis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H. pylori is the primary cause of chronic gastritis; persistent infection drives atrophy and intestinal metaplasia.</w:t>
            </w:r>
          </w:p>
          <w:p>
            <w:pPr>
              <w:spacing w:after="40" w:before="0" w:line="259" w:lineRule="auto"/>
            </w:pPr>
            <w:r>
              <w:rPr>
                <w:rFonts w:ascii="Calibri" w:hAnsi="Calibri"/>
                <w:b/>
                <w:i w:val="0"/>
                <w:color w:val="212121"/>
                <w:sz w:val="19"/>
              </w:rPr>
              <w:t>~2.4x risk of atrophic gastritis</w:t>
            </w:r>
          </w:p>
        </w:tc>
      </w:tr>
      <w:tr>
        <w:trPr>
          <w:cantSplit/>
        </w:trPr>
        <w:tc>
          <w:tcPr>
            <w:tcW w:type="dxa" w:w="2232"/>
            <w:vAlign w:val="top"/>
          </w:tcPr>
          <w:p>
            <w:pPr>
              <w:spacing w:after="40" w:before="0" w:line="259" w:lineRule="auto"/>
            </w:pPr>
            <w:r>
              <w:rPr>
                <w:rFonts w:ascii="Calibri" w:hAnsi="Calibri"/>
                <w:b/>
                <w:i w:val="0"/>
                <w:color w:val="212121"/>
                <w:sz w:val="19"/>
              </w:rPr>
              <w:t>Gastric adenocarcinoma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IARC Group 1 carcinogen; the majority of non-cardia gastric cancers are attributable to H. pylori via the Correa cascade.</w:t>
            </w:r>
          </w:p>
        </w:tc>
      </w:tr>
      <w:tr>
        <w:trPr>
          <w:cantSplit/>
        </w:trPr>
        <w:tc>
          <w:tcPr>
            <w:tcW w:type="dxa" w:w="2232"/>
            <w:vAlign w:val="top"/>
          </w:tcPr>
          <w:p>
            <w:pPr>
              <w:spacing w:after="40" w:before="0" w:line="259" w:lineRule="auto"/>
            </w:pPr>
            <w:r>
              <w:rPr>
                <w:rFonts w:ascii="Calibri" w:hAnsi="Calibri"/>
                <w:b/>
                <w:i w:val="0"/>
                <w:color w:val="212121"/>
                <w:sz w:val="19"/>
              </w:rPr>
              <w:t>Gastric MALT lymphoma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 pylori drives most gastric MALT lymphomas; eradication induces remission in early-stage disease.</w:t>
            </w:r>
          </w:p>
          <w:p>
            <w:pPr>
              <w:spacing w:after="40" w:before="0" w:line="259" w:lineRule="auto"/>
            </w:pPr>
            <w:r>
              <w:rPr>
                <w:rFonts w:ascii="Calibri" w:hAnsi="Calibri"/>
                <w:b/>
                <w:i w:val="0"/>
                <w:color w:val="212121"/>
                <w:sz w:val="19"/>
              </w:rPr>
              <w:t>H. pylori-positive in &gt;75%</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Established cause of unexplained/refractory IDA through impaired iron absorption and occult blood loss; eradication improves it.</w:t>
            </w:r>
          </w:p>
        </w:tc>
      </w:tr>
      <w:tr>
        <w:trPr>
          <w:cantSplit/>
        </w:trPr>
        <w:tc>
          <w:tcPr>
            <w:tcW w:type="dxa" w:w="2232"/>
            <w:vAlign w:val="top"/>
          </w:tcPr>
          <w:p>
            <w:pPr>
              <w:spacing w:after="40" w:before="0" w:line="259" w:lineRule="auto"/>
            </w:pPr>
            <w:r>
              <w:rPr>
                <w:rFonts w:ascii="Calibri" w:hAnsi="Calibri"/>
                <w:b/>
                <w:i w:val="0"/>
                <w:color w:val="212121"/>
                <w:sz w:val="19"/>
              </w:rPr>
              <w:t>Vitamin B12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Atrophic (corpus) gastritis reduces intrinsic factor and acid, impairing B12 absorption.</w:t>
            </w:r>
          </w:p>
        </w:tc>
      </w:tr>
      <w:tr>
        <w:trPr>
          <w:cantSplit/>
        </w:trPr>
        <w:tc>
          <w:tcPr>
            <w:tcW w:type="dxa" w:w="2232"/>
            <w:vAlign w:val="top"/>
          </w:tcPr>
          <w:p>
            <w:pPr>
              <w:spacing w:after="40" w:before="0" w:line="259" w:lineRule="auto"/>
            </w:pPr>
            <w:r>
              <w:rPr>
                <w:rFonts w:ascii="Calibri" w:hAnsi="Calibri"/>
                <w:b/>
                <w:i w:val="0"/>
                <w:color w:val="212121"/>
                <w:sz w:val="19"/>
              </w:rPr>
              <w:t>Immune thrombocytopenic purpura (ITP)</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chronic immune thrombocytopenia; platelet counts rise after eradication in a subset.</w:t>
            </w:r>
          </w:p>
        </w:tc>
      </w:tr>
      <w:tr>
        <w:trPr>
          <w:cantSplit/>
        </w:trPr>
        <w:tc>
          <w:tcPr>
            <w:tcW w:type="dxa" w:w="2232"/>
            <w:vAlign w:val="top"/>
          </w:tcPr>
          <w:p>
            <w:pPr>
              <w:spacing w:after="40" w:before="0" w:line="259" w:lineRule="auto"/>
            </w:pPr>
            <w:r>
              <w:rPr>
                <w:rFonts w:ascii="Calibri" w:hAnsi="Calibri"/>
                <w:b/>
                <w:i w:val="0"/>
                <w:color w:val="212121"/>
                <w:sz w:val="19"/>
              </w:rPr>
              <w:t>Functional dyspepsia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 pylori-associated dyspepsia is a recognised subset; eradication relieves symptoms in some patients (test-and-treat).</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Complex/inverse relationship - corpus atrophy lowers acid, and eradication can occasionally unmask reflux.</w:t>
            </w:r>
          </w:p>
        </w:tc>
      </w:tr>
      <w:tr>
        <w:trPr>
          <w:cantSplit/>
        </w:trPr>
        <w:tc>
          <w:tcPr>
            <w:tcW w:type="dxa" w:w="2232"/>
            <w:vAlign w:val="top"/>
          </w:tcPr>
          <w:p>
            <w:pPr>
              <w:spacing w:after="40" w:before="0" w:line="259" w:lineRule="auto"/>
            </w:pPr>
            <w:r>
              <w:rPr>
                <w:rFonts w:ascii="Calibri" w:hAnsi="Calibri"/>
                <w:b/>
                <w:i w:val="0"/>
                <w:color w:val="212121"/>
                <w:sz w:val="19"/>
              </w:rPr>
              <w:t>Metabolic syndrome / insulin resistance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Epidemiologically associated through chronic low-grade inflammation; relationship is bidirectional and still under study.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 pylori spreads person-to-person and through contaminated food and water (faecal-oral, oral-oral) - most infection is caught in childhood.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with soap after using the toilet and before preparing or eating food; use safe (boiled/filtered/treated) drinking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sharing spoons, cups, plates and pre-chewed food, especially with young children and within crowded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diagnosed, complete the FULL prescribed eradication course (usually 14 days) - stopping early breeds antibiotic resistance and treatment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confirm cure with a urea breath test or stool antigen test at least 4 weeks after finishing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alarm features (weight loss, black or bloody stools, vomiting blood, difficulty swallowing, anaemia) and seek urgent endoscopy rather than self-medicating with acid suppressants.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Low-SES &amp; rural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eradication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(e.g., &gt;= 150 min/week of brisk walking) for overall gastrointestinal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healthy weight, as H. pylori is epidemiologically linked with metabolic syndrome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and stress-reducing movement (walking, yoga) to help manage functional dyspeptic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exercise supports general health but does NOT prevent or clear infection - it is not a substitute for antibiotic eradication.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 pylori-related dyspepsia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only boiled, filtered or reliably treated water and avoid ice/beverages made from unsafe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freshly cooked, hot food; avoid street food prepared with poor hand hygiene and thoroughly wash raw fruit and vegetables.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salt to &lt; 5 g/day and cut down on salted, pickled and smoked foods, which promote atrophic gastritis and gastric cancer alongside H. pylori.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plenty of fresh fruit and vegetables (&gt;= 400 g/day) for antioxidants that help protect the gastric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serving spoons or eat from a common plate during acute household infections.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High-salt / pickled-food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slum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an infected member</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and after eradication, eat small, frequent, unhurried meals and avoid known ulcer irritants (very spicy, deep-fried and excessively oily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strong coffee, tea and carbonated drinks if they worsen acid or dyspeptic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and vitamin B12 deficiency with diet and supplements where anaemia or atrophic gastritis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medicines with food/water as directed and avoid alcohol while on the antibiotic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a diet rich in whole grains, pulses, fruit and vegetables to support mucosal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eradication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Peptic ulcer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Iron/B12-deficient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atrophic gastritis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regular, good-quality sleep to support immune function and symptom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or late-night meals within 2-3 hours of lying down to reduce nocturnal reflux and epigastric discomfort.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if reflux-type symptoms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pain-related sleep disruption from ulcers with appropriate acid-suppression as prescribed.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dyspepsia / ulcer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reflux overlap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tobacco/bidi use - smoking lowers the success of H. pylori eradication and delays ulcer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continued smoking multiplies the long-term risk of peptic ulcer recurrence and gastric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quitlines, nicotine-replacement/pharmacotherapy) to sustain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H. pylori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Peptic ulcer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atrophic gastritis / high cancer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completely while taking metronidazole (and for 48 hours after) to prevent a disulfiram-like reaction.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stop alcohol during ulcer healing, as it irritates and inflames the gastric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is resumed after cure, keep well within low-risk limits and never on an empty stomach.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reduction with smoking cessation for the greatest reduction in ulcer and cancer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metronidazole-based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 with gastritis/ulcer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Peptic ulcer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stress and anxiety do not cause the infection but can amplify dyspeptic and pain symptoms via the gut-brain axis.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techniques (relaxation, breathing, mindfulness, regular routine) to ease functional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anxiety or depression, which commonly overlap with chronic dyspepsia and reduce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after successful eradication and normal endoscopy to reduce health anxiety and repeated testing.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 pylori-associated dyspepsia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 health-anxious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functional-symptom overlap</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44250/" TargetMode="External"/><Relationship Id="rId10" Type="http://schemas.openxmlformats.org/officeDocument/2006/relationships/hyperlink" Target="https://www.ncbi.nlm.nih.gov/books/NBK459142/" TargetMode="External"/><Relationship Id="rId11" Type="http://schemas.openxmlformats.org/officeDocument/2006/relationships/hyperlink" Target="https://www.ncbi.nlm.nih.gov/books/NBK534233/" TargetMode="External"/><Relationship Id="rId12" Type="http://schemas.openxmlformats.org/officeDocument/2006/relationships/hyperlink" Target="https://www.mayoclinic.org/diseases-conditions/h-pylori/symptoms-causes/syc-20356171" TargetMode="External"/><Relationship Id="rId13" Type="http://schemas.openxmlformats.org/officeDocument/2006/relationships/hyperlink" Target="https://www.ncbi.nlm.nih.gov/books/NBK534792/" TargetMode="External"/><Relationship Id="rId14" Type="http://schemas.openxmlformats.org/officeDocument/2006/relationships/hyperlink" Target="https://www.cancer.gov/about-cancer/causes-prevention/risk/infectious-agents/h-pylori-fac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