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Chronic Diarrhea</w:t>
      </w:r>
    </w:p>
    <w:p>
      <w:pPr>
        <w:spacing w:before="0" w:after="160"/>
      </w:pPr>
      <w:r>
        <w:rPr>
          <w:rFonts w:ascii="Calibri" w:hAnsi="Calibri"/>
          <w:b/>
          <w:i w:val="0"/>
          <w:color w:val="212121"/>
          <w:sz w:val="22"/>
        </w:rPr>
        <w:t xml:space="preserve">AKA </w:t>
      </w:r>
      <w:r>
        <w:rPr>
          <w:rFonts w:ascii="Calibri" w:hAnsi="Calibri"/>
          <w:b w:val="0"/>
          <w:i w:val="0"/>
          <w:color w:val="212121"/>
          <w:sz w:val="22"/>
        </w:rPr>
        <w:t>i.e., Chronic loose motions, Persistent diarrhoea, Long-standing diarrhoea, “Purana dast”</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Chronic diarrhoea is the passage of loose or watery stools (Bristol type 5–7) three or more times per day, or stool frequency/consistency clearly greater than normal for the individual, persisting for four or more weeks. It is a symptom-syndrome rather than a single disease, produced by osmotic, secretory, inflammatory, malabsorptive or dysmotility mechanisms—often in combination. It is distinguished from acute diarrhoea (&lt; 2 weeks) and persistent diarrhoea (2–4 weeks). In India the causal spectrum is broad, spanning chronic gastrointestinal infections, celiac disease, tropical sprue, inflammatory bowel disease, intestinal tuberculosis and functional (IBS-D) disorders.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Chronic diarrhoea affects approximately 5% of the population at any given point in time and is roughly equal in men and women, becoming somewhat less common after the age of 60. In India its two leading 'functional' and 'organic' drivers are well documented: community irritable bowel syndrome (a major functional cause) has a prevalence of about 4% in north India, with the diarrhoea-predominant subtype around 1.5%, while adult celiac disease affects roughly 1 in 96 people (prevalence ~1.04%). In a recent Indian hospital series of chronic organic non-bloody diarrhoea, inflammatory bowel disease (45%), gastrointestinal infections (18%) and celiac disease (9%) were the commonest identifiable causes.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Chronic diarrhoea is a clinical diagnosis (loose stools for ≥ 4 weeks) that is then characterised by stool type and worked up in a stepwise manner to identify a cause and exclude organic 'red-flag' disease. Evaluation is guided by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Duration ≥ 4 weeks of decreased stool consistency (Bristol type 5–7) and/or ≥ 3 stools/day, with a history that separates watery, fatty (steatorrhoea) and inflammatory (blood/mucus/pus) patterns;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First-line blood tests: complete blood count, ESR/CRP, serum electrolytes, renal and liver profile, total protein/albumin, thyroid-stimulating hormone, and celiac serology (anti-tissue-transglutaminase IgA with total IgA);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Stool studies: faecal calprotectin or lactoferrin (inflammation), stool occult blood, microscopy for ova/cysts and Giardia/Entamoeba antigen, faecal fat (Sudan stain or 48–72 h collection) or faecal elastase, and stool electrolytes to compute the osmotic gap (osmotic vs secretory);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Endoscopy/ileocolonoscopy with biopsies (including for microscopic colitis, IBD, intestinal tuberculosis and malignancy) and small-bowel/cross-sectional imaging when malabsorption, obstruction or a mass is suspected;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Targeted tests by pattern: hydrogen breath tests for lactose intolerance/SIBO, 7-day ⁵⁷Se-HCAT or serum C4/FGF19 for bile-acid diarrhoea, and gut hormones (VIP, gastrin, chromogranin A, urinary 5-HIAA) for suspected neuroendocrine causes;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Alarm features mandating prompt organic work-up: onset after age 50, rectal bleeding or nocturnal diarrhoea, progressive or unintentional weight loss, anaemia, fever, a family history of IBD or colorectal cancer, and abnormal baseline labs.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Chronic diarrhoea is most usefully classified by stool character and underlying mechanism, which directs the diagnostic work-up. Three broad categories are recognised, with duration providing an additional axis:</w:t>
      </w:r>
    </w:p>
    <w:p>
      <w:pPr>
        <w:spacing w:before="0" w:after="80"/>
      </w:pPr>
      <w:r>
        <w:rPr>
          <w:rFonts w:ascii="Calibri" w:hAnsi="Calibri"/>
          <w:b w:val="0"/>
          <w:i w:val="0"/>
          <w:color w:val="212121"/>
          <w:sz w:val="21"/>
        </w:rPr>
        <w:t>(1) Watery diarrhoea, subdivided into osmotic diarrhoea (an ingested poorly-absorbed solute draws water into the lumen; stops with fasting—e.g., lactose or other carbohydrate malabsorption, magnesium or sorbitol/sugar-alcohol intake), secretory diarrhoea (active electrolyte/water secretion; large-volume, persists during fasting and at night—e.g., bile-acid diarrhoea, microscopic colitis, enterotoxins, neuroendocrine tumours), and functional diarrhoea/IBS-D (gut-brain axis dysfunction with pain and urgency but no organic marker);</w:t>
      </w:r>
    </w:p>
    <w:p>
      <w:pPr>
        <w:spacing w:before="0" w:after="80"/>
      </w:pPr>
      <w:r>
        <w:rPr>
          <w:rFonts w:ascii="Calibri" w:hAnsi="Calibri"/>
          <w:b w:val="0"/>
          <w:i w:val="0"/>
          <w:color w:val="212121"/>
          <w:sz w:val="21"/>
        </w:rPr>
        <w:t>(2) Fatty (malabsorptive) diarrhoea with steatorrhoea—bulky, greasy, foul, difficult-to-flush stools from maldigestion or mucosal malabsorption—caused by celiac disease, tropical sprue, small-intestinal bacterial overgrowth (SIBO), giardiasis, and exocrine pancreatic insufficiency (chronic pancreatitis);</w:t>
      </w:r>
    </w:p>
    <w:p>
      <w:pPr>
        <w:spacing w:before="0" w:after="80"/>
      </w:pPr>
      <w:r>
        <w:rPr>
          <w:rFonts w:ascii="Calibri" w:hAnsi="Calibri"/>
          <w:b w:val="0"/>
          <w:i w:val="0"/>
          <w:color w:val="212121"/>
          <w:sz w:val="21"/>
        </w:rPr>
        <w:t>(3) Inflammatory diarrhoea with blood, mucus or pus and raised faecal calprotectin—inflammatory bowel disease (Crohn's disease, ulcerative colitis), intestinal tuberculosis, invasive/opportunistic infections, ischaemic or radiation colitis, and colorectal neoplasia;</w:t>
      </w:r>
    </w:p>
    <w:p>
      <w:pPr>
        <w:spacing w:before="0" w:after="80"/>
      </w:pPr>
      <w:r>
        <w:rPr>
          <w:rFonts w:ascii="Calibri" w:hAnsi="Calibri"/>
          <w:b w:val="0"/>
          <w:i w:val="0"/>
          <w:color w:val="212121"/>
          <w:sz w:val="21"/>
        </w:rPr>
        <w:t>By duration, the World Health Organization separates acute watery diarrhoea, acute bloody diarrhoea (dysentery) and persistent diarrhoea lasting 14 days or more; when loose stools continue beyond 4 weeks the term chronic diarrhoea is applied and an organic cause must be actively excluded.</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Functional gut-brain disorder (IBS-D): disordered gut-brain signalling, visceral hypersensitivity, dysmotility and post-infective changes produce chronic diarrhoea without structural disease; it is the commonest functional cause in India.</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Malabsorption: celiac disease (gluten-driven villous atrophy), tropical sprue, SIBO and exocrine pancreatic insufficiency impair nutrient/fat absorption, causing fatty, weight-losing diarrhoea.</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Inflammatory bowel disease: immune-mediated mucosal inflammation of the small and/or large bowel (Crohn's disease, ulcerative colitis); its incidence is rising rapidly across urban India.</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Chronic and opportunistic infection: Giardia, Entamoeba, intestinal tuberculosis and (in HIV/immune suppression) Cryptosporidium, Cystoisospora, CMV and MAC—favoured by unsafe water, poor sanitation and a high community TB burden.</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Osmotic/dietary factors: lactose intolerance (very common in India), fructose or sugar-alcohol (sorbitol) excess and other poorly-absorbed carbohydrates drive osmotic diarrhoea.</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Secretory and endocrine causes: bile-acid diarrhoea (post-cholecystectomy or ileal disease/resection), microscopic colitis, hyperthyroidism and rare neuroendocrine tumours (VIPoma, carcinoid, gastrinoma).</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Drug-induced diarrhoea: over 700 medicines can cause it—commonly metformin, magnesium antacids, proton-pump inhibitors, antibiotics, colchicine, chemotherapy and olmesartan (sprue-like enteropathy).</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w:t>
            </w:r>
          </w:p>
        </w:tc>
        <w:tc>
          <w:tcPr>
            <w:tcW w:type="dxa" w:w="4276"/>
            <w:vAlign w:val="top"/>
          </w:tcPr>
          <w:p>
            <w:pPr>
              <w:spacing w:after="60" w:line="259" w:lineRule="auto"/>
            </w:pPr>
            <w:r>
              <w:rPr>
                <w:rFonts w:ascii="Calibri" w:hAnsi="Calibri"/>
                <w:b w:val="0"/>
                <w:i w:val="0"/>
                <w:color w:val="212121"/>
                <w:sz w:val="19"/>
              </w:rPr>
              <w:t>Chronic diarrhoea affects roughly 5% of the general population at any time, with a wide adult causal spectrum from functional (IBS-D) to malabsorptive and inflammatory disease. In Indian adults presenting with chronic organic non-bloody diarrhoea the mean age is in the late 40s.</w:t>
            </w:r>
          </w:p>
          <w:p>
            <w:pPr>
              <w:spacing w:after="40" w:before="60" w:line="259" w:lineRule="auto"/>
            </w:pPr>
            <w:r>
              <w:rPr>
                <w:rFonts w:ascii="Calibri" w:hAnsi="Calibri"/>
                <w:b w:val="0"/>
                <w:i w:val="0"/>
                <w:color w:val="212121"/>
                <w:sz w:val="19"/>
              </w:rPr>
              <w:t>In an Indian series the mean age of chronic organic non-bloody diarrhoea was 48 ± 16.7 years (58% male), and a definite diagnosis was reached in 97% of cases.</w:t>
            </w:r>
          </w:p>
          <w:p>
            <w:pPr>
              <w:spacing w:after="40" w:line="252" w:lineRule="auto"/>
            </w:pPr>
            <w:hyperlink r:id="rId9">
              <w:r>
                <w:rPr>
                  <w:rFonts w:ascii="Calibri" w:hAnsi="Calibri" w:cs="Calibri"/>
                  <w:sz w:val="18"/>
                  <w:color w:val="1155CC"/>
                  <w:u w:val="single"/>
                </w:rPr>
                <w:t xml:space="preserve">pubmed.ncbi.nlm.nih.gov/39093512 — etiology of chronic diarrhoea in India</w:t>
              </w:r>
            </w:hyperlink>
          </w:p>
          <w:p>
            <w:pPr>
              <w:spacing w:before="60" w:after="40"/>
            </w:pPr>
            <w:r>
              <w:rPr>
                <w:rFonts w:ascii="Calibri" w:hAnsi="Calibri"/>
                <w:b w:val="0"/>
                <w:i w:val="0"/>
                <w:color w:val="5A5A5A"/>
                <w:sz w:val="18"/>
              </w:rPr>
              <w:t>#chronicdiarrhea  #IBSD  #malabsorption  #adults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Although overall it is less common after 60, new-onset chronic diarrhoea in the elderly more often signals organic disease—microscopic colitis, bile-acid diarrhoea, ischaemic colitis, drug effects from polypharmacy, and colorectal malignancy—so it warrants prompt alarm-feature work-up.</w:t>
            </w:r>
          </w:p>
          <w:p>
            <w:pPr>
              <w:spacing w:after="40" w:before="60" w:line="259" w:lineRule="auto"/>
            </w:pPr>
            <w:r>
              <w:rPr>
                <w:rFonts w:ascii="Calibri" w:hAnsi="Calibri"/>
                <w:b w:val="0"/>
                <w:i w:val="0"/>
                <w:color w:val="212121"/>
                <w:sz w:val="19"/>
              </w:rPr>
              <w:t>Chronic diarrhoea is 'less common among those above the age of 60', but onset after age 50 is itself an alarm feature prompting colonoscopy.</w:t>
            </w:r>
          </w:p>
          <w:p>
            <w:pPr>
              <w:spacing w:after="40" w:line="252" w:lineRule="auto"/>
            </w:pPr>
            <w:hyperlink r:id="rId10">
              <w:r>
                <w:rPr>
                  <w:rFonts w:ascii="Calibri" w:hAnsi="Calibri" w:cs="Calibri"/>
                  <w:sz w:val="18"/>
                  <w:color w:val="1155CC"/>
                  <w:u w:val="single"/>
                </w:rPr>
                <w:t xml:space="preserve">ncbi.nlm.nih.gov — StatPearls: Chronic Diarrhea</w:t>
              </w:r>
            </w:hyperlink>
          </w:p>
          <w:p>
            <w:pPr>
              <w:spacing w:before="60" w:after="40"/>
            </w:pPr>
            <w:r>
              <w:rPr>
                <w:rFonts w:ascii="Calibri" w:hAnsi="Calibri"/>
                <w:b w:val="0"/>
                <w:i w:val="0"/>
                <w:color w:val="5A5A5A"/>
                <w:sz w:val="18"/>
              </w:rPr>
              <w:t>#elderly  #microscopiccolitis  #redflags  #malignancy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Women have a higher burden of the two commonest secretory/functional causes—diarrhoea-predominant IBS and microscopic colitis. In India community IBS is significantly more frequent in women.</w:t>
            </w:r>
          </w:p>
          <w:p>
            <w:pPr>
              <w:spacing w:after="40" w:before="60" w:line="259" w:lineRule="auto"/>
            </w:pPr>
            <w:r>
              <w:rPr>
                <w:rFonts w:ascii="Calibri" w:hAnsi="Calibri"/>
                <w:b w:val="0"/>
                <w:i w:val="0"/>
                <w:color w:val="212121"/>
                <w:sz w:val="19"/>
              </w:rPr>
              <w:t>In a north Indian community study IBS prevalence was higher in females than males (4.8% vs 3.2%, P = 0.008).</w:t>
            </w:r>
          </w:p>
          <w:p>
            <w:pPr>
              <w:spacing w:after="40" w:line="252" w:lineRule="auto"/>
            </w:pPr>
            <w:hyperlink r:id="rId11">
              <w:r>
                <w:rPr>
                  <w:rFonts w:ascii="Calibri" w:hAnsi="Calibri" w:cs="Calibri"/>
                  <w:sz w:val="18"/>
                  <w:color w:val="1155CC"/>
                  <w:u w:val="single"/>
                </w:rPr>
                <w:t xml:space="preserve">pubmed.ncbi.nlm.nih.gov/21369496 — IBS community prevalence, N India</w:t>
              </w:r>
            </w:hyperlink>
          </w:p>
          <w:p>
            <w:pPr>
              <w:spacing w:before="60" w:after="40"/>
            </w:pPr>
            <w:r>
              <w:rPr>
                <w:rFonts w:ascii="Calibri" w:hAnsi="Calibri"/>
                <w:b w:val="0"/>
                <w:i w:val="0"/>
                <w:color w:val="5A5A5A"/>
                <w:sz w:val="18"/>
              </w:rPr>
              <w:t>#IBS  #women  #microscopiccolitis  #gutbrain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households, poor sanitation</w:t>
            </w:r>
          </w:p>
        </w:tc>
        <w:tc>
          <w:tcPr>
            <w:tcW w:type="dxa" w:w="4276"/>
            <w:vAlign w:val="top"/>
          </w:tcPr>
          <w:p>
            <w:pPr>
              <w:spacing w:after="60" w:line="259" w:lineRule="auto"/>
            </w:pPr>
            <w:r>
              <w:rPr>
                <w:rFonts w:ascii="Calibri" w:hAnsi="Calibri"/>
                <w:b w:val="0"/>
                <w:i w:val="0"/>
                <w:color w:val="212121"/>
                <w:sz w:val="19"/>
              </w:rPr>
              <w:t>Unsafe drinking water, open defecation and food contamination sustain chronic and recurrent enteric infection (giardiasis, amoebiasis, environmental enteropathy) and intestinal tuberculosis, which cluster in low-income and crowded settings.</w:t>
            </w:r>
          </w:p>
          <w:p>
            <w:pPr>
              <w:spacing w:after="40" w:before="60" w:line="259" w:lineRule="auto"/>
            </w:pPr>
            <w:r>
              <w:rPr>
                <w:rFonts w:ascii="Calibri" w:hAnsi="Calibri"/>
                <w:b w:val="0"/>
                <w:i w:val="0"/>
                <w:color w:val="212121"/>
                <w:sz w:val="19"/>
              </w:rPr>
              <w:t>Giardia prevalence is 4–30% in low-income countries versus 1–8% in high-income countries.</w:t>
            </w:r>
          </w:p>
          <w:p>
            <w:pPr>
              <w:spacing w:after="40" w:line="252" w:lineRule="auto"/>
            </w:pPr>
            <w:hyperlink r:id="rId12">
              <w:r>
                <w:rPr>
                  <w:rFonts w:ascii="Calibri" w:hAnsi="Calibri" w:cs="Calibri"/>
                  <w:sz w:val="18"/>
                  <w:color w:val="1155CC"/>
                  <w:u w:val="single"/>
                </w:rPr>
                <w:t xml:space="preserve">ncbi.nlm.nih.gov — StatPearls: Giardiasis</w:t>
              </w:r>
            </w:hyperlink>
          </w:p>
          <w:p>
            <w:pPr>
              <w:spacing w:before="60" w:after="40"/>
            </w:pPr>
            <w:r>
              <w:rPr>
                <w:rFonts w:ascii="Calibri" w:hAnsi="Calibri"/>
                <w:b w:val="0"/>
                <w:i w:val="0"/>
                <w:color w:val="5A5A5A"/>
                <w:sz w:val="18"/>
              </w:rPr>
              <w:t>#sanitation  #giardia  #watersupply  #poverty</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North Indian (wheat-belt) population</w:t>
            </w:r>
          </w:p>
        </w:tc>
        <w:tc>
          <w:tcPr>
            <w:tcW w:type="dxa" w:w="4276"/>
            <w:vAlign w:val="top"/>
          </w:tcPr>
          <w:p>
            <w:pPr>
              <w:spacing w:after="60" w:line="259" w:lineRule="auto"/>
            </w:pPr>
            <w:r>
              <w:rPr>
                <w:rFonts w:ascii="Calibri" w:hAnsi="Calibri"/>
                <w:b w:val="0"/>
                <w:i w:val="0"/>
                <w:color w:val="212121"/>
                <w:sz w:val="19"/>
              </w:rPr>
              <w:t>The wheat-eating north Indian belt has a high, once-underestimated burden of celiac disease; high habitual gluten intake unmasks disease in HLA-DQ2/DQ8-predisposed individuals, a leading cause of malabsorptive chronic diarrhoea.</w:t>
            </w:r>
          </w:p>
          <w:p>
            <w:pPr>
              <w:spacing w:after="40" w:before="60" w:line="259" w:lineRule="auto"/>
            </w:pPr>
            <w:r>
              <w:rPr>
                <w:rFonts w:ascii="Calibri" w:hAnsi="Calibri"/>
                <w:b w:val="0"/>
                <w:i w:val="0"/>
                <w:color w:val="212121"/>
                <w:sz w:val="19"/>
              </w:rPr>
              <w:t>Community celiac prevalence in the Delhi/National Capital Region was 1.04% (seroprevalence 1.44%) —about 1 in 96 people.</w:t>
            </w:r>
          </w:p>
          <w:p>
            <w:pPr>
              <w:spacing w:after="40" w:line="252" w:lineRule="auto"/>
            </w:pPr>
            <w:hyperlink r:id="rId13">
              <w:r>
                <w:rPr>
                  <w:rFonts w:ascii="Calibri" w:hAnsi="Calibri" w:cs="Calibri"/>
                  <w:sz w:val="18"/>
                  <w:color w:val="1155CC"/>
                  <w:u w:val="single"/>
                </w:rPr>
                <w:t xml:space="preserve">pubmed.ncbi.nlm.nih.gov/21182543 — celiac community prevalence, N India</w:t>
              </w:r>
            </w:hyperlink>
          </w:p>
          <w:p>
            <w:pPr>
              <w:spacing w:before="60" w:after="40"/>
            </w:pPr>
            <w:r>
              <w:rPr>
                <w:rFonts w:ascii="Calibri" w:hAnsi="Calibri"/>
                <w:b w:val="0"/>
                <w:i w:val="0"/>
                <w:color w:val="5A5A5A"/>
                <w:sz w:val="18"/>
              </w:rPr>
              <w:t>#celiac  #gluten  #wheatbelt  #northindia</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Geographic</w:t>
            </w:r>
          </w:p>
        </w:tc>
        <w:tc>
          <w:tcPr>
            <w:tcW w:type="dxa" w:w="2160"/>
            <w:vAlign w:val="top"/>
          </w:tcPr>
          <w:p>
            <w:pPr>
              <w:spacing w:after="40" w:before="0" w:line="259" w:lineRule="auto"/>
            </w:pPr>
            <w:r>
              <w:rPr>
                <w:rFonts w:ascii="Calibri" w:hAnsi="Calibri"/>
                <w:b w:val="0"/>
                <w:i w:val="0"/>
                <w:color w:val="212121"/>
                <w:sz w:val="19"/>
              </w:rPr>
              <w:t>Tropical / rural India (tropical sprue belt)</w:t>
            </w:r>
          </w:p>
        </w:tc>
        <w:tc>
          <w:tcPr>
            <w:tcW w:type="dxa" w:w="4276"/>
            <w:vAlign w:val="top"/>
          </w:tcPr>
          <w:p>
            <w:pPr>
              <w:spacing w:after="60" w:line="259" w:lineRule="auto"/>
            </w:pPr>
            <w:r>
              <w:rPr>
                <w:rFonts w:ascii="Calibri" w:hAnsi="Calibri"/>
                <w:b w:val="0"/>
                <w:i w:val="0"/>
                <w:color w:val="212121"/>
                <w:sz w:val="19"/>
              </w:rPr>
              <w:t>Tropical sprue—a post-infective small-bowel malabsorption—remains endemic in parts of south India and Kashmir and is still a major cause of chronic diarrhoea with folate and B12 deficiency, though celiac disease is now recognised more often.</w:t>
            </w:r>
          </w:p>
          <w:p>
            <w:pPr>
              <w:spacing w:after="40" w:before="60" w:line="259" w:lineRule="auto"/>
            </w:pPr>
            <w:r>
              <w:rPr>
                <w:rFonts w:ascii="Calibri" w:hAnsi="Calibri"/>
                <w:b w:val="0"/>
                <w:i w:val="0"/>
                <w:color w:val="212121"/>
                <w:sz w:val="19"/>
              </w:rPr>
              <w:t>Tropical sprue accounted for 22% of adult malabsorption in an Indian series (celiac 65%), reflecting a shift from sprue to celiac as the leading cause.</w:t>
            </w:r>
          </w:p>
          <w:p>
            <w:pPr>
              <w:spacing w:after="40" w:line="252" w:lineRule="auto"/>
            </w:pPr>
            <w:hyperlink r:id="rId14">
              <w:r>
                <w:rPr>
                  <w:rFonts w:ascii="Calibri" w:hAnsi="Calibri" w:cs="Calibri"/>
                  <w:sz w:val="18"/>
                  <w:color w:val="1155CC"/>
                  <w:u w:val="single"/>
                </w:rPr>
                <w:t xml:space="preserve">pubmed.ncbi.nlm.nih.gov/21369836 — malabsorption spectrum, India</w:t>
              </w:r>
            </w:hyperlink>
          </w:p>
          <w:p>
            <w:pPr>
              <w:spacing w:before="60" w:after="40"/>
            </w:pPr>
            <w:r>
              <w:rPr>
                <w:rFonts w:ascii="Calibri" w:hAnsi="Calibri"/>
                <w:b w:val="0"/>
                <w:i w:val="0"/>
                <w:color w:val="5A5A5A"/>
                <w:sz w:val="18"/>
              </w:rPr>
              <w:t>#tropicalsprue  #folate  #B12  #postinfective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Areas with unsafe water / open defecation</w:t>
            </w:r>
          </w:p>
        </w:tc>
        <w:tc>
          <w:tcPr>
            <w:tcW w:type="dxa" w:w="4276"/>
            <w:vAlign w:val="top"/>
          </w:tcPr>
          <w:p>
            <w:pPr>
              <w:spacing w:after="60" w:line="259" w:lineRule="auto"/>
            </w:pPr>
            <w:r>
              <w:rPr>
                <w:rFonts w:ascii="Calibri" w:hAnsi="Calibri"/>
                <w:b w:val="0"/>
                <w:i w:val="0"/>
                <w:color w:val="212121"/>
                <w:sz w:val="19"/>
              </w:rPr>
              <w:t>Chronic exposure to faecally-contaminated water and food drives persistent parasitic diarrhoea and environmental (tropical) enteropathy, a subclinical small-bowel injury that impairs absorption and prolongs diarrhoea, particularly in children.</w:t>
            </w:r>
          </w:p>
          <w:p>
            <w:pPr>
              <w:spacing w:after="40" w:before="60" w:line="259" w:lineRule="auto"/>
            </w:pPr>
            <w:r>
              <w:rPr>
                <w:rFonts w:ascii="Calibri" w:hAnsi="Calibri"/>
                <w:b w:val="0"/>
                <w:i w:val="0"/>
                <w:color w:val="212121"/>
                <w:sz w:val="19"/>
              </w:rPr>
              <w:t>Globally there are nearly 1.7 billion childhood diarrhoeal episodes each year, strongly tied to unsafe water, sanitation and hygiene.</w:t>
            </w:r>
          </w:p>
          <w:p>
            <w:pPr>
              <w:spacing w:after="40" w:line="252" w:lineRule="auto"/>
            </w:pPr>
            <w:hyperlink r:id="rId15">
              <w:r>
                <w:rPr>
                  <w:rFonts w:ascii="Calibri" w:hAnsi="Calibri" w:cs="Calibri"/>
                  <w:sz w:val="18"/>
                  <w:color w:val="1155CC"/>
                  <w:u w:val="single"/>
                </w:rPr>
                <w:t xml:space="preserve">who.int — diarrhoeal disease fact sheet</w:t>
              </w:r>
            </w:hyperlink>
          </w:p>
          <w:p>
            <w:pPr>
              <w:spacing w:before="60" w:after="40"/>
            </w:pPr>
            <w:r>
              <w:rPr>
                <w:rFonts w:ascii="Calibri" w:hAnsi="Calibri"/>
                <w:b w:val="0"/>
                <w:i w:val="0"/>
                <w:color w:val="5A5A5A"/>
                <w:sz w:val="18"/>
              </w:rPr>
              <w:t>#WASH  #enteropathy  #parasites  #childhealth</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 chronic alcohol users</w:t>
            </w:r>
          </w:p>
        </w:tc>
        <w:tc>
          <w:tcPr>
            <w:tcW w:type="dxa" w:w="4276"/>
            <w:vAlign w:val="top"/>
          </w:tcPr>
          <w:p>
            <w:pPr>
              <w:spacing w:after="60" w:line="259" w:lineRule="auto"/>
            </w:pPr>
            <w:r>
              <w:rPr>
                <w:rFonts w:ascii="Calibri" w:hAnsi="Calibri"/>
                <w:b w:val="0"/>
                <w:i w:val="0"/>
                <w:color w:val="212121"/>
                <w:sz w:val="19"/>
              </w:rPr>
              <w:t>Chronic alcohol use is the leading cause of chronic pancreatitis, whose exocrine insufficiency produces fatty, foul steatorrhoea and weight loss; alcohol also accelerates intestinal transit and injures the mucosa.</w:t>
            </w:r>
          </w:p>
          <w:p>
            <w:pPr>
              <w:spacing w:after="40" w:before="60" w:line="259" w:lineRule="auto"/>
            </w:pPr>
            <w:r>
              <w:rPr>
                <w:rFonts w:ascii="Calibri" w:hAnsi="Calibri"/>
                <w:b w:val="0"/>
                <w:i w:val="0"/>
                <w:color w:val="212121"/>
                <w:sz w:val="19"/>
              </w:rPr>
              <w:t>Exocrine pancreatic insufficiency with steatorrhoea appears once &gt;90% of the pancreas is damaged; however &lt;10% of people with alcohol-use disorder develop chronic pancreatitis.</w:t>
            </w:r>
          </w:p>
          <w:p>
            <w:pPr>
              <w:spacing w:after="40" w:line="252" w:lineRule="auto"/>
            </w:pPr>
            <w:hyperlink r:id="rId16">
              <w:r>
                <w:rPr>
                  <w:rFonts w:ascii="Calibri" w:hAnsi="Calibri" w:cs="Calibri"/>
                  <w:sz w:val="18"/>
                  <w:color w:val="1155CC"/>
                  <w:u w:val="single"/>
                </w:rPr>
                <w:t xml:space="preserve">ncbi.nlm.nih.gov — StatPearls: Chronic Pancreatitis</w:t>
              </w:r>
            </w:hyperlink>
          </w:p>
          <w:p>
            <w:pPr>
              <w:spacing w:before="60" w:after="40"/>
            </w:pPr>
            <w:r>
              <w:rPr>
                <w:rFonts w:ascii="Calibri" w:hAnsi="Calibri"/>
                <w:b w:val="0"/>
                <w:i w:val="0"/>
                <w:color w:val="5A5A5A"/>
                <w:sz w:val="18"/>
              </w:rPr>
              <w:t>#alcohol  #pancreatitis  #steatorrhea  #EPI</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smokers</w:t>
            </w:r>
          </w:p>
        </w:tc>
        <w:tc>
          <w:tcPr>
            <w:tcW w:type="dxa" w:w="4276"/>
            <w:vAlign w:val="top"/>
          </w:tcPr>
          <w:p>
            <w:pPr>
              <w:spacing w:after="60" w:line="259" w:lineRule="auto"/>
            </w:pPr>
            <w:r>
              <w:rPr>
                <w:rFonts w:ascii="Calibri" w:hAnsi="Calibri"/>
                <w:b w:val="0"/>
                <w:i w:val="0"/>
                <w:color w:val="212121"/>
                <w:sz w:val="19"/>
              </w:rPr>
              <w:t>Smoking roughly doubles the risk of Crohn's disease and worsens its course, and is strongly associated with microscopic colitis—both causes of chronic diarrhoea; conversely, smoking cessation can precipitate ulcerative-colitis flares.</w:t>
            </w:r>
          </w:p>
          <w:p>
            <w:pPr>
              <w:spacing w:after="40" w:before="60" w:line="259" w:lineRule="auto"/>
            </w:pPr>
            <w:r>
              <w:rPr>
                <w:rFonts w:ascii="Calibri" w:hAnsi="Calibri"/>
                <w:b w:val="0"/>
                <w:i w:val="0"/>
                <w:color w:val="212121"/>
                <w:sz w:val="19"/>
              </w:rPr>
              <w:t>Smoking is an established risk factor for Crohn's disease and microscopic (collagenous/lymphocytic) colitis, both of which are organic causes of chronic diarrhoea.</w:t>
            </w:r>
          </w:p>
          <w:p>
            <w:pPr>
              <w:spacing w:before="60" w:after="40"/>
            </w:pPr>
            <w:r>
              <w:rPr>
                <w:rFonts w:ascii="Calibri" w:hAnsi="Calibri"/>
                <w:b w:val="0"/>
                <w:i w:val="0"/>
                <w:color w:val="5A5A5A"/>
                <w:sz w:val="18"/>
              </w:rPr>
              <w:t>#smoking  #crohns  #microscopiccolitis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Dietary pattern</w:t>
            </w:r>
          </w:p>
        </w:tc>
        <w:tc>
          <w:tcPr>
            <w:tcW w:type="dxa" w:w="2160"/>
            <w:vAlign w:val="top"/>
          </w:tcPr>
          <w:p>
            <w:pPr>
              <w:spacing w:after="40" w:before="0" w:line="259" w:lineRule="auto"/>
            </w:pPr>
            <w:r>
              <w:rPr>
                <w:rFonts w:ascii="Calibri" w:hAnsi="Calibri"/>
                <w:b w:val="0"/>
                <w:i w:val="0"/>
                <w:color w:val="212121"/>
                <w:sz w:val="19"/>
              </w:rPr>
              <w:t>High-FODMAP / high-sugar-alcohol / high-caffeine intake</w:t>
            </w:r>
          </w:p>
        </w:tc>
        <w:tc>
          <w:tcPr>
            <w:tcW w:type="dxa" w:w="4276"/>
            <w:vAlign w:val="top"/>
          </w:tcPr>
          <w:p>
            <w:pPr>
              <w:spacing w:after="60" w:line="259" w:lineRule="auto"/>
            </w:pPr>
            <w:r>
              <w:rPr>
                <w:rFonts w:ascii="Calibri" w:hAnsi="Calibri"/>
                <w:b w:val="0"/>
                <w:i w:val="0"/>
                <w:color w:val="212121"/>
                <w:sz w:val="19"/>
              </w:rPr>
              <w:t>Poorly-absorbed fermentable carbohydrates (FODMAPs), sorbitol/xylitol sweeteners, excess fructose and large caffeine loads draw water into the gut and speed colonic transit, provoking osmotic diarrhoea and aggravating IBS-D.</w:t>
            </w:r>
          </w:p>
          <w:p>
            <w:pPr>
              <w:spacing w:after="40" w:before="60" w:line="259" w:lineRule="auto"/>
            </w:pPr>
            <w:r>
              <w:rPr>
                <w:rFonts w:ascii="Calibri" w:hAnsi="Calibri"/>
                <w:b w:val="0"/>
                <w:i w:val="0"/>
                <w:color w:val="212121"/>
                <w:sz w:val="19"/>
              </w:rPr>
              <w:t>Food intolerances are reported in 20–65% of IBS patients and a low-FODMAP approach reduces diarrhoeal symptoms.</w:t>
            </w:r>
          </w:p>
          <w:p>
            <w:pPr>
              <w:spacing w:after="40" w:line="252" w:lineRule="auto"/>
            </w:pPr>
            <w:hyperlink r:id="rId17">
              <w:r>
                <w:rPr>
                  <w:rFonts w:ascii="Calibri" w:hAnsi="Calibri" w:cs="Calibri"/>
                  <w:sz w:val="18"/>
                  <w:color w:val="1155CC"/>
                  <w:u w:val="single"/>
                </w:rPr>
                <w:t xml:space="preserve">ncbi.nlm.nih.gov — StatPearls: Irritable Bowel Syndrome</w:t>
              </w:r>
            </w:hyperlink>
          </w:p>
          <w:p>
            <w:pPr>
              <w:spacing w:before="60" w:after="40"/>
            </w:pPr>
            <w:r>
              <w:rPr>
                <w:rFonts w:ascii="Calibri" w:hAnsi="Calibri"/>
                <w:b w:val="0"/>
                <w:i w:val="0"/>
                <w:color w:val="5A5A5A"/>
                <w:sz w:val="18"/>
              </w:rPr>
              <w:t>#FODMAP  #sorbitol  #caffeine  #osmotic</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Merge w:val="restart"/>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Gluten-containing (wheat/maida) diet</w:t>
            </w:r>
          </w:p>
        </w:tc>
        <w:tc>
          <w:tcPr>
            <w:tcW w:type="dxa" w:w="4276"/>
            <w:vAlign w:val="top"/>
          </w:tcPr>
          <w:p>
            <w:pPr>
              <w:spacing w:after="60" w:line="259" w:lineRule="auto"/>
            </w:pPr>
            <w:r>
              <w:rPr>
                <w:rFonts w:ascii="Calibri" w:hAnsi="Calibri"/>
                <w:b w:val="0"/>
                <w:i w:val="0"/>
                <w:color w:val="212121"/>
                <w:sz w:val="19"/>
              </w:rPr>
              <w:t>Sustained gluten intake is the essential dietary trigger that unmasks celiac disease in genetically susceptible people, causing villous atrophy with malabsorptive chronic diarrhoea; symptoms remit on a strict gluten-free diet.</w:t>
            </w:r>
          </w:p>
          <w:p>
            <w:pPr>
              <w:spacing w:after="40" w:before="60" w:line="259" w:lineRule="auto"/>
            </w:pPr>
            <w:r>
              <w:rPr>
                <w:rFonts w:ascii="Calibri" w:hAnsi="Calibri"/>
                <w:b w:val="0"/>
                <w:i w:val="0"/>
                <w:color w:val="212121"/>
                <w:sz w:val="19"/>
              </w:rPr>
              <w:t>Adult-onset celiac disease caused 9% of chronic non-bloody diarrhoea and up to 65% of adult malabsorption in Indian series.</w:t>
            </w:r>
          </w:p>
          <w:p>
            <w:pPr>
              <w:spacing w:after="40" w:line="252" w:lineRule="auto"/>
            </w:pPr>
            <w:hyperlink r:id="rId9">
              <w:r>
                <w:rPr>
                  <w:rFonts w:ascii="Calibri" w:hAnsi="Calibri" w:cs="Calibri"/>
                  <w:sz w:val="18"/>
                  <w:color w:val="1155CC"/>
                  <w:u w:val="single"/>
                </w:rPr>
                <w:t xml:space="preserve">pubmed.ncbi.nlm.nih.gov/39093512 — etiology of chronic diarrhoea in India</w:t>
              </w:r>
            </w:hyperlink>
          </w:p>
          <w:p>
            <w:pPr>
              <w:spacing w:before="60" w:after="40"/>
            </w:pPr>
            <w:r>
              <w:rPr>
                <w:rFonts w:ascii="Calibri" w:hAnsi="Calibri"/>
                <w:b w:val="0"/>
                <w:i w:val="0"/>
                <w:color w:val="5A5A5A"/>
                <w:sz w:val="18"/>
              </w:rPr>
              <w:t>#gluten  #celiac  #villousatrophy  #glutenfree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High dairy / lactose intake with lactase non-persistence</w:t>
            </w:r>
          </w:p>
        </w:tc>
        <w:tc>
          <w:tcPr>
            <w:tcW w:type="dxa" w:w="4276"/>
            <w:vAlign w:val="top"/>
          </w:tcPr>
          <w:p>
            <w:pPr>
              <w:spacing w:after="60" w:line="259" w:lineRule="auto"/>
            </w:pPr>
            <w:r>
              <w:rPr>
                <w:rFonts w:ascii="Calibri" w:hAnsi="Calibri"/>
                <w:b w:val="0"/>
                <w:i w:val="0"/>
                <w:color w:val="212121"/>
                <w:sz w:val="19"/>
              </w:rPr>
              <w:t>Adult-type lactase non-persistence is highly prevalent among Indians; a large bolus of milk delivers undigested lactose to the colon, producing osmotic diarrhoea, bloating and cramps that mimic or worsen IBS.</w:t>
            </w:r>
          </w:p>
          <w:p>
            <w:pPr>
              <w:spacing w:after="40" w:before="60" w:line="259" w:lineRule="auto"/>
            </w:pPr>
            <w:r>
              <w:rPr>
                <w:rFonts w:ascii="Calibri" w:hAnsi="Calibri"/>
                <w:b w:val="0"/>
                <w:i w:val="0"/>
                <w:color w:val="212121"/>
                <w:sz w:val="19"/>
              </w:rPr>
              <w:t>Lactose intolerance is a recognised cause of osmotic (carbohydrate-malabsorption) chronic diarrhoea, which characteristically eases when the offending sugar is removed from the diet.</w:t>
            </w:r>
          </w:p>
          <w:p>
            <w:pPr>
              <w:spacing w:after="40" w:line="252" w:lineRule="auto"/>
            </w:pPr>
            <w:hyperlink r:id="rId10">
              <w:r>
                <w:rPr>
                  <w:rFonts w:ascii="Calibri" w:hAnsi="Calibri" w:cs="Calibri"/>
                  <w:sz w:val="18"/>
                  <w:color w:val="1155CC"/>
                  <w:u w:val="single"/>
                </w:rPr>
                <w:t xml:space="preserve">ncbi.nlm.nih.gov — StatPearls: Chronic Diarrhea</w:t>
              </w:r>
            </w:hyperlink>
          </w:p>
          <w:p>
            <w:pPr>
              <w:spacing w:before="60" w:after="40"/>
            </w:pPr>
            <w:r>
              <w:rPr>
                <w:rFonts w:ascii="Calibri" w:hAnsi="Calibri"/>
                <w:b w:val="0"/>
                <w:i w:val="0"/>
                <w:color w:val="5A5A5A"/>
                <w:sz w:val="18"/>
              </w:rPr>
              <w:t>#lactose  #osmotic  #dairy  #hypolactasia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Food/water hygiene</w:t>
            </w:r>
          </w:p>
        </w:tc>
        <w:tc>
          <w:tcPr>
            <w:tcW w:type="dxa" w:w="2160"/>
            <w:vAlign w:val="top"/>
          </w:tcPr>
          <w:p>
            <w:pPr>
              <w:spacing w:after="40" w:before="0" w:line="259" w:lineRule="auto"/>
            </w:pPr>
            <w:r>
              <w:rPr>
                <w:rFonts w:ascii="Calibri" w:hAnsi="Calibri"/>
                <w:b w:val="0"/>
                <w:i w:val="0"/>
                <w:color w:val="212121"/>
                <w:sz w:val="19"/>
              </w:rPr>
              <w:t>Frequent street-food / untreated-water consumers</w:t>
            </w:r>
          </w:p>
        </w:tc>
        <w:tc>
          <w:tcPr>
            <w:tcW w:type="dxa" w:w="4276"/>
            <w:vAlign w:val="top"/>
          </w:tcPr>
          <w:p>
            <w:pPr>
              <w:spacing w:after="60" w:line="259" w:lineRule="auto"/>
            </w:pPr>
            <w:r>
              <w:rPr>
                <w:rFonts w:ascii="Calibri" w:hAnsi="Calibri"/>
                <w:b w:val="0"/>
                <w:i w:val="0"/>
                <w:color w:val="212121"/>
                <w:sz w:val="19"/>
              </w:rPr>
              <w:t>Repeated ingestion of contaminated food and water sustains chronic giardiasis and amoebiasis and post-infective IBS/tropical sprue; Giardia classically causes intermittent, waxing-and-waning diarrhoea with malabsorption when it persists beyond six weeks.</w:t>
            </w:r>
          </w:p>
          <w:p>
            <w:pPr>
              <w:spacing w:after="40" w:before="60" w:line="259" w:lineRule="auto"/>
            </w:pPr>
            <w:r>
              <w:rPr>
                <w:rFonts w:ascii="Calibri" w:hAnsi="Calibri"/>
                <w:b w:val="0"/>
                <w:i w:val="0"/>
                <w:color w:val="212121"/>
                <w:sz w:val="19"/>
              </w:rPr>
              <w:t>Chronic Giardia infection (&gt;6 weeks) causes malabsorption, vitamin deficiencies, anaemia and, in children, failure to thrive.</w:t>
            </w:r>
          </w:p>
          <w:p>
            <w:pPr>
              <w:spacing w:after="40" w:line="252" w:lineRule="auto"/>
            </w:pPr>
            <w:hyperlink r:id="rId12">
              <w:r>
                <w:rPr>
                  <w:rFonts w:ascii="Calibri" w:hAnsi="Calibri" w:cs="Calibri"/>
                  <w:sz w:val="18"/>
                  <w:color w:val="1155CC"/>
                  <w:u w:val="single"/>
                </w:rPr>
                <w:t xml:space="preserve">ncbi.nlm.nih.gov — StatPearls: Giardiasis</w:t>
              </w:r>
            </w:hyperlink>
          </w:p>
          <w:p>
            <w:pPr>
              <w:spacing w:before="60" w:after="40"/>
            </w:pPr>
            <w:r>
              <w:rPr>
                <w:rFonts w:ascii="Calibri" w:hAnsi="Calibri"/>
                <w:b w:val="0"/>
                <w:i w:val="0"/>
                <w:color w:val="5A5A5A"/>
                <w:sz w:val="18"/>
              </w:rPr>
              <w:t>#streetfood  #giardia  #amoebiasis  #postinfective</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with IBD or celiac disease</w:t>
            </w:r>
          </w:p>
        </w:tc>
        <w:tc>
          <w:tcPr>
            <w:tcW w:type="dxa" w:w="4276"/>
            <w:vAlign w:val="top"/>
          </w:tcPr>
          <w:p>
            <w:pPr>
              <w:spacing w:after="60" w:line="259" w:lineRule="auto"/>
            </w:pPr>
            <w:r>
              <w:rPr>
                <w:rFonts w:ascii="Calibri" w:hAnsi="Calibri"/>
                <w:b w:val="0"/>
                <w:i w:val="0"/>
                <w:color w:val="212121"/>
                <w:sz w:val="19"/>
              </w:rPr>
              <w:t>A family history of inflammatory bowel disease or celiac disease markedly raises the risk of these heritable causes of chronic diarrhoea and is itself an alarm feature that lowers the threshold for endoscopic evaluation.</w:t>
            </w:r>
          </w:p>
          <w:p>
            <w:pPr>
              <w:spacing w:after="40" w:before="60" w:line="259" w:lineRule="auto"/>
            </w:pPr>
            <w:r>
              <w:rPr>
                <w:rFonts w:ascii="Calibri" w:hAnsi="Calibri"/>
                <w:b w:val="0"/>
                <w:i w:val="0"/>
                <w:color w:val="212121"/>
                <w:sz w:val="19"/>
              </w:rPr>
              <w:t>A family history of IBD or colorectal cancer is listed among the alarm features that mandate colonoscopic work-up of chronic diarrhoea.</w:t>
            </w:r>
          </w:p>
          <w:p>
            <w:pPr>
              <w:spacing w:after="40" w:line="252" w:lineRule="auto"/>
            </w:pPr>
            <w:hyperlink r:id="rId10">
              <w:r>
                <w:rPr>
                  <w:rFonts w:ascii="Calibri" w:hAnsi="Calibri" w:cs="Calibri"/>
                  <w:sz w:val="18"/>
                  <w:color w:val="1155CC"/>
                  <w:u w:val="single"/>
                </w:rPr>
                <w:t xml:space="preserve">ncbi.nlm.nih.gov — StatPearls: Chronic Diarrhea</w:t>
              </w:r>
            </w:hyperlink>
          </w:p>
          <w:p>
            <w:pPr>
              <w:spacing w:before="60" w:after="40"/>
            </w:pPr>
            <w:r>
              <w:rPr>
                <w:rFonts w:ascii="Calibri" w:hAnsi="Calibri"/>
                <w:b w:val="0"/>
                <w:i w:val="0"/>
                <w:color w:val="5A5A5A"/>
                <w:sz w:val="18"/>
              </w:rPr>
              <w:t>#familyhistory  #IBD  #celiac  #heritable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Genetic susceptibility</w:t>
            </w:r>
          </w:p>
        </w:tc>
        <w:tc>
          <w:tcPr>
            <w:tcW w:type="dxa" w:w="2160"/>
            <w:vAlign w:val="top"/>
          </w:tcPr>
          <w:p>
            <w:pPr>
              <w:spacing w:after="40" w:before="0" w:line="259" w:lineRule="auto"/>
            </w:pPr>
            <w:r>
              <w:rPr>
                <w:rFonts w:ascii="Calibri" w:hAnsi="Calibri"/>
                <w:b w:val="0"/>
                <w:i w:val="0"/>
                <w:color w:val="212121"/>
                <w:sz w:val="19"/>
              </w:rPr>
              <w:t>HLA-DQ2 / HLA-DQ8 carriers</w:t>
            </w:r>
          </w:p>
        </w:tc>
        <w:tc>
          <w:tcPr>
            <w:tcW w:type="dxa" w:w="4276"/>
            <w:vAlign w:val="top"/>
          </w:tcPr>
          <w:p>
            <w:pPr>
              <w:spacing w:after="60" w:line="259" w:lineRule="auto"/>
            </w:pPr>
            <w:r>
              <w:rPr>
                <w:rFonts w:ascii="Calibri" w:hAnsi="Calibri"/>
                <w:b w:val="0"/>
                <w:i w:val="0"/>
                <w:color w:val="212121"/>
                <w:sz w:val="19"/>
              </w:rPr>
              <w:t>The HLA-DQ2/DQ8 haplotypes are necessary (though not sufficient) for celiac disease; in carriers, dietary gluten triggers the autoimmune enteropathy that underlies malabsorptive chronic diarrhoea and its nutrient deficiencies.</w:t>
            </w:r>
          </w:p>
          <w:p>
            <w:pPr>
              <w:spacing w:after="40" w:before="60" w:line="259" w:lineRule="auto"/>
            </w:pPr>
            <w:r>
              <w:rPr>
                <w:rFonts w:ascii="Calibri" w:hAnsi="Calibri"/>
                <w:b w:val="0"/>
                <w:i w:val="0"/>
                <w:color w:val="212121"/>
                <w:sz w:val="19"/>
              </w:rPr>
              <w:t>Celiac disease affects about 1% of populations worldwide and develops only in HLA-DQ2/DQ8-positive individuals exposed to gluten.</w:t>
            </w:r>
          </w:p>
          <w:p>
            <w:pPr>
              <w:spacing w:after="40" w:line="252" w:lineRule="auto"/>
            </w:pPr>
            <w:hyperlink r:id="rId18">
              <w:r>
                <w:rPr>
                  <w:rFonts w:ascii="Calibri" w:hAnsi="Calibri" w:cs="Calibri"/>
                  <w:sz w:val="18"/>
                  <w:color w:val="1155CC"/>
                  <w:u w:val="single"/>
                </w:rPr>
                <w:t xml:space="preserve">ncbi.nlm.nih.gov — StatPearls: Celiac Disease</w:t>
              </w:r>
            </w:hyperlink>
          </w:p>
          <w:p>
            <w:pPr>
              <w:spacing w:before="60" w:after="40"/>
            </w:pPr>
            <w:r>
              <w:rPr>
                <w:rFonts w:ascii="Calibri" w:hAnsi="Calibri"/>
                <w:b w:val="0"/>
                <w:i w:val="0"/>
                <w:color w:val="5A5A5A"/>
                <w:sz w:val="18"/>
              </w:rPr>
              <w:t>#HLADQ2  #DQ8  #celiac  #autoimmune</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Inflammatory bowel disease</w:t>
            </w:r>
          </w:p>
        </w:tc>
        <w:tc>
          <w:tcPr>
            <w:tcW w:type="dxa" w:w="2160"/>
            <w:vAlign w:val="top"/>
          </w:tcPr>
          <w:p>
            <w:pPr>
              <w:spacing w:after="40" w:before="0" w:line="259" w:lineRule="auto"/>
            </w:pPr>
            <w:r>
              <w:rPr>
                <w:rFonts w:ascii="Calibri" w:hAnsi="Calibri"/>
                <w:b w:val="0"/>
                <w:i w:val="0"/>
                <w:color w:val="212121"/>
                <w:sz w:val="19"/>
              </w:rPr>
              <w:t>Patients with Crohn's disease / ulcerative colitis</w:t>
            </w:r>
          </w:p>
        </w:tc>
        <w:tc>
          <w:tcPr>
            <w:tcW w:type="dxa" w:w="4276"/>
            <w:vAlign w:val="top"/>
          </w:tcPr>
          <w:p>
            <w:pPr>
              <w:spacing w:after="60" w:line="259" w:lineRule="auto"/>
            </w:pPr>
            <w:r>
              <w:rPr>
                <w:rFonts w:ascii="Calibri" w:hAnsi="Calibri"/>
                <w:b w:val="0"/>
                <w:i w:val="0"/>
                <w:color w:val="212121"/>
                <w:sz w:val="19"/>
              </w:rPr>
              <w:t>IBD produces chronic inflammatory diarrhoea (often with blood, mucus, urgency and nocturnal stools) and has emerged as the single commonest identifiable cause of chronic organic diarrhoea in urban India, displacing infection.</w:t>
            </w:r>
          </w:p>
          <w:p>
            <w:pPr>
              <w:spacing w:after="40" w:before="60" w:line="259" w:lineRule="auto"/>
            </w:pPr>
            <w:r>
              <w:rPr>
                <w:rFonts w:ascii="Calibri" w:hAnsi="Calibri"/>
                <w:b w:val="0"/>
                <w:i w:val="0"/>
                <w:color w:val="212121"/>
                <w:sz w:val="19"/>
              </w:rPr>
              <w:t>Inflammatory bowel disease accounted for 45% of chronic organic non-bloody diarrhoea in a recent Indian cohort—the leading cause.</w:t>
            </w:r>
          </w:p>
          <w:p>
            <w:pPr>
              <w:spacing w:after="40" w:line="252" w:lineRule="auto"/>
            </w:pPr>
            <w:hyperlink r:id="rId9">
              <w:r>
                <w:rPr>
                  <w:rFonts w:ascii="Calibri" w:hAnsi="Calibri" w:cs="Calibri"/>
                  <w:sz w:val="18"/>
                  <w:color w:val="1155CC"/>
                  <w:u w:val="single"/>
                </w:rPr>
                <w:t xml:space="preserve">pubmed.ncbi.nlm.nih.gov/39093512 — etiology of chronic diarrhoea in India</w:t>
              </w:r>
            </w:hyperlink>
          </w:p>
          <w:p>
            <w:pPr>
              <w:spacing w:before="60" w:after="40"/>
            </w:pPr>
            <w:r>
              <w:rPr>
                <w:rFonts w:ascii="Calibri" w:hAnsi="Calibri"/>
                <w:b w:val="0"/>
                <w:i w:val="0"/>
                <w:color w:val="5A5A5A"/>
                <w:sz w:val="18"/>
              </w:rPr>
              <w:t>#IBD  #crohns  #ulcerativecolitis  #calprotectin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HIV / immunosuppression</w:t>
            </w:r>
          </w:p>
        </w:tc>
        <w:tc>
          <w:tcPr>
            <w:tcW w:type="dxa" w:w="2160"/>
            <w:vAlign w:val="top"/>
          </w:tcPr>
          <w:p>
            <w:pPr>
              <w:spacing w:after="40" w:before="0" w:line="259" w:lineRule="auto"/>
            </w:pPr>
            <w:r>
              <w:rPr>
                <w:rFonts w:ascii="Calibri" w:hAnsi="Calibri"/>
                <w:b w:val="0"/>
                <w:i w:val="0"/>
                <w:color w:val="212121"/>
                <w:sz w:val="19"/>
              </w:rPr>
              <w:t>People living with HIV/AIDS or on immunosuppression</w:t>
            </w:r>
          </w:p>
        </w:tc>
        <w:tc>
          <w:tcPr>
            <w:tcW w:type="dxa" w:w="4276"/>
            <w:vAlign w:val="top"/>
          </w:tcPr>
          <w:p>
            <w:pPr>
              <w:spacing w:after="60" w:line="259" w:lineRule="auto"/>
            </w:pPr>
            <w:r>
              <w:rPr>
                <w:rFonts w:ascii="Calibri" w:hAnsi="Calibri"/>
                <w:b w:val="0"/>
                <w:i w:val="0"/>
                <w:color w:val="212121"/>
                <w:sz w:val="19"/>
              </w:rPr>
              <w:t>Advanced immunosuppression permits opportunistic enteric infection (Cryptosporidium, Cystoisospora, microsporidia, CMV, MAC) and HIV enteropathy, making chronic, often severe, wasting diarrhoea a defining problem that alters both diagnosis and management.</w:t>
            </w:r>
          </w:p>
          <w:p>
            <w:pPr>
              <w:spacing w:after="40" w:before="60" w:line="259" w:lineRule="auto"/>
            </w:pPr>
            <w:r>
              <w:rPr>
                <w:rFonts w:ascii="Calibri" w:hAnsi="Calibri"/>
                <w:b w:val="0"/>
                <w:i w:val="0"/>
                <w:color w:val="212121"/>
                <w:sz w:val="19"/>
              </w:rPr>
              <w:t>Chronic diarrhoea in HIV/AIDS is driven by both classic enteric pathogens and opportunistic agents and is a major cause of weight loss and morbidity.</w:t>
            </w:r>
          </w:p>
          <w:p>
            <w:pPr>
              <w:spacing w:before="60" w:after="40"/>
            </w:pPr>
            <w:r>
              <w:rPr>
                <w:rFonts w:ascii="Calibri" w:hAnsi="Calibri"/>
                <w:b w:val="0"/>
                <w:i w:val="0"/>
                <w:color w:val="5A5A5A"/>
                <w:sz w:val="18"/>
              </w:rPr>
              <w:t>#HIV  #opportunistic  #cryptosporidium  #wasting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Endocrine / metabolic</w:t>
            </w:r>
          </w:p>
        </w:tc>
        <w:tc>
          <w:tcPr>
            <w:tcW w:type="dxa" w:w="2160"/>
            <w:vAlign w:val="top"/>
          </w:tcPr>
          <w:p>
            <w:pPr>
              <w:spacing w:after="40" w:before="0" w:line="259" w:lineRule="auto"/>
            </w:pPr>
            <w:r>
              <w:rPr>
                <w:rFonts w:ascii="Calibri" w:hAnsi="Calibri"/>
                <w:b w:val="0"/>
                <w:i w:val="0"/>
                <w:color w:val="212121"/>
                <w:sz w:val="19"/>
              </w:rPr>
              <w:t>Diabetes mellitus and hyperthyroidism</w:t>
            </w:r>
          </w:p>
        </w:tc>
        <w:tc>
          <w:tcPr>
            <w:tcW w:type="dxa" w:w="4276"/>
            <w:vAlign w:val="top"/>
          </w:tcPr>
          <w:p>
            <w:pPr>
              <w:spacing w:after="60" w:line="259" w:lineRule="auto"/>
            </w:pPr>
            <w:r>
              <w:rPr>
                <w:rFonts w:ascii="Calibri" w:hAnsi="Calibri"/>
                <w:b w:val="0"/>
                <w:i w:val="0"/>
                <w:color w:val="212121"/>
                <w:sz w:val="19"/>
              </w:rPr>
              <w:t>Long-standing diabetes causes 'diabetic diarrhoea' via autonomic neuropathy, SIBO and bile-acid malabsorption (and metformin adds an osmotic effect), while thyrotoxicosis speeds gut transit—both producing chronic watery diarrhoea.</w:t>
            </w:r>
          </w:p>
          <w:p>
            <w:pPr>
              <w:spacing w:after="40" w:before="60" w:line="259" w:lineRule="auto"/>
            </w:pPr>
            <w:r>
              <w:rPr>
                <w:rFonts w:ascii="Calibri" w:hAnsi="Calibri"/>
                <w:b w:val="0"/>
                <w:i w:val="0"/>
                <w:color w:val="212121"/>
                <w:sz w:val="19"/>
              </w:rPr>
              <w:t>Thyroid-stimulating hormone and a metabolic profile are part of the first-line work-up precisely because hyperthyroidism and diabetes are treatable systemic causes of chronic diarrhoea.</w:t>
            </w:r>
          </w:p>
          <w:p>
            <w:pPr>
              <w:spacing w:after="40" w:line="252" w:lineRule="auto"/>
            </w:pPr>
            <w:hyperlink r:id="rId10">
              <w:r>
                <w:rPr>
                  <w:rFonts w:ascii="Calibri" w:hAnsi="Calibri" w:cs="Calibri"/>
                  <w:sz w:val="18"/>
                  <w:color w:val="1155CC"/>
                  <w:u w:val="single"/>
                </w:rPr>
                <w:t xml:space="preserve">ncbi.nlm.nih.gov — StatPearls: Chronic Diarrhea</w:t>
              </w:r>
            </w:hyperlink>
          </w:p>
          <w:p>
            <w:pPr>
              <w:spacing w:before="60" w:after="40"/>
            </w:pPr>
            <w:r>
              <w:rPr>
                <w:rFonts w:ascii="Calibri" w:hAnsi="Calibri"/>
                <w:b w:val="0"/>
                <w:i w:val="0"/>
                <w:color w:val="5A5A5A"/>
                <w:sz w:val="18"/>
              </w:rPr>
              <w:t>#diabeticdiarrhea  #hyperthyroid  #metformin  #autonomic</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Regular moderate activity supports healthy gut motility and improves IBS symptoms and quality of life; however, prolonged strenuous endurance exercise can provoke transient 'runner's diarrhoea' through gut ischaemia and rapid transit.</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Diet is the dominant modifiable driver: gluten (celiac), lactose and other FODMAPs/sugar-alcohols (osmotic), fatty and spicy foods, and contaminated food/water. Food intolerances are reported in 20–65% of IBS patients and low-FODMAP/exclusion diets reduce diarrhoea.</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Poor sleep and circadian disruption heighten gut-brain axis sensitivity and worsen IBS-D symptom burden; disturbed sleep and nocturnal diarrhoea also flag organic disease requiring work-up.</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Smoking roughly doubles Crohn's disease risk and is strongly associated with microscopic colitis; smoking cessation can conversely trigger ulcerative-colitis flares—both relevant to chronic inflammatory diarrhoea.</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Chronic heavy alcohol use is the leading cause of chronic pancreatitis with steatorrhoea, accelerates intestinal transit, injures the mucosa and impairs absorption; binge use commonly precipitates loose stools.</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The gut-brain axis is central to functional diarrhoea: stress, anxiety and depression heighten visceral sensitivity and motility, strongly driving and perpetuating IBS-D; psychosocial factors are a core pathophysiological mechanism.</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Unsafe drinking water is a principal source of chronic and recurrent parasitic/infective diarrhoea (Giardia, Entamoeba) in India; adequate oral rehydration is simultaneously the cornerstone of preventing dehydration once diarrhoea occurs.</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Caffeine stimulates colonic motor activity and gastro-colic response, increasing stool frequency and urgency; high intakes (coffee, strong tea, energy drinks, cola) can aggravate diarrhoea, especially in IBS-D.</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Hand, food and sanitation hygiene directly determine chronic enteric infection risk; poor hygiene sustains giardiasis, amoebiasis and environmental enteropathy, which are leading infective causes of chronic diarrhoea in low-resource Indian settings.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Identifiable triggers commonly precipitate or perpetuate chronic diarrhoea—specific offending foods, a preceding acute gastroenteritis (post-infective IBS), recent antibiotics/C. difficile, new drugs (metformin, PPIs, olmesartan) and psychological stress.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Stool frequency (stools/day)</w:t>
            </w:r>
          </w:p>
        </w:tc>
        <w:tc>
          <w:tcPr>
            <w:tcW w:type="dxa" w:w="1655"/>
            <w:vAlign w:val="top"/>
          </w:tcPr>
          <w:p>
            <w:pPr>
              <w:spacing w:after="40" w:before="0" w:line="259" w:lineRule="auto"/>
            </w:pPr>
            <w:r>
              <w:rPr>
                <w:rFonts w:ascii="Calibri" w:hAnsi="Calibri"/>
                <w:b w:val="0"/>
                <w:i w:val="0"/>
                <w:color w:val="212121"/>
                <w:sz w:val="19"/>
              </w:rPr>
              <w:t>Adults with chronic diarrhoea</w:t>
            </w:r>
          </w:p>
        </w:tc>
        <w:tc>
          <w:tcPr>
            <w:tcW w:type="dxa" w:w="1512"/>
            <w:vAlign w:val="top"/>
          </w:tcPr>
          <w:p>
            <w:pPr>
              <w:spacing w:after="40" w:before="0" w:line="259" w:lineRule="auto"/>
            </w:pPr>
            <w:r>
              <w:rPr>
                <w:rFonts w:ascii="Calibri" w:hAnsi="Calibri"/>
                <w:b w:val="0"/>
                <w:i w:val="0"/>
                <w:color w:val="212121"/>
                <w:sz w:val="19"/>
              </w:rPr>
              <w:t>≤ 2–3 formed stools/day</w:t>
            </w:r>
          </w:p>
        </w:tc>
        <w:tc>
          <w:tcPr>
            <w:tcW w:type="dxa" w:w="1512"/>
            <w:vAlign w:val="top"/>
          </w:tcPr>
          <w:p>
            <w:pPr>
              <w:spacing w:after="40" w:before="0" w:line="259" w:lineRule="auto"/>
            </w:pPr>
            <w:r>
              <w:rPr>
                <w:rFonts w:ascii="Calibri" w:hAnsi="Calibri"/>
                <w:b w:val="0"/>
                <w:i w:val="0"/>
                <w:color w:val="212121"/>
                <w:sz w:val="19"/>
              </w:rPr>
              <w:t>≥ 3 loose/watery stools/day for ≥ 4 weeks</w:t>
            </w:r>
          </w:p>
        </w:tc>
        <w:tc>
          <w:tcPr>
            <w:tcW w:type="dxa" w:w="1468"/>
            <w:vAlign w:val="top"/>
          </w:tcPr>
          <w:p>
            <w:pPr>
              <w:spacing w:after="60" w:line="259" w:lineRule="auto"/>
            </w:pPr>
            <w:r>
              <w:rPr>
                <w:rFonts w:ascii="Calibri" w:hAnsi="Calibri"/>
                <w:b w:val="0"/>
                <w:i w:val="0"/>
                <w:color w:val="212121"/>
                <w:sz w:val="19"/>
              </w:rPr>
              <w:t>Core diagnostic threshold; nocturnal stools suggest organic cause.</w:t>
            </w:r>
          </w:p>
          <w:p>
            <w:pPr>
              <w:spacing w:after="40" w:line="252" w:lineRule="auto"/>
            </w:pPr>
            <w:hyperlink r:id="rId10">
              <w:r>
                <w:rPr>
                  <w:rFonts w:ascii="Calibri" w:hAnsi="Calibri" w:cs="Calibri"/>
                  <w:sz w:val="18"/>
                  <w:color w:val="1155CC"/>
                  <w:u w:val="single"/>
                </w:rPr>
                <w:t xml:space="preserve">https://www.ncbi.nlm.nih.gov/books/NBK544337/</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Bristol Stool Form Scale</w:t>
            </w:r>
          </w:p>
        </w:tc>
        <w:tc>
          <w:tcPr>
            <w:tcW w:type="dxa" w:w="1655"/>
            <w:vAlign w:val="top"/>
          </w:tcPr>
          <w:p>
            <w:pPr>
              <w:spacing w:after="40" w:before="0" w:line="259" w:lineRule="auto"/>
            </w:pPr>
            <w:r>
              <w:rPr>
                <w:rFonts w:ascii="Calibri" w:hAnsi="Calibri"/>
                <w:b w:val="0"/>
                <w:i w:val="0"/>
                <w:color w:val="212121"/>
                <w:sz w:val="19"/>
              </w:rPr>
              <w:t>All patients</w:t>
            </w:r>
          </w:p>
        </w:tc>
        <w:tc>
          <w:tcPr>
            <w:tcW w:type="dxa" w:w="1512"/>
            <w:vAlign w:val="top"/>
          </w:tcPr>
          <w:p>
            <w:pPr>
              <w:spacing w:after="40" w:before="0" w:line="259" w:lineRule="auto"/>
            </w:pPr>
            <w:r>
              <w:rPr>
                <w:rFonts w:ascii="Calibri" w:hAnsi="Calibri"/>
                <w:b w:val="0"/>
                <w:i w:val="0"/>
                <w:color w:val="212121"/>
                <w:sz w:val="19"/>
              </w:rPr>
              <w:t>Type 3–4</w:t>
            </w:r>
          </w:p>
        </w:tc>
        <w:tc>
          <w:tcPr>
            <w:tcW w:type="dxa" w:w="1512"/>
            <w:vAlign w:val="top"/>
          </w:tcPr>
          <w:p>
            <w:pPr>
              <w:spacing w:after="40" w:before="0" w:line="259" w:lineRule="auto"/>
            </w:pPr>
            <w:r>
              <w:rPr>
                <w:rFonts w:ascii="Calibri" w:hAnsi="Calibri"/>
                <w:b w:val="0"/>
                <w:i w:val="0"/>
                <w:color w:val="212121"/>
                <w:sz w:val="19"/>
              </w:rPr>
              <w:t>Type 6–7 (loose to watery)</w:t>
            </w:r>
          </w:p>
        </w:tc>
        <w:tc>
          <w:tcPr>
            <w:tcW w:type="dxa" w:w="1468"/>
            <w:vAlign w:val="top"/>
          </w:tcPr>
          <w:p>
            <w:pPr>
              <w:spacing w:after="60" w:line="259" w:lineRule="auto"/>
            </w:pPr>
            <w:r>
              <w:rPr>
                <w:rFonts w:ascii="Calibri" w:hAnsi="Calibri"/>
                <w:b w:val="0"/>
                <w:i w:val="0"/>
                <w:color w:val="212121"/>
                <w:sz w:val="19"/>
              </w:rPr>
              <w:t>Loose/watery form defines diarrhoea and helps track response.</w:t>
            </w:r>
          </w:p>
          <w:p>
            <w:pPr>
              <w:spacing w:after="40" w:line="252" w:lineRule="auto"/>
            </w:pPr>
            <w:hyperlink r:id="rId17">
              <w:r>
                <w:rPr>
                  <w:rFonts w:ascii="Calibri" w:hAnsi="Calibri" w:cs="Calibri"/>
                  <w:sz w:val="18"/>
                  <w:color w:val="1155CC"/>
                  <w:u w:val="single"/>
                </w:rPr>
                <w:t xml:space="preserve">https://www.ncbi.nlm.nih.gov/books/NBK534810/</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Single-dose lactose load</w:t>
            </w:r>
          </w:p>
        </w:tc>
        <w:tc>
          <w:tcPr>
            <w:tcW w:type="dxa" w:w="1655"/>
            <w:vAlign w:val="top"/>
          </w:tcPr>
          <w:p>
            <w:pPr>
              <w:spacing w:after="40" w:before="0" w:line="259" w:lineRule="auto"/>
            </w:pPr>
            <w:r>
              <w:rPr>
                <w:rFonts w:ascii="Calibri" w:hAnsi="Calibri"/>
                <w:b w:val="0"/>
                <w:i w:val="0"/>
                <w:color w:val="212121"/>
                <w:sz w:val="19"/>
              </w:rPr>
              <w:t>Lactase non-persistent adults</w:t>
            </w:r>
          </w:p>
        </w:tc>
        <w:tc>
          <w:tcPr>
            <w:tcW w:type="dxa" w:w="1512"/>
            <w:vAlign w:val="top"/>
          </w:tcPr>
          <w:p>
            <w:pPr>
              <w:spacing w:after="40" w:before="0" w:line="259" w:lineRule="auto"/>
            </w:pPr>
            <w:r>
              <w:rPr>
                <w:rFonts w:ascii="Calibri" w:hAnsi="Calibri"/>
                <w:b w:val="0"/>
                <w:i w:val="0"/>
                <w:color w:val="212121"/>
                <w:sz w:val="19"/>
              </w:rPr>
              <w:t>≤ 12 g at once (~250 mL milk)</w:t>
            </w:r>
          </w:p>
        </w:tc>
        <w:tc>
          <w:tcPr>
            <w:tcW w:type="dxa" w:w="1512"/>
            <w:vAlign w:val="top"/>
          </w:tcPr>
          <w:p>
            <w:pPr>
              <w:spacing w:after="40" w:before="0" w:line="259" w:lineRule="auto"/>
            </w:pPr>
            <w:r>
              <w:rPr>
                <w:rFonts w:ascii="Calibri" w:hAnsi="Calibri"/>
                <w:b w:val="0"/>
                <w:i w:val="0"/>
                <w:color w:val="212121"/>
                <w:sz w:val="19"/>
              </w:rPr>
              <w:t>&gt; 12 g as a bolus</w:t>
            </w:r>
          </w:p>
        </w:tc>
        <w:tc>
          <w:tcPr>
            <w:tcW w:type="dxa" w:w="1468"/>
            <w:vAlign w:val="top"/>
          </w:tcPr>
          <w:p>
            <w:pPr>
              <w:spacing w:after="40" w:before="0" w:line="259" w:lineRule="auto"/>
            </w:pPr>
            <w:r>
              <w:rPr>
                <w:rFonts w:ascii="Calibri" w:hAnsi="Calibri"/>
                <w:b w:val="0"/>
                <w:i w:val="0"/>
                <w:color w:val="212121"/>
                <w:sz w:val="19"/>
              </w:rPr>
              <w:t>Above this, undigested lactose commonly causes osmotic diarrhoea; better tolerated with meals.</w:t>
            </w:r>
          </w:p>
        </w:tc>
      </w:tr>
      <w:tr>
        <w:trPr>
          <w:cantSplit/>
        </w:trPr>
        <w:tc>
          <w:tcPr>
            <w:tcW w:type="dxa" w:w="1512"/>
            <w:vMerge w:val="restart"/>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Oral rehydration / daily fluid intake</w:t>
            </w:r>
          </w:p>
        </w:tc>
        <w:tc>
          <w:tcPr>
            <w:tcW w:type="dxa" w:w="1655"/>
            <w:vAlign w:val="top"/>
          </w:tcPr>
          <w:p>
            <w:pPr>
              <w:spacing w:after="40" w:before="0" w:line="259" w:lineRule="auto"/>
            </w:pPr>
            <w:r>
              <w:rPr>
                <w:rFonts w:ascii="Calibri" w:hAnsi="Calibri"/>
                <w:b w:val="0"/>
                <w:i w:val="0"/>
                <w:color w:val="212121"/>
                <w:sz w:val="19"/>
              </w:rPr>
              <w:t>Anyone with ongoing diarrhoea</w:t>
            </w:r>
          </w:p>
        </w:tc>
        <w:tc>
          <w:tcPr>
            <w:tcW w:type="dxa" w:w="1512"/>
            <w:vAlign w:val="top"/>
          </w:tcPr>
          <w:p>
            <w:pPr>
              <w:spacing w:after="40" w:before="0" w:line="259" w:lineRule="auto"/>
            </w:pPr>
            <w:r>
              <w:rPr>
                <w:rFonts w:ascii="Calibri" w:hAnsi="Calibri"/>
                <w:b w:val="0"/>
                <w:i w:val="0"/>
                <w:color w:val="212121"/>
                <w:sz w:val="19"/>
              </w:rPr>
              <w:t>Replace losses; ORS after each loose stool</w:t>
            </w:r>
          </w:p>
        </w:tc>
        <w:tc>
          <w:tcPr>
            <w:tcW w:type="dxa" w:w="1512"/>
            <w:vAlign w:val="top"/>
          </w:tcPr>
          <w:p>
            <w:pPr>
              <w:spacing w:after="40" w:before="0" w:line="259" w:lineRule="auto"/>
            </w:pPr>
            <w:r>
              <w:rPr>
                <w:rFonts w:ascii="Calibri" w:hAnsi="Calibri"/>
                <w:b w:val="0"/>
                <w:i w:val="0"/>
                <w:color w:val="212121"/>
                <w:sz w:val="19"/>
              </w:rPr>
              <w:t>Signs of dehydration (thirst, low urine, postural dizziness)</w:t>
            </w:r>
          </w:p>
        </w:tc>
        <w:tc>
          <w:tcPr>
            <w:tcW w:type="dxa" w:w="1468"/>
            <w:vAlign w:val="top"/>
          </w:tcPr>
          <w:p>
            <w:pPr>
              <w:spacing w:after="60" w:line="259" w:lineRule="auto"/>
            </w:pPr>
            <w:r>
              <w:rPr>
                <w:rFonts w:ascii="Calibri" w:hAnsi="Calibri"/>
                <w:b w:val="0"/>
                <w:i w:val="0"/>
                <w:color w:val="212121"/>
                <w:sz w:val="19"/>
              </w:rPr>
              <w:t>Dehydration is the most severe threat of diarrhoea; ORS is first-line.</w:t>
            </w:r>
          </w:p>
          <w:p>
            <w:pPr>
              <w:spacing w:after="40" w:line="252" w:lineRule="auto"/>
            </w:pPr>
            <w:hyperlink r:id="rId15">
              <w:r>
                <w:rPr>
                  <w:rFonts w:ascii="Calibri" w:hAnsi="Calibri" w:cs="Calibri"/>
                  <w:sz w:val="18"/>
                  <w:color w:val="1155CC"/>
                  <w:u w:val="single"/>
                </w:rPr>
                <w:t xml:space="preserve">https://www.who.int/news-room/fact-sheets/detail/diarrhoeal-disease</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Safe drinking-water use</w:t>
            </w:r>
          </w:p>
        </w:tc>
        <w:tc>
          <w:tcPr>
            <w:tcW w:type="dxa" w:w="1655"/>
            <w:vAlign w:val="top"/>
          </w:tcPr>
          <w:p>
            <w:pPr>
              <w:spacing w:after="40" w:before="0" w:line="259" w:lineRule="auto"/>
            </w:pPr>
            <w:r>
              <w:rPr>
                <w:rFonts w:ascii="Calibri" w:hAnsi="Calibri"/>
                <w:b w:val="0"/>
                <w:i w:val="0"/>
                <w:color w:val="212121"/>
                <w:sz w:val="19"/>
              </w:rPr>
              <w:t>Households in endemic areas</w:t>
            </w:r>
          </w:p>
        </w:tc>
        <w:tc>
          <w:tcPr>
            <w:tcW w:type="dxa" w:w="1512"/>
            <w:vAlign w:val="top"/>
          </w:tcPr>
          <w:p>
            <w:pPr>
              <w:spacing w:after="40" w:before="0" w:line="259" w:lineRule="auto"/>
            </w:pPr>
            <w:r>
              <w:rPr>
                <w:rFonts w:ascii="Calibri" w:hAnsi="Calibri"/>
                <w:b w:val="0"/>
                <w:i w:val="0"/>
                <w:color w:val="212121"/>
                <w:sz w:val="19"/>
              </w:rPr>
              <w:t>Boiled/filtered/treated water</w:t>
            </w:r>
          </w:p>
        </w:tc>
        <w:tc>
          <w:tcPr>
            <w:tcW w:type="dxa" w:w="1512"/>
            <w:vAlign w:val="top"/>
          </w:tcPr>
          <w:p>
            <w:pPr>
              <w:spacing w:after="40" w:before="0" w:line="259" w:lineRule="auto"/>
            </w:pPr>
            <w:r>
              <w:rPr>
                <w:rFonts w:ascii="Calibri" w:hAnsi="Calibri"/>
                <w:b w:val="0"/>
                <w:i w:val="0"/>
                <w:color w:val="212121"/>
                <w:sz w:val="19"/>
              </w:rPr>
              <w:t>Untreated surface or stored contaminated water</w:t>
            </w:r>
          </w:p>
        </w:tc>
        <w:tc>
          <w:tcPr>
            <w:tcW w:type="dxa" w:w="1468"/>
            <w:vAlign w:val="top"/>
          </w:tcPr>
          <w:p>
            <w:pPr>
              <w:spacing w:after="60" w:line="259" w:lineRule="auto"/>
            </w:pPr>
            <w:r>
              <w:rPr>
                <w:rFonts w:ascii="Calibri" w:hAnsi="Calibri"/>
                <w:b w:val="0"/>
                <w:i w:val="0"/>
                <w:color w:val="212121"/>
                <w:sz w:val="19"/>
              </w:rPr>
              <w:t>Unsafe water sustains chronic Giardia/Entamoeba diarrhoea.</w:t>
            </w:r>
          </w:p>
          <w:p>
            <w:pPr>
              <w:spacing w:after="40" w:line="252" w:lineRule="auto"/>
            </w:pPr>
            <w:hyperlink r:id="rId12">
              <w:r>
                <w:rPr>
                  <w:rFonts w:ascii="Calibri" w:hAnsi="Calibri" w:cs="Calibri"/>
                  <w:sz w:val="18"/>
                  <w:color w:val="1155CC"/>
                  <w:u w:val="single"/>
                </w:rPr>
                <w:t xml:space="preserve">https://www.ncbi.nlm.nih.gov/books/NBK513239/</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w:t>
            </w:r>
          </w:p>
        </w:tc>
        <w:tc>
          <w:tcPr>
            <w:tcW w:type="dxa" w:w="1655"/>
            <w:vAlign w:val="top"/>
          </w:tcPr>
          <w:p>
            <w:pPr>
              <w:spacing w:after="40" w:before="0" w:line="259" w:lineRule="auto"/>
            </w:pPr>
            <w:r>
              <w:rPr>
                <w:rFonts w:ascii="Calibri" w:hAnsi="Calibri"/>
                <w:b w:val="0"/>
                <w:i w:val="0"/>
                <w:color w:val="212121"/>
                <w:sz w:val="19"/>
              </w:rPr>
              <w:t>Adults, heavy drinkers</w:t>
            </w:r>
          </w:p>
        </w:tc>
        <w:tc>
          <w:tcPr>
            <w:tcW w:type="dxa" w:w="1512"/>
            <w:vAlign w:val="top"/>
          </w:tcPr>
          <w:p>
            <w:pPr>
              <w:spacing w:after="40" w:before="0" w:line="259" w:lineRule="auto"/>
            </w:pPr>
            <w:r>
              <w:rPr>
                <w:rFonts w:ascii="Calibri" w:hAnsi="Calibri"/>
                <w:b w:val="0"/>
                <w:i w:val="0"/>
                <w:color w:val="212121"/>
                <w:sz w:val="19"/>
              </w:rPr>
              <w:t>None or within low-risk limits</w:t>
            </w:r>
          </w:p>
        </w:tc>
        <w:tc>
          <w:tcPr>
            <w:tcW w:type="dxa" w:w="1512"/>
            <w:vAlign w:val="top"/>
          </w:tcPr>
          <w:p>
            <w:pPr>
              <w:spacing w:after="40" w:before="0" w:line="259" w:lineRule="auto"/>
            </w:pPr>
            <w:r>
              <w:rPr>
                <w:rFonts w:ascii="Calibri" w:hAnsi="Calibri"/>
                <w:b w:val="0"/>
                <w:i w:val="0"/>
                <w:color w:val="212121"/>
                <w:sz w:val="19"/>
              </w:rPr>
              <w:t>Chronic heavy use</w:t>
            </w:r>
          </w:p>
        </w:tc>
        <w:tc>
          <w:tcPr>
            <w:tcW w:type="dxa" w:w="1468"/>
            <w:vAlign w:val="top"/>
          </w:tcPr>
          <w:p>
            <w:pPr>
              <w:spacing w:after="60" w:line="259" w:lineRule="auto"/>
            </w:pPr>
            <w:r>
              <w:rPr>
                <w:rFonts w:ascii="Calibri" w:hAnsi="Calibri"/>
                <w:b w:val="0"/>
                <w:i w:val="0"/>
                <w:color w:val="212121"/>
                <w:sz w:val="19"/>
              </w:rPr>
              <w:t>Chronic heavy alcohol drives pancreatitis with steatorrhoea.</w:t>
            </w:r>
          </w:p>
          <w:p>
            <w:pPr>
              <w:spacing w:after="40" w:line="252" w:lineRule="auto"/>
            </w:pPr>
            <w:hyperlink r:id="rId16">
              <w:r>
                <w:rPr>
                  <w:rFonts w:ascii="Calibri" w:hAnsi="Calibri" w:cs="Calibri"/>
                  <w:sz w:val="18"/>
                  <w:color w:val="1155CC"/>
                  <w:u w:val="single"/>
                </w:rPr>
                <w:t xml:space="preserve">https://www.ncbi.nlm.nih.gov/books/NBK482325/</w:t>
              </w:r>
            </w:hyperlink>
          </w:p>
        </w:tc>
      </w:tr>
      <w:tr>
        <w:trPr>
          <w:cantSplit/>
        </w:trPr>
        <w:tc>
          <w:tcPr>
            <w:tcW w:type="dxa" w:w="1512"/>
            <w:vAlign w:val="center"/>
          </w:tcPr>
          <w:p>
            <w:pPr>
              <w:spacing w:after="40"/>
            </w:pPr>
            <w:r>
              <w:rPr>
                <w:rFonts w:ascii="Calibri" w:hAnsi="Calibri"/>
                <w:b w:val="0"/>
                <w:i w:val="0"/>
                <w:color w:val="212121"/>
                <w:sz w:val="19"/>
              </w:rPr>
              <w:t>Caffeine</w:t>
            </w:r>
          </w:p>
        </w:tc>
        <w:tc>
          <w:tcPr>
            <w:tcW w:type="dxa" w:w="1944"/>
            <w:vAlign w:val="top"/>
          </w:tcPr>
          <w:p>
            <w:pPr>
              <w:spacing w:after="40" w:before="0" w:line="259" w:lineRule="auto"/>
            </w:pPr>
            <w:r>
              <w:rPr>
                <w:rFonts w:ascii="Calibri" w:hAnsi="Calibri"/>
                <w:b w:val="0"/>
                <w:i w:val="0"/>
                <w:color w:val="212121"/>
                <w:sz w:val="19"/>
              </w:rPr>
              <w:t>Caffeine intake (mg/day)</w:t>
            </w:r>
          </w:p>
        </w:tc>
        <w:tc>
          <w:tcPr>
            <w:tcW w:type="dxa" w:w="1655"/>
            <w:vAlign w:val="top"/>
          </w:tcPr>
          <w:p>
            <w:pPr>
              <w:spacing w:after="40" w:before="0" w:line="259" w:lineRule="auto"/>
            </w:pPr>
            <w:r>
              <w:rPr>
                <w:rFonts w:ascii="Calibri" w:hAnsi="Calibri"/>
                <w:b w:val="0"/>
                <w:i w:val="0"/>
                <w:color w:val="212121"/>
                <w:sz w:val="19"/>
              </w:rPr>
              <w:t>IBS-D and sensitive adults</w:t>
            </w:r>
          </w:p>
        </w:tc>
        <w:tc>
          <w:tcPr>
            <w:tcW w:type="dxa" w:w="1512"/>
            <w:vAlign w:val="top"/>
          </w:tcPr>
          <w:p>
            <w:pPr>
              <w:spacing w:after="40" w:before="0" w:line="259" w:lineRule="auto"/>
            </w:pPr>
            <w:r>
              <w:rPr>
                <w:rFonts w:ascii="Calibri" w:hAnsi="Calibri"/>
                <w:b w:val="0"/>
                <w:i w:val="0"/>
                <w:color w:val="212121"/>
                <w:sz w:val="19"/>
              </w:rPr>
              <w:t>≤ 200–400 mg/day</w:t>
            </w:r>
          </w:p>
        </w:tc>
        <w:tc>
          <w:tcPr>
            <w:tcW w:type="dxa" w:w="1512"/>
            <w:vAlign w:val="top"/>
          </w:tcPr>
          <w:p>
            <w:pPr>
              <w:spacing w:after="40" w:before="0" w:line="259" w:lineRule="auto"/>
            </w:pPr>
            <w:r>
              <w:rPr>
                <w:rFonts w:ascii="Calibri" w:hAnsi="Calibri"/>
                <w:b w:val="0"/>
                <w:i w:val="0"/>
                <w:color w:val="212121"/>
                <w:sz w:val="19"/>
              </w:rPr>
              <w:t>&gt; 400 mg/day (strong coffee, energy drinks)</w:t>
            </w:r>
          </w:p>
        </w:tc>
        <w:tc>
          <w:tcPr>
            <w:tcW w:type="dxa" w:w="1468"/>
            <w:vAlign w:val="top"/>
          </w:tcPr>
          <w:p>
            <w:pPr>
              <w:spacing w:after="40" w:before="0" w:line="259" w:lineRule="auto"/>
            </w:pPr>
            <w:r>
              <w:rPr>
                <w:rFonts w:ascii="Calibri" w:hAnsi="Calibri"/>
                <w:b w:val="0"/>
                <w:i w:val="0"/>
                <w:color w:val="212121"/>
                <w:sz w:val="19"/>
              </w:rPr>
              <w:t>Caffeine accelerates colonic transit and urgency.</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Perceived stress / anxiety</w:t>
            </w:r>
          </w:p>
        </w:tc>
        <w:tc>
          <w:tcPr>
            <w:tcW w:type="dxa" w:w="1655"/>
            <w:vAlign w:val="top"/>
          </w:tcPr>
          <w:p>
            <w:pPr>
              <w:spacing w:after="40" w:before="0" w:line="259" w:lineRule="auto"/>
            </w:pPr>
            <w:r>
              <w:rPr>
                <w:rFonts w:ascii="Calibri" w:hAnsi="Calibri"/>
                <w:b w:val="0"/>
                <w:i w:val="0"/>
                <w:color w:val="212121"/>
                <w:sz w:val="19"/>
              </w:rPr>
              <w:t>IBS-D patients</w:t>
            </w:r>
          </w:p>
        </w:tc>
        <w:tc>
          <w:tcPr>
            <w:tcW w:type="dxa" w:w="1512"/>
            <w:vAlign w:val="top"/>
          </w:tcPr>
          <w:p>
            <w:pPr>
              <w:spacing w:after="40" w:before="0" w:line="259" w:lineRule="auto"/>
            </w:pPr>
            <w:r>
              <w:rPr>
                <w:rFonts w:ascii="Calibri" w:hAnsi="Calibri"/>
                <w:b w:val="0"/>
                <w:i w:val="0"/>
                <w:color w:val="212121"/>
                <w:sz w:val="19"/>
              </w:rPr>
              <w:t>Low, well-managed</w:t>
            </w:r>
          </w:p>
        </w:tc>
        <w:tc>
          <w:tcPr>
            <w:tcW w:type="dxa" w:w="1512"/>
            <w:vAlign w:val="top"/>
          </w:tcPr>
          <w:p>
            <w:pPr>
              <w:spacing w:after="40" w:before="0" w:line="259" w:lineRule="auto"/>
            </w:pPr>
            <w:r>
              <w:rPr>
                <w:rFonts w:ascii="Calibri" w:hAnsi="Calibri"/>
                <w:b w:val="0"/>
                <w:i w:val="0"/>
                <w:color w:val="212121"/>
                <w:sz w:val="19"/>
              </w:rPr>
              <w:t>High chronic stress or anxiety/depression</w:t>
            </w:r>
          </w:p>
        </w:tc>
        <w:tc>
          <w:tcPr>
            <w:tcW w:type="dxa" w:w="1468"/>
            <w:vAlign w:val="top"/>
          </w:tcPr>
          <w:p>
            <w:pPr>
              <w:spacing w:after="60" w:line="259" w:lineRule="auto"/>
            </w:pPr>
            <w:r>
              <w:rPr>
                <w:rFonts w:ascii="Calibri" w:hAnsi="Calibri"/>
                <w:b w:val="0"/>
                <w:i w:val="0"/>
                <w:color w:val="212121"/>
                <w:sz w:val="19"/>
              </w:rPr>
              <w:t>Gut-brain axis activation worsens functional diarrhoea.</w:t>
            </w:r>
          </w:p>
          <w:p>
            <w:pPr>
              <w:spacing w:after="40" w:line="252" w:lineRule="auto"/>
            </w:pPr>
            <w:hyperlink r:id="rId17">
              <w:r>
                <w:rPr>
                  <w:rFonts w:ascii="Calibri" w:hAnsi="Calibri" w:cs="Calibri"/>
                  <w:sz w:val="18"/>
                  <w:color w:val="1155CC"/>
                  <w:u w:val="single"/>
                </w:rPr>
                <w:t xml:space="preserve">https://www.ncbi.nlm.nih.gov/books/NBK534810/</w:t>
              </w:r>
            </w:hyperlink>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Moderate activity (min/week)</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 150 min/week moderate</w:t>
            </w:r>
          </w:p>
        </w:tc>
        <w:tc>
          <w:tcPr>
            <w:tcW w:type="dxa" w:w="1512"/>
            <w:vAlign w:val="top"/>
          </w:tcPr>
          <w:p>
            <w:pPr>
              <w:spacing w:after="40" w:before="0" w:line="259" w:lineRule="auto"/>
            </w:pPr>
            <w:r>
              <w:rPr>
                <w:rFonts w:ascii="Calibri" w:hAnsi="Calibri"/>
                <w:b w:val="0"/>
                <w:i w:val="0"/>
                <w:color w:val="212121"/>
                <w:sz w:val="19"/>
              </w:rPr>
              <w:t>Prolonged very-strenuous endurance bouts</w:t>
            </w:r>
          </w:p>
        </w:tc>
        <w:tc>
          <w:tcPr>
            <w:tcW w:type="dxa" w:w="1468"/>
            <w:vAlign w:val="top"/>
          </w:tcPr>
          <w:p>
            <w:pPr>
              <w:spacing w:after="40" w:before="0" w:line="259" w:lineRule="auto"/>
            </w:pPr>
            <w:r>
              <w:rPr>
                <w:rFonts w:ascii="Calibri" w:hAnsi="Calibri"/>
                <w:b w:val="0"/>
                <w:i w:val="0"/>
                <w:color w:val="212121"/>
                <w:sz w:val="19"/>
              </w:rPr>
              <w:t>Moderate activity aids IBS; extreme exertion can provoke transit diarrhoea.</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Faecal calprotectin</w:t>
            </w:r>
          </w:p>
        </w:tc>
        <w:tc>
          <w:tcPr>
            <w:tcW w:type="dxa" w:w="1655"/>
            <w:vAlign w:val="top"/>
          </w:tcPr>
          <w:p>
            <w:pPr>
              <w:spacing w:after="40" w:before="0" w:line="259" w:lineRule="auto"/>
            </w:pPr>
            <w:r>
              <w:rPr>
                <w:rFonts w:ascii="Calibri" w:hAnsi="Calibri"/>
                <w:b w:val="0"/>
                <w:i w:val="0"/>
                <w:color w:val="212121"/>
                <w:sz w:val="19"/>
              </w:rPr>
              <w:t>Suspected inflammatory diarrhoea</w:t>
            </w:r>
          </w:p>
        </w:tc>
        <w:tc>
          <w:tcPr>
            <w:tcW w:type="dxa" w:w="1512"/>
            <w:vAlign w:val="top"/>
          </w:tcPr>
          <w:p>
            <w:pPr>
              <w:spacing w:after="40" w:before="0" w:line="259" w:lineRule="auto"/>
            </w:pPr>
            <w:r>
              <w:rPr>
                <w:rFonts w:ascii="Calibri" w:hAnsi="Calibri"/>
                <w:b w:val="0"/>
                <w:i w:val="0"/>
                <w:color w:val="212121"/>
                <w:sz w:val="19"/>
              </w:rPr>
              <w:t>&lt; 50 µg/g</w:t>
            </w:r>
          </w:p>
        </w:tc>
        <w:tc>
          <w:tcPr>
            <w:tcW w:type="dxa" w:w="1512"/>
            <w:vAlign w:val="top"/>
          </w:tcPr>
          <w:p>
            <w:pPr>
              <w:spacing w:after="40" w:before="0" w:line="259" w:lineRule="auto"/>
            </w:pPr>
            <w:r>
              <w:rPr>
                <w:rFonts w:ascii="Calibri" w:hAnsi="Calibri"/>
                <w:b w:val="0"/>
                <w:i w:val="0"/>
                <w:color w:val="212121"/>
                <w:sz w:val="19"/>
              </w:rPr>
              <w:t>&gt; 150–250 µg/g</w:t>
            </w:r>
          </w:p>
        </w:tc>
        <w:tc>
          <w:tcPr>
            <w:tcW w:type="dxa" w:w="1468"/>
            <w:vAlign w:val="top"/>
          </w:tcPr>
          <w:p>
            <w:pPr>
              <w:spacing w:after="60" w:line="259" w:lineRule="auto"/>
            </w:pPr>
            <w:r>
              <w:rPr>
                <w:rFonts w:ascii="Calibri" w:hAnsi="Calibri"/>
                <w:b w:val="0"/>
                <w:i w:val="0"/>
                <w:color w:val="212121"/>
                <w:sz w:val="19"/>
              </w:rPr>
              <w:t>Elevated levels point to IBD/organic inflammation vs functional diarrhoea.</w:t>
            </w:r>
          </w:p>
          <w:p>
            <w:pPr>
              <w:spacing w:after="40" w:line="252" w:lineRule="auto"/>
            </w:pPr>
            <w:hyperlink r:id="rId10">
              <w:r>
                <w:rPr>
                  <w:rFonts w:ascii="Calibri" w:hAnsi="Calibri" w:cs="Calibri"/>
                  <w:sz w:val="18"/>
                  <w:color w:val="1155CC"/>
                  <w:u w:val="single"/>
                </w:rPr>
                <w:t xml:space="preserve">https://www.ncbi.nlm.nih.gov/books/NBK544337/</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Body-mass index / weight change</w:t>
            </w:r>
          </w:p>
        </w:tc>
        <w:tc>
          <w:tcPr>
            <w:tcW w:type="dxa" w:w="1655"/>
            <w:vAlign w:val="top"/>
          </w:tcPr>
          <w:p>
            <w:pPr>
              <w:spacing w:after="40" w:before="0" w:line="259" w:lineRule="auto"/>
            </w:pPr>
            <w:r>
              <w:rPr>
                <w:rFonts w:ascii="Calibri" w:hAnsi="Calibri"/>
                <w:b w:val="0"/>
                <w:i w:val="0"/>
                <w:color w:val="212121"/>
                <w:sz w:val="19"/>
              </w:rPr>
              <w:t>Malabsorptive diarrhoea</w:t>
            </w:r>
          </w:p>
        </w:tc>
        <w:tc>
          <w:tcPr>
            <w:tcW w:type="dxa" w:w="1512"/>
            <w:vAlign w:val="top"/>
          </w:tcPr>
          <w:p>
            <w:pPr>
              <w:spacing w:after="40" w:before="0" w:line="259" w:lineRule="auto"/>
            </w:pPr>
            <w:r>
              <w:rPr>
                <w:rFonts w:ascii="Calibri" w:hAnsi="Calibri"/>
                <w:b w:val="0"/>
                <w:i w:val="0"/>
                <w:color w:val="212121"/>
                <w:sz w:val="19"/>
              </w:rPr>
              <w:t>Stable weight; BMI 18.5–24.9</w:t>
            </w:r>
          </w:p>
        </w:tc>
        <w:tc>
          <w:tcPr>
            <w:tcW w:type="dxa" w:w="1512"/>
            <w:vAlign w:val="top"/>
          </w:tcPr>
          <w:p>
            <w:pPr>
              <w:spacing w:after="40" w:before="0" w:line="259" w:lineRule="auto"/>
            </w:pPr>
            <w:r>
              <w:rPr>
                <w:rFonts w:ascii="Calibri" w:hAnsi="Calibri"/>
                <w:b w:val="0"/>
                <w:i w:val="0"/>
                <w:color w:val="212121"/>
                <w:sz w:val="19"/>
              </w:rPr>
              <w:t>Unintentional loss &gt; 5% or BMI &lt; 18.5</w:t>
            </w:r>
          </w:p>
        </w:tc>
        <w:tc>
          <w:tcPr>
            <w:tcW w:type="dxa" w:w="1468"/>
            <w:vAlign w:val="top"/>
          </w:tcPr>
          <w:p>
            <w:pPr>
              <w:spacing w:after="60" w:line="259" w:lineRule="auto"/>
            </w:pPr>
            <w:r>
              <w:rPr>
                <w:rFonts w:ascii="Calibri" w:hAnsi="Calibri"/>
                <w:b w:val="0"/>
                <w:i w:val="0"/>
                <w:color w:val="212121"/>
                <w:sz w:val="19"/>
              </w:rPr>
              <w:t>Weight loss is an alarm feature suggesting organic/malabsorptive disease.</w:t>
            </w:r>
          </w:p>
          <w:p>
            <w:pPr>
              <w:spacing w:after="40" w:line="252" w:lineRule="auto"/>
            </w:pPr>
            <w:hyperlink r:id="rId10">
              <w:r>
                <w:rPr>
                  <w:rFonts w:ascii="Calibri" w:hAnsi="Calibri" w:cs="Calibri"/>
                  <w:sz w:val="18"/>
                  <w:color w:val="1155CC"/>
                  <w:u w:val="single"/>
                </w:rPr>
                <w:t xml:space="preserve">https://www.ncbi.nlm.nih.gov/books/NBK544337/</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Complete blood count</w:t>
            </w:r>
          </w:p>
        </w:tc>
        <w:tc>
          <w:tcPr>
            <w:tcW w:type="dxa" w:w="892"/>
            <w:vAlign w:val="top"/>
          </w:tcPr>
          <w:p>
            <w:pPr>
              <w:spacing w:after="40" w:before="0" w:line="259" w:lineRule="auto"/>
            </w:pPr>
            <w:r>
              <w:rPr>
                <w:rFonts w:ascii="Calibri" w:hAnsi="Calibri"/>
                <w:b w:val="0"/>
                <w:i w:val="0"/>
                <w:color w:val="212121"/>
                <w:sz w:val="16"/>
              </w:rPr>
              <w:t>Blood count with indices</w:t>
            </w:r>
          </w:p>
        </w:tc>
        <w:tc>
          <w:tcPr>
            <w:tcW w:type="dxa" w:w="950"/>
            <w:vAlign w:val="top"/>
          </w:tcPr>
          <w:p>
            <w:pPr>
              <w:spacing w:after="40" w:before="0" w:line="259" w:lineRule="auto"/>
            </w:pPr>
            <w:r>
              <w:rPr>
                <w:rFonts w:ascii="Calibri" w:hAnsi="Calibri"/>
                <w:b w:val="0"/>
                <w:i w:val="0"/>
                <w:color w:val="212121"/>
                <w:sz w:val="16"/>
              </w:rPr>
              <w:t>Hb 12–16 g/dL; normal MCV; no eosinophilia</w:t>
            </w:r>
          </w:p>
        </w:tc>
        <w:tc>
          <w:tcPr>
            <w:tcW w:type="dxa" w:w="950"/>
            <w:vAlign w:val="top"/>
          </w:tcPr>
          <w:p>
            <w:pPr>
              <w:spacing w:after="40" w:before="0" w:line="259" w:lineRule="auto"/>
            </w:pPr>
            <w:r>
              <w:rPr>
                <w:rFonts w:ascii="Calibri" w:hAnsi="Calibri"/>
                <w:b w:val="0"/>
                <w:i w:val="0"/>
                <w:color w:val="212121"/>
                <w:sz w:val="16"/>
              </w:rPr>
              <w:t>Anaemia; micro/macrocytosis; eosinophilia</w:t>
            </w:r>
          </w:p>
        </w:tc>
        <w:tc>
          <w:tcPr>
            <w:tcW w:type="dxa" w:w="1036"/>
            <w:vAlign w:val="top"/>
          </w:tcPr>
          <w:p>
            <w:pPr>
              <w:spacing w:after="40" w:before="0" w:line="259" w:lineRule="auto"/>
            </w:pPr>
            <w:r>
              <w:rPr>
                <w:rFonts w:ascii="Calibri" w:hAnsi="Calibri"/>
                <w:b w:val="0"/>
                <w:i w:val="0"/>
                <w:color w:val="212121"/>
                <w:sz w:val="16"/>
              </w:rPr>
              <w:t>Anaemia and macrocytosis suggest malabsorption (iron, B12/folate); eosinophilia suggests parasites or eosinophilic enteritis</w:t>
            </w:r>
          </w:p>
        </w:tc>
        <w:tc>
          <w:tcPr>
            <w:tcW w:type="dxa" w:w="1036"/>
            <w:vAlign w:val="top"/>
          </w:tcPr>
          <w:p>
            <w:pPr>
              <w:spacing w:after="40" w:before="0" w:line="259" w:lineRule="auto"/>
            </w:pPr>
            <w:r>
              <w:rPr>
                <w:rFonts w:ascii="Calibri" w:hAnsi="Calibri"/>
                <w:b w:val="0"/>
                <w:i w:val="0"/>
                <w:color w:val="212121"/>
                <w:sz w:val="16"/>
              </w:rPr>
              <w:t>Malabsorptive, infective, IBD patients</w:t>
            </w:r>
          </w:p>
        </w:tc>
        <w:tc>
          <w:tcPr>
            <w:tcW w:type="dxa" w:w="720"/>
            <w:vAlign w:val="top"/>
          </w:tcPr>
          <w:p>
            <w:pPr>
              <w:spacing w:after="40" w:before="0" w:line="259" w:lineRule="auto"/>
            </w:pPr>
            <w:r>
              <w:rPr>
                <w:rFonts w:ascii="Calibri" w:hAnsi="Calibri"/>
                <w:b w:val="0"/>
                <w:i w:val="0"/>
                <w:color w:val="212121"/>
                <w:sz w:val="16"/>
              </w:rPr>
              <w:t>Food; Water</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Directs further deficiency work-up</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Stool</w:t>
            </w:r>
          </w:p>
        </w:tc>
        <w:tc>
          <w:tcPr>
            <w:tcW w:type="dxa" w:w="1036"/>
            <w:vAlign w:val="top"/>
          </w:tcPr>
          <w:p>
            <w:pPr>
              <w:spacing w:after="40" w:before="0" w:line="259" w:lineRule="auto"/>
            </w:pPr>
            <w:r>
              <w:rPr>
                <w:rFonts w:ascii="Calibri" w:hAnsi="Calibri"/>
                <w:b w:val="0"/>
                <w:i w:val="0"/>
                <w:color w:val="212121"/>
                <w:sz w:val="16"/>
              </w:rPr>
              <w:t>Faecal calprotectin / lactoferrin</w:t>
            </w:r>
          </w:p>
        </w:tc>
        <w:tc>
          <w:tcPr>
            <w:tcW w:type="dxa" w:w="892"/>
            <w:vAlign w:val="top"/>
          </w:tcPr>
          <w:p>
            <w:pPr>
              <w:spacing w:after="40" w:before="0" w:line="259" w:lineRule="auto"/>
            </w:pPr>
            <w:r>
              <w:rPr>
                <w:rFonts w:ascii="Calibri" w:hAnsi="Calibri"/>
                <w:b w:val="0"/>
                <w:i w:val="0"/>
                <w:color w:val="212121"/>
                <w:sz w:val="16"/>
              </w:rPr>
              <w:t>Stool inflammatory marker</w:t>
            </w:r>
          </w:p>
        </w:tc>
        <w:tc>
          <w:tcPr>
            <w:tcW w:type="dxa" w:w="950"/>
            <w:vAlign w:val="top"/>
          </w:tcPr>
          <w:p>
            <w:pPr>
              <w:spacing w:after="40" w:before="0" w:line="259" w:lineRule="auto"/>
            </w:pPr>
            <w:r>
              <w:rPr>
                <w:rFonts w:ascii="Calibri" w:hAnsi="Calibri"/>
                <w:b w:val="0"/>
                <w:i w:val="0"/>
                <w:color w:val="212121"/>
                <w:sz w:val="16"/>
              </w:rPr>
              <w:t>Calprotectin &lt; 50 µg/g</w:t>
            </w:r>
          </w:p>
        </w:tc>
        <w:tc>
          <w:tcPr>
            <w:tcW w:type="dxa" w:w="950"/>
            <w:vAlign w:val="top"/>
          </w:tcPr>
          <w:p>
            <w:pPr>
              <w:spacing w:after="40" w:before="0" w:line="259" w:lineRule="auto"/>
            </w:pPr>
            <w:r>
              <w:rPr>
                <w:rFonts w:ascii="Calibri" w:hAnsi="Calibri"/>
                <w:b w:val="0"/>
                <w:i w:val="0"/>
                <w:color w:val="212121"/>
                <w:sz w:val="16"/>
              </w:rPr>
              <w:t>&gt; 150–250 µg/g</w:t>
            </w:r>
          </w:p>
        </w:tc>
        <w:tc>
          <w:tcPr>
            <w:tcW w:type="dxa" w:w="1036"/>
            <w:vAlign w:val="top"/>
          </w:tcPr>
          <w:p>
            <w:pPr>
              <w:spacing w:after="40" w:before="0" w:line="259" w:lineRule="auto"/>
            </w:pPr>
            <w:r>
              <w:rPr>
                <w:rFonts w:ascii="Calibri" w:hAnsi="Calibri"/>
                <w:b w:val="0"/>
                <w:i w:val="0"/>
                <w:color w:val="212121"/>
                <w:sz w:val="16"/>
              </w:rPr>
              <w:t>Distinguishes inflammatory (IBD, intestinal TB) from functional diarrhoea and triages for colonoscopy</w:t>
            </w:r>
          </w:p>
        </w:tc>
        <w:tc>
          <w:tcPr>
            <w:tcW w:type="dxa" w:w="1036"/>
            <w:vAlign w:val="top"/>
          </w:tcPr>
          <w:p>
            <w:pPr>
              <w:spacing w:after="40" w:before="0" w:line="259" w:lineRule="auto"/>
            </w:pPr>
            <w:r>
              <w:rPr>
                <w:rFonts w:ascii="Calibri" w:hAnsi="Calibri"/>
                <w:b w:val="0"/>
                <w:i w:val="0"/>
                <w:color w:val="212121"/>
                <w:sz w:val="16"/>
              </w:rPr>
              <w:t>Suspected IBD/organic diarrhoea</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Useful to avoid unnecessary endoscopy in functional cases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Anti-tissue-transglutaminase IgA (+ total IgA)</w:t>
            </w:r>
          </w:p>
        </w:tc>
        <w:tc>
          <w:tcPr>
            <w:tcW w:type="dxa" w:w="892"/>
            <w:vAlign w:val="top"/>
          </w:tcPr>
          <w:p>
            <w:pPr>
              <w:spacing w:after="40" w:before="0" w:line="259" w:lineRule="auto"/>
            </w:pPr>
            <w:r>
              <w:rPr>
                <w:rFonts w:ascii="Calibri" w:hAnsi="Calibri"/>
                <w:b w:val="0"/>
                <w:i w:val="0"/>
                <w:color w:val="212121"/>
                <w:sz w:val="16"/>
              </w:rPr>
              <w:t>Celiac serology</w:t>
            </w:r>
          </w:p>
        </w:tc>
        <w:tc>
          <w:tcPr>
            <w:tcW w:type="dxa" w:w="950"/>
            <w:vAlign w:val="top"/>
          </w:tcPr>
          <w:p>
            <w:pPr>
              <w:spacing w:after="40" w:before="0" w:line="259" w:lineRule="auto"/>
            </w:pPr>
            <w:r>
              <w:rPr>
                <w:rFonts w:ascii="Calibri" w:hAnsi="Calibri"/>
                <w:b w:val="0"/>
                <w:i w:val="0"/>
                <w:color w:val="212121"/>
                <w:sz w:val="16"/>
              </w:rPr>
              <w:t>tTG-IgA within reference range</w:t>
            </w:r>
          </w:p>
        </w:tc>
        <w:tc>
          <w:tcPr>
            <w:tcW w:type="dxa" w:w="950"/>
            <w:vAlign w:val="top"/>
          </w:tcPr>
          <w:p>
            <w:pPr>
              <w:spacing w:after="40" w:before="0" w:line="259" w:lineRule="auto"/>
            </w:pPr>
            <w:r>
              <w:rPr>
                <w:rFonts w:ascii="Calibri" w:hAnsi="Calibri"/>
                <w:b w:val="0"/>
                <w:i w:val="0"/>
                <w:color w:val="212121"/>
                <w:sz w:val="16"/>
              </w:rPr>
              <w:t>Elevated tTG-IgA (with duodenal biopsy confirmation)</w:t>
            </w:r>
          </w:p>
        </w:tc>
        <w:tc>
          <w:tcPr>
            <w:tcW w:type="dxa" w:w="1036"/>
            <w:vAlign w:val="top"/>
          </w:tcPr>
          <w:p>
            <w:pPr>
              <w:spacing w:after="40" w:before="0" w:line="259" w:lineRule="auto"/>
            </w:pPr>
            <w:r>
              <w:rPr>
                <w:rFonts w:ascii="Calibri" w:hAnsi="Calibri"/>
                <w:b w:val="0"/>
                <w:i w:val="0"/>
                <w:color w:val="212121"/>
                <w:sz w:val="16"/>
              </w:rPr>
              <w:t>Screens for celiac disease, a leading malabsorptive cause; patient must be on gluten</w:t>
            </w:r>
          </w:p>
        </w:tc>
        <w:tc>
          <w:tcPr>
            <w:tcW w:type="dxa" w:w="1036"/>
            <w:vAlign w:val="top"/>
          </w:tcPr>
          <w:p>
            <w:pPr>
              <w:spacing w:after="40" w:before="0" w:line="259" w:lineRule="auto"/>
            </w:pPr>
            <w:r>
              <w:rPr>
                <w:rFonts w:ascii="Calibri" w:hAnsi="Calibri"/>
                <w:b w:val="0"/>
                <w:i w:val="0"/>
                <w:color w:val="212121"/>
                <w:sz w:val="16"/>
              </w:rPr>
              <w:t>Malabsorption, anaemia, north Indian adults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Check total IgA to exclude IgA deficiency (false negatives)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Stool microbiology</w:t>
            </w:r>
          </w:p>
        </w:tc>
        <w:tc>
          <w:tcPr>
            <w:tcW w:type="dxa" w:w="1036"/>
            <w:vAlign w:val="top"/>
          </w:tcPr>
          <w:p>
            <w:pPr>
              <w:spacing w:after="40" w:before="0" w:line="259" w:lineRule="auto"/>
            </w:pPr>
            <w:r>
              <w:rPr>
                <w:rFonts w:ascii="Calibri" w:hAnsi="Calibri"/>
                <w:b w:val="0"/>
                <w:i w:val="0"/>
                <w:color w:val="212121"/>
                <w:sz w:val="16"/>
              </w:rPr>
              <w:t>Ova/cyst microscopy + Giardia/Entamoeba antigen</w:t>
            </w:r>
          </w:p>
        </w:tc>
        <w:tc>
          <w:tcPr>
            <w:tcW w:type="dxa" w:w="892"/>
            <w:vAlign w:val="top"/>
          </w:tcPr>
          <w:p>
            <w:pPr>
              <w:spacing w:after="40" w:before="0" w:line="259" w:lineRule="auto"/>
            </w:pPr>
            <w:r>
              <w:rPr>
                <w:rFonts w:ascii="Calibri" w:hAnsi="Calibri"/>
                <w:b w:val="0"/>
                <w:i w:val="0"/>
                <w:color w:val="212121"/>
                <w:sz w:val="16"/>
              </w:rPr>
              <w:t>Stool parasitology</w:t>
            </w:r>
          </w:p>
        </w:tc>
        <w:tc>
          <w:tcPr>
            <w:tcW w:type="dxa" w:w="950"/>
            <w:vAlign w:val="top"/>
          </w:tcPr>
          <w:p>
            <w:pPr>
              <w:spacing w:after="40" w:before="0" w:line="259" w:lineRule="auto"/>
            </w:pPr>
            <w:r>
              <w:rPr>
                <w:rFonts w:ascii="Calibri" w:hAnsi="Calibri"/>
                <w:b w:val="0"/>
                <w:i w:val="0"/>
                <w:color w:val="212121"/>
                <w:sz w:val="16"/>
              </w:rPr>
              <w:t>No cysts/trophozoites/antigen</w:t>
            </w:r>
          </w:p>
        </w:tc>
        <w:tc>
          <w:tcPr>
            <w:tcW w:type="dxa" w:w="950"/>
            <w:vAlign w:val="top"/>
          </w:tcPr>
          <w:p>
            <w:pPr>
              <w:spacing w:after="40" w:before="0" w:line="259" w:lineRule="auto"/>
            </w:pPr>
            <w:r>
              <w:rPr>
                <w:rFonts w:ascii="Calibri" w:hAnsi="Calibri"/>
                <w:b w:val="0"/>
                <w:i w:val="0"/>
                <w:color w:val="212121"/>
                <w:sz w:val="16"/>
              </w:rPr>
              <w:t>Giardia or Entamoeba detected</w:t>
            </w:r>
          </w:p>
        </w:tc>
        <w:tc>
          <w:tcPr>
            <w:tcW w:type="dxa" w:w="1036"/>
            <w:vAlign w:val="top"/>
          </w:tcPr>
          <w:p>
            <w:pPr>
              <w:spacing w:after="40" w:before="0" w:line="259" w:lineRule="auto"/>
            </w:pPr>
            <w:r>
              <w:rPr>
                <w:rFonts w:ascii="Calibri" w:hAnsi="Calibri"/>
                <w:b w:val="0"/>
                <w:i w:val="0"/>
                <w:color w:val="212121"/>
                <w:sz w:val="16"/>
              </w:rPr>
              <w:t>Identifies chronic parasitic diarrhoea, common in India; antigen tests more sensitive than microscopy</w:t>
            </w:r>
          </w:p>
        </w:tc>
        <w:tc>
          <w:tcPr>
            <w:tcW w:type="dxa" w:w="1036"/>
            <w:vAlign w:val="top"/>
          </w:tcPr>
          <w:p>
            <w:pPr>
              <w:spacing w:after="40" w:before="0" w:line="259" w:lineRule="auto"/>
            </w:pPr>
            <w:r>
              <w:rPr>
                <w:rFonts w:ascii="Calibri" w:hAnsi="Calibri"/>
                <w:b w:val="0"/>
                <w:i w:val="0"/>
                <w:color w:val="212121"/>
                <w:sz w:val="16"/>
              </w:rPr>
              <w:t>Unsafe-water/street-food exposure, travellers</w:t>
            </w:r>
          </w:p>
        </w:tc>
        <w:tc>
          <w:tcPr>
            <w:tcW w:type="dxa" w:w="720"/>
            <w:vAlign w:val="top"/>
          </w:tcPr>
          <w:p>
            <w:pPr>
              <w:spacing w:after="40" w:before="0" w:line="259" w:lineRule="auto"/>
            </w:pPr>
            <w:r>
              <w:rPr>
                <w:rFonts w:ascii="Calibri" w:hAnsi="Calibri"/>
                <w:b w:val="0"/>
                <w:i w:val="0"/>
                <w:color w:val="212121"/>
                <w:sz w:val="16"/>
              </w:rPr>
              <w:t>Water; Hygiene</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Send multiple samples; consider empiric therapy if strong suspicion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Stool chemistry</w:t>
            </w:r>
          </w:p>
        </w:tc>
        <w:tc>
          <w:tcPr>
            <w:tcW w:type="dxa" w:w="1036"/>
            <w:vAlign w:val="top"/>
          </w:tcPr>
          <w:p>
            <w:pPr>
              <w:spacing w:after="40" w:before="0" w:line="259" w:lineRule="auto"/>
            </w:pPr>
            <w:r>
              <w:rPr>
                <w:rFonts w:ascii="Calibri" w:hAnsi="Calibri"/>
                <w:b w:val="0"/>
                <w:i w:val="0"/>
                <w:color w:val="212121"/>
                <w:sz w:val="16"/>
              </w:rPr>
              <w:t>Faecal fat / faecal elastase</w:t>
            </w:r>
          </w:p>
        </w:tc>
        <w:tc>
          <w:tcPr>
            <w:tcW w:type="dxa" w:w="892"/>
            <w:vAlign w:val="top"/>
          </w:tcPr>
          <w:p>
            <w:pPr>
              <w:spacing w:after="40" w:before="0" w:line="259" w:lineRule="auto"/>
            </w:pPr>
            <w:r>
              <w:rPr>
                <w:rFonts w:ascii="Calibri" w:hAnsi="Calibri"/>
                <w:b w:val="0"/>
                <w:i w:val="0"/>
                <w:color w:val="212121"/>
                <w:sz w:val="16"/>
              </w:rPr>
              <w:t>Steatorrhoea &amp; pancreatic function</w:t>
            </w:r>
          </w:p>
        </w:tc>
        <w:tc>
          <w:tcPr>
            <w:tcW w:type="dxa" w:w="950"/>
            <w:vAlign w:val="top"/>
          </w:tcPr>
          <w:p>
            <w:pPr>
              <w:spacing w:after="40" w:before="0" w:line="259" w:lineRule="auto"/>
            </w:pPr>
            <w:r>
              <w:rPr>
                <w:rFonts w:ascii="Calibri" w:hAnsi="Calibri"/>
                <w:b w:val="0"/>
                <w:i w:val="0"/>
                <w:color w:val="212121"/>
                <w:sz w:val="16"/>
              </w:rPr>
              <w:t>Faecal elastase &gt; 200 µg/g; no excess fat</w:t>
            </w:r>
          </w:p>
        </w:tc>
        <w:tc>
          <w:tcPr>
            <w:tcW w:type="dxa" w:w="950"/>
            <w:vAlign w:val="top"/>
          </w:tcPr>
          <w:p>
            <w:pPr>
              <w:spacing w:after="40" w:before="0" w:line="259" w:lineRule="auto"/>
            </w:pPr>
            <w:r>
              <w:rPr>
                <w:rFonts w:ascii="Calibri" w:hAnsi="Calibri"/>
                <w:b w:val="0"/>
                <w:i w:val="0"/>
                <w:color w:val="212121"/>
                <w:sz w:val="16"/>
              </w:rPr>
              <w:t>Elastase &lt; 100 µg/g; qualitative/quantitative fat high</w:t>
            </w:r>
          </w:p>
        </w:tc>
        <w:tc>
          <w:tcPr>
            <w:tcW w:type="dxa" w:w="1036"/>
            <w:vAlign w:val="top"/>
          </w:tcPr>
          <w:p>
            <w:pPr>
              <w:spacing w:after="40" w:before="0" w:line="259" w:lineRule="auto"/>
            </w:pPr>
            <w:r>
              <w:rPr>
                <w:rFonts w:ascii="Calibri" w:hAnsi="Calibri"/>
                <w:b w:val="0"/>
                <w:i w:val="0"/>
                <w:color w:val="212121"/>
                <w:sz w:val="16"/>
              </w:rPr>
              <w:t>Confirms fatty diarrhoea and separates mucosal malabsorption from exocrine pancreatic insufficiency</w:t>
            </w:r>
          </w:p>
        </w:tc>
        <w:tc>
          <w:tcPr>
            <w:tcW w:type="dxa" w:w="1036"/>
            <w:vAlign w:val="top"/>
          </w:tcPr>
          <w:p>
            <w:pPr>
              <w:spacing w:after="40" w:before="0" w:line="259" w:lineRule="auto"/>
            </w:pPr>
            <w:r>
              <w:rPr>
                <w:rFonts w:ascii="Calibri" w:hAnsi="Calibri"/>
                <w:b w:val="0"/>
                <w:i w:val="0"/>
                <w:color w:val="212121"/>
                <w:sz w:val="16"/>
              </w:rPr>
              <w:t>Steatorrhoea, alcohol-related, weight loss</w:t>
            </w:r>
          </w:p>
        </w:tc>
        <w:tc>
          <w:tcPr>
            <w:tcW w:type="dxa" w:w="720"/>
            <w:vAlign w:val="top"/>
          </w:tcPr>
          <w:p>
            <w:pPr>
              <w:spacing w:after="40" w:before="0" w:line="259" w:lineRule="auto"/>
            </w:pPr>
            <w:r>
              <w:rPr>
                <w:rFonts w:ascii="Calibri" w:hAnsi="Calibri"/>
                <w:b w:val="0"/>
                <w:i w:val="0"/>
                <w:color w:val="212121"/>
                <w:sz w:val="16"/>
              </w:rPr>
              <w:t>Food; Alcohol</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48–72 h stool fat collection is the reference method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Stool chemistry</w:t>
            </w:r>
          </w:p>
        </w:tc>
        <w:tc>
          <w:tcPr>
            <w:tcW w:type="dxa" w:w="1036"/>
            <w:vAlign w:val="top"/>
          </w:tcPr>
          <w:p>
            <w:pPr>
              <w:spacing w:after="40" w:before="0" w:line="259" w:lineRule="auto"/>
            </w:pPr>
            <w:r>
              <w:rPr>
                <w:rFonts w:ascii="Calibri" w:hAnsi="Calibri"/>
                <w:b w:val="0"/>
                <w:i w:val="0"/>
                <w:color w:val="212121"/>
                <w:sz w:val="16"/>
              </w:rPr>
              <w:t>Stool electrolytes &amp; osmotic gap</w:t>
            </w:r>
          </w:p>
        </w:tc>
        <w:tc>
          <w:tcPr>
            <w:tcW w:type="dxa" w:w="892"/>
            <w:vAlign w:val="top"/>
          </w:tcPr>
          <w:p>
            <w:pPr>
              <w:spacing w:after="40" w:before="0" w:line="259" w:lineRule="auto"/>
            </w:pPr>
            <w:r>
              <w:rPr>
                <w:rFonts w:ascii="Calibri" w:hAnsi="Calibri"/>
                <w:b w:val="0"/>
                <w:i w:val="0"/>
                <w:color w:val="212121"/>
                <w:sz w:val="16"/>
              </w:rPr>
              <w:t>Osmotic vs secretory typing</w:t>
            </w:r>
          </w:p>
        </w:tc>
        <w:tc>
          <w:tcPr>
            <w:tcW w:type="dxa" w:w="950"/>
            <w:vAlign w:val="top"/>
          </w:tcPr>
          <w:p>
            <w:pPr>
              <w:spacing w:after="40" w:before="0" w:line="259" w:lineRule="auto"/>
            </w:pPr>
            <w:r>
              <w:rPr>
                <w:rFonts w:ascii="Calibri" w:hAnsi="Calibri"/>
                <w:b w:val="0"/>
                <w:i w:val="0"/>
                <w:color w:val="212121"/>
                <w:sz w:val="16"/>
              </w:rPr>
              <w:t>Osmotic gap 50–100 mOsm/kg</w:t>
            </w:r>
          </w:p>
        </w:tc>
        <w:tc>
          <w:tcPr>
            <w:tcW w:type="dxa" w:w="950"/>
            <w:vAlign w:val="top"/>
          </w:tcPr>
          <w:p>
            <w:pPr>
              <w:spacing w:after="40" w:before="0" w:line="259" w:lineRule="auto"/>
            </w:pPr>
            <w:r>
              <w:rPr>
                <w:rFonts w:ascii="Calibri" w:hAnsi="Calibri"/>
                <w:b w:val="0"/>
                <w:i w:val="0"/>
                <w:color w:val="212121"/>
                <w:sz w:val="16"/>
              </w:rPr>
              <w:t>&gt; 100 (osmotic) or &lt; 50 (secretory)</w:t>
            </w:r>
          </w:p>
        </w:tc>
        <w:tc>
          <w:tcPr>
            <w:tcW w:type="dxa" w:w="1036"/>
            <w:vAlign w:val="top"/>
          </w:tcPr>
          <w:p>
            <w:pPr>
              <w:spacing w:after="40" w:before="0" w:line="259" w:lineRule="auto"/>
            </w:pPr>
            <w:r>
              <w:rPr>
                <w:rFonts w:ascii="Calibri" w:hAnsi="Calibri"/>
                <w:b w:val="0"/>
                <w:i w:val="0"/>
                <w:color w:val="212121"/>
                <w:sz w:val="16"/>
              </w:rPr>
              <w:t>Classifies watery diarrhoea to focus the differential (e.g., carbohydrate malabsorption vs bile-acid/secretory causes)</w:t>
            </w:r>
          </w:p>
        </w:tc>
        <w:tc>
          <w:tcPr>
            <w:tcW w:type="dxa" w:w="1036"/>
            <w:vAlign w:val="top"/>
          </w:tcPr>
          <w:p>
            <w:pPr>
              <w:spacing w:after="40" w:before="0" w:line="259" w:lineRule="auto"/>
            </w:pPr>
            <w:r>
              <w:rPr>
                <w:rFonts w:ascii="Calibri" w:hAnsi="Calibri"/>
                <w:b w:val="0"/>
                <w:i w:val="0"/>
                <w:color w:val="212121"/>
                <w:sz w:val="16"/>
              </w:rPr>
              <w:t>Watery chronic diarrhoea</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Fasting trial helps confirm osmotic diarrhoea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Biochemistry</w:t>
            </w:r>
          </w:p>
        </w:tc>
        <w:tc>
          <w:tcPr>
            <w:tcW w:type="dxa" w:w="1036"/>
            <w:vAlign w:val="top"/>
          </w:tcPr>
          <w:p>
            <w:pPr>
              <w:spacing w:after="40" w:before="0" w:line="259" w:lineRule="auto"/>
            </w:pPr>
            <w:r>
              <w:rPr>
                <w:rFonts w:ascii="Calibri" w:hAnsi="Calibri"/>
                <w:b w:val="0"/>
                <w:i w:val="0"/>
                <w:color w:val="212121"/>
                <w:sz w:val="16"/>
              </w:rPr>
              <w:t>Thyroid-stimulating hormone (TSH)</w:t>
            </w:r>
          </w:p>
        </w:tc>
        <w:tc>
          <w:tcPr>
            <w:tcW w:type="dxa" w:w="892"/>
            <w:vAlign w:val="top"/>
          </w:tcPr>
          <w:p>
            <w:pPr>
              <w:spacing w:after="40" w:before="0" w:line="259" w:lineRule="auto"/>
            </w:pPr>
            <w:r>
              <w:rPr>
                <w:rFonts w:ascii="Calibri" w:hAnsi="Calibri"/>
                <w:b w:val="0"/>
                <w:i w:val="0"/>
                <w:color w:val="212121"/>
                <w:sz w:val="16"/>
              </w:rPr>
              <w:t>Thyroid function</w:t>
            </w:r>
          </w:p>
        </w:tc>
        <w:tc>
          <w:tcPr>
            <w:tcW w:type="dxa" w:w="950"/>
            <w:vAlign w:val="top"/>
          </w:tcPr>
          <w:p>
            <w:pPr>
              <w:spacing w:after="40" w:before="0" w:line="259" w:lineRule="auto"/>
            </w:pPr>
            <w:r>
              <w:rPr>
                <w:rFonts w:ascii="Calibri" w:hAnsi="Calibri"/>
                <w:b w:val="0"/>
                <w:i w:val="0"/>
                <w:color w:val="212121"/>
                <w:sz w:val="16"/>
              </w:rPr>
              <w:t>0.4–4.0 mIU/L</w:t>
            </w:r>
          </w:p>
        </w:tc>
        <w:tc>
          <w:tcPr>
            <w:tcW w:type="dxa" w:w="950"/>
            <w:vAlign w:val="top"/>
          </w:tcPr>
          <w:p>
            <w:pPr>
              <w:spacing w:after="40" w:before="0" w:line="259" w:lineRule="auto"/>
            </w:pPr>
            <w:r>
              <w:rPr>
                <w:rFonts w:ascii="Calibri" w:hAnsi="Calibri"/>
                <w:b w:val="0"/>
                <w:i w:val="0"/>
                <w:color w:val="212121"/>
                <w:sz w:val="16"/>
              </w:rPr>
              <w:t>Suppressed TSH (hyperthyroidism)</w:t>
            </w:r>
          </w:p>
        </w:tc>
        <w:tc>
          <w:tcPr>
            <w:tcW w:type="dxa" w:w="1036"/>
            <w:vAlign w:val="top"/>
          </w:tcPr>
          <w:p>
            <w:pPr>
              <w:spacing w:after="40" w:before="0" w:line="259" w:lineRule="auto"/>
            </w:pPr>
            <w:r>
              <w:rPr>
                <w:rFonts w:ascii="Calibri" w:hAnsi="Calibri"/>
                <w:b w:val="0"/>
                <w:i w:val="0"/>
                <w:color w:val="212121"/>
                <w:sz w:val="16"/>
              </w:rPr>
              <w:t>Detects thyrotoxicosis, a treatable systemic cause of hypermotility diarrhoea</w:t>
            </w:r>
          </w:p>
        </w:tc>
        <w:tc>
          <w:tcPr>
            <w:tcW w:type="dxa" w:w="1036"/>
            <w:vAlign w:val="top"/>
          </w:tcPr>
          <w:p>
            <w:pPr>
              <w:spacing w:after="40" w:before="0" w:line="259" w:lineRule="auto"/>
            </w:pPr>
            <w:r>
              <w:rPr>
                <w:rFonts w:ascii="Calibri" w:hAnsi="Calibri"/>
                <w:b w:val="0"/>
                <w:i w:val="0"/>
                <w:color w:val="212121"/>
                <w:sz w:val="16"/>
              </w:rPr>
              <w:t>Adults with weight loss, palpitations, tremor</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Simple, reversible cause not to be missed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Endoscopy</w:t>
            </w:r>
          </w:p>
        </w:tc>
        <w:tc>
          <w:tcPr>
            <w:tcW w:type="dxa" w:w="1036"/>
            <w:vAlign w:val="top"/>
          </w:tcPr>
          <w:p>
            <w:pPr>
              <w:spacing w:after="40" w:before="0" w:line="259" w:lineRule="auto"/>
            </w:pPr>
            <w:r>
              <w:rPr>
                <w:rFonts w:ascii="Calibri" w:hAnsi="Calibri"/>
                <w:b w:val="0"/>
                <w:i w:val="0"/>
                <w:color w:val="212121"/>
                <w:sz w:val="16"/>
              </w:rPr>
              <w:t>Ileocolonoscopy with biopsies</w:t>
            </w:r>
          </w:p>
        </w:tc>
        <w:tc>
          <w:tcPr>
            <w:tcW w:type="dxa" w:w="892"/>
            <w:vAlign w:val="top"/>
          </w:tcPr>
          <w:p>
            <w:pPr>
              <w:spacing w:after="40" w:before="0" w:line="259" w:lineRule="auto"/>
            </w:pPr>
            <w:r>
              <w:rPr>
                <w:rFonts w:ascii="Calibri" w:hAnsi="Calibri"/>
                <w:b w:val="0"/>
                <w:i w:val="0"/>
                <w:color w:val="212121"/>
                <w:sz w:val="16"/>
              </w:rPr>
              <w:t>Mucosal assessment &amp; histology</w:t>
            </w:r>
          </w:p>
        </w:tc>
        <w:tc>
          <w:tcPr>
            <w:tcW w:type="dxa" w:w="950"/>
            <w:vAlign w:val="top"/>
          </w:tcPr>
          <w:p>
            <w:pPr>
              <w:spacing w:after="40" w:before="0" w:line="259" w:lineRule="auto"/>
            </w:pPr>
            <w:r>
              <w:rPr>
                <w:rFonts w:ascii="Calibri" w:hAnsi="Calibri"/>
                <w:b w:val="0"/>
                <w:i w:val="0"/>
                <w:color w:val="212121"/>
                <w:sz w:val="16"/>
              </w:rPr>
              <w:t>Normal mucosa and biopsies</w:t>
            </w:r>
          </w:p>
        </w:tc>
        <w:tc>
          <w:tcPr>
            <w:tcW w:type="dxa" w:w="950"/>
            <w:vAlign w:val="top"/>
          </w:tcPr>
          <w:p>
            <w:pPr>
              <w:spacing w:after="40" w:before="0" w:line="259" w:lineRule="auto"/>
            </w:pPr>
            <w:r>
              <w:rPr>
                <w:rFonts w:ascii="Calibri" w:hAnsi="Calibri"/>
                <w:b w:val="0"/>
                <w:i w:val="0"/>
                <w:color w:val="212121"/>
                <w:sz w:val="16"/>
              </w:rPr>
              <w:t>Ulcers/inflammation (IBD, TB), microscopic colitis on histology, mass/neoplasia</w:t>
            </w:r>
          </w:p>
        </w:tc>
        <w:tc>
          <w:tcPr>
            <w:tcW w:type="dxa" w:w="1036"/>
            <w:vAlign w:val="top"/>
          </w:tcPr>
          <w:p>
            <w:pPr>
              <w:spacing w:after="40" w:before="0" w:line="259" w:lineRule="auto"/>
            </w:pPr>
            <w:r>
              <w:rPr>
                <w:rFonts w:ascii="Calibri" w:hAnsi="Calibri"/>
                <w:b w:val="0"/>
                <w:i w:val="0"/>
                <w:color w:val="212121"/>
                <w:sz w:val="16"/>
              </w:rPr>
              <w:t>Definitive for inflammatory diarrhoea, microscopic colitis, intestinal TB and malignancy; biopsy essential even if mucosa looks normal</w:t>
            </w:r>
          </w:p>
        </w:tc>
        <w:tc>
          <w:tcPr>
            <w:tcW w:type="dxa" w:w="1036"/>
            <w:vAlign w:val="top"/>
          </w:tcPr>
          <w:p>
            <w:pPr>
              <w:spacing w:after="40" w:before="0" w:line="259" w:lineRule="auto"/>
            </w:pPr>
            <w:r>
              <w:rPr>
                <w:rFonts w:ascii="Calibri" w:hAnsi="Calibri"/>
                <w:b w:val="0"/>
                <w:i w:val="0"/>
                <w:color w:val="212121"/>
                <w:sz w:val="16"/>
              </w:rPr>
              <w:t>Alarm features, age &gt; 50, bloody/nocturnal diarrhoea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Ileal/terminal biopsies help differentiate Crohn's from intestinal TB</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Stool characterisation</w:t>
            </w:r>
          </w:p>
        </w:tc>
        <w:tc>
          <w:tcPr>
            <w:tcW w:type="dxa" w:w="979"/>
            <w:vAlign w:val="top"/>
          </w:tcPr>
          <w:p>
            <w:pPr>
              <w:spacing w:after="40" w:before="0" w:line="259" w:lineRule="auto"/>
            </w:pPr>
            <w:r>
              <w:rPr>
                <w:rFonts w:ascii="Calibri" w:hAnsi="Calibri"/>
                <w:b w:val="0"/>
                <w:i w:val="0"/>
                <w:color w:val="212121"/>
                <w:sz w:val="16"/>
              </w:rPr>
              <w:t>Consistency, frequency, blood/mucus/fat, nocturnal</w:t>
            </w:r>
          </w:p>
        </w:tc>
        <w:tc>
          <w:tcPr>
            <w:tcW w:type="dxa" w:w="950"/>
            <w:vAlign w:val="top"/>
          </w:tcPr>
          <w:p>
            <w:pPr>
              <w:spacing w:after="40" w:before="0" w:line="259" w:lineRule="auto"/>
            </w:pPr>
            <w:r>
              <w:rPr>
                <w:rFonts w:ascii="Calibri" w:hAnsi="Calibri"/>
                <w:b w:val="0"/>
                <w:i w:val="0"/>
                <w:color w:val="212121"/>
                <w:sz w:val="16"/>
              </w:rPr>
              <w:t>Formed, daytime, no blood</w:t>
            </w:r>
          </w:p>
        </w:tc>
        <w:tc>
          <w:tcPr>
            <w:tcW w:type="dxa" w:w="950"/>
            <w:vAlign w:val="top"/>
          </w:tcPr>
          <w:p>
            <w:pPr>
              <w:spacing w:after="40" w:before="0" w:line="259" w:lineRule="auto"/>
            </w:pPr>
            <w:r>
              <w:rPr>
                <w:rFonts w:ascii="Calibri" w:hAnsi="Calibri"/>
                <w:b w:val="0"/>
                <w:i w:val="0"/>
                <w:color w:val="212121"/>
                <w:sz w:val="16"/>
              </w:rPr>
              <w:t>Watery, fatty or bloody; nocturnal; urgency</w:t>
            </w:r>
          </w:p>
        </w:tc>
        <w:tc>
          <w:tcPr>
            <w:tcW w:type="dxa" w:w="1036"/>
            <w:vAlign w:val="top"/>
          </w:tcPr>
          <w:p>
            <w:pPr>
              <w:spacing w:after="40" w:before="0" w:line="259" w:lineRule="auto"/>
            </w:pPr>
            <w:r>
              <w:rPr>
                <w:rFonts w:ascii="Calibri" w:hAnsi="Calibri"/>
                <w:b w:val="0"/>
                <w:i w:val="0"/>
                <w:color w:val="212121"/>
                <w:sz w:val="16"/>
              </w:rPr>
              <w:t>Separates watery vs fatty vs inflammatory diarrhoea and flags organic disease (nocturnal/bloody)</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Cornerstone that directs the entire work-up</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Duration &amp; alarm features</w:t>
            </w:r>
          </w:p>
        </w:tc>
        <w:tc>
          <w:tcPr>
            <w:tcW w:type="dxa" w:w="979"/>
            <w:vAlign w:val="top"/>
          </w:tcPr>
          <w:p>
            <w:pPr>
              <w:spacing w:after="40" w:before="0" w:line="259" w:lineRule="auto"/>
            </w:pPr>
            <w:r>
              <w:rPr>
                <w:rFonts w:ascii="Calibri" w:hAnsi="Calibri"/>
                <w:b w:val="0"/>
                <w:i w:val="0"/>
                <w:color w:val="212121"/>
                <w:sz w:val="16"/>
              </w:rPr>
              <w:t>≥ 4 weeks, weight loss, fever, age of onset</w:t>
            </w:r>
          </w:p>
        </w:tc>
        <w:tc>
          <w:tcPr>
            <w:tcW w:type="dxa" w:w="950"/>
            <w:vAlign w:val="top"/>
          </w:tcPr>
          <w:p>
            <w:pPr>
              <w:spacing w:after="40" w:before="0" w:line="259" w:lineRule="auto"/>
            </w:pPr>
            <w:r>
              <w:rPr>
                <w:rFonts w:ascii="Calibri" w:hAnsi="Calibri"/>
                <w:b w:val="0"/>
                <w:i w:val="0"/>
                <w:color w:val="212121"/>
                <w:sz w:val="16"/>
              </w:rPr>
              <w:t>&lt; 4 weeks, no red flags</w:t>
            </w:r>
          </w:p>
        </w:tc>
        <w:tc>
          <w:tcPr>
            <w:tcW w:type="dxa" w:w="950"/>
            <w:vAlign w:val="top"/>
          </w:tcPr>
          <w:p>
            <w:pPr>
              <w:spacing w:after="40" w:before="0" w:line="259" w:lineRule="auto"/>
            </w:pPr>
            <w:r>
              <w:rPr>
                <w:rFonts w:ascii="Calibri" w:hAnsi="Calibri"/>
                <w:b w:val="0"/>
                <w:i w:val="0"/>
                <w:color w:val="212121"/>
                <w:sz w:val="16"/>
              </w:rPr>
              <w:t>≥ 4 weeks with weight loss/anaemia/onset &gt; 50</w:t>
            </w:r>
          </w:p>
        </w:tc>
        <w:tc>
          <w:tcPr>
            <w:tcW w:type="dxa" w:w="1036"/>
            <w:vAlign w:val="top"/>
          </w:tcPr>
          <w:p>
            <w:pPr>
              <w:spacing w:after="40" w:before="0" w:line="259" w:lineRule="auto"/>
            </w:pPr>
            <w:r>
              <w:rPr>
                <w:rFonts w:ascii="Calibri" w:hAnsi="Calibri"/>
                <w:b w:val="0"/>
                <w:i w:val="0"/>
                <w:color w:val="212121"/>
                <w:sz w:val="16"/>
              </w:rPr>
              <w:t>Confirms chronicity and identifies red flags mandating urgent organic work-up</w:t>
            </w:r>
          </w:p>
        </w:tc>
        <w:tc>
          <w:tcPr>
            <w:tcW w:type="dxa" w:w="1036"/>
            <w:vAlign w:val="top"/>
          </w:tcPr>
          <w:p>
            <w:pPr>
              <w:spacing w:after="40" w:before="0" w:line="259" w:lineRule="auto"/>
            </w:pPr>
            <w:r>
              <w:rPr>
                <w:rFonts w:ascii="Calibri" w:hAnsi="Calibri"/>
                <w:b w:val="0"/>
                <w:i w:val="0"/>
                <w:color w:val="212121"/>
                <w:sz w:val="16"/>
              </w:rPr>
              <w:t>Elderly, weight-losing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Alarm features lower threshold for colonoscopy/imaging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Dietary, travel &amp; water history</w:t>
            </w:r>
          </w:p>
        </w:tc>
        <w:tc>
          <w:tcPr>
            <w:tcW w:type="dxa" w:w="979"/>
            <w:vAlign w:val="top"/>
          </w:tcPr>
          <w:p>
            <w:pPr>
              <w:spacing w:after="40" w:before="0" w:line="259" w:lineRule="auto"/>
            </w:pPr>
            <w:r>
              <w:rPr>
                <w:rFonts w:ascii="Calibri" w:hAnsi="Calibri"/>
                <w:b w:val="0"/>
                <w:i w:val="0"/>
                <w:color w:val="212121"/>
                <w:sz w:val="16"/>
              </w:rPr>
              <w:t>Lactose/gluten/FODMAP, street food, water source, travel</w:t>
            </w:r>
          </w:p>
        </w:tc>
        <w:tc>
          <w:tcPr>
            <w:tcW w:type="dxa" w:w="950"/>
            <w:vAlign w:val="top"/>
          </w:tcPr>
          <w:p>
            <w:pPr>
              <w:spacing w:after="40" w:before="0" w:line="259" w:lineRule="auto"/>
            </w:pPr>
            <w:r>
              <w:rPr>
                <w:rFonts w:ascii="Calibri" w:hAnsi="Calibri"/>
                <w:b w:val="0"/>
                <w:i w:val="0"/>
                <w:color w:val="212121"/>
                <w:sz w:val="16"/>
              </w:rPr>
              <w:t>No clear trigger</w:t>
            </w:r>
          </w:p>
        </w:tc>
        <w:tc>
          <w:tcPr>
            <w:tcW w:type="dxa" w:w="950"/>
            <w:vAlign w:val="top"/>
          </w:tcPr>
          <w:p>
            <w:pPr>
              <w:spacing w:after="40" w:before="0" w:line="259" w:lineRule="auto"/>
            </w:pPr>
            <w:r>
              <w:rPr>
                <w:rFonts w:ascii="Calibri" w:hAnsi="Calibri"/>
                <w:b w:val="0"/>
                <w:i w:val="0"/>
                <w:color w:val="212121"/>
                <w:sz w:val="16"/>
              </w:rPr>
              <w:t>Symptom link to milk/gluten/sweeteners or unsafe water</w:t>
            </w:r>
          </w:p>
        </w:tc>
        <w:tc>
          <w:tcPr>
            <w:tcW w:type="dxa" w:w="1036"/>
            <w:vAlign w:val="top"/>
          </w:tcPr>
          <w:p>
            <w:pPr>
              <w:spacing w:after="40" w:before="0" w:line="259" w:lineRule="auto"/>
            </w:pPr>
            <w:r>
              <w:rPr>
                <w:rFonts w:ascii="Calibri" w:hAnsi="Calibri"/>
                <w:b w:val="0"/>
                <w:i w:val="0"/>
                <w:color w:val="212121"/>
                <w:sz w:val="16"/>
              </w:rPr>
              <w:t>Uncovers osmotic/dietary triggers and infective exposures common in India</w:t>
            </w:r>
          </w:p>
        </w:tc>
        <w:tc>
          <w:tcPr>
            <w:tcW w:type="dxa" w:w="1036"/>
            <w:vAlign w:val="top"/>
          </w:tcPr>
          <w:p>
            <w:pPr>
              <w:spacing w:after="40" w:before="0" w:line="259" w:lineRule="auto"/>
            </w:pPr>
            <w:r>
              <w:rPr>
                <w:rFonts w:ascii="Calibri" w:hAnsi="Calibri"/>
                <w:b w:val="0"/>
                <w:i w:val="0"/>
                <w:color w:val="212121"/>
                <w:sz w:val="16"/>
              </w:rPr>
              <w:t>IBS-D, lactose intolerant, endemic-area residents</w:t>
            </w:r>
          </w:p>
        </w:tc>
        <w:tc>
          <w:tcPr>
            <w:tcW w:type="dxa" w:w="720"/>
            <w:vAlign w:val="top"/>
          </w:tcPr>
          <w:p>
            <w:pPr>
              <w:spacing w:after="40" w:before="0" w:line="259" w:lineRule="auto"/>
            </w:pPr>
            <w:r>
              <w:rPr>
                <w:rFonts w:ascii="Calibri" w:hAnsi="Calibri"/>
                <w:b w:val="0"/>
                <w:i w:val="0"/>
                <w:color w:val="212121"/>
                <w:sz w:val="16"/>
              </w:rPr>
              <w:t>Food; Water; 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Trial elimination can be diagnostic and therapeutic</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Drug history</w:t>
            </w:r>
          </w:p>
        </w:tc>
        <w:tc>
          <w:tcPr>
            <w:tcW w:type="dxa" w:w="979"/>
            <w:vAlign w:val="top"/>
          </w:tcPr>
          <w:p>
            <w:pPr>
              <w:spacing w:after="40" w:before="0" w:line="259" w:lineRule="auto"/>
            </w:pPr>
            <w:r>
              <w:rPr>
                <w:rFonts w:ascii="Calibri" w:hAnsi="Calibri"/>
                <w:b w:val="0"/>
                <w:i w:val="0"/>
                <w:color w:val="212121"/>
                <w:sz w:val="16"/>
              </w:rPr>
              <w:t>Metformin, PPIs, antibiotics, magnesium, olmesartan, laxatives</w:t>
            </w:r>
          </w:p>
        </w:tc>
        <w:tc>
          <w:tcPr>
            <w:tcW w:type="dxa" w:w="950"/>
            <w:vAlign w:val="top"/>
          </w:tcPr>
          <w:p>
            <w:pPr>
              <w:spacing w:after="40" w:before="0" w:line="259" w:lineRule="auto"/>
            </w:pPr>
            <w:r>
              <w:rPr>
                <w:rFonts w:ascii="Calibri" w:hAnsi="Calibri"/>
                <w:b w:val="0"/>
                <w:i w:val="0"/>
                <w:color w:val="212121"/>
                <w:sz w:val="16"/>
              </w:rPr>
              <w:t>No causative drug</w:t>
            </w:r>
          </w:p>
        </w:tc>
        <w:tc>
          <w:tcPr>
            <w:tcW w:type="dxa" w:w="950"/>
            <w:vAlign w:val="top"/>
          </w:tcPr>
          <w:p>
            <w:pPr>
              <w:spacing w:after="40" w:before="0" w:line="259" w:lineRule="auto"/>
            </w:pPr>
            <w:r>
              <w:rPr>
                <w:rFonts w:ascii="Calibri" w:hAnsi="Calibri"/>
                <w:b w:val="0"/>
                <w:i w:val="0"/>
                <w:color w:val="212121"/>
                <w:sz w:val="16"/>
              </w:rPr>
              <w:t>Temporal link to a causative agent</w:t>
            </w:r>
          </w:p>
        </w:tc>
        <w:tc>
          <w:tcPr>
            <w:tcW w:type="dxa" w:w="1036"/>
            <w:vAlign w:val="top"/>
          </w:tcPr>
          <w:p>
            <w:pPr>
              <w:spacing w:after="40" w:before="0" w:line="259" w:lineRule="auto"/>
            </w:pPr>
            <w:r>
              <w:rPr>
                <w:rFonts w:ascii="Calibri" w:hAnsi="Calibri"/>
                <w:b w:val="0"/>
                <w:i w:val="0"/>
                <w:color w:val="212121"/>
                <w:sz w:val="16"/>
              </w:rPr>
              <w:t>Over 700 drugs cause diarrhoea; withdrawal may be curative (e.g., olmesartan sprue-like enteropathy)</w:t>
            </w:r>
          </w:p>
        </w:tc>
        <w:tc>
          <w:tcPr>
            <w:tcW w:type="dxa" w:w="1036"/>
            <w:vAlign w:val="top"/>
          </w:tcPr>
          <w:p>
            <w:pPr>
              <w:spacing w:after="40" w:before="0" w:line="259" w:lineRule="auto"/>
            </w:pPr>
            <w:r>
              <w:rPr>
                <w:rFonts w:ascii="Calibri" w:hAnsi="Calibri"/>
                <w:b w:val="0"/>
                <w:i w:val="0"/>
                <w:color w:val="212121"/>
                <w:sz w:val="16"/>
              </w:rPr>
              <w:t>Polypharmacy, elderly, diabetics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Always review recent antibiotics (C. difficile risk)</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General examination</w:t>
            </w:r>
          </w:p>
        </w:tc>
        <w:tc>
          <w:tcPr>
            <w:tcW w:type="dxa" w:w="950"/>
            <w:vAlign w:val="top"/>
          </w:tcPr>
          <w:p>
            <w:pPr>
              <w:spacing w:after="40" w:before="0" w:line="259" w:lineRule="auto"/>
            </w:pPr>
            <w:r>
              <w:rPr>
                <w:rFonts w:ascii="Calibri" w:hAnsi="Calibri"/>
                <w:b w:val="0"/>
                <w:i w:val="0"/>
                <w:color w:val="212121"/>
                <w:sz w:val="16"/>
              </w:rPr>
              <w:t>Hydration &amp; nutritional status</w:t>
            </w:r>
          </w:p>
        </w:tc>
        <w:tc>
          <w:tcPr>
            <w:tcW w:type="dxa" w:w="979"/>
            <w:vAlign w:val="top"/>
          </w:tcPr>
          <w:p>
            <w:pPr>
              <w:spacing w:after="40" w:before="0" w:line="259" w:lineRule="auto"/>
            </w:pPr>
            <w:r>
              <w:rPr>
                <w:rFonts w:ascii="Calibri" w:hAnsi="Calibri"/>
                <w:b w:val="0"/>
                <w:i w:val="0"/>
                <w:color w:val="212121"/>
                <w:sz w:val="16"/>
              </w:rPr>
              <w:t>Vitals, skin turgor, BMI, pallor, oedema, glossitis</w:t>
            </w:r>
          </w:p>
        </w:tc>
        <w:tc>
          <w:tcPr>
            <w:tcW w:type="dxa" w:w="950"/>
            <w:vAlign w:val="top"/>
          </w:tcPr>
          <w:p>
            <w:pPr>
              <w:spacing w:after="40" w:before="0" w:line="259" w:lineRule="auto"/>
            </w:pPr>
            <w:r>
              <w:rPr>
                <w:rFonts w:ascii="Calibri" w:hAnsi="Calibri"/>
                <w:b w:val="0"/>
                <w:i w:val="0"/>
                <w:color w:val="212121"/>
                <w:sz w:val="16"/>
              </w:rPr>
              <w:t>Euvolaemic, normal BMI, no deficiency signs</w:t>
            </w:r>
          </w:p>
        </w:tc>
        <w:tc>
          <w:tcPr>
            <w:tcW w:type="dxa" w:w="950"/>
            <w:vAlign w:val="top"/>
          </w:tcPr>
          <w:p>
            <w:pPr>
              <w:spacing w:after="40" w:before="0" w:line="259" w:lineRule="auto"/>
            </w:pPr>
            <w:r>
              <w:rPr>
                <w:rFonts w:ascii="Calibri" w:hAnsi="Calibri"/>
                <w:b w:val="0"/>
                <w:i w:val="0"/>
                <w:color w:val="212121"/>
                <w:sz w:val="16"/>
              </w:rPr>
              <w:t>Dehydration, low BMI, pallor, oedema, glossitis</w:t>
            </w:r>
          </w:p>
        </w:tc>
        <w:tc>
          <w:tcPr>
            <w:tcW w:type="dxa" w:w="1036"/>
            <w:vAlign w:val="top"/>
          </w:tcPr>
          <w:p>
            <w:pPr>
              <w:spacing w:after="40" w:before="0" w:line="259" w:lineRule="auto"/>
            </w:pPr>
            <w:r>
              <w:rPr>
                <w:rFonts w:ascii="Calibri" w:hAnsi="Calibri"/>
                <w:b w:val="0"/>
                <w:i w:val="0"/>
                <w:color w:val="212121"/>
                <w:sz w:val="16"/>
              </w:rPr>
              <w:t>Assesses severity and malabsorption/deficiency burden</w:t>
            </w:r>
          </w:p>
        </w:tc>
        <w:tc>
          <w:tcPr>
            <w:tcW w:type="dxa" w:w="1036"/>
            <w:vAlign w:val="top"/>
          </w:tcPr>
          <w:p>
            <w:pPr>
              <w:spacing w:after="40" w:before="0" w:line="259" w:lineRule="auto"/>
            </w:pPr>
            <w:r>
              <w:rPr>
                <w:rFonts w:ascii="Calibri" w:hAnsi="Calibri"/>
                <w:b w:val="0"/>
                <w:i w:val="0"/>
                <w:color w:val="212121"/>
                <w:sz w:val="16"/>
              </w:rPr>
              <w:t>Malabsorptive, elderly, severe diarrhoea</w:t>
            </w:r>
          </w:p>
        </w:tc>
        <w:tc>
          <w:tcPr>
            <w:tcW w:type="dxa" w:w="720"/>
            <w:vAlign w:val="top"/>
          </w:tcPr>
          <w:p>
            <w:pPr>
              <w:spacing w:after="40" w:before="0" w:line="259" w:lineRule="auto"/>
            </w:pPr>
            <w:r>
              <w:rPr>
                <w:rFonts w:ascii="Calibri" w:hAnsi="Calibri"/>
                <w:b w:val="0"/>
                <w:i w:val="0"/>
                <w:color w:val="212121"/>
                <w:sz w:val="16"/>
              </w:rPr>
              <w:t>Water; 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Postural drop and low urine output signal significant fluid loss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Abdominal &amp; perianal exam</w:t>
            </w:r>
          </w:p>
        </w:tc>
        <w:tc>
          <w:tcPr>
            <w:tcW w:type="dxa" w:w="950"/>
            <w:vAlign w:val="top"/>
          </w:tcPr>
          <w:p>
            <w:pPr>
              <w:spacing w:after="40" w:before="0" w:line="259" w:lineRule="auto"/>
            </w:pPr>
            <w:r>
              <w:rPr>
                <w:rFonts w:ascii="Calibri" w:hAnsi="Calibri"/>
                <w:b w:val="0"/>
                <w:i w:val="0"/>
                <w:color w:val="212121"/>
                <w:sz w:val="16"/>
              </w:rPr>
              <w:t>Abdomen, mass, perianal disease</w:t>
            </w:r>
          </w:p>
        </w:tc>
        <w:tc>
          <w:tcPr>
            <w:tcW w:type="dxa" w:w="979"/>
            <w:vAlign w:val="top"/>
          </w:tcPr>
          <w:p>
            <w:pPr>
              <w:spacing w:after="40" w:before="0" w:line="259" w:lineRule="auto"/>
            </w:pPr>
            <w:r>
              <w:rPr>
                <w:rFonts w:ascii="Calibri" w:hAnsi="Calibri"/>
                <w:b w:val="0"/>
                <w:i w:val="0"/>
                <w:color w:val="212121"/>
                <w:sz w:val="16"/>
              </w:rPr>
              <w:t>Tenderness, ileocaecal mass, perianal fistula/tags, DRE</w:t>
            </w:r>
          </w:p>
        </w:tc>
        <w:tc>
          <w:tcPr>
            <w:tcW w:type="dxa" w:w="950"/>
            <w:vAlign w:val="top"/>
          </w:tcPr>
          <w:p>
            <w:pPr>
              <w:spacing w:after="40" w:before="0" w:line="259" w:lineRule="auto"/>
            </w:pPr>
            <w:r>
              <w:rPr>
                <w:rFonts w:ascii="Calibri" w:hAnsi="Calibri"/>
                <w:b w:val="0"/>
                <w:i w:val="0"/>
                <w:color w:val="212121"/>
                <w:sz w:val="16"/>
              </w:rPr>
              <w:t>Soft, non-tender, normal perianum</w:t>
            </w:r>
          </w:p>
        </w:tc>
        <w:tc>
          <w:tcPr>
            <w:tcW w:type="dxa" w:w="950"/>
            <w:vAlign w:val="top"/>
          </w:tcPr>
          <w:p>
            <w:pPr>
              <w:spacing w:after="40" w:before="0" w:line="259" w:lineRule="auto"/>
            </w:pPr>
            <w:r>
              <w:rPr>
                <w:rFonts w:ascii="Calibri" w:hAnsi="Calibri"/>
                <w:b w:val="0"/>
                <w:i w:val="0"/>
                <w:color w:val="212121"/>
                <w:sz w:val="16"/>
              </w:rPr>
              <w:t>Right-iliac mass (TB/Crohn/tumour), fistula, blood on DRE</w:t>
            </w:r>
          </w:p>
        </w:tc>
        <w:tc>
          <w:tcPr>
            <w:tcW w:type="dxa" w:w="1036"/>
            <w:vAlign w:val="top"/>
          </w:tcPr>
          <w:p>
            <w:pPr>
              <w:spacing w:after="40" w:before="0" w:line="259" w:lineRule="auto"/>
            </w:pPr>
            <w:r>
              <w:rPr>
                <w:rFonts w:ascii="Calibri" w:hAnsi="Calibri"/>
                <w:b w:val="0"/>
                <w:i w:val="0"/>
                <w:color w:val="212121"/>
                <w:sz w:val="16"/>
              </w:rPr>
              <w:t>Detects intestinal TB, Crohn's disease and colorectal malignancy needing targeted imaging/endoscopy</w:t>
            </w:r>
          </w:p>
        </w:tc>
        <w:tc>
          <w:tcPr>
            <w:tcW w:type="dxa" w:w="1036"/>
            <w:vAlign w:val="top"/>
          </w:tcPr>
          <w:p>
            <w:pPr>
              <w:spacing w:after="40" w:before="0" w:line="259" w:lineRule="auto"/>
            </w:pPr>
            <w:r>
              <w:rPr>
                <w:rFonts w:ascii="Calibri" w:hAnsi="Calibri"/>
                <w:b w:val="0"/>
                <w:i w:val="0"/>
                <w:color w:val="212121"/>
                <w:sz w:val="16"/>
              </w:rPr>
              <w:t>Suspected TB/IBD/malignancy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Perianal fistula strongly suggests Crohn's disease</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Loose or watery stools ≥ 3/day for ≥ 4 weeks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defining symptom; reduced consistency (Bristol 6–7) with increased frequency.</w:t>
            </w:r>
          </w:p>
        </w:tc>
      </w:tr>
      <w:tr>
        <w:trPr>
          <w:cantSplit/>
        </w:trPr>
        <w:tc>
          <w:tcPr>
            <w:tcW w:type="dxa" w:w="2304"/>
            <w:vAlign w:val="top"/>
          </w:tcPr>
          <w:p>
            <w:pPr>
              <w:spacing w:after="40" w:before="0" w:line="259" w:lineRule="auto"/>
            </w:pPr>
            <w:r>
              <w:rPr>
                <w:rFonts w:ascii="Calibri" w:hAnsi="Calibri"/>
                <w:b/>
                <w:i w:val="0"/>
                <w:color w:val="212121"/>
                <w:sz w:val="19"/>
              </w:rPr>
              <w:t>Increased urgency of defecation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sudden compelling need to pass stool, characteristic of both functional and inflammatory diarrhoea.</w:t>
            </w:r>
          </w:p>
        </w:tc>
      </w:tr>
      <w:tr>
        <w:trPr>
          <w:cantSplit/>
        </w:trPr>
        <w:tc>
          <w:tcPr>
            <w:tcW w:type="dxa" w:w="2304"/>
            <w:vAlign w:val="top"/>
          </w:tcPr>
          <w:p>
            <w:pPr>
              <w:spacing w:after="40" w:before="0" w:line="259" w:lineRule="auto"/>
            </w:pPr>
            <w:r>
              <w:rPr>
                <w:rFonts w:ascii="Calibri" w:hAnsi="Calibri"/>
                <w:b/>
                <w:i w:val="0"/>
                <w:color w:val="212121"/>
                <w:sz w:val="19"/>
              </w:rPr>
              <w:t>Abdominal cramps /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Colicky pain, often relieved by defecation in IBS-D; more persistent in organic disease.</w:t>
            </w:r>
          </w:p>
        </w:tc>
      </w:tr>
      <w:tr>
        <w:trPr>
          <w:cantSplit/>
        </w:trPr>
        <w:tc>
          <w:tcPr>
            <w:tcW w:type="dxa" w:w="2304"/>
            <w:vAlign w:val="top"/>
          </w:tcPr>
          <w:p>
            <w:pPr>
              <w:spacing w:after="40" w:before="0" w:line="259" w:lineRule="auto"/>
            </w:pPr>
            <w:r>
              <w:rPr>
                <w:rFonts w:ascii="Calibri" w:hAnsi="Calibri"/>
                <w:b/>
                <w:i w:val="0"/>
                <w:color w:val="212121"/>
                <w:sz w:val="19"/>
              </w:rPr>
              <w:t>Bloating and excessive flatulence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From fermentation of malabsorbed carbohydrate (lactose, FODMAPs) and dysbiosis.</w:t>
            </w:r>
          </w:p>
        </w:tc>
      </w:tr>
      <w:tr>
        <w:trPr>
          <w:cantSplit/>
        </w:trPr>
        <w:tc>
          <w:tcPr>
            <w:tcW w:type="dxa" w:w="2304"/>
            <w:vAlign w:val="top"/>
          </w:tcPr>
          <w:p>
            <w:pPr>
              <w:spacing w:after="40" w:before="0" w:line="259" w:lineRule="auto"/>
            </w:pPr>
            <w:r>
              <w:rPr>
                <w:rFonts w:ascii="Calibri" w:hAnsi="Calibri"/>
                <w:b/>
                <w:i w:val="0"/>
                <w:color w:val="212121"/>
                <w:sz w:val="19"/>
              </w:rPr>
              <w:t>Fatigue and weakness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Due to fluid/electrolyte loss and, in malabsorption, anaemia and nutrient depletion.</w:t>
            </w:r>
          </w:p>
        </w:tc>
      </w:tr>
      <w:tr>
        <w:trPr>
          <w:cantSplit/>
        </w:trPr>
        <w:tc>
          <w:tcPr>
            <w:tcW w:type="dxa" w:w="2304"/>
            <w:vAlign w:val="top"/>
          </w:tcPr>
          <w:p>
            <w:pPr>
              <w:spacing w:after="40" w:before="0" w:line="259" w:lineRule="auto"/>
            </w:pPr>
            <w:r>
              <w:rPr>
                <w:rFonts w:ascii="Calibri" w:hAnsi="Calibri"/>
                <w:b/>
                <w:i w:val="0"/>
                <w:color w:val="212121"/>
                <w:sz w:val="19"/>
              </w:rPr>
              <w:t>Unintentional weight loss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Suggests malabsorptive or inflammatory/organic causes; an alarm feature.</w:t>
            </w:r>
          </w:p>
        </w:tc>
      </w:tr>
      <w:tr>
        <w:trPr>
          <w:cantSplit/>
        </w:trPr>
        <w:tc>
          <w:tcPr>
            <w:tcW w:type="dxa" w:w="2304"/>
            <w:vAlign w:val="top"/>
          </w:tcPr>
          <w:p>
            <w:pPr>
              <w:spacing w:after="40" w:before="0" w:line="259" w:lineRule="auto"/>
            </w:pPr>
            <w:r>
              <w:rPr>
                <w:rFonts w:ascii="Calibri" w:hAnsi="Calibri"/>
                <w:b/>
                <w:i w:val="0"/>
                <w:color w:val="212121"/>
                <w:sz w:val="19"/>
              </w:rPr>
              <w:t>Borborygmi (audible gut rumbling)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Reflects rapid transit and increased fluid/gas in the bowel.</w:t>
            </w:r>
          </w:p>
        </w:tc>
      </w:tr>
      <w:tr>
        <w:trPr>
          <w:cantSplit/>
        </w:trPr>
        <w:tc>
          <w:tcPr>
            <w:tcW w:type="dxa" w:w="2304"/>
            <w:vAlign w:val="top"/>
          </w:tcPr>
          <w:p>
            <w:pPr>
              <w:spacing w:after="40" w:before="0" w:line="259" w:lineRule="auto"/>
            </w:pPr>
            <w:r>
              <w:rPr>
                <w:rFonts w:ascii="Calibri" w:hAnsi="Calibri"/>
                <w:b/>
                <w:i w:val="0"/>
                <w:color w:val="212121"/>
                <w:sz w:val="19"/>
              </w:rPr>
              <w:t>Steatorrhoea (bulky, greasy, foul, hard-to-flush stools)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Indicates fat malabsorption—celiac, tropical sprue, SIBO or pancreatic insufficiency.</w:t>
            </w:r>
          </w:p>
        </w:tc>
      </w:tr>
      <w:tr>
        <w:trPr>
          <w:cantSplit/>
        </w:trPr>
        <w:tc>
          <w:tcPr>
            <w:tcW w:type="dxa" w:w="2304"/>
            <w:vAlign w:val="top"/>
          </w:tcPr>
          <w:p>
            <w:pPr>
              <w:spacing w:after="40" w:before="0" w:line="259" w:lineRule="auto"/>
            </w:pPr>
            <w:r>
              <w:rPr>
                <w:rFonts w:ascii="Calibri" w:hAnsi="Calibri"/>
                <w:b/>
                <w:i w:val="0"/>
                <w:color w:val="212121"/>
                <w:sz w:val="19"/>
              </w:rPr>
              <w:t>Blood or mucus in stool</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Points to inflammatory diarrhoea—IBD, intestinal TB, invasive infection or neoplasia.</w:t>
            </w:r>
          </w:p>
        </w:tc>
      </w:tr>
      <w:tr>
        <w:trPr>
          <w:cantSplit/>
        </w:trPr>
        <w:tc>
          <w:tcPr>
            <w:tcW w:type="dxa" w:w="2304"/>
            <w:vAlign w:val="top"/>
          </w:tcPr>
          <w:p>
            <w:pPr>
              <w:spacing w:after="40" w:before="0" w:line="259" w:lineRule="auto"/>
            </w:pPr>
            <w:r>
              <w:rPr>
                <w:rFonts w:ascii="Calibri" w:hAnsi="Calibri"/>
                <w:b/>
                <w:i w:val="0"/>
                <w:color w:val="212121"/>
                <w:sz w:val="19"/>
              </w:rPr>
              <w:t>Nocturnal diarrhoea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Waking to pass stool suggests an organic (secretory/inflammatory) rather than functional cause.</w:t>
            </w:r>
          </w:p>
        </w:tc>
      </w:tr>
      <w:tr>
        <w:trPr>
          <w:cantSplit/>
        </w:trPr>
        <w:tc>
          <w:tcPr>
            <w:tcW w:type="dxa" w:w="2304"/>
            <w:vAlign w:val="top"/>
          </w:tcPr>
          <w:p>
            <w:pPr>
              <w:spacing w:after="40" w:before="0" w:line="259" w:lineRule="auto"/>
            </w:pPr>
            <w:r>
              <w:rPr>
                <w:rFonts w:ascii="Calibri" w:hAnsi="Calibri"/>
                <w:b/>
                <w:i w:val="0"/>
                <w:color w:val="212121"/>
                <w:sz w:val="19"/>
              </w:rPr>
              <w:t>Faecal urgency incontinence / tenesmus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Loss of control or persistent urge to evacuate; seen with proctitis and severe urgency.</w:t>
            </w:r>
          </w:p>
        </w:tc>
      </w:tr>
      <w:tr>
        <w:trPr>
          <w:cantSplit/>
        </w:trPr>
        <w:tc>
          <w:tcPr>
            <w:tcW w:type="dxa" w:w="2304"/>
            <w:vAlign w:val="top"/>
          </w:tcPr>
          <w:p>
            <w:pPr>
              <w:spacing w:after="40" w:before="0" w:line="259" w:lineRule="auto"/>
            </w:pPr>
            <w:r>
              <w:rPr>
                <w:rFonts w:ascii="Calibri" w:hAnsi="Calibri"/>
                <w:b/>
                <w:i w:val="0"/>
                <w:color w:val="212121"/>
                <w:sz w:val="19"/>
              </w:rPr>
              <w:t>Episodic flushing with watery diarrhoea</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Raises suspicion of a neuroendocrine tumour (carcinoid, VIPoma) as a secretory cause.</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Signs of dehydration (dry mucosa, reduced skin turgor, tachycardia, postural hypotension)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Reflect cumulative fluid and electrolyte loss; the most immediate danger of diarrhoea.</w:t>
            </w:r>
          </w:p>
        </w:tc>
      </w:tr>
      <w:tr>
        <w:trPr>
          <w:cantSplit/>
        </w:trPr>
        <w:tc>
          <w:tcPr>
            <w:tcW w:type="dxa" w:w="3456"/>
            <w:vAlign w:val="top"/>
          </w:tcPr>
          <w:p>
            <w:pPr>
              <w:spacing w:after="40" w:before="0" w:line="259" w:lineRule="auto"/>
            </w:pPr>
            <w:r>
              <w:rPr>
                <w:rFonts w:ascii="Calibri" w:hAnsi="Calibri"/>
                <w:b/>
                <w:i w:val="0"/>
                <w:color w:val="212121"/>
                <w:sz w:val="19"/>
              </w:rPr>
              <w:t>Pallor (anaemia)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From iron, vitamin B12 or folate malabsorption; common in celiac and tropical sprue.</w:t>
            </w:r>
          </w:p>
        </w:tc>
      </w:tr>
      <w:tr>
        <w:trPr>
          <w:cantSplit/>
        </w:trPr>
        <w:tc>
          <w:tcPr>
            <w:tcW w:type="dxa" w:w="3456"/>
            <w:vAlign w:val="top"/>
          </w:tcPr>
          <w:p>
            <w:pPr>
              <w:spacing w:after="40" w:before="0" w:line="259" w:lineRule="auto"/>
            </w:pPr>
            <w:r>
              <w:rPr>
                <w:rFonts w:ascii="Calibri" w:hAnsi="Calibri"/>
                <w:b/>
                <w:i w:val="0"/>
                <w:color w:val="212121"/>
                <w:sz w:val="19"/>
              </w:rPr>
              <w:t>Low BMI / visible weight loss / muscle wasting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Marker of malabsorption or chronic inflammatory disease.</w:t>
            </w:r>
          </w:p>
        </w:tc>
      </w:tr>
      <w:tr>
        <w:trPr>
          <w:cantSplit/>
        </w:trPr>
        <w:tc>
          <w:tcPr>
            <w:tcW w:type="dxa" w:w="3456"/>
            <w:vAlign w:val="top"/>
          </w:tcPr>
          <w:p>
            <w:pPr>
              <w:spacing w:after="40" w:before="0" w:line="259" w:lineRule="auto"/>
            </w:pPr>
            <w:r>
              <w:rPr>
                <w:rFonts w:ascii="Calibri" w:hAnsi="Calibri"/>
                <w:b/>
                <w:i w:val="0"/>
                <w:color w:val="212121"/>
                <w:sz w:val="19"/>
              </w:rPr>
              <w:t>Abdominal tenderness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Non-specific; localised right-iliac tenderness may accompany ileocaecal Crohn's or TB.</w:t>
            </w:r>
          </w:p>
        </w:tc>
      </w:tr>
      <w:tr>
        <w:trPr>
          <w:cantSplit/>
        </w:trPr>
        <w:tc>
          <w:tcPr>
            <w:tcW w:type="dxa" w:w="3456"/>
            <w:vAlign w:val="top"/>
          </w:tcPr>
          <w:p>
            <w:pPr>
              <w:spacing w:after="40" w:before="0" w:line="259" w:lineRule="auto"/>
            </w:pPr>
            <w:r>
              <w:rPr>
                <w:rFonts w:ascii="Calibri" w:hAnsi="Calibri"/>
                <w:b/>
                <w:i w:val="0"/>
                <w:color w:val="212121"/>
                <w:sz w:val="19"/>
              </w:rPr>
              <w:t>Palpable right-iliac-fossa / abdominal mass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Suggests ileocaecal tuberculosis, Crohn's disease or colorectal malignancy.</w:t>
            </w:r>
          </w:p>
        </w:tc>
      </w:tr>
      <w:tr>
        <w:trPr>
          <w:cantSplit/>
        </w:trPr>
        <w:tc>
          <w:tcPr>
            <w:tcW w:type="dxa" w:w="3456"/>
            <w:vAlign w:val="top"/>
          </w:tcPr>
          <w:p>
            <w:pPr>
              <w:spacing w:after="40" w:before="0" w:line="259" w:lineRule="auto"/>
            </w:pPr>
            <w:r>
              <w:rPr>
                <w:rFonts w:ascii="Calibri" w:hAnsi="Calibri"/>
                <w:b/>
                <w:i w:val="0"/>
                <w:color w:val="212121"/>
                <w:sz w:val="19"/>
              </w:rPr>
              <w:t>Glossitis, angular cheilitis, koilonychia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Mucocutaneous signs of iron/B-vitamin deficiency from chronic malabsorption.</w:t>
            </w:r>
          </w:p>
        </w:tc>
      </w:tr>
      <w:tr>
        <w:trPr>
          <w:cantSplit/>
        </w:trPr>
        <w:tc>
          <w:tcPr>
            <w:tcW w:type="dxa" w:w="3456"/>
            <w:vAlign w:val="top"/>
          </w:tcPr>
          <w:p>
            <w:pPr>
              <w:spacing w:after="40" w:before="0" w:line="259" w:lineRule="auto"/>
            </w:pPr>
            <w:r>
              <w:rPr>
                <w:rFonts w:ascii="Calibri" w:hAnsi="Calibri"/>
                <w:b/>
                <w:i w:val="0"/>
                <w:color w:val="212121"/>
                <w:sz w:val="19"/>
              </w:rPr>
              <w:t>Pedal oedema (hypoalbuminaemia)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Protein-losing enteropathy or severe malnutrition lowers serum albumin.</w:t>
            </w:r>
          </w:p>
        </w:tc>
      </w:tr>
      <w:tr>
        <w:trPr>
          <w:cantSplit/>
        </w:trPr>
        <w:tc>
          <w:tcPr>
            <w:tcW w:type="dxa" w:w="3456"/>
            <w:vAlign w:val="top"/>
          </w:tcPr>
          <w:p>
            <w:pPr>
              <w:spacing w:after="40" w:before="0" w:line="259" w:lineRule="auto"/>
            </w:pPr>
            <w:r>
              <w:rPr>
                <w:rFonts w:ascii="Calibri" w:hAnsi="Calibri"/>
                <w:b/>
                <w:i w:val="0"/>
                <w:color w:val="212121"/>
                <w:sz w:val="19"/>
              </w:rPr>
              <w:t>Perianal fistula, fissure or skin tags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Highly suggestive of Crohn's disease.</w:t>
            </w:r>
          </w:p>
        </w:tc>
      </w:tr>
      <w:tr>
        <w:trPr>
          <w:cantSplit/>
        </w:trPr>
        <w:tc>
          <w:tcPr>
            <w:tcW w:type="dxa" w:w="3456"/>
            <w:vAlign w:val="top"/>
          </w:tcPr>
          <w:p>
            <w:pPr>
              <w:spacing w:after="40" w:before="0" w:line="259" w:lineRule="auto"/>
            </w:pPr>
            <w:r>
              <w:rPr>
                <w:rFonts w:ascii="Calibri" w:hAnsi="Calibri"/>
                <w:b/>
                <w:i w:val="0"/>
                <w:color w:val="212121"/>
                <w:sz w:val="19"/>
              </w:rPr>
              <w:t>Aphthous ulcers, erythema nodosum, arthritis (extraintestinal signs)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Extraintestinal manifestations of inflammatory bowel disease.</w:t>
            </w:r>
          </w:p>
        </w:tc>
      </w:tr>
      <w:tr>
        <w:trPr>
          <w:cantSplit/>
        </w:trPr>
        <w:tc>
          <w:tcPr>
            <w:tcW w:type="dxa" w:w="3456"/>
            <w:vAlign w:val="top"/>
          </w:tcPr>
          <w:p>
            <w:pPr>
              <w:spacing w:after="40" w:before="0" w:line="259" w:lineRule="auto"/>
            </w:pPr>
            <w:r>
              <w:rPr>
                <w:rFonts w:ascii="Calibri" w:hAnsi="Calibri"/>
                <w:b/>
                <w:i w:val="0"/>
                <w:color w:val="212121"/>
                <w:sz w:val="19"/>
              </w:rPr>
              <w:t>Dermatitis herpetiformis / digital clubbing</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Itchy vesicular rash (celiac) or clubbing (celiac, IBD) pointing to the underlying cause.</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Dehydration and hypovolaemia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Electrolyte disturbances (hypokalaemia, hyponatraemia)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Metabolic acidosis from bicarbonate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Pre-renal acute kidney injury</w:t>
            </w:r>
          </w:p>
        </w:tc>
        <w:tc>
          <w:tcPr>
            <w:tcW w:type="dxa" w:w="2980"/>
            <w:vAlign w:val="top"/>
          </w:tcPr>
          <w:p>
            <w:pPr>
              <w:spacing w:after="40" w:before="0" w:line="259" w:lineRule="auto"/>
            </w:pPr>
            <w:r>
              <w:rPr>
                <w:rFonts w:ascii="Calibri" w:hAnsi="Calibri"/>
                <w:b w:val="0"/>
                <w:i w:val="0"/>
                <w:color w:val="212121"/>
                <w:sz w:val="19"/>
              </w:rPr>
              <w:t>Direct consequences of sustained fluid, electrolyte and bicarbonate loss in stool.</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Malabsorption with micronutrient deficiencies (iron, B12, folate → anaemia)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Fat-soluble vitamin (A, D, E, K) and calcium deficiency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Hypoalbuminaemia and oedema (protein-losing enteropathy)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Protein-energy malnutrition and, in children, growth faltering / failure to thrive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Perianal disease and skin excoriation</w:t>
            </w:r>
          </w:p>
        </w:tc>
        <w:tc>
          <w:tcPr>
            <w:tcW w:type="dxa" w:w="2980"/>
            <w:vAlign w:val="top"/>
          </w:tcPr>
          <w:p>
            <w:pPr>
              <w:spacing w:after="40" w:before="0" w:line="259" w:lineRule="auto"/>
            </w:pPr>
            <w:r>
              <w:rPr>
                <w:rFonts w:ascii="Calibri" w:hAnsi="Calibri"/>
                <w:b w:val="0"/>
                <w:i w:val="0"/>
                <w:color w:val="212121"/>
                <w:sz w:val="19"/>
              </w:rPr>
              <w:t>Arise from chronic nutrient loss and impaired absorption over weeks to months.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Metabolic bone disease—osteopenia, osteoporosis, osteomalacia/rickets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kidney injury and nephrolithiasis (e.g., oxalate)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Complications of the underlying disease—IBD strictures/fistulae, intestinal-TB obstruction, colorectal cancer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wasting and increased mortality in HIV/immunocompromised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Reduced quality of life, disability and psychological morbidity</w:t>
            </w:r>
          </w:p>
        </w:tc>
        <w:tc>
          <w:tcPr>
            <w:tcW w:type="dxa" w:w="2980"/>
            <w:vAlign w:val="top"/>
          </w:tcPr>
          <w:p>
            <w:pPr>
              <w:spacing w:after="40" w:before="0" w:line="259" w:lineRule="auto"/>
            </w:pPr>
            <w:r>
              <w:rPr>
                <w:rFonts w:ascii="Calibri" w:hAnsi="Calibri"/>
                <w:b w:val="0"/>
                <w:i w:val="0"/>
                <w:color w:val="212121"/>
                <w:sz w:val="19"/>
              </w:rPr>
              <w:t>Irreversible or disabling outcomes of longstanding malabsorption and untreated underlying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Inflammatory bowel disease (Crohn's disease / ulcerative colitis)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Immune-mediated intestinal inflammation is now the leading identifiable cause of chronic organic diarrhoea in urban India; its presence changes diagnosis, monitoring and therapy.</w:t>
            </w:r>
          </w:p>
          <w:p>
            <w:pPr>
              <w:spacing w:after="40" w:before="0" w:line="259" w:lineRule="auto"/>
            </w:pPr>
            <w:r>
              <w:rPr>
                <w:rFonts w:ascii="Calibri" w:hAnsi="Calibri"/>
                <w:b/>
                <w:i w:val="0"/>
                <w:color w:val="212121"/>
                <w:sz w:val="19"/>
              </w:rPr>
              <w:t>Up to 45% (of chronic organic non-bloody diarrhoea, Indian series)</w:t>
            </w:r>
          </w:p>
        </w:tc>
      </w:tr>
      <w:tr>
        <w:trPr>
          <w:cantSplit/>
        </w:trPr>
        <w:tc>
          <w:tcPr>
            <w:tcW w:type="dxa" w:w="2232"/>
            <w:vAlign w:val="top"/>
          </w:tcPr>
          <w:p>
            <w:pPr>
              <w:spacing w:after="40" w:before="0" w:line="259" w:lineRule="auto"/>
            </w:pPr>
            <w:r>
              <w:rPr>
                <w:rFonts w:ascii="Calibri" w:hAnsi="Calibri"/>
                <w:b/>
                <w:i w:val="0"/>
                <w:color w:val="212121"/>
                <w:sz w:val="19"/>
              </w:rPr>
              <w:t>Celiac disease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Gluten-driven villous atrophy causes malabsorptive diarrhoea; increasingly recognised in India and reversible on a gluten-free diet.</w:t>
            </w:r>
          </w:p>
          <w:p>
            <w:pPr>
              <w:spacing w:after="40" w:before="0" w:line="259" w:lineRule="auto"/>
            </w:pPr>
            <w:r>
              <w:rPr>
                <w:rFonts w:ascii="Calibri" w:hAnsi="Calibri"/>
                <w:b/>
                <w:i w:val="0"/>
                <w:color w:val="212121"/>
                <w:sz w:val="19"/>
              </w:rPr>
              <w:t>~9% of chronic non-bloody diarrhoea; up to 65% of adult malabsorption in India</w:t>
            </w:r>
          </w:p>
        </w:tc>
      </w:tr>
      <w:tr>
        <w:trPr>
          <w:cantSplit/>
        </w:trPr>
        <w:tc>
          <w:tcPr>
            <w:tcW w:type="dxa" w:w="2232"/>
            <w:vAlign w:val="top"/>
          </w:tcPr>
          <w:p>
            <w:pPr>
              <w:spacing w:after="40" w:before="0" w:line="259" w:lineRule="auto"/>
            </w:pPr>
            <w:r>
              <w:rPr>
                <w:rFonts w:ascii="Calibri" w:hAnsi="Calibri"/>
                <w:b/>
                <w:i w:val="0"/>
                <w:color w:val="212121"/>
                <w:sz w:val="19"/>
              </w:rPr>
              <w:t>Chronic gastrointestinal infections (Giardia, Entamoeba, intestinal tuberculosis)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Persistent parasitic infection and endemic intestinal TB sustain chronic diarrhoea/malabsorption in India; empiric anti-parasitic or anti-tubercular therapy may be needed.</w:t>
            </w:r>
          </w:p>
          <w:p>
            <w:pPr>
              <w:spacing w:after="40" w:before="0" w:line="259" w:lineRule="auto"/>
            </w:pPr>
            <w:r>
              <w:rPr>
                <w:rFonts w:ascii="Calibri" w:hAnsi="Calibri"/>
                <w:b/>
                <w:i w:val="0"/>
                <w:color w:val="212121"/>
                <w:sz w:val="19"/>
              </w:rPr>
              <w:t>~18% (gastrointestinal infections, Indian series)</w:t>
            </w:r>
          </w:p>
        </w:tc>
      </w:tr>
      <w:tr>
        <w:trPr>
          <w:cantSplit/>
        </w:trPr>
        <w:tc>
          <w:tcPr>
            <w:tcW w:type="dxa" w:w="2232"/>
            <w:vAlign w:val="top"/>
          </w:tcPr>
          <w:p>
            <w:pPr>
              <w:spacing w:after="40" w:before="0" w:line="259" w:lineRule="auto"/>
            </w:pPr>
            <w:r>
              <w:rPr>
                <w:rFonts w:ascii="Calibri" w:hAnsi="Calibri"/>
                <w:b/>
                <w:i w:val="0"/>
                <w:color w:val="212121"/>
                <w:sz w:val="19"/>
              </w:rPr>
              <w:t>Tropical sprue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Post-infective small-bowel malabsorption endemic to India causing chronic diarrhoea with folate/B12 deficiency; responds to antibiotics plus folate.</w:t>
            </w:r>
          </w:p>
          <w:p>
            <w:pPr>
              <w:spacing w:after="40" w:before="0" w:line="259" w:lineRule="auto"/>
            </w:pPr>
            <w:r>
              <w:rPr>
                <w:rFonts w:ascii="Calibri" w:hAnsi="Calibri"/>
                <w:b/>
                <w:i w:val="0"/>
                <w:color w:val="212121"/>
                <w:sz w:val="19"/>
              </w:rPr>
              <w:t>~22% of adult malabsorption in India</w:t>
            </w:r>
          </w:p>
        </w:tc>
      </w:tr>
      <w:tr>
        <w:trPr>
          <w:cantSplit/>
        </w:trPr>
        <w:tc>
          <w:tcPr>
            <w:tcW w:type="dxa" w:w="2232"/>
            <w:vAlign w:val="top"/>
          </w:tcPr>
          <w:p>
            <w:pPr>
              <w:spacing w:after="40" w:before="0" w:line="259" w:lineRule="auto"/>
            </w:pPr>
            <w:r>
              <w:rPr>
                <w:rFonts w:ascii="Calibri" w:hAnsi="Calibri"/>
                <w:b/>
                <w:i w:val="0"/>
                <w:color w:val="212121"/>
                <w:sz w:val="19"/>
              </w:rPr>
              <w:t>Irritable bowel syndrome (diarrhoea-predominant, IBS-D)</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commonest functional cause; a gut-brain disorder that overlaps with, and must be distinguished from, organic diarrhoea and often coexists post-infection.</w:t>
            </w:r>
          </w:p>
          <w:p>
            <w:pPr>
              <w:spacing w:after="40" w:before="0" w:line="259" w:lineRule="auto"/>
            </w:pPr>
            <w:r>
              <w:rPr>
                <w:rFonts w:ascii="Calibri" w:hAnsi="Calibri"/>
                <w:b/>
                <w:i w:val="0"/>
                <w:color w:val="212121"/>
                <w:sz w:val="19"/>
              </w:rPr>
              <w:t>Community IBS ~4% in India (IBS-D ~1.5%)</w:t>
            </w:r>
          </w:p>
        </w:tc>
      </w:tr>
      <w:tr>
        <w:trPr>
          <w:cantSplit/>
        </w:trPr>
        <w:tc>
          <w:tcPr>
            <w:tcW w:type="dxa" w:w="2232"/>
            <w:vAlign w:val="top"/>
          </w:tcPr>
          <w:p>
            <w:pPr>
              <w:spacing w:after="40" w:before="0" w:line="259" w:lineRule="auto"/>
            </w:pPr>
            <w:r>
              <w:rPr>
                <w:rFonts w:ascii="Calibri" w:hAnsi="Calibri"/>
                <w:b/>
                <w:i w:val="0"/>
                <w:color w:val="212121"/>
                <w:sz w:val="19"/>
              </w:rPr>
              <w:t>Exocrine pancreatic insufficiency / chronic pancreatitis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Loss of pancreatic enzyme output causes fatty steatorrhoeic diarrhoea; enzyme replacement corrects it.</w:t>
            </w:r>
          </w:p>
          <w:p>
            <w:pPr>
              <w:spacing w:after="40" w:before="0" w:line="259" w:lineRule="auto"/>
            </w:pPr>
            <w:r>
              <w:rPr>
                <w:rFonts w:ascii="Calibri" w:hAnsi="Calibri"/>
                <w:b/>
                <w:i w:val="0"/>
                <w:color w:val="212121"/>
                <w:sz w:val="19"/>
              </w:rPr>
              <w:t>~6% (pancreatic disease, Indian series)</w:t>
            </w:r>
          </w:p>
        </w:tc>
      </w:tr>
      <w:tr>
        <w:trPr>
          <w:cantSplit/>
        </w:trPr>
        <w:tc>
          <w:tcPr>
            <w:tcW w:type="dxa" w:w="2232"/>
            <w:vAlign w:val="top"/>
          </w:tcPr>
          <w:p>
            <w:pPr>
              <w:spacing w:after="40" w:before="0" w:line="259" w:lineRule="auto"/>
            </w:pPr>
            <w:r>
              <w:rPr>
                <w:rFonts w:ascii="Calibri" w:hAnsi="Calibri"/>
                <w:b/>
                <w:i w:val="0"/>
                <w:color w:val="212121"/>
                <w:sz w:val="19"/>
              </w:rPr>
              <w:t>Lactose intolerance / carbohydrate malabsorption</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Highly prevalent adult lactase non-persistence in India produces osmotic diarrhoea and mimics or aggravates IBS-D; dose-related and diet-responsive.</w:t>
            </w:r>
          </w:p>
        </w:tc>
      </w:tr>
      <w:tr>
        <w:trPr>
          <w:cantSplit/>
        </w:trPr>
        <w:tc>
          <w:tcPr>
            <w:tcW w:type="dxa" w:w="2232"/>
            <w:vAlign w:val="top"/>
          </w:tcPr>
          <w:p>
            <w:pPr>
              <w:spacing w:after="40" w:before="0" w:line="259" w:lineRule="auto"/>
            </w:pPr>
            <w:r>
              <w:rPr>
                <w:rFonts w:ascii="Calibri" w:hAnsi="Calibri"/>
                <w:b/>
                <w:i w:val="0"/>
                <w:color w:val="212121"/>
                <w:sz w:val="19"/>
              </w:rPr>
              <w:t>HIV/AIDS and immunosuppression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Opportunistic enteric infection and HIV enteropathy cause chronic wasting diarrhoea; the immune context reshapes the differential and work-up.</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Autonomic neuropathy, SIBO and bile-acid malabsorption cause 'diabetic diarrhoea', while metformin adds an osmotic effect—linking glycaemic management to bowel symptoms.</w:t>
            </w:r>
          </w:p>
        </w:tc>
      </w:tr>
      <w:tr>
        <w:trPr>
          <w:cantSplit/>
        </w:trPr>
        <w:tc>
          <w:tcPr>
            <w:tcW w:type="dxa" w:w="2232"/>
            <w:vAlign w:val="top"/>
          </w:tcPr>
          <w:p>
            <w:pPr>
              <w:spacing w:after="40" w:before="0" w:line="259" w:lineRule="auto"/>
            </w:pPr>
            <w:r>
              <w:rPr>
                <w:rFonts w:ascii="Calibri" w:hAnsi="Calibri"/>
                <w:b/>
                <w:i w:val="0"/>
                <w:color w:val="212121"/>
                <w:sz w:val="19"/>
              </w:rPr>
              <w:t>Bile-acid diarrhoea (post-cholecystectomy / ileal disease or resection)</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Excess colonic bile acids drive secretory diarrhoea after gallbladder removal or terminal-ileal disease; responds to bile-acid sequestrants.</w:t>
            </w:r>
          </w:p>
        </w:tc>
      </w:tr>
      <w:tr>
        <w:trPr>
          <w:cantSplit/>
        </w:trPr>
        <w:tc>
          <w:tcPr>
            <w:tcW w:type="dxa" w:w="2232"/>
            <w:vAlign w:val="top"/>
          </w:tcPr>
          <w:p>
            <w:pPr>
              <w:spacing w:after="40" w:before="0" w:line="259" w:lineRule="auto"/>
            </w:pPr>
            <w:r>
              <w:rPr>
                <w:rFonts w:ascii="Calibri" w:hAnsi="Calibri"/>
                <w:b/>
                <w:i w:val="0"/>
                <w:color w:val="212121"/>
                <w:sz w:val="19"/>
              </w:rPr>
              <w:t>Micronutrient-deficiency anaemia and malnutrition</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Iron, B12 and folate loss produce anaemia and malnutrition that both result from and further impair recovery of the diarrhoeal bowel.</w:t>
            </w:r>
          </w:p>
        </w:tc>
      </w:tr>
      <w:tr>
        <w:trPr>
          <w:cantSplit/>
        </w:trPr>
        <w:tc>
          <w:tcPr>
            <w:tcW w:type="dxa" w:w="2232"/>
            <w:vAlign w:val="top"/>
          </w:tcPr>
          <w:p>
            <w:pPr>
              <w:spacing w:after="40" w:before="0" w:line="259" w:lineRule="auto"/>
            </w:pPr>
            <w:r>
              <w:rPr>
                <w:rFonts w:ascii="Calibri" w:hAnsi="Calibri"/>
                <w:b/>
                <w:i w:val="0"/>
                <w:color w:val="212121"/>
                <w:sz w:val="19"/>
              </w:rPr>
              <w:t>Hyperthyroidism</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Thyrotoxicosis accelerates gut transit causing chronic watery diarrhoea; correcting the thyroid state resolves it.</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diarrhoea lasting 4 weeks or more is 'chronic' and always needs evaluation to find a cause—it is not simply a weak stomach.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the red-flag features that need prompt medical review: blood in stool, night-time diarrhoea, unintended weight loss, fever, anaemia, or onset after age 50.</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common dietary triggers—milk/lactose, wheat/gluten, sugar-free (sorbitol) products, excess caffeine and fatty or very spicy food—and note which foods worsen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Always drink safe (boiled, filtered or treated) water and eat freshly cooked food to prevent chronic parasitic and infective diarrhoea.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self-treat prolonged diarrhoea with repeated antibiotics or long-term anti-motility drugs without diagnosis; review any new medicine (metformin, antacids, blood-pressure pills) as a possible cause.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oral rehydration solution (ORS) at home and use it after each loose stool to prevent dehydration.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 with chronic diarrhoea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in endemic areas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symptomatic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Carers of affected children</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structured, temporary elimination approach for suspected triggers—trial lactose-free, then a dietitian-guided low-FODMAP diet—reintroducing foods to identify culprits.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confirmed celiac disease, adopt a strict lifelong gluten-free diet (avoid wheat, barley, rye; use rice, maize, millets, besan).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Prefer small, frequent, low-fat meals if steatorrhoea is present, and take prescribed pancreatic enzymes with meals in exocrine insufficiency.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sugar-alcohol sweeteners (sorbitol, xylitol), excess fructose, very spicy and deep-fried foods that aggravate loose stools.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soluble-fibre intake (oats, psyllium, banana) which can firm stool, while adjusting insoluble fibre to tolerance.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Replace ongoing losses with ORS and fluids; include curd/buttermilk (probiotic, low-lactose) as tolerated.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Celiac and malabsorption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IBS-D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Lactose-intolerant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Pancreatic insufficiency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freshly cooked, hot food and avoid raw salads, cut fruit and street food washed in unsafe water.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Wash and peel fruits/vegetables with clean water; avoid ice and beverages made from untreated water.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Introduce trigger foods (milk, high-FODMAP items) in small amounts with meals rather than as large boluses.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Store and reheat food safely to prevent bacterial contamination and recurrent infective diarrhoea.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Moderate caffeine (coffee, strong tea, cola, energy drinks) and alcohol, which speed gut transit.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General population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Travellers within India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 with poor sanitation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IBS-D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Engage in regular moderate activity (brisk walking, yoga, cycling ~150 min/week) to support healthy motility and reduce IBS-D symptom burden and stress.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very prolonged high-intensity endurance sessions if they provoke 'runner's diarrhoea'; hydrate well and avoid large pre-exercise meals.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gentle activity during recovery from flares rather than complete inactivity.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exercise with stress-reduction, given the strong gut-brain contribution to functional diarrhoea.</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IBS-D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Deconditioned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Stressed office workers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anxiety, depression and stress, which strongly drive IBS-D through the gut-brain axis.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gut-directed cognitive behavioural therapy, relaxation training or gut-directed hypnotherapy for refractory functional diarrhoea.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daily stress-reduction (breathing exercises, yoga, mindfulness) to lower visceral hypersensitivity.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regular routines and adequate rest; seek professional help when mood or anxiety symptoms are prominent.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symptom diaries linking stress and diet to stools to guide self-management.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IBS-D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anxiety/depression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High-stress individuals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regular, good-quality sleep; poor sleep heightens gut-brain sensitivity and worsens IBS-D.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consistent sleep-wake timing to stabilise gut circadian rhythm and motility.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Report persistent night-time diarrhoea to a doctor, as it suggests an organic cause needing work-up.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late heavy or high-fat meals and evening caffeine/alcohol that disturb sleep and bowel habit.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IBS-D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Poor sleepers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or minimise alcohol; chronic heavy use causes pancreatitis with steatorrhoea and accelerates gut transit.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use alcohol to 'settle' the gut—it injures the mucosa and worsens diarrhoea and dehydration.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pancreatitis is present, complete abstinence is essential to prevent progression and further malabsorption.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support/de-addiction services for alcohol dependence.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pancreatitis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steatorrhoea</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smoking—it roughly doubles Crohn's disease risk and is linked to microscopic colitis, both causes of chronic diarrhoea.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structured cessation support (counselling, nicotine replacement) rather than abrupt unsupported attempts.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you have ulcerative colitis, plan cessation with your gastroenterologist, as stopping can occasionally trigger flares that need monitoring.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exposure, especially in children with GI symptoms.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Current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Crohn's disease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microscopic colitis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the recommended stepwise work-up (blood, stool and, where indicated, endoscopy) rather than treating symptoms blindly.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Adhere to disease-specific therapy—gluten-free diet for celiac, anti-tubercular therapy for intestinal TB, enzymes for pancreatic insufficiency, targeted therapy for IBD.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and complete prescribed courses (e.g., anti-parasitic, anti-tubercular) fully to prevent relapse and resistance.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Monitor and correct deficiencies (iron, B12, folate, vitamin D, calcium) and attend follow-up for nutritional and disease assessment.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ORS and seek urgent care for signs of severe dehydration, high fever, or significant rectal bleeding.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Diagnosed IBD/celiac/TB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Malabsorption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specific drug therapy</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med.ncbi.nlm.nih.gov/39093512/" TargetMode="External"/><Relationship Id="rId10" Type="http://schemas.openxmlformats.org/officeDocument/2006/relationships/hyperlink" Target="https://www.ncbi.nlm.nih.gov/books/NBK544337/" TargetMode="External"/><Relationship Id="rId11" Type="http://schemas.openxmlformats.org/officeDocument/2006/relationships/hyperlink" Target="https://pubmed.ncbi.nlm.nih.gov/21369496/" TargetMode="External"/><Relationship Id="rId12" Type="http://schemas.openxmlformats.org/officeDocument/2006/relationships/hyperlink" Target="https://www.ncbi.nlm.nih.gov/books/NBK513239/" TargetMode="External"/><Relationship Id="rId13" Type="http://schemas.openxmlformats.org/officeDocument/2006/relationships/hyperlink" Target="https://pubmed.ncbi.nlm.nih.gov/21182543/" TargetMode="External"/><Relationship Id="rId14" Type="http://schemas.openxmlformats.org/officeDocument/2006/relationships/hyperlink" Target="https://pubmed.ncbi.nlm.nih.gov/21369836/" TargetMode="External"/><Relationship Id="rId15" Type="http://schemas.openxmlformats.org/officeDocument/2006/relationships/hyperlink" Target="https://www.who.int/news-room/fact-sheets/detail/diarrhoeal-disease" TargetMode="External"/><Relationship Id="rId16" Type="http://schemas.openxmlformats.org/officeDocument/2006/relationships/hyperlink" Target="https://www.ncbi.nlm.nih.gov/books/NBK482325/" TargetMode="External"/><Relationship Id="rId17" Type="http://schemas.openxmlformats.org/officeDocument/2006/relationships/hyperlink" Target="https://www.ncbi.nlm.nih.gov/books/NBK534810/" TargetMode="External"/><Relationship Id="rId18" Type="http://schemas.openxmlformats.org/officeDocument/2006/relationships/hyperlink" Target="https://www.ncbi.nlm.nih.gov/books/NBK4419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