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Lactose Intolerance</w:t>
      </w:r>
    </w:p>
    <w:p>
      <w:pPr>
        <w:spacing w:before="0" w:after="160"/>
      </w:pPr>
      <w:r>
        <w:rPr>
          <w:rFonts w:ascii="Calibri" w:hAnsi="Calibri"/>
          <w:b/>
          <w:i w:val="0"/>
          <w:color w:val="212121"/>
          <w:sz w:val="22"/>
        </w:rPr>
        <w:t xml:space="preserve">AKA </w:t>
      </w:r>
      <w:r>
        <w:rPr>
          <w:rFonts w:ascii="Calibri" w:hAnsi="Calibri"/>
          <w:b w:val="0"/>
          <w:i w:val="0"/>
          <w:color w:val="212121"/>
          <w:sz w:val="22"/>
        </w:rPr>
        <w:t>i.e., Lactase deficiency, Lactase non-persistence, Adult-type hypolactasia, Milk sugar intolerance, Dairy intolerance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Lactose intolerance is a clinical syndrome of gastrointestinal symptoms - bloating, abdominal pain, flatulence, borborygmi, nausea and diarrhoea - that follow ingestion of lactose, the principal sugar in milk, in individuals with deficient intestinal lactase (β-galactosidase). Undigested lactose passes into the colon where bacterial fermentation generates hydrogen, methane and short-chain fatty acids and exerts an osmotic load, producing the characteristic symptoms. Lactose malabsorption (the physiological trait) and lactose intolerance (the symptomatic condition) are related but not synonymous; many malabsorbers remain asymptomatic at usual intakes.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Lactase non-persistence affects an estimated 60-70% of Indian adults, but with a striking reversed north-south gradient. In the classic multicentre study, lactose intolerance was found in only 27.4% of North Indians versus 66.6% of South Indians, mirroring lactase-persistence allele frequencies that fall from roughly 44% in the dairy-farming north-west to under 10% in the east and south. Globally, 65-70% of adults are lactase non-persistent. Despite this, nearly half of Indians (48.8%) consume milk or curd daily (NFHS-5), so unrecognised lactose intolerance is a common, under-diagnosed contributor to functional GI symptoms - identified in about 38% of Indian irritable bowel syndrome patients.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Lactose intolerance is diagnosed by demonstrating lactose malabsorption and linking it to symptoms, using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Lactose hydrogen breath test: a rise in breath hydrogen ≥ 20 ppm above baseline after an oral lactose load (25-50 g) - the most widely used non-invasive 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Lactose tolerance test: a blood glucose rise &lt; 20 mg/dL over fasting after 50 g lactose indicates malabsorption (sensitivity ~75%, specificity ~96%);</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Symptom reproduction on a supervised lactose challenge, with resolution on dietary lactose elimination and recurrence on rechallenge;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Stool acidity test (infants/young children): stool pH &lt; 5.5 with positive reducing substances;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Genetic testing: MCM6/LCT -13910 C/C genotype supports primary lactase non-persistence (does not detect secondary deficiency);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Small-intestinal biopsy with lactase (disaccharidase) assay - the direct gold standard but invasive, reserved for evaluating secondary mucosal disease. Differentiate from cow's milk protein allergy and exclude celiac disease/IBD when a secondary cause is suspected.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Lactase deficiency underlying lactose intolerance is classified into four types by mechanism and onset:</w:t>
      </w:r>
    </w:p>
    <w:p>
      <w:pPr>
        <w:spacing w:before="0" w:after="80"/>
      </w:pPr>
      <w:r>
        <w:rPr>
          <w:rFonts w:ascii="Calibri" w:hAnsi="Calibri"/>
          <w:b w:val="0"/>
          <w:i w:val="0"/>
          <w:color w:val="212121"/>
          <w:sz w:val="21"/>
        </w:rPr>
        <w:t>(1) Primary lactase deficiency (adult-type hypolactasia / lactase non-persistence) - the commonest form; a genetically programmed decline of lactase after weaning that typically becomes symptomatic in adolescence or early adulthood (20-40 years) and predominates in Dravidian, eastern and tribal Indian populations;</w:t>
      </w:r>
    </w:p>
    <w:p>
      <w:pPr>
        <w:spacing w:before="0" w:after="80"/>
      </w:pPr>
      <w:r>
        <w:rPr>
          <w:rFonts w:ascii="Calibri" w:hAnsi="Calibri"/>
          <w:b w:val="0"/>
          <w:i w:val="0"/>
          <w:color w:val="212121"/>
          <w:sz w:val="21"/>
        </w:rPr>
        <w:t>(2) Secondary (acquired) lactase deficiency - caused by small-bowel mucosal injury (acute gastroenteritis, rotavirus, giardiasis, celiac disease, tropical sprue, Crohn's disease, chemotherapy) and often reversible once the underlying disorder is treated;</w:t>
      </w:r>
    </w:p>
    <w:p>
      <w:pPr>
        <w:spacing w:before="0" w:after="80"/>
      </w:pPr>
      <w:r>
        <w:rPr>
          <w:rFonts w:ascii="Calibri" w:hAnsi="Calibri"/>
          <w:b w:val="0"/>
          <w:i w:val="0"/>
          <w:color w:val="212121"/>
          <w:sz w:val="21"/>
        </w:rPr>
        <w:t>(3) Developmental lactase deficiency - seen in premature infants (28-37 weeks gestation) owing to intestinal immaturity, improving with maturation; and</w:t>
      </w:r>
    </w:p>
    <w:p>
      <w:pPr>
        <w:spacing w:before="0" w:after="80"/>
      </w:pPr>
      <w:r>
        <w:rPr>
          <w:rFonts w:ascii="Calibri" w:hAnsi="Calibri"/>
          <w:b w:val="0"/>
          <w:i w:val="0"/>
          <w:color w:val="212121"/>
          <w:sz w:val="21"/>
        </w:rPr>
        <w:t>(4) Congenital lactase deficiency - a very rare autosomal-recessive disorder (approximately 40 cases reported worldwide) with absent enzyme activity and symptoms from the first milk feeds. Note the distinction between lactose malabsorption (the physiological trait) and lactose intolerance (the symptomatic syndrome).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Primary lactase non-persistence (genetic): Age-dependent down-regulation of the LCT gene after weaning, governed by the MCM6 -13910 C/C genotype; the commonest cause and highly prevalent in southern and eastern India.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Secondary lactase deficiency: Brush-border enzyme loss from mucosal injury - acute infectious gastroenteritis (rotavirus), giardiasis, celiac disease, tropical sprue, inflammatory bowel disease, bacterial overgrowth or chemotherapy - frequently reversible.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Congenital lactase deficiency: Rare autosomal-recessive absence of lactase presenting with intractable diarrhoea from birth on milk feeds.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Developmental lactase deficiency: Immature lactase expression in preterm infants that resolves with intestinal maturation.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Ancestry and ethnicity: Low lactase-persistence allele frequency in Dravidian, eastern and Northeast Indian and most tribal populations raises baseline risk, whereas pastoralist and north-western groups are comparatively protected.</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Dietary pattern: A large single lactose bolus (fluid milk, milk-based sweets, milkshakes) exceeding residual lactase precipitates symptoms, while fermented dairy is better tolerated.</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Intestinal lactase activity is highest at birth and declines after weaning; in lactase non-persistent individuals adult-type hypolactasia typically becomes symptomatic between 20 and 40 years as habitual dairy load exceeds residual enzyme capacity.</w:t>
            </w:r>
          </w:p>
          <w:p>
            <w:pPr>
              <w:spacing w:after="40" w:before="60" w:line="259" w:lineRule="auto"/>
            </w:pPr>
            <w:r>
              <w:rPr>
                <w:rFonts w:ascii="Calibri" w:hAnsi="Calibri"/>
                <w:b w:val="0"/>
                <w:i w:val="0"/>
                <w:color w:val="212121"/>
                <w:sz w:val="19"/>
              </w:rPr>
              <w:t>Primary lactase deficiency, the commonest form, usually manifests in adolescence or early adulthood; globally 65-70% of adults are lactase non-persistent.</w:t>
            </w:r>
          </w:p>
          <w:p>
            <w:pPr>
              <w:spacing w:after="40" w:line="252" w:lineRule="auto"/>
            </w:pPr>
            <w:hyperlink r:id="rId9">
              <w:r>
                <w:rPr>
                  <w:rFonts w:ascii="Calibri" w:hAnsi="Calibri" w:cs="Calibri"/>
                  <w:sz w:val="18"/>
                  <w:color w:val="1155CC"/>
                  <w:u w:val="single"/>
                </w:rPr>
                <w:t xml:space="preserve">ncbi.nlm.nih.gov - StatPearls: Lactose Intolerance</w:t>
              </w:r>
            </w:hyperlink>
          </w:p>
          <w:p>
            <w:pPr>
              <w:spacing w:before="60" w:after="40"/>
            </w:pPr>
            <w:r>
              <w:rPr>
                <w:rFonts w:ascii="Calibri" w:hAnsi="Calibri"/>
                <w:b w:val="0"/>
                <w:i w:val="0"/>
                <w:color w:val="5A5A5A"/>
                <w:sz w:val="18"/>
              </w:rPr>
              <w:t>#hypolactasia  #lactase  #adultonset  #primarydeficiency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Cumulative decline of lactase, more frequent secondary mucosal disorders, medication effects and reduced dairy tolerance converge; concurrent low calcium and vitamin D intake from dairy avoidance heightens osteoporosis and fracture risk.</w:t>
            </w:r>
          </w:p>
          <w:p>
            <w:pPr>
              <w:spacing w:after="40" w:before="60" w:line="259" w:lineRule="auto"/>
            </w:pPr>
            <w:r>
              <w:rPr>
                <w:rFonts w:ascii="Calibri" w:hAnsi="Calibri"/>
                <w:b w:val="0"/>
                <w:i w:val="0"/>
                <w:color w:val="212121"/>
                <w:sz w:val="19"/>
              </w:rPr>
              <w:t>Lactase activity continues to fall with age, and dairy avoidance in the elderly compounds age-related bone loss (osteopenia and osteoporosis).</w:t>
            </w:r>
          </w:p>
          <w:p>
            <w:pPr>
              <w:spacing w:after="40" w:line="252" w:lineRule="auto"/>
            </w:pPr>
            <w:hyperlink r:id="rId9">
              <w:r>
                <w:rPr>
                  <w:rFonts w:ascii="Calibri" w:hAnsi="Calibri" w:cs="Calibri"/>
                  <w:sz w:val="18"/>
                  <w:color w:val="1155CC"/>
                  <w:u w:val="single"/>
                </w:rPr>
                <w:t xml:space="preserve">ncbi.nlm.nih.gov - StatPearls: Lactose Intolerance</w:t>
              </w:r>
            </w:hyperlink>
          </w:p>
          <w:p>
            <w:pPr>
              <w:spacing w:before="60" w:after="40"/>
            </w:pPr>
            <w:r>
              <w:rPr>
                <w:rFonts w:ascii="Calibri" w:hAnsi="Calibri"/>
                <w:b w:val="0"/>
                <w:i w:val="0"/>
                <w:color w:val="5A5A5A"/>
                <w:sz w:val="18"/>
              </w:rPr>
              <w:t>#elderly  #osteoporosis  #calcium  #bonehealth</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Infants &amp; young children (post-infectious)</w:t>
            </w:r>
          </w:p>
        </w:tc>
        <w:tc>
          <w:tcPr>
            <w:tcW w:type="dxa" w:w="4276"/>
            <w:vAlign w:val="top"/>
          </w:tcPr>
          <w:p>
            <w:pPr>
              <w:spacing w:after="60" w:line="259" w:lineRule="auto"/>
            </w:pPr>
            <w:r>
              <w:rPr>
                <w:rFonts w:ascii="Calibri" w:hAnsi="Calibri"/>
                <w:b w:val="0"/>
                <w:i w:val="0"/>
                <w:color w:val="212121"/>
                <w:sz w:val="19"/>
              </w:rPr>
              <w:t>In young children, secondary (transient) lactase deficiency frequently follows acute gastroenteritis, rotavirus or giardiasis, causing osmotic diarrhoea, perianal excoriation and growth faltering until the mucosa recovers.</w:t>
            </w:r>
          </w:p>
          <w:p>
            <w:pPr>
              <w:spacing w:after="40" w:before="60" w:line="259" w:lineRule="auto"/>
            </w:pPr>
            <w:r>
              <w:rPr>
                <w:rFonts w:ascii="Calibri" w:hAnsi="Calibri"/>
                <w:b w:val="0"/>
                <w:i w:val="0"/>
                <w:color w:val="212121"/>
                <w:sz w:val="19"/>
              </w:rPr>
              <w:t>Secondary lactose intolerance is a common sequel of acute infectious diarrhoea in Indian children; congenital lactase deficiency is very rare (~40 cases reported worldwide).</w:t>
            </w:r>
          </w:p>
          <w:p>
            <w:pPr>
              <w:spacing w:after="40" w:line="252" w:lineRule="auto"/>
            </w:pPr>
            <w:hyperlink r:id="rId9">
              <w:r>
                <w:rPr>
                  <w:rFonts w:ascii="Calibri" w:hAnsi="Calibri" w:cs="Calibri"/>
                  <w:sz w:val="18"/>
                  <w:color w:val="1155CC"/>
                  <w:u w:val="single"/>
                </w:rPr>
                <w:t xml:space="preserve">ncbi.nlm.nih.gov - StatPearls: Lactose Intolerance</w:t>
              </w:r>
            </w:hyperlink>
          </w:p>
          <w:p>
            <w:pPr>
              <w:spacing w:before="60" w:after="40"/>
            </w:pPr>
            <w:r>
              <w:rPr>
                <w:rFonts w:ascii="Calibri" w:hAnsi="Calibri"/>
                <w:b w:val="0"/>
                <w:i w:val="0"/>
                <w:color w:val="5A5A5A"/>
                <w:sz w:val="18"/>
              </w:rPr>
              <w:t>#pediatric  #postinfectious  #rotavirus  #secondary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Genetic lactase non-persistence is sex-independent, but women more often self-report milk intolerance and functional GI symptoms; oestrogen-related bone loss makes dairy-avoidance-driven calcium deficiency particularly consequential.</w:t>
            </w:r>
          </w:p>
          <w:p>
            <w:pPr>
              <w:spacing w:after="40" w:before="60" w:line="259" w:lineRule="auto"/>
            </w:pPr>
            <w:r>
              <w:rPr>
                <w:rFonts w:ascii="Calibri" w:hAnsi="Calibri"/>
                <w:b w:val="0"/>
                <w:i w:val="0"/>
                <w:color w:val="212121"/>
                <w:sz w:val="19"/>
              </w:rPr>
              <w:t>Milk and dairy rank among the most commonly self-reported food intolerances in Indian patients, underscoring the need for individualised rather than blanket dairy exclusion.</w:t>
            </w:r>
          </w:p>
          <w:p>
            <w:pPr>
              <w:spacing w:after="40" w:line="252" w:lineRule="auto"/>
            </w:pPr>
            <w:hyperlink r:id="rId10">
              <w:r>
                <w:rPr>
                  <w:rFonts w:ascii="Calibri" w:hAnsi="Calibri" w:cs="Calibri"/>
                  <w:sz w:val="18"/>
                  <w:color w:val="1155CC"/>
                  <w:u w:val="single"/>
                </w:rPr>
                <w:t xml:space="preserve">pubmed.ncbi.nlm.nih.gov/38034051 - self-reported food intolerances, India</w:t>
              </w:r>
            </w:hyperlink>
          </w:p>
          <w:p>
            <w:pPr>
              <w:spacing w:before="60" w:after="40"/>
            </w:pPr>
            <w:r>
              <w:rPr>
                <w:rFonts w:ascii="Calibri" w:hAnsi="Calibri"/>
                <w:b w:val="0"/>
                <w:i w:val="0"/>
                <w:color w:val="5A5A5A"/>
                <w:sz w:val="18"/>
              </w:rPr>
              <w:t>#female  #selfreport  #calcium  #bonehealth</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Indian (Dravidian)</w:t>
            </w:r>
          </w:p>
        </w:tc>
        <w:tc>
          <w:tcPr>
            <w:tcW w:type="dxa" w:w="4276"/>
            <w:vAlign w:val="top"/>
          </w:tcPr>
          <w:p>
            <w:pPr>
              <w:spacing w:after="60" w:line="259" w:lineRule="auto"/>
            </w:pPr>
            <w:r>
              <w:rPr>
                <w:rFonts w:ascii="Calibri" w:hAnsi="Calibri"/>
                <w:b w:val="0"/>
                <w:i w:val="0"/>
                <w:color w:val="212121"/>
                <w:sz w:val="19"/>
              </w:rPr>
              <w:t>Dravidian and other southern populations carry the lactase-persistence allele at very low frequency (LP trait ~6.6%), so most adults are lactase non-persistent and become symptomatic with fluid-milk loads.</w:t>
            </w:r>
          </w:p>
          <w:p>
            <w:pPr>
              <w:spacing w:after="40" w:before="60" w:line="259" w:lineRule="auto"/>
            </w:pPr>
            <w:r>
              <w:rPr>
                <w:rFonts w:ascii="Calibri" w:hAnsi="Calibri"/>
                <w:b w:val="0"/>
                <w:i w:val="0"/>
                <w:color w:val="212121"/>
                <w:sz w:val="19"/>
              </w:rPr>
              <w:t>Lactose intolerance was found in 66.6% of South Indians versus 27.4% of North Indians in the classic multicentre study.</w:t>
            </w:r>
          </w:p>
          <w:p>
            <w:pPr>
              <w:spacing w:after="40" w:line="252" w:lineRule="auto"/>
            </w:pPr>
            <w:hyperlink r:id="rId11">
              <w:r>
                <w:rPr>
                  <w:rFonts w:ascii="Calibri" w:hAnsi="Calibri" w:cs="Calibri"/>
                  <w:sz w:val="18"/>
                  <w:color w:val="1155CC"/>
                  <w:u w:val="single"/>
                </w:rPr>
                <w:t xml:space="preserve">sciencedirect.com - Lactose intolerance in North and South Indians</w:t>
              </w:r>
            </w:hyperlink>
          </w:p>
          <w:p>
            <w:pPr>
              <w:spacing w:before="60" w:after="40"/>
            </w:pPr>
            <w:r>
              <w:rPr>
                <w:rFonts w:ascii="Calibri" w:hAnsi="Calibri"/>
                <w:b w:val="0"/>
                <w:i w:val="0"/>
                <w:color w:val="5A5A5A"/>
                <w:sz w:val="18"/>
              </w:rPr>
              <w:t>#dravidian  #southindia  #nonpersistence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North Indian (Indo-Aryan / Punjabi) - comparatively protected</w:t>
            </w:r>
          </w:p>
        </w:tc>
        <w:tc>
          <w:tcPr>
            <w:tcW w:type="dxa" w:w="4276"/>
            <w:vAlign w:val="top"/>
          </w:tcPr>
          <w:p>
            <w:pPr>
              <w:spacing w:after="60" w:line="259" w:lineRule="auto"/>
            </w:pPr>
            <w:r>
              <w:rPr>
                <w:rFonts w:ascii="Calibri" w:hAnsi="Calibri"/>
                <w:b w:val="0"/>
                <w:i w:val="0"/>
                <w:color w:val="212121"/>
                <w:sz w:val="19"/>
              </w:rPr>
              <w:t>North-western dairy-farming populations carry the -13910T lactase-persistence allele at ~25% (LP trait ~44.5%) from Steppe ancestry, conferring comparatively higher milk tolerance than the rest of India.</w:t>
            </w:r>
          </w:p>
          <w:p>
            <w:pPr>
              <w:spacing w:after="40" w:before="60" w:line="259" w:lineRule="auto"/>
            </w:pPr>
            <w:r>
              <w:rPr>
                <w:rFonts w:ascii="Calibri" w:hAnsi="Calibri"/>
                <w:b w:val="0"/>
                <w:i w:val="0"/>
                <w:color w:val="212121"/>
                <w:sz w:val="19"/>
              </w:rPr>
              <w:t>Only 27.4% of North Indians were lactose intolerant versus 66.6% of South Indians; the lactase-persistence allele is most frequent in the north-west.</w:t>
            </w:r>
          </w:p>
          <w:p>
            <w:pPr>
              <w:spacing w:after="40" w:line="252" w:lineRule="auto"/>
            </w:pPr>
            <w:hyperlink r:id="rId11">
              <w:r>
                <w:rPr>
                  <w:rFonts w:ascii="Calibri" w:hAnsi="Calibri" w:cs="Calibri"/>
                  <w:sz w:val="18"/>
                  <w:color w:val="1155CC"/>
                  <w:u w:val="single"/>
                </w:rPr>
                <w:t xml:space="preserve">sciencedirect.com - Lactose intolerance in North and South Indians</w:t>
              </w:r>
            </w:hyperlink>
          </w:p>
          <w:p>
            <w:pPr>
              <w:spacing w:before="60" w:after="40"/>
            </w:pPr>
            <w:r>
              <w:rPr>
                <w:rFonts w:ascii="Calibri" w:hAnsi="Calibri"/>
                <w:b w:val="0"/>
                <w:i w:val="0"/>
                <w:color w:val="5A5A5A"/>
                <w:sz w:val="18"/>
              </w:rPr>
              <w:t>#northindia  #lactasepersistence  #steppeancestry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East &amp; Northeast Indian / tribal</w:t>
            </w:r>
          </w:p>
        </w:tc>
        <w:tc>
          <w:tcPr>
            <w:tcW w:type="dxa" w:w="4276"/>
            <w:vAlign w:val="top"/>
          </w:tcPr>
          <w:p>
            <w:pPr>
              <w:spacing w:after="60" w:line="259" w:lineRule="auto"/>
            </w:pPr>
            <w:r>
              <w:rPr>
                <w:rFonts w:ascii="Calibri" w:hAnsi="Calibri"/>
                <w:b w:val="0"/>
                <w:i w:val="0"/>
                <w:color w:val="212121"/>
                <w:sz w:val="19"/>
              </w:rPr>
              <w:t>Eastern and East-Asian-admixed Northeast populations carry the persistence allele at very low frequency, so lactase non-persistence approaches the near-universal levels seen in East Asians.</w:t>
            </w:r>
          </w:p>
          <w:p>
            <w:pPr>
              <w:spacing w:after="40" w:before="60" w:line="259" w:lineRule="auto"/>
            </w:pPr>
            <w:r>
              <w:rPr>
                <w:rFonts w:ascii="Calibri" w:hAnsi="Calibri"/>
                <w:b w:val="0"/>
                <w:i w:val="0"/>
                <w:color w:val="212121"/>
                <w:sz w:val="19"/>
              </w:rPr>
              <w:t>Lactase-persistence trait falls to about 13.8% in East India and is lowest in the south (~6.6%), tracking a north-west to south-east cline.</w:t>
            </w:r>
          </w:p>
          <w:p>
            <w:pPr>
              <w:spacing w:after="40" w:line="252" w:lineRule="auto"/>
            </w:pPr>
            <w:hyperlink r:id="rId12">
              <w:r>
                <w:rPr>
                  <w:rFonts w:ascii="Calibri" w:hAnsi="Calibri" w:cs="Calibri"/>
                  <w:sz w:val="18"/>
                  <w:color w:val="1155CC"/>
                  <w:u w:val="single"/>
                </w:rPr>
                <w:t xml:space="preserve">biorxiv.org - Evolution of lactase persistence, South Asian genomes</w:t>
              </w:r>
            </w:hyperlink>
          </w:p>
          <w:p>
            <w:pPr>
              <w:spacing w:before="60" w:after="40"/>
            </w:pPr>
            <w:r>
              <w:rPr>
                <w:rFonts w:ascii="Calibri" w:hAnsi="Calibri"/>
                <w:b w:val="0"/>
                <w:i w:val="0"/>
                <w:color w:val="5A5A5A"/>
                <w:sz w:val="18"/>
              </w:rPr>
              <w:t>#eastindia  #northeast  #tribal  #nonpersistence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Pastoralist communities (Toda, Gujjar)</w:t>
            </w:r>
          </w:p>
        </w:tc>
        <w:tc>
          <w:tcPr>
            <w:tcW w:type="dxa" w:w="4276"/>
            <w:vAlign w:val="top"/>
          </w:tcPr>
          <w:p>
            <w:pPr>
              <w:spacing w:after="60" w:line="259" w:lineRule="auto"/>
            </w:pPr>
            <w:r>
              <w:rPr>
                <w:rFonts w:ascii="Calibri" w:hAnsi="Calibri"/>
                <w:b w:val="0"/>
                <w:i w:val="0"/>
                <w:color w:val="212121"/>
                <w:sz w:val="19"/>
              </w:rPr>
              <w:t>Traditional milk-dependent pastoralist groups show exceptionally high lactase persistence from strong selection and Steppe ancestry, tolerating milk well despite living within high-non-persistence regions.</w:t>
            </w:r>
          </w:p>
          <w:p>
            <w:pPr>
              <w:spacing w:after="40" w:before="60" w:line="259" w:lineRule="auto"/>
            </w:pPr>
            <w:r>
              <w:rPr>
                <w:rFonts w:ascii="Calibri" w:hAnsi="Calibri"/>
                <w:b w:val="0"/>
                <w:i w:val="0"/>
                <w:color w:val="212121"/>
                <w:sz w:val="19"/>
              </w:rPr>
              <w:t>Lactase-persistence trait reaches ~89% in the Toda of South India and ~90% in Gujjar pastoralists.</w:t>
            </w:r>
          </w:p>
          <w:p>
            <w:pPr>
              <w:spacing w:after="40" w:line="252" w:lineRule="auto"/>
            </w:pPr>
            <w:hyperlink r:id="rId12">
              <w:r>
                <w:rPr>
                  <w:rFonts w:ascii="Calibri" w:hAnsi="Calibri" w:cs="Calibri"/>
                  <w:sz w:val="18"/>
                  <w:color w:val="1155CC"/>
                  <w:u w:val="single"/>
                </w:rPr>
                <w:t xml:space="preserve">biorxiv.org - Evolution of lactase persistence, South Asian genomes</w:t>
              </w:r>
            </w:hyperlink>
          </w:p>
          <w:p>
            <w:pPr>
              <w:spacing w:before="60" w:after="40"/>
            </w:pPr>
            <w:r>
              <w:rPr>
                <w:rFonts w:ascii="Calibri" w:hAnsi="Calibri"/>
                <w:b w:val="0"/>
                <w:i w:val="0"/>
                <w:color w:val="5A5A5A"/>
                <w:sz w:val="18"/>
              </w:rPr>
              <w:t>#pastoralist  #toda  #gujjar  #lactasepersistence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alcohol users</w:t>
            </w:r>
          </w:p>
        </w:tc>
        <w:tc>
          <w:tcPr>
            <w:tcW w:type="dxa" w:w="4276"/>
            <w:vAlign w:val="top"/>
          </w:tcPr>
          <w:p>
            <w:pPr>
              <w:spacing w:after="60" w:line="259" w:lineRule="auto"/>
            </w:pPr>
            <w:r>
              <w:rPr>
                <w:rFonts w:ascii="Calibri" w:hAnsi="Calibri"/>
                <w:b w:val="0"/>
                <w:i w:val="0"/>
                <w:color w:val="212121"/>
                <w:sz w:val="19"/>
              </w:rPr>
              <w:t>Chronic heavy alcohol intake injures the small-bowel mucosa and can precipitate secondary lactase deficiency, while also aggravating functional GI symptoms and diarrhoea.</w:t>
            </w:r>
          </w:p>
          <w:p>
            <w:pPr>
              <w:spacing w:after="40" w:before="60" w:line="259" w:lineRule="auto"/>
            </w:pPr>
            <w:r>
              <w:rPr>
                <w:rFonts w:ascii="Calibri" w:hAnsi="Calibri"/>
                <w:b w:val="0"/>
                <w:i w:val="0"/>
                <w:color w:val="212121"/>
                <w:sz w:val="19"/>
              </w:rPr>
              <w:t>Mucosal injury from any cause, including alcohol, reduces brush-border lactase and produces acquired lactose intolerance that may reverse on recovery.</w:t>
            </w:r>
          </w:p>
          <w:p>
            <w:pPr>
              <w:spacing w:after="40" w:line="252" w:lineRule="auto"/>
            </w:pPr>
            <w:hyperlink r:id="rId9">
              <w:r>
                <w:rPr>
                  <w:rFonts w:ascii="Calibri" w:hAnsi="Calibri" w:cs="Calibri"/>
                  <w:sz w:val="18"/>
                  <w:color w:val="1155CC"/>
                  <w:u w:val="single"/>
                </w:rPr>
                <w:t xml:space="preserve">ncbi.nlm.nih.gov - StatPearls: Lactose Intolerance</w:t>
              </w:r>
            </w:hyperlink>
          </w:p>
          <w:p>
            <w:pPr>
              <w:spacing w:before="60" w:after="40"/>
            </w:pPr>
            <w:r>
              <w:rPr>
                <w:rFonts w:ascii="Calibri" w:hAnsi="Calibri"/>
                <w:b w:val="0"/>
                <w:i w:val="0"/>
                <w:color w:val="5A5A5A"/>
                <w:sz w:val="18"/>
              </w:rPr>
              <w:t>#alcohol  #mucosalinjury  #secondary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Dairy avoidance</w:t>
            </w:r>
          </w:p>
        </w:tc>
        <w:tc>
          <w:tcPr>
            <w:tcW w:type="dxa" w:w="2160"/>
            <w:vAlign w:val="top"/>
          </w:tcPr>
          <w:p>
            <w:pPr>
              <w:spacing w:after="40" w:before="0" w:line="259" w:lineRule="auto"/>
            </w:pPr>
            <w:r>
              <w:rPr>
                <w:rFonts w:ascii="Calibri" w:hAnsi="Calibri"/>
                <w:b w:val="0"/>
                <w:i w:val="0"/>
                <w:color w:val="212121"/>
                <w:sz w:val="19"/>
              </w:rPr>
              <w:t>Strict long-term dairy avoiders</w:t>
            </w:r>
          </w:p>
        </w:tc>
        <w:tc>
          <w:tcPr>
            <w:tcW w:type="dxa" w:w="4276"/>
            <w:vAlign w:val="top"/>
          </w:tcPr>
          <w:p>
            <w:pPr>
              <w:spacing w:after="60" w:line="259" w:lineRule="auto"/>
            </w:pPr>
            <w:r>
              <w:rPr>
                <w:rFonts w:ascii="Calibri" w:hAnsi="Calibri"/>
                <w:b w:val="0"/>
                <w:i w:val="0"/>
                <w:color w:val="212121"/>
                <w:sz w:val="19"/>
              </w:rPr>
              <w:t>Prolonged complete dairy avoidance reduces colonic bacterial adaptation to lactose, so symptoms can paradoxically worsen on re-exposure; gradual reintroduction improves tolerance.</w:t>
            </w:r>
          </w:p>
          <w:p>
            <w:pPr>
              <w:spacing w:after="40" w:before="60" w:line="259" w:lineRule="auto"/>
            </w:pPr>
            <w:r>
              <w:rPr>
                <w:rFonts w:ascii="Calibri" w:hAnsi="Calibri"/>
                <w:b w:val="0"/>
                <w:i w:val="0"/>
                <w:color w:val="212121"/>
                <w:sz w:val="19"/>
              </w:rPr>
              <w:t>Most malabsorbers tolerate about 12 g lactose (250 mL milk) as a single dose and up to 24 g/day if spread out and taken with food.</w:t>
            </w:r>
          </w:p>
          <w:p>
            <w:pPr>
              <w:spacing w:after="40" w:line="252" w:lineRule="auto"/>
            </w:pPr>
            <w:hyperlink r:id="rId13">
              <w:r>
                <w:rPr>
                  <w:rFonts w:ascii="Calibri" w:hAnsi="Calibri" w:cs="Calibri"/>
                  <w:sz w:val="18"/>
                  <w:color w:val="1155CC"/>
                  <w:u w:val="single"/>
                </w:rPr>
                <w:t xml:space="preserve">ncbi.nlm.nih.gov - InformedHealth: what can lactose-intolerant people eat</w:t>
              </w:r>
            </w:hyperlink>
          </w:p>
          <w:p>
            <w:pPr>
              <w:spacing w:before="60" w:after="40"/>
            </w:pPr>
            <w:r>
              <w:rPr>
                <w:rFonts w:ascii="Calibri" w:hAnsi="Calibri"/>
                <w:b w:val="0"/>
                <w:i w:val="0"/>
                <w:color w:val="5A5A5A"/>
                <w:sz w:val="18"/>
              </w:rPr>
              <w:t>#colonicadaptation  #reintroduction  #tolerance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Merge w:val="restart"/>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Fluid-milk &amp; milk-sweet consumers</w:t>
            </w:r>
          </w:p>
        </w:tc>
        <w:tc>
          <w:tcPr>
            <w:tcW w:type="dxa" w:w="4276"/>
            <w:vAlign w:val="top"/>
          </w:tcPr>
          <w:p>
            <w:pPr>
              <w:spacing w:after="60" w:line="259" w:lineRule="auto"/>
            </w:pPr>
            <w:r>
              <w:rPr>
                <w:rFonts w:ascii="Calibri" w:hAnsi="Calibri"/>
                <w:b w:val="0"/>
                <w:i w:val="0"/>
                <w:color w:val="212121"/>
                <w:sz w:val="19"/>
              </w:rPr>
              <w:t>A large lactose bolus - a full glass of milk, milk-based Indian sweets, kheer, milkshakes, or tea/coffee with abundant milk on an empty stomach - exceeds residual lactase and provokes symptoms, whereas fermented dairy is better tolerated.</w:t>
            </w:r>
          </w:p>
          <w:p>
            <w:pPr>
              <w:spacing w:after="40" w:before="60" w:line="259" w:lineRule="auto"/>
            </w:pPr>
            <w:r>
              <w:rPr>
                <w:rFonts w:ascii="Calibri" w:hAnsi="Calibri"/>
                <w:b w:val="0"/>
                <w:i w:val="0"/>
                <w:color w:val="212121"/>
                <w:sz w:val="19"/>
              </w:rPr>
              <w:t>Symptoms typically appear when a single lactose dose exceeds about 12 g (roughly 250 mL of milk).</w:t>
            </w:r>
          </w:p>
          <w:p>
            <w:pPr>
              <w:spacing w:after="40" w:line="252" w:lineRule="auto"/>
            </w:pPr>
            <w:hyperlink r:id="rId13">
              <w:r>
                <w:rPr>
                  <w:rFonts w:ascii="Calibri" w:hAnsi="Calibri" w:cs="Calibri"/>
                  <w:sz w:val="18"/>
                  <w:color w:val="1155CC"/>
                  <w:u w:val="single"/>
                </w:rPr>
                <w:t xml:space="preserve">ncbi.nlm.nih.gov - InformedHealth: what can lactose-intolerant people eat</w:t>
              </w:r>
            </w:hyperlink>
          </w:p>
          <w:p>
            <w:pPr>
              <w:spacing w:before="60" w:after="40"/>
            </w:pPr>
            <w:r>
              <w:rPr>
                <w:rFonts w:ascii="Calibri" w:hAnsi="Calibri"/>
                <w:b w:val="0"/>
                <w:i w:val="0"/>
                <w:color w:val="5A5A5A"/>
                <w:sz w:val="18"/>
              </w:rPr>
              <w:t>#fluidmilk  #milksweets  #lactoseload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Milk-reliant vs fermented-dairy diets</w:t>
            </w:r>
          </w:p>
        </w:tc>
        <w:tc>
          <w:tcPr>
            <w:tcW w:type="dxa" w:w="4276"/>
            <w:vAlign w:val="top"/>
          </w:tcPr>
          <w:p>
            <w:pPr>
              <w:spacing w:after="60" w:line="259" w:lineRule="auto"/>
            </w:pPr>
            <w:r>
              <w:rPr>
                <w:rFonts w:ascii="Calibri" w:hAnsi="Calibri"/>
                <w:b w:val="0"/>
                <w:i w:val="0"/>
                <w:color w:val="212121"/>
                <w:sz w:val="19"/>
              </w:rPr>
              <w:t>Fermentation lowers lactose content: curd (dahi), buttermilk (chaas), lassi, paneer and hard/aged cheeses contain far less lactose than fluid milk and are traditionally better tolerated across India.</w:t>
            </w:r>
          </w:p>
          <w:p>
            <w:pPr>
              <w:spacing w:after="40" w:before="60" w:line="259" w:lineRule="auto"/>
            </w:pPr>
            <w:r>
              <w:rPr>
                <w:rFonts w:ascii="Calibri" w:hAnsi="Calibri"/>
                <w:b w:val="0"/>
                <w:i w:val="0"/>
                <w:color w:val="212121"/>
                <w:sz w:val="19"/>
              </w:rPr>
              <w:t>The more fermented a milk product, the less lactose it contains; hard and mature cheeses may contain little or no lactose.</w:t>
            </w:r>
          </w:p>
          <w:p>
            <w:pPr>
              <w:spacing w:after="40" w:line="252" w:lineRule="auto"/>
            </w:pPr>
            <w:hyperlink r:id="rId13">
              <w:r>
                <w:rPr>
                  <w:rFonts w:ascii="Calibri" w:hAnsi="Calibri" w:cs="Calibri"/>
                  <w:sz w:val="18"/>
                  <w:color w:val="1155CC"/>
                  <w:u w:val="single"/>
                </w:rPr>
                <w:t xml:space="preserve">ncbi.nlm.nih.gov - InformedHealth: what can lactose-intolerant people eat</w:t>
              </w:r>
            </w:hyperlink>
          </w:p>
          <w:p>
            <w:pPr>
              <w:spacing w:before="60" w:after="40"/>
            </w:pPr>
            <w:r>
              <w:rPr>
                <w:rFonts w:ascii="Calibri" w:hAnsi="Calibri"/>
                <w:b w:val="0"/>
                <w:i w:val="0"/>
                <w:color w:val="5A5A5A"/>
                <w:sz w:val="18"/>
              </w:rPr>
              <w:t>#curd  #fermented  #buttermilk  #paneer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 lactose intake</w:t>
            </w:r>
          </w:p>
        </w:tc>
        <w:tc>
          <w:tcPr>
            <w:tcW w:type="dxa" w:w="2160"/>
            <w:vAlign w:val="top"/>
          </w:tcPr>
          <w:p>
            <w:pPr>
              <w:spacing w:after="40" w:before="0" w:line="259" w:lineRule="auto"/>
            </w:pPr>
            <w:r>
              <w:rPr>
                <w:rFonts w:ascii="Calibri" w:hAnsi="Calibri"/>
                <w:b w:val="0"/>
                <w:i w:val="0"/>
                <w:color w:val="212121"/>
                <w:sz w:val="19"/>
              </w:rPr>
              <w:t>Habitual high-lactose consumers (≥ 26 g/day)</w:t>
            </w:r>
          </w:p>
        </w:tc>
        <w:tc>
          <w:tcPr>
            <w:tcW w:type="dxa" w:w="4276"/>
            <w:vAlign w:val="top"/>
          </w:tcPr>
          <w:p>
            <w:pPr>
              <w:spacing w:after="60" w:line="259" w:lineRule="auto"/>
            </w:pPr>
            <w:r>
              <w:rPr>
                <w:rFonts w:ascii="Calibri" w:hAnsi="Calibri"/>
                <w:b w:val="0"/>
                <w:i w:val="0"/>
                <w:color w:val="212121"/>
                <w:sz w:val="19"/>
              </w:rPr>
              <w:t>Higher habitual lactose intake correlates with greater symptom frequency; a daily lactose load above tolerance thresholds sustains osmotic and fermentative symptoms.</w:t>
            </w:r>
          </w:p>
          <w:p>
            <w:pPr>
              <w:spacing w:after="40" w:before="60" w:line="259" w:lineRule="auto"/>
            </w:pPr>
            <w:r>
              <w:rPr>
                <w:rFonts w:ascii="Calibri" w:hAnsi="Calibri"/>
                <w:b w:val="0"/>
                <w:i w:val="0"/>
                <w:color w:val="212121"/>
                <w:sz w:val="19"/>
              </w:rPr>
              <w:t>In an Indian IBS cohort, habitual lactose intake ≥ 26 g/day was significantly associated with more frequent symptoms (p &lt; 0.001).</w:t>
            </w:r>
          </w:p>
          <w:p>
            <w:pPr>
              <w:spacing w:after="40" w:line="252" w:lineRule="auto"/>
            </w:pPr>
            <w:hyperlink r:id="rId14">
              <w:r>
                <w:rPr>
                  <w:rFonts w:ascii="Calibri" w:hAnsi="Calibri" w:cs="Calibri"/>
                  <w:sz w:val="18"/>
                  <w:color w:val="1155CC"/>
                  <w:u w:val="single"/>
                </w:rPr>
                <w:t xml:space="preserve">cureus.com - Lactose intolerance in IBS, Indian cohort</w:t>
              </w:r>
            </w:hyperlink>
          </w:p>
          <w:p>
            <w:pPr>
              <w:spacing w:before="60" w:after="40"/>
            </w:pPr>
            <w:r>
              <w:rPr>
                <w:rFonts w:ascii="Calibri" w:hAnsi="Calibri"/>
                <w:b w:val="0"/>
                <w:i w:val="0"/>
                <w:color w:val="5A5A5A"/>
                <w:sz w:val="18"/>
              </w:rPr>
              <w:t>#dailyintake  #threshold  #IBS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Genotype</w:t>
            </w:r>
          </w:p>
        </w:tc>
        <w:tc>
          <w:tcPr>
            <w:tcW w:type="dxa" w:w="2160"/>
            <w:vAlign w:val="top"/>
          </w:tcPr>
          <w:p>
            <w:pPr>
              <w:spacing w:after="40" w:before="0" w:line="259" w:lineRule="auto"/>
            </w:pPr>
            <w:r>
              <w:rPr>
                <w:rFonts w:ascii="Calibri" w:hAnsi="Calibri"/>
                <w:b w:val="0"/>
                <w:i w:val="0"/>
                <w:color w:val="212121"/>
                <w:sz w:val="19"/>
              </w:rPr>
              <w:t>MCM6/LCT -13910 C/C carriers</w:t>
            </w:r>
          </w:p>
        </w:tc>
        <w:tc>
          <w:tcPr>
            <w:tcW w:type="dxa" w:w="4276"/>
            <w:vAlign w:val="top"/>
          </w:tcPr>
          <w:p>
            <w:pPr>
              <w:spacing w:after="60" w:line="259" w:lineRule="auto"/>
            </w:pPr>
            <w:r>
              <w:rPr>
                <w:rFonts w:ascii="Calibri" w:hAnsi="Calibri"/>
                <w:b w:val="0"/>
                <w:i w:val="0"/>
                <w:color w:val="212121"/>
                <w:sz w:val="19"/>
              </w:rPr>
              <w:t>The C/C genotype at the MCM6 -13910 regulatory variant fails to sustain LCT (lactase) transcription after weaning - the molecular basis of primary adult-type hypolactasia; C/T and T/T confer persistence.</w:t>
            </w:r>
          </w:p>
          <w:p>
            <w:pPr>
              <w:spacing w:after="40" w:before="60" w:line="259" w:lineRule="auto"/>
            </w:pPr>
            <w:r>
              <w:rPr>
                <w:rFonts w:ascii="Calibri" w:hAnsi="Calibri"/>
                <w:b w:val="0"/>
                <w:i w:val="0"/>
                <w:color w:val="212121"/>
                <w:sz w:val="19"/>
              </w:rPr>
              <w:t>Genotype-phenotype correlation: T/T = lactase persistence, C/T = partial activity, C/C = lactase non-persistence.</w:t>
            </w:r>
          </w:p>
          <w:p>
            <w:pPr>
              <w:spacing w:after="40" w:line="252" w:lineRule="auto"/>
            </w:pPr>
            <w:hyperlink r:id="rId9">
              <w:r>
                <w:rPr>
                  <w:rFonts w:ascii="Calibri" w:hAnsi="Calibri" w:cs="Calibri"/>
                  <w:sz w:val="18"/>
                  <w:color w:val="1155CC"/>
                  <w:u w:val="single"/>
                </w:rPr>
                <w:t xml:space="preserve">ncbi.nlm.nih.gov - StatPearls: Lactose Intolerance</w:t>
              </w:r>
            </w:hyperlink>
          </w:p>
          <w:p>
            <w:pPr>
              <w:spacing w:before="60" w:after="40"/>
            </w:pPr>
            <w:r>
              <w:rPr>
                <w:rFonts w:ascii="Calibri" w:hAnsi="Calibri"/>
                <w:b w:val="0"/>
                <w:i w:val="0"/>
                <w:color w:val="5A5A5A"/>
                <w:sz w:val="18"/>
              </w:rPr>
              <w:t>#LCT  #MCM6  #13910  #genotype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Positive family history / non-dairying ancestry</w:t>
            </w:r>
          </w:p>
        </w:tc>
        <w:tc>
          <w:tcPr>
            <w:tcW w:type="dxa" w:w="4276"/>
            <w:vAlign w:val="top"/>
          </w:tcPr>
          <w:p>
            <w:pPr>
              <w:spacing w:after="60" w:line="259" w:lineRule="auto"/>
            </w:pPr>
            <w:r>
              <w:rPr>
                <w:rFonts w:ascii="Calibri" w:hAnsi="Calibri"/>
                <w:b w:val="0"/>
                <w:i w:val="0"/>
                <w:color w:val="212121"/>
                <w:sz w:val="19"/>
              </w:rPr>
              <w:t>Primary lactase non-persistence is inherited in an autosomal-recessive pattern for the low-lactase trait; Dravidian, eastern and tribal ancestry markedly raise the probability of non-persistence.</w:t>
            </w:r>
          </w:p>
          <w:p>
            <w:pPr>
              <w:spacing w:after="40" w:before="60" w:line="259" w:lineRule="auto"/>
            </w:pPr>
            <w:r>
              <w:rPr>
                <w:rFonts w:ascii="Calibri" w:hAnsi="Calibri"/>
                <w:b w:val="0"/>
                <w:i w:val="0"/>
                <w:color w:val="212121"/>
                <w:sz w:val="19"/>
              </w:rPr>
              <w:t>Lactase-persistence genotype frequency varies widely across Indian regional groups and tracks traditional milk consumption.</w:t>
            </w:r>
          </w:p>
          <w:p>
            <w:pPr>
              <w:spacing w:after="40" w:line="252" w:lineRule="auto"/>
            </w:pPr>
            <w:hyperlink r:id="rId15">
              <w:r>
                <w:rPr>
                  <w:rFonts w:ascii="Calibri" w:hAnsi="Calibri" w:cs="Calibri"/>
                  <w:sz w:val="18"/>
                  <w:color w:val="1155CC"/>
                  <w:u w:val="single"/>
                </w:rPr>
                <w:t xml:space="preserve">pubmed.ncbi.nlm.nih.gov/23030683 - lactase persistence in regional groups of India</w:t>
              </w:r>
            </w:hyperlink>
          </w:p>
          <w:p>
            <w:pPr>
              <w:spacing w:before="60" w:after="40"/>
            </w:pPr>
            <w:r>
              <w:rPr>
                <w:rFonts w:ascii="Calibri" w:hAnsi="Calibri"/>
                <w:b w:val="0"/>
                <w:i w:val="0"/>
                <w:color w:val="5A5A5A"/>
                <w:sz w:val="18"/>
              </w:rPr>
              <w:t>#familyhistory  #ancestry  #inherited</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Irritable bowel syndrome</w:t>
            </w:r>
          </w:p>
        </w:tc>
        <w:tc>
          <w:tcPr>
            <w:tcW w:type="dxa" w:w="2160"/>
            <w:vAlign w:val="top"/>
          </w:tcPr>
          <w:p>
            <w:pPr>
              <w:spacing w:after="40" w:before="0" w:line="259" w:lineRule="auto"/>
            </w:pPr>
            <w:r>
              <w:rPr>
                <w:rFonts w:ascii="Calibri" w:hAnsi="Calibri"/>
                <w:b w:val="0"/>
                <w:i w:val="0"/>
                <w:color w:val="212121"/>
                <w:sz w:val="19"/>
              </w:rPr>
              <w:t>Patients with IBS (especially IBS-D)</w:t>
            </w:r>
          </w:p>
        </w:tc>
        <w:tc>
          <w:tcPr>
            <w:tcW w:type="dxa" w:w="4276"/>
            <w:vAlign w:val="top"/>
          </w:tcPr>
          <w:p>
            <w:pPr>
              <w:spacing w:after="60" w:line="259" w:lineRule="auto"/>
            </w:pPr>
            <w:r>
              <w:rPr>
                <w:rFonts w:ascii="Calibri" w:hAnsi="Calibri"/>
                <w:b w:val="0"/>
                <w:i w:val="0"/>
                <w:color w:val="212121"/>
                <w:sz w:val="19"/>
              </w:rPr>
              <w:t>Lactose intolerance overlaps with and aggravates irritable bowel syndrome, especially the diarrhoea-predominant subtype; unrecognised lactose malabsorption inflates IBS symptom burden.</w:t>
            </w:r>
          </w:p>
          <w:p>
            <w:pPr>
              <w:spacing w:after="40" w:before="60" w:line="259" w:lineRule="auto"/>
            </w:pPr>
            <w:r>
              <w:rPr>
                <w:rFonts w:ascii="Calibri" w:hAnsi="Calibri"/>
                <w:b w:val="0"/>
                <w:i w:val="0"/>
                <w:color w:val="212121"/>
                <w:sz w:val="19"/>
              </w:rPr>
              <w:t>Lactose intolerance was present in 38% of Indian IBS patients, with a strong association for IBS-D (OR 5.92, 95% CI 2.1-16.8).</w:t>
            </w:r>
          </w:p>
          <w:p>
            <w:pPr>
              <w:spacing w:after="40" w:line="252" w:lineRule="auto"/>
            </w:pPr>
            <w:hyperlink r:id="rId14">
              <w:r>
                <w:rPr>
                  <w:rFonts w:ascii="Calibri" w:hAnsi="Calibri" w:cs="Calibri"/>
                  <w:sz w:val="18"/>
                  <w:color w:val="1155CC"/>
                  <w:u w:val="single"/>
                </w:rPr>
                <w:t xml:space="preserve">cureus.com - Lactose intolerance in IBS, Indian cohort</w:t>
              </w:r>
            </w:hyperlink>
          </w:p>
          <w:p>
            <w:pPr>
              <w:spacing w:before="60" w:after="40"/>
            </w:pPr>
            <w:r>
              <w:rPr>
                <w:rFonts w:ascii="Calibri" w:hAnsi="Calibri"/>
                <w:b w:val="0"/>
                <w:i w:val="0"/>
                <w:color w:val="5A5A5A"/>
                <w:sz w:val="18"/>
              </w:rPr>
              <w:t>#IBS  #IBSD  #overlap  #FODMAP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Celiac disease</w:t>
            </w:r>
          </w:p>
        </w:tc>
        <w:tc>
          <w:tcPr>
            <w:tcW w:type="dxa" w:w="2160"/>
            <w:vAlign w:val="top"/>
          </w:tcPr>
          <w:p>
            <w:pPr>
              <w:spacing w:after="40" w:before="0" w:line="259" w:lineRule="auto"/>
            </w:pPr>
            <w:r>
              <w:rPr>
                <w:rFonts w:ascii="Calibri" w:hAnsi="Calibri"/>
                <w:b w:val="0"/>
                <w:i w:val="0"/>
                <w:color w:val="212121"/>
                <w:sz w:val="19"/>
              </w:rPr>
              <w:t>Patients with celiac disease / enteropathy</w:t>
            </w:r>
          </w:p>
        </w:tc>
        <w:tc>
          <w:tcPr>
            <w:tcW w:type="dxa" w:w="4276"/>
            <w:vAlign w:val="top"/>
          </w:tcPr>
          <w:p>
            <w:pPr>
              <w:spacing w:after="60" w:line="259" w:lineRule="auto"/>
            </w:pPr>
            <w:r>
              <w:rPr>
                <w:rFonts w:ascii="Calibri" w:hAnsi="Calibri"/>
                <w:b w:val="0"/>
                <w:i w:val="0"/>
                <w:color w:val="212121"/>
                <w:sz w:val="19"/>
              </w:rPr>
              <w:t>Villous atrophy in celiac disease strips the brush border of lactase, producing secondary lactose intolerance; symptoms often improve on a gluten-free diet as the mucosa heals.</w:t>
            </w:r>
          </w:p>
          <w:p>
            <w:pPr>
              <w:spacing w:after="40" w:before="60" w:line="259" w:lineRule="auto"/>
            </w:pPr>
            <w:r>
              <w:rPr>
                <w:rFonts w:ascii="Calibri" w:hAnsi="Calibri"/>
                <w:b w:val="0"/>
                <w:i w:val="0"/>
                <w:color w:val="212121"/>
                <w:sz w:val="19"/>
              </w:rPr>
              <w:t>Secondary lactase deficiency commonly accompanies untreated celiac disease and other enteropathies and is potentially reversible.</w:t>
            </w:r>
          </w:p>
          <w:p>
            <w:pPr>
              <w:spacing w:after="40" w:line="252" w:lineRule="auto"/>
            </w:pPr>
            <w:hyperlink r:id="rId9">
              <w:r>
                <w:rPr>
                  <w:rFonts w:ascii="Calibri" w:hAnsi="Calibri" w:cs="Calibri"/>
                  <w:sz w:val="18"/>
                  <w:color w:val="1155CC"/>
                  <w:u w:val="single"/>
                </w:rPr>
                <w:t xml:space="preserve">ncbi.nlm.nih.gov - StatPearls: Lactose Intolerance</w:t>
              </w:r>
            </w:hyperlink>
          </w:p>
          <w:p>
            <w:pPr>
              <w:spacing w:before="60" w:after="40"/>
            </w:pPr>
            <w:r>
              <w:rPr>
                <w:rFonts w:ascii="Calibri" w:hAnsi="Calibri"/>
                <w:b w:val="0"/>
                <w:i w:val="0"/>
                <w:color w:val="5A5A5A"/>
                <w:sz w:val="18"/>
              </w:rPr>
              <w:t>#celiac  #villousatrophy  #secondary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Acute gastroenteritis / giardiasis</w:t>
            </w:r>
          </w:p>
        </w:tc>
        <w:tc>
          <w:tcPr>
            <w:tcW w:type="dxa" w:w="2160"/>
            <w:vAlign w:val="top"/>
          </w:tcPr>
          <w:p>
            <w:pPr>
              <w:spacing w:after="40" w:before="0" w:line="259" w:lineRule="auto"/>
            </w:pPr>
            <w:r>
              <w:rPr>
                <w:rFonts w:ascii="Calibri" w:hAnsi="Calibri"/>
                <w:b w:val="0"/>
                <w:i w:val="0"/>
                <w:color w:val="212121"/>
                <w:sz w:val="19"/>
              </w:rPr>
              <w:t>Children with recent infectious diarrhoea</w:t>
            </w:r>
          </w:p>
        </w:tc>
        <w:tc>
          <w:tcPr>
            <w:tcW w:type="dxa" w:w="4276"/>
            <w:vAlign w:val="top"/>
          </w:tcPr>
          <w:p>
            <w:pPr>
              <w:spacing w:after="60" w:line="259" w:lineRule="auto"/>
            </w:pPr>
            <w:r>
              <w:rPr>
                <w:rFonts w:ascii="Calibri" w:hAnsi="Calibri"/>
                <w:b w:val="0"/>
                <w:i w:val="0"/>
                <w:color w:val="212121"/>
                <w:sz w:val="19"/>
              </w:rPr>
              <w:t>Rotavirus and other enteric infections and giardiasis transiently damage lactase-rich enterocytes, causing post-infectious lactose intolerance and prolonged diarrhoea, particularly in children - a major issue given India's high enteric-infection burden.</w:t>
            </w:r>
          </w:p>
          <w:p>
            <w:pPr>
              <w:spacing w:after="40" w:before="60" w:line="259" w:lineRule="auto"/>
            </w:pPr>
            <w:r>
              <w:rPr>
                <w:rFonts w:ascii="Calibri" w:hAnsi="Calibri"/>
                <w:b w:val="0"/>
                <w:i w:val="0"/>
                <w:color w:val="212121"/>
                <w:sz w:val="19"/>
              </w:rPr>
              <w:t>Acute infectious diarrhoea is a leading cause of transient secondary lactose intolerance in Indian children.</w:t>
            </w:r>
          </w:p>
          <w:p>
            <w:pPr>
              <w:spacing w:after="40" w:line="252" w:lineRule="auto"/>
            </w:pPr>
            <w:hyperlink r:id="rId9">
              <w:r>
                <w:rPr>
                  <w:rFonts w:ascii="Calibri" w:hAnsi="Calibri" w:cs="Calibri"/>
                  <w:sz w:val="18"/>
                  <w:color w:val="1155CC"/>
                  <w:u w:val="single"/>
                </w:rPr>
                <w:t xml:space="preserve">ncbi.nlm.nih.gov - StatPearls: Lactose Intolerance</w:t>
              </w:r>
            </w:hyperlink>
          </w:p>
          <w:p>
            <w:pPr>
              <w:spacing w:before="60" w:after="40"/>
            </w:pPr>
            <w:r>
              <w:rPr>
                <w:rFonts w:ascii="Calibri" w:hAnsi="Calibri"/>
                <w:b w:val="0"/>
                <w:i w:val="0"/>
                <w:color w:val="5A5A5A"/>
                <w:sz w:val="18"/>
              </w:rPr>
              <w:t>#gastroenteritis  #giardia  #rotavirus  #postinfectious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Inflammatory bowel disease</w:t>
            </w:r>
          </w:p>
        </w:tc>
        <w:tc>
          <w:tcPr>
            <w:tcW w:type="dxa" w:w="2160"/>
            <w:vAlign w:val="top"/>
          </w:tcPr>
          <w:p>
            <w:pPr>
              <w:spacing w:after="40" w:before="0" w:line="259" w:lineRule="auto"/>
            </w:pPr>
            <w:r>
              <w:rPr>
                <w:rFonts w:ascii="Calibri" w:hAnsi="Calibri"/>
                <w:b w:val="0"/>
                <w:i w:val="0"/>
                <w:color w:val="212121"/>
                <w:sz w:val="19"/>
              </w:rPr>
              <w:t>Patients with Crohn's disease / tropical sprue</w:t>
            </w:r>
          </w:p>
        </w:tc>
        <w:tc>
          <w:tcPr>
            <w:tcW w:type="dxa" w:w="4276"/>
            <w:vAlign w:val="top"/>
          </w:tcPr>
          <w:p>
            <w:pPr>
              <w:spacing w:after="60" w:line="259" w:lineRule="auto"/>
            </w:pPr>
            <w:r>
              <w:rPr>
                <w:rFonts w:ascii="Calibri" w:hAnsi="Calibri"/>
                <w:b w:val="0"/>
                <w:i w:val="0"/>
                <w:color w:val="212121"/>
                <w:sz w:val="19"/>
              </w:rPr>
              <w:t>Small-bowel inflammation in Crohn's disease and tropical sprue reduces lactase and, combined with dairy avoidance and corticosteroids, lowers bone mineral density.</w:t>
            </w:r>
          </w:p>
          <w:p>
            <w:pPr>
              <w:spacing w:after="40" w:before="60" w:line="259" w:lineRule="auto"/>
            </w:pPr>
            <w:r>
              <w:rPr>
                <w:rFonts w:ascii="Calibri" w:hAnsi="Calibri"/>
                <w:b w:val="0"/>
                <w:i w:val="0"/>
                <w:color w:val="212121"/>
                <w:sz w:val="19"/>
              </w:rPr>
              <w:t>Milk/lactose intolerance and reduced bone mineral density are documented in Indian inflammatory bowel disease patients.</w:t>
            </w:r>
          </w:p>
          <w:p>
            <w:pPr>
              <w:spacing w:after="40" w:line="252" w:lineRule="auto"/>
            </w:pPr>
            <w:hyperlink r:id="rId16">
              <w:r>
                <w:rPr>
                  <w:rFonts w:ascii="Calibri" w:hAnsi="Calibri" w:cs="Calibri"/>
                  <w:sz w:val="18"/>
                  <w:color w:val="1155CC"/>
                  <w:u w:val="single"/>
                </w:rPr>
                <w:t xml:space="preserve">pubmed.ncbi.nlm.nih.gov/23998861 - lactose intolerance &amp; BMD in Indian IBD</w:t>
              </w:r>
            </w:hyperlink>
          </w:p>
          <w:p>
            <w:pPr>
              <w:spacing w:before="60" w:after="40"/>
            </w:pPr>
            <w:r>
              <w:rPr>
                <w:rFonts w:ascii="Calibri" w:hAnsi="Calibri"/>
                <w:b w:val="0"/>
                <w:i w:val="0"/>
                <w:color w:val="5A5A5A"/>
                <w:sz w:val="18"/>
              </w:rPr>
              <w:t>#IBD  #crohns  #tropicalsprue  #BMD</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causal, but weight-bearing and resistance activity protects bone mineral density in dairy avoiders and supports gut motility; inactivity compounds osteoporosis risk from low calcium intake.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central driver: symptoms depend on lactose dose, type of dairy (fluid milk vs fermented), degree of fermentation and whether dairy is taken with other food. Single doses above ~12 g commonly provoke symptoms.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heightens gut-brain sensitivity and functional GI symptom perception, particularly where IBS overlaps, but does not cause lactase deficiency.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Limited direct evidence; smoking may aggravate functional gastrointestinal symptoms and accelerates bone loss that compounds dairy-avoidance calcium deficiency.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heavy alcohol intake injures small-bowel mucosa and can precipitate or worsen secondary lactase deficiency, while aggravating diarrhoea and functional symptoms.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Anxiety and stress amplify visceral hypersensitivity and symptom perception via the gut-brain axis; overlap with IBS is common and fear-driven total dairy exclusion is frequent.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is important to offset osmotic diarrhoea and prevent dehydration (especially in infants and severe cases) but does not influence the underlying enzyme deficiency.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Coffee/tea are often consumed with milk (delivering a lactose load) and caffeine stimulates colonic motility, which can worsen diarrhoea in symptomatic individuals.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Food and water hygiene prevents enteric infections (rotavirus, giardiasis) that cause secondary lactase deficiency - relevant given India's high enteric-infection burden.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 large lactose bolus, an intercurrent gastrointestinal infection, antibiotic-associated mucosal disturbance or a course of chemotherapy can precipitate or unmask symptoms.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Single-dose lactose (g)</w:t>
            </w:r>
          </w:p>
        </w:tc>
        <w:tc>
          <w:tcPr>
            <w:tcW w:type="dxa" w:w="1655"/>
            <w:vAlign w:val="top"/>
          </w:tcPr>
          <w:p>
            <w:pPr>
              <w:spacing w:after="40" w:before="0" w:line="259" w:lineRule="auto"/>
            </w:pPr>
            <w:r>
              <w:rPr>
                <w:rFonts w:ascii="Calibri" w:hAnsi="Calibri"/>
                <w:b w:val="0"/>
                <w:i w:val="0"/>
                <w:color w:val="212121"/>
                <w:sz w:val="19"/>
              </w:rPr>
              <w:t>Symptomatic malabsorbers</w:t>
            </w:r>
          </w:p>
        </w:tc>
        <w:tc>
          <w:tcPr>
            <w:tcW w:type="dxa" w:w="1512"/>
            <w:vAlign w:val="top"/>
          </w:tcPr>
          <w:p>
            <w:pPr>
              <w:spacing w:after="40" w:before="0" w:line="259" w:lineRule="auto"/>
            </w:pPr>
            <w:r>
              <w:rPr>
                <w:rFonts w:ascii="Calibri" w:hAnsi="Calibri"/>
                <w:b w:val="0"/>
                <w:i w:val="0"/>
                <w:color w:val="212121"/>
                <w:sz w:val="19"/>
              </w:rPr>
              <w:t>≤ 12 g (~250 mL milk)</w:t>
            </w:r>
          </w:p>
        </w:tc>
        <w:tc>
          <w:tcPr>
            <w:tcW w:type="dxa" w:w="1512"/>
            <w:vAlign w:val="top"/>
          </w:tcPr>
          <w:p>
            <w:pPr>
              <w:spacing w:after="40" w:before="0" w:line="259" w:lineRule="auto"/>
            </w:pPr>
            <w:r>
              <w:rPr>
                <w:rFonts w:ascii="Calibri" w:hAnsi="Calibri"/>
                <w:b w:val="0"/>
                <w:i w:val="0"/>
                <w:color w:val="212121"/>
                <w:sz w:val="19"/>
              </w:rPr>
              <w:t>&gt; 12 g as a bolus</w:t>
            </w:r>
          </w:p>
        </w:tc>
        <w:tc>
          <w:tcPr>
            <w:tcW w:type="dxa" w:w="1468"/>
            <w:vAlign w:val="top"/>
          </w:tcPr>
          <w:p>
            <w:pPr>
              <w:spacing w:after="60" w:line="259" w:lineRule="auto"/>
            </w:pPr>
            <w:r>
              <w:rPr>
                <w:rFonts w:ascii="Calibri" w:hAnsi="Calibri"/>
                <w:b w:val="0"/>
                <w:i w:val="0"/>
                <w:color w:val="212121"/>
                <w:sz w:val="19"/>
              </w:rPr>
              <w:t>Doses above ~12 g at once commonly provoke symptoms; taking dairy with food raises tolerance.</w:t>
            </w:r>
          </w:p>
          <w:p>
            <w:pPr>
              <w:spacing w:after="40" w:line="252" w:lineRule="auto"/>
            </w:pPr>
            <w:hyperlink r:id="rId13">
              <w:r>
                <w:rPr>
                  <w:rFonts w:ascii="Calibri" w:hAnsi="Calibri" w:cs="Calibri"/>
                  <w:sz w:val="18"/>
                  <w:color w:val="1155CC"/>
                  <w:u w:val="single"/>
                </w:rPr>
                <w:t xml:space="preserve">https://www.ncbi.nlm.nih.gov/books/NBK534631/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Total daily lactose (g/day)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24 g/day, spread out</w:t>
            </w:r>
          </w:p>
        </w:tc>
        <w:tc>
          <w:tcPr>
            <w:tcW w:type="dxa" w:w="1512"/>
            <w:vAlign w:val="top"/>
          </w:tcPr>
          <w:p>
            <w:pPr>
              <w:spacing w:after="40" w:before="0" w:line="259" w:lineRule="auto"/>
            </w:pPr>
            <w:r>
              <w:rPr>
                <w:rFonts w:ascii="Calibri" w:hAnsi="Calibri"/>
                <w:b w:val="0"/>
                <w:i w:val="0"/>
                <w:color w:val="212121"/>
                <w:sz w:val="19"/>
              </w:rPr>
              <w:t>≥ 26 g/day or large single boluses</w:t>
            </w:r>
          </w:p>
        </w:tc>
        <w:tc>
          <w:tcPr>
            <w:tcW w:type="dxa" w:w="1468"/>
            <w:vAlign w:val="top"/>
          </w:tcPr>
          <w:p>
            <w:pPr>
              <w:spacing w:after="60" w:line="259" w:lineRule="auto"/>
            </w:pPr>
            <w:r>
              <w:rPr>
                <w:rFonts w:ascii="Calibri" w:hAnsi="Calibri"/>
                <w:b w:val="0"/>
                <w:i w:val="0"/>
                <w:color w:val="212121"/>
                <w:sz w:val="19"/>
              </w:rPr>
              <w:t>Higher habitual intake predicts more frequent symptoms.</w:t>
            </w:r>
          </w:p>
          <w:p>
            <w:pPr>
              <w:spacing w:after="40" w:line="252" w:lineRule="auto"/>
            </w:pPr>
            <w:hyperlink r:id="rId14">
              <w:r>
                <w:rPr>
                  <w:rFonts w:ascii="Calibri" w:hAnsi="Calibri" w:cs="Calibri"/>
                  <w:sz w:val="18"/>
                  <w:color w:val="1155CC"/>
                  <w:u w:val="single"/>
                </w:rPr>
                <w:t xml:space="preserve">https://www.cureus.com/articles/428773-lactose-intolerance-in-irritable-bowel-syndrome-prevalence-subtype-correlations-and-clinical-predictors-in-an-indian-cohort</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Fluid milk per serving (mL)</w:t>
            </w:r>
          </w:p>
        </w:tc>
        <w:tc>
          <w:tcPr>
            <w:tcW w:type="dxa" w:w="1655"/>
            <w:vAlign w:val="top"/>
          </w:tcPr>
          <w:p>
            <w:pPr>
              <w:spacing w:after="40" w:before="0" w:line="259" w:lineRule="auto"/>
            </w:pPr>
            <w:r>
              <w:rPr>
                <w:rFonts w:ascii="Calibri" w:hAnsi="Calibri"/>
                <w:b w:val="0"/>
                <w:i w:val="0"/>
                <w:color w:val="212121"/>
                <w:sz w:val="19"/>
              </w:rPr>
              <w:t>Symptomatic adults</w:t>
            </w:r>
          </w:p>
        </w:tc>
        <w:tc>
          <w:tcPr>
            <w:tcW w:type="dxa" w:w="1512"/>
            <w:vAlign w:val="top"/>
          </w:tcPr>
          <w:p>
            <w:pPr>
              <w:spacing w:after="40" w:before="0" w:line="259" w:lineRule="auto"/>
            </w:pPr>
            <w:r>
              <w:rPr>
                <w:rFonts w:ascii="Calibri" w:hAnsi="Calibri"/>
                <w:b w:val="0"/>
                <w:i w:val="0"/>
                <w:color w:val="212121"/>
                <w:sz w:val="19"/>
              </w:rPr>
              <w:t>≤ 250 mL with a meal</w:t>
            </w:r>
          </w:p>
        </w:tc>
        <w:tc>
          <w:tcPr>
            <w:tcW w:type="dxa" w:w="1512"/>
            <w:vAlign w:val="top"/>
          </w:tcPr>
          <w:p>
            <w:pPr>
              <w:spacing w:after="40" w:before="0" w:line="259" w:lineRule="auto"/>
            </w:pPr>
            <w:r>
              <w:rPr>
                <w:rFonts w:ascii="Calibri" w:hAnsi="Calibri"/>
                <w:b w:val="0"/>
                <w:i w:val="0"/>
                <w:color w:val="212121"/>
                <w:sz w:val="19"/>
              </w:rPr>
              <w:t>&gt; 250 mL on an empty stomach</w:t>
            </w:r>
          </w:p>
        </w:tc>
        <w:tc>
          <w:tcPr>
            <w:tcW w:type="dxa" w:w="1468"/>
            <w:vAlign w:val="top"/>
          </w:tcPr>
          <w:p>
            <w:pPr>
              <w:spacing w:after="60" w:line="259" w:lineRule="auto"/>
            </w:pPr>
            <w:r>
              <w:rPr>
                <w:rFonts w:ascii="Calibri" w:hAnsi="Calibri"/>
                <w:b w:val="0"/>
                <w:i w:val="0"/>
                <w:color w:val="212121"/>
                <w:sz w:val="19"/>
              </w:rPr>
              <w:t>Fermented dairy (curd, buttermilk) is better tolerated than an equivalent volume of fluid milk.</w:t>
            </w:r>
          </w:p>
          <w:p>
            <w:pPr>
              <w:spacing w:after="40" w:line="252" w:lineRule="auto"/>
            </w:pPr>
            <w:hyperlink r:id="rId13">
              <w:r>
                <w:rPr>
                  <w:rFonts w:ascii="Calibri" w:hAnsi="Calibri" w:cs="Calibri"/>
                  <w:sz w:val="18"/>
                  <w:color w:val="1155CC"/>
                  <w:u w:val="single"/>
                </w:rPr>
                <w:t xml:space="preserve">https://www.ncbi.nlm.nih.gov/books/NBK534631/</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Lactose hydrogen breath test (ppm rise)</w:t>
            </w:r>
          </w:p>
        </w:tc>
        <w:tc>
          <w:tcPr>
            <w:tcW w:type="dxa" w:w="1655"/>
            <w:vAlign w:val="top"/>
          </w:tcPr>
          <w:p>
            <w:pPr>
              <w:spacing w:after="40" w:before="0" w:line="259" w:lineRule="auto"/>
            </w:pPr>
            <w:r>
              <w:rPr>
                <w:rFonts w:ascii="Calibri" w:hAnsi="Calibri"/>
                <w:b w:val="0"/>
                <w:i w:val="0"/>
                <w:color w:val="212121"/>
                <w:sz w:val="19"/>
              </w:rPr>
              <w:t>Suspected malabsorbers</w:t>
            </w:r>
          </w:p>
        </w:tc>
        <w:tc>
          <w:tcPr>
            <w:tcW w:type="dxa" w:w="1512"/>
            <w:vAlign w:val="top"/>
          </w:tcPr>
          <w:p>
            <w:pPr>
              <w:spacing w:after="40" w:before="0" w:line="259" w:lineRule="auto"/>
            </w:pPr>
            <w:r>
              <w:rPr>
                <w:rFonts w:ascii="Calibri" w:hAnsi="Calibri"/>
                <w:b w:val="0"/>
                <w:i w:val="0"/>
                <w:color w:val="212121"/>
                <w:sz w:val="19"/>
              </w:rPr>
              <w:t>&lt; 20 ppm above baseline</w:t>
            </w:r>
          </w:p>
        </w:tc>
        <w:tc>
          <w:tcPr>
            <w:tcW w:type="dxa" w:w="1512"/>
            <w:vAlign w:val="top"/>
          </w:tcPr>
          <w:p>
            <w:pPr>
              <w:spacing w:after="40" w:before="0" w:line="259" w:lineRule="auto"/>
            </w:pPr>
            <w:r>
              <w:rPr>
                <w:rFonts w:ascii="Calibri" w:hAnsi="Calibri"/>
                <w:b w:val="0"/>
                <w:i w:val="0"/>
                <w:color w:val="212121"/>
                <w:sz w:val="19"/>
              </w:rPr>
              <w:t>≥ 20 ppm above baseline</w:t>
            </w:r>
          </w:p>
        </w:tc>
        <w:tc>
          <w:tcPr>
            <w:tcW w:type="dxa" w:w="1468"/>
            <w:vAlign w:val="top"/>
          </w:tcPr>
          <w:p>
            <w:pPr>
              <w:spacing w:after="60" w:line="259" w:lineRule="auto"/>
            </w:pPr>
            <w:r>
              <w:rPr>
                <w:rFonts w:ascii="Calibri" w:hAnsi="Calibri"/>
                <w:b w:val="0"/>
                <w:i w:val="0"/>
                <w:color w:val="212121"/>
                <w:sz w:val="19"/>
              </w:rPr>
              <w:t>Most widely used non-invasive test; false negatives occur in non-hydrogen producers.</w:t>
            </w:r>
          </w:p>
          <w:p>
            <w:pPr>
              <w:spacing w:after="40" w:line="252" w:lineRule="auto"/>
            </w:pPr>
            <w:hyperlink r:id="rId9">
              <w:r>
                <w:rPr>
                  <w:rFonts w:ascii="Calibri" w:hAnsi="Calibri" w:cs="Calibri"/>
                  <w:sz w:val="18"/>
                  <w:color w:val="1155CC"/>
                  <w:u w:val="single"/>
                </w:rPr>
                <w:t xml:space="preserve">https://www.ncbi.nlm.nih.gov/books/NBK532285/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Lactose tolerance test (blood glucose rise, mg/dL)</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20 mg/dL over fasting</w:t>
            </w:r>
          </w:p>
        </w:tc>
        <w:tc>
          <w:tcPr>
            <w:tcW w:type="dxa" w:w="1512"/>
            <w:vAlign w:val="top"/>
          </w:tcPr>
          <w:p>
            <w:pPr>
              <w:spacing w:after="40" w:before="0" w:line="259" w:lineRule="auto"/>
            </w:pPr>
            <w:r>
              <w:rPr>
                <w:rFonts w:ascii="Calibri" w:hAnsi="Calibri"/>
                <w:b w:val="0"/>
                <w:i w:val="0"/>
                <w:color w:val="212121"/>
                <w:sz w:val="19"/>
              </w:rPr>
              <w:t>&lt; 20 mg/dL after 50 g lactose</w:t>
            </w:r>
          </w:p>
        </w:tc>
        <w:tc>
          <w:tcPr>
            <w:tcW w:type="dxa" w:w="1468"/>
            <w:vAlign w:val="top"/>
          </w:tcPr>
          <w:p>
            <w:pPr>
              <w:spacing w:after="60" w:line="259" w:lineRule="auto"/>
            </w:pPr>
            <w:r>
              <w:rPr>
                <w:rFonts w:ascii="Calibri" w:hAnsi="Calibri"/>
                <w:b w:val="0"/>
                <w:i w:val="0"/>
                <w:color w:val="212121"/>
                <w:sz w:val="19"/>
              </w:rPr>
              <w:t>Sensitivity ~75%, specificity ~96%.</w:t>
            </w:r>
          </w:p>
          <w:p>
            <w:pPr>
              <w:spacing w:after="40" w:line="252" w:lineRule="auto"/>
            </w:pPr>
            <w:hyperlink r:id="rId9">
              <w:r>
                <w:rPr>
                  <w:rFonts w:ascii="Calibri" w:hAnsi="Calibri" w:cs="Calibri"/>
                  <w:sz w:val="18"/>
                  <w:color w:val="1155CC"/>
                  <w:u w:val="single"/>
                </w:rPr>
                <w:t xml:space="preserve">https://www.ncbi.nlm.nih.gov/books/NBK532285/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Stool pH (infants/children)</w:t>
            </w:r>
          </w:p>
        </w:tc>
        <w:tc>
          <w:tcPr>
            <w:tcW w:type="dxa" w:w="1655"/>
            <w:vAlign w:val="top"/>
          </w:tcPr>
          <w:p>
            <w:pPr>
              <w:spacing w:after="40" w:before="0" w:line="259" w:lineRule="auto"/>
            </w:pPr>
            <w:r>
              <w:rPr>
                <w:rFonts w:ascii="Calibri" w:hAnsi="Calibri"/>
                <w:b w:val="0"/>
                <w:i w:val="0"/>
                <w:color w:val="212121"/>
                <w:sz w:val="19"/>
              </w:rPr>
              <w:t>Children, secondary LI</w:t>
            </w:r>
          </w:p>
        </w:tc>
        <w:tc>
          <w:tcPr>
            <w:tcW w:type="dxa" w:w="1512"/>
            <w:vAlign w:val="top"/>
          </w:tcPr>
          <w:p>
            <w:pPr>
              <w:spacing w:after="40" w:before="0" w:line="259" w:lineRule="auto"/>
            </w:pPr>
            <w:r>
              <w:rPr>
                <w:rFonts w:ascii="Calibri" w:hAnsi="Calibri"/>
                <w:b w:val="0"/>
                <w:i w:val="0"/>
                <w:color w:val="212121"/>
                <w:sz w:val="19"/>
              </w:rPr>
              <w:t>&gt; 5.5</w:t>
            </w:r>
          </w:p>
        </w:tc>
        <w:tc>
          <w:tcPr>
            <w:tcW w:type="dxa" w:w="1512"/>
            <w:vAlign w:val="top"/>
          </w:tcPr>
          <w:p>
            <w:pPr>
              <w:spacing w:after="40" w:before="0" w:line="259" w:lineRule="auto"/>
            </w:pPr>
            <w:r>
              <w:rPr>
                <w:rFonts w:ascii="Calibri" w:hAnsi="Calibri"/>
                <w:b w:val="0"/>
                <w:i w:val="0"/>
                <w:color w:val="212121"/>
                <w:sz w:val="19"/>
              </w:rPr>
              <w:t>&lt; 5.5 with positive reducing substances</w:t>
            </w:r>
          </w:p>
        </w:tc>
        <w:tc>
          <w:tcPr>
            <w:tcW w:type="dxa" w:w="1468"/>
            <w:vAlign w:val="top"/>
          </w:tcPr>
          <w:p>
            <w:pPr>
              <w:spacing w:after="60" w:line="259" w:lineRule="auto"/>
            </w:pPr>
            <w:r>
              <w:rPr>
                <w:rFonts w:ascii="Calibri" w:hAnsi="Calibri"/>
                <w:b w:val="0"/>
                <w:i w:val="0"/>
                <w:color w:val="212121"/>
                <w:sz w:val="19"/>
              </w:rPr>
              <w:t>Simple bedside test in paediatric osmotic diarrhoea.</w:t>
            </w:r>
          </w:p>
          <w:p>
            <w:pPr>
              <w:spacing w:after="40" w:line="252" w:lineRule="auto"/>
            </w:pPr>
            <w:hyperlink r:id="rId9">
              <w:r>
                <w:rPr>
                  <w:rFonts w:ascii="Calibri" w:hAnsi="Calibri" w:cs="Calibri"/>
                  <w:sz w:val="18"/>
                  <w:color w:val="1155CC"/>
                  <w:u w:val="single"/>
                </w:rPr>
                <w:t xml:space="preserve">https://www.ncbi.nlm.nih.gov/books/NBK532285/</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calcium (mg/day)</w:t>
            </w:r>
          </w:p>
        </w:tc>
        <w:tc>
          <w:tcPr>
            <w:tcW w:type="dxa" w:w="1655"/>
            <w:vAlign w:val="top"/>
          </w:tcPr>
          <w:p>
            <w:pPr>
              <w:spacing w:after="40" w:before="0" w:line="259" w:lineRule="auto"/>
            </w:pPr>
            <w:r>
              <w:rPr>
                <w:rFonts w:ascii="Calibri" w:hAnsi="Calibri"/>
                <w:b w:val="0"/>
                <w:i w:val="0"/>
                <w:color w:val="212121"/>
                <w:sz w:val="19"/>
              </w:rPr>
              <w:t>Dairy avoiders</w:t>
            </w:r>
          </w:p>
        </w:tc>
        <w:tc>
          <w:tcPr>
            <w:tcW w:type="dxa" w:w="1512"/>
            <w:vAlign w:val="top"/>
          </w:tcPr>
          <w:p>
            <w:pPr>
              <w:spacing w:after="40" w:before="0" w:line="259" w:lineRule="auto"/>
            </w:pPr>
            <w:r>
              <w:rPr>
                <w:rFonts w:ascii="Calibri" w:hAnsi="Calibri"/>
                <w:b w:val="0"/>
                <w:i w:val="0"/>
                <w:color w:val="212121"/>
                <w:sz w:val="19"/>
              </w:rPr>
              <w:t>~1000 mg/day (ICMR-NIN adult RDA)</w:t>
            </w:r>
          </w:p>
        </w:tc>
        <w:tc>
          <w:tcPr>
            <w:tcW w:type="dxa" w:w="1512"/>
            <w:vAlign w:val="top"/>
          </w:tcPr>
          <w:p>
            <w:pPr>
              <w:spacing w:after="40" w:before="0" w:line="259" w:lineRule="auto"/>
            </w:pPr>
            <w:r>
              <w:rPr>
                <w:rFonts w:ascii="Calibri" w:hAnsi="Calibri"/>
                <w:b w:val="0"/>
                <w:i w:val="0"/>
                <w:color w:val="212121"/>
                <w:sz w:val="19"/>
              </w:rPr>
              <w:t>&lt; 600 mg/day</w:t>
            </w:r>
          </w:p>
        </w:tc>
        <w:tc>
          <w:tcPr>
            <w:tcW w:type="dxa" w:w="1468"/>
            <w:vAlign w:val="top"/>
          </w:tcPr>
          <w:p>
            <w:pPr>
              <w:spacing w:after="40" w:before="0" w:line="259" w:lineRule="auto"/>
            </w:pPr>
            <w:r>
              <w:rPr>
                <w:rFonts w:ascii="Calibri" w:hAnsi="Calibri"/>
                <w:b w:val="0"/>
                <w:i w:val="0"/>
                <w:color w:val="212121"/>
                <w:sz w:val="19"/>
              </w:rPr>
              <w:t>Chronic shortfall risks low bone mineral density; use ragi, til, greens, tofu, small fish.</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25-OH vitamin D (ng/mL)</w:t>
            </w:r>
          </w:p>
        </w:tc>
        <w:tc>
          <w:tcPr>
            <w:tcW w:type="dxa" w:w="1655"/>
            <w:vAlign w:val="top"/>
          </w:tcPr>
          <w:p>
            <w:pPr>
              <w:spacing w:after="40" w:before="0" w:line="259" w:lineRule="auto"/>
            </w:pPr>
            <w:r>
              <w:rPr>
                <w:rFonts w:ascii="Calibri" w:hAnsi="Calibri"/>
                <w:b w:val="0"/>
                <w:i w:val="0"/>
                <w:color w:val="212121"/>
                <w:sz w:val="19"/>
              </w:rPr>
              <w:t>Dairy avoiders, elderly</w:t>
            </w:r>
          </w:p>
        </w:tc>
        <w:tc>
          <w:tcPr>
            <w:tcW w:type="dxa" w:w="1512"/>
            <w:vAlign w:val="top"/>
          </w:tcPr>
          <w:p>
            <w:pPr>
              <w:spacing w:after="40" w:before="0" w:line="259" w:lineRule="auto"/>
            </w:pPr>
            <w:r>
              <w:rPr>
                <w:rFonts w:ascii="Calibri" w:hAnsi="Calibri"/>
                <w:b w:val="0"/>
                <w:i w:val="0"/>
                <w:color w:val="212121"/>
                <w:sz w:val="19"/>
              </w:rPr>
              <w:t>≥ 20-30 ng/mL</w:t>
            </w:r>
          </w:p>
        </w:tc>
        <w:tc>
          <w:tcPr>
            <w:tcW w:type="dxa" w:w="1512"/>
            <w:vAlign w:val="top"/>
          </w:tcPr>
          <w:p>
            <w:pPr>
              <w:spacing w:after="40" w:before="0" w:line="259" w:lineRule="auto"/>
            </w:pPr>
            <w:r>
              <w:rPr>
                <w:rFonts w:ascii="Calibri" w:hAnsi="Calibri"/>
                <w:b w:val="0"/>
                <w:i w:val="0"/>
                <w:color w:val="212121"/>
                <w:sz w:val="19"/>
              </w:rPr>
              <w:t>&lt; 20 ng/mL</w:t>
            </w:r>
          </w:p>
        </w:tc>
        <w:tc>
          <w:tcPr>
            <w:tcW w:type="dxa" w:w="1468"/>
            <w:vAlign w:val="top"/>
          </w:tcPr>
          <w:p>
            <w:pPr>
              <w:spacing w:after="40" w:before="0" w:line="259" w:lineRule="auto"/>
            </w:pPr>
            <w:r>
              <w:rPr>
                <w:rFonts w:ascii="Calibri" w:hAnsi="Calibri"/>
                <w:b w:val="0"/>
                <w:i w:val="0"/>
                <w:color w:val="212121"/>
                <w:sz w:val="19"/>
              </w:rPr>
              <w:t>Deficiency impairs calcium absorption and is highly prevalent in India.</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Weight-bearing exercise (min/week)</w:t>
            </w:r>
          </w:p>
        </w:tc>
        <w:tc>
          <w:tcPr>
            <w:tcW w:type="dxa" w:w="1655"/>
            <w:vAlign w:val="top"/>
          </w:tcPr>
          <w:p>
            <w:pPr>
              <w:spacing w:after="40" w:before="0" w:line="259" w:lineRule="auto"/>
            </w:pPr>
            <w:r>
              <w:rPr>
                <w:rFonts w:ascii="Calibri" w:hAnsi="Calibri"/>
                <w:b w:val="0"/>
                <w:i w:val="0"/>
                <w:color w:val="212121"/>
                <w:sz w:val="19"/>
              </w:rPr>
              <w:t>Osteoporosis-risk avoiders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Protects bone mineral density when dairy calcium intake is low.</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Bone mineral density (T-score)</w:t>
            </w:r>
          </w:p>
        </w:tc>
        <w:tc>
          <w:tcPr>
            <w:tcW w:type="dxa" w:w="1655"/>
            <w:vAlign w:val="top"/>
          </w:tcPr>
          <w:p>
            <w:pPr>
              <w:spacing w:after="40" w:before="0" w:line="259" w:lineRule="auto"/>
            </w:pPr>
            <w:r>
              <w:rPr>
                <w:rFonts w:ascii="Calibri" w:hAnsi="Calibri"/>
                <w:b w:val="0"/>
                <w:i w:val="0"/>
                <w:color w:val="212121"/>
                <w:sz w:val="19"/>
              </w:rPr>
              <w:t>Elderly, chronic dairy avoiders</w:t>
            </w:r>
          </w:p>
        </w:tc>
        <w:tc>
          <w:tcPr>
            <w:tcW w:type="dxa" w:w="1512"/>
            <w:vAlign w:val="top"/>
          </w:tcPr>
          <w:p>
            <w:pPr>
              <w:spacing w:after="40" w:before="0" w:line="259" w:lineRule="auto"/>
            </w:pPr>
            <w:r>
              <w:rPr>
                <w:rFonts w:ascii="Calibri" w:hAnsi="Calibri"/>
                <w:b w:val="0"/>
                <w:i w:val="0"/>
                <w:color w:val="212121"/>
                <w:sz w:val="19"/>
              </w:rPr>
              <w:t>&gt; -1.0</w:t>
            </w:r>
          </w:p>
        </w:tc>
        <w:tc>
          <w:tcPr>
            <w:tcW w:type="dxa" w:w="1512"/>
            <w:vAlign w:val="top"/>
          </w:tcPr>
          <w:p>
            <w:pPr>
              <w:spacing w:after="40" w:before="0" w:line="259" w:lineRule="auto"/>
            </w:pPr>
            <w:r>
              <w:rPr>
                <w:rFonts w:ascii="Calibri" w:hAnsi="Calibri"/>
                <w:b w:val="0"/>
                <w:i w:val="0"/>
                <w:color w:val="212121"/>
                <w:sz w:val="19"/>
              </w:rPr>
              <w:t>≤ -2.5 (osteoporosis)</w:t>
            </w:r>
          </w:p>
        </w:tc>
        <w:tc>
          <w:tcPr>
            <w:tcW w:type="dxa" w:w="1468"/>
            <w:vAlign w:val="top"/>
          </w:tcPr>
          <w:p>
            <w:pPr>
              <w:spacing w:after="40" w:before="0" w:line="259" w:lineRule="auto"/>
            </w:pPr>
            <w:r>
              <w:rPr>
                <w:rFonts w:ascii="Calibri" w:hAnsi="Calibri"/>
                <w:b w:val="0"/>
                <w:i w:val="0"/>
                <w:color w:val="212121"/>
                <w:sz w:val="19"/>
              </w:rPr>
              <w:t>Monitor DXA in long-term dairy avoiders with low calcium/vitamin D.</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Breath analysis</w:t>
            </w:r>
          </w:p>
        </w:tc>
        <w:tc>
          <w:tcPr>
            <w:tcW w:type="dxa" w:w="1036"/>
            <w:vAlign w:val="top"/>
          </w:tcPr>
          <w:p>
            <w:pPr>
              <w:spacing w:after="40" w:before="0" w:line="259" w:lineRule="auto"/>
            </w:pPr>
            <w:r>
              <w:rPr>
                <w:rFonts w:ascii="Calibri" w:hAnsi="Calibri"/>
                <w:b w:val="0"/>
                <w:i w:val="0"/>
                <w:color w:val="212121"/>
                <w:sz w:val="16"/>
              </w:rPr>
              <w:t>Lactose Hydrogen Breath Test</w:t>
            </w:r>
          </w:p>
        </w:tc>
        <w:tc>
          <w:tcPr>
            <w:tcW w:type="dxa" w:w="892"/>
            <w:vAlign w:val="top"/>
          </w:tcPr>
          <w:p>
            <w:pPr>
              <w:spacing w:after="40" w:before="0" w:line="259" w:lineRule="auto"/>
            </w:pPr>
            <w:r>
              <w:rPr>
                <w:rFonts w:ascii="Calibri" w:hAnsi="Calibri"/>
                <w:b w:val="0"/>
                <w:i w:val="0"/>
                <w:color w:val="212121"/>
                <w:sz w:val="16"/>
              </w:rPr>
              <w:t>Breath H2 (ppm)</w:t>
            </w:r>
          </w:p>
        </w:tc>
        <w:tc>
          <w:tcPr>
            <w:tcW w:type="dxa" w:w="950"/>
            <w:vAlign w:val="top"/>
          </w:tcPr>
          <w:p>
            <w:pPr>
              <w:spacing w:after="40" w:before="0" w:line="259" w:lineRule="auto"/>
            </w:pPr>
            <w:r>
              <w:rPr>
                <w:rFonts w:ascii="Calibri" w:hAnsi="Calibri"/>
                <w:b w:val="0"/>
                <w:i w:val="0"/>
                <w:color w:val="212121"/>
                <w:sz w:val="16"/>
              </w:rPr>
              <w:t>&lt; 20 ppm rise above baseline</w:t>
            </w:r>
          </w:p>
        </w:tc>
        <w:tc>
          <w:tcPr>
            <w:tcW w:type="dxa" w:w="950"/>
            <w:vAlign w:val="top"/>
          </w:tcPr>
          <w:p>
            <w:pPr>
              <w:spacing w:after="40" w:before="0" w:line="259" w:lineRule="auto"/>
            </w:pPr>
            <w:r>
              <w:rPr>
                <w:rFonts w:ascii="Calibri" w:hAnsi="Calibri"/>
                <w:b w:val="0"/>
                <w:i w:val="0"/>
                <w:color w:val="212121"/>
                <w:sz w:val="16"/>
              </w:rPr>
              <w:t>≥ 20 ppm rise above baseline</w:t>
            </w:r>
          </w:p>
        </w:tc>
        <w:tc>
          <w:tcPr>
            <w:tcW w:type="dxa" w:w="1036"/>
            <w:vAlign w:val="top"/>
          </w:tcPr>
          <w:p>
            <w:pPr>
              <w:spacing w:after="40" w:before="0" w:line="259" w:lineRule="auto"/>
            </w:pPr>
            <w:r>
              <w:rPr>
                <w:rFonts w:ascii="Calibri" w:hAnsi="Calibri"/>
                <w:b w:val="0"/>
                <w:i w:val="0"/>
                <w:color w:val="212121"/>
                <w:sz w:val="16"/>
              </w:rPr>
              <w:t>Colonic fermentation of malabsorbed lactose; confirms malabsorption</w:t>
            </w:r>
          </w:p>
        </w:tc>
        <w:tc>
          <w:tcPr>
            <w:tcW w:type="dxa" w:w="1036"/>
            <w:vAlign w:val="top"/>
          </w:tcPr>
          <w:p>
            <w:pPr>
              <w:spacing w:after="40" w:before="0" w:line="259" w:lineRule="auto"/>
            </w:pPr>
            <w:r>
              <w:rPr>
                <w:rFonts w:ascii="Calibri" w:hAnsi="Calibri"/>
                <w:b w:val="0"/>
                <w:i w:val="0"/>
                <w:color w:val="212121"/>
                <w:sz w:val="16"/>
              </w:rPr>
              <w:t>Symptomatic adults, IBS-D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Gold standard (non-invasive)</w:t>
            </w:r>
          </w:p>
        </w:tc>
        <w:tc>
          <w:tcPr>
            <w:tcW w:type="dxa" w:w="720"/>
            <w:vAlign w:val="top"/>
          </w:tcPr>
          <w:p>
            <w:pPr>
              <w:spacing w:after="40" w:before="0" w:line="259" w:lineRule="auto"/>
            </w:pPr>
            <w:r>
              <w:rPr>
                <w:rFonts w:ascii="Calibri" w:hAnsi="Calibri"/>
                <w:b w:val="0"/>
                <w:i w:val="0"/>
                <w:color w:val="212121"/>
                <w:sz w:val="16"/>
              </w:rPr>
              <w:t>25-50 g lactose load; recent antibiotics or SIBO can confound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Lactose Tolerance Test</w:t>
            </w:r>
          </w:p>
        </w:tc>
        <w:tc>
          <w:tcPr>
            <w:tcW w:type="dxa" w:w="892"/>
            <w:vAlign w:val="top"/>
          </w:tcPr>
          <w:p>
            <w:pPr>
              <w:spacing w:after="40" w:before="0" w:line="259" w:lineRule="auto"/>
            </w:pPr>
            <w:r>
              <w:rPr>
                <w:rFonts w:ascii="Calibri" w:hAnsi="Calibri"/>
                <w:b w:val="0"/>
                <w:i w:val="0"/>
                <w:color w:val="212121"/>
                <w:sz w:val="16"/>
              </w:rPr>
              <w:t>Blood Glucose (mg/dL)</w:t>
            </w:r>
          </w:p>
        </w:tc>
        <w:tc>
          <w:tcPr>
            <w:tcW w:type="dxa" w:w="950"/>
            <w:vAlign w:val="top"/>
          </w:tcPr>
          <w:p>
            <w:pPr>
              <w:spacing w:after="40" w:before="0" w:line="259" w:lineRule="auto"/>
            </w:pPr>
            <w:r>
              <w:rPr>
                <w:rFonts w:ascii="Calibri" w:hAnsi="Calibri"/>
                <w:b w:val="0"/>
                <w:i w:val="0"/>
                <w:color w:val="212121"/>
                <w:sz w:val="16"/>
              </w:rPr>
              <w:t>Rise ≥ 20 mg/dL</w:t>
            </w:r>
          </w:p>
        </w:tc>
        <w:tc>
          <w:tcPr>
            <w:tcW w:type="dxa" w:w="950"/>
            <w:vAlign w:val="top"/>
          </w:tcPr>
          <w:p>
            <w:pPr>
              <w:spacing w:after="40" w:before="0" w:line="259" w:lineRule="auto"/>
            </w:pPr>
            <w:r>
              <w:rPr>
                <w:rFonts w:ascii="Calibri" w:hAnsi="Calibri"/>
                <w:b w:val="0"/>
                <w:i w:val="0"/>
                <w:color w:val="212121"/>
                <w:sz w:val="16"/>
              </w:rPr>
              <w:t>Rise &lt; 20 mg/dL</w:t>
            </w:r>
          </w:p>
        </w:tc>
        <w:tc>
          <w:tcPr>
            <w:tcW w:type="dxa" w:w="1036"/>
            <w:vAlign w:val="top"/>
          </w:tcPr>
          <w:p>
            <w:pPr>
              <w:spacing w:after="40" w:before="0" w:line="259" w:lineRule="auto"/>
            </w:pPr>
            <w:r>
              <w:rPr>
                <w:rFonts w:ascii="Calibri" w:hAnsi="Calibri"/>
                <w:b w:val="0"/>
                <w:i w:val="0"/>
                <w:color w:val="212121"/>
                <w:sz w:val="16"/>
              </w:rPr>
              <w:t>Failure of glucose to rise indicates lactose malabsorption</w:t>
            </w:r>
          </w:p>
        </w:tc>
        <w:tc>
          <w:tcPr>
            <w:tcW w:type="dxa" w:w="1036"/>
            <w:vAlign w:val="top"/>
          </w:tcPr>
          <w:p>
            <w:pPr>
              <w:spacing w:after="40" w:before="0" w:line="259" w:lineRule="auto"/>
            </w:pPr>
            <w:r>
              <w:rPr>
                <w:rFonts w:ascii="Calibri" w:hAnsi="Calibri"/>
                <w:b w:val="0"/>
                <w:i w:val="0"/>
                <w:color w:val="212121"/>
                <w:sz w:val="16"/>
              </w:rPr>
              <w:t>Adults where breath test unavailable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Sensitivity ~75%, specificity ~96%; 50 g dose sampled at 0/60/120 min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Stool</w:t>
            </w:r>
          </w:p>
        </w:tc>
        <w:tc>
          <w:tcPr>
            <w:tcW w:type="dxa" w:w="1036"/>
            <w:vAlign w:val="top"/>
          </w:tcPr>
          <w:p>
            <w:pPr>
              <w:spacing w:after="40" w:before="0" w:line="259" w:lineRule="auto"/>
            </w:pPr>
            <w:r>
              <w:rPr>
                <w:rFonts w:ascii="Calibri" w:hAnsi="Calibri"/>
                <w:b w:val="0"/>
                <w:i w:val="0"/>
                <w:color w:val="212121"/>
                <w:sz w:val="16"/>
              </w:rPr>
              <w:t>Stool pH &amp; Reducing Substances</w:t>
            </w:r>
          </w:p>
        </w:tc>
        <w:tc>
          <w:tcPr>
            <w:tcW w:type="dxa" w:w="892"/>
            <w:vAlign w:val="top"/>
          </w:tcPr>
          <w:p>
            <w:pPr>
              <w:spacing w:after="40" w:before="0" w:line="259" w:lineRule="auto"/>
            </w:pPr>
            <w:r>
              <w:rPr>
                <w:rFonts w:ascii="Calibri" w:hAnsi="Calibri"/>
                <w:b w:val="0"/>
                <w:i w:val="0"/>
                <w:color w:val="212121"/>
                <w:sz w:val="16"/>
              </w:rPr>
              <w:t>Stool acidity</w:t>
            </w:r>
          </w:p>
        </w:tc>
        <w:tc>
          <w:tcPr>
            <w:tcW w:type="dxa" w:w="950"/>
            <w:vAlign w:val="top"/>
          </w:tcPr>
          <w:p>
            <w:pPr>
              <w:spacing w:after="40" w:before="0" w:line="259" w:lineRule="auto"/>
            </w:pPr>
            <w:r>
              <w:rPr>
                <w:rFonts w:ascii="Calibri" w:hAnsi="Calibri"/>
                <w:b w:val="0"/>
                <w:i w:val="0"/>
                <w:color w:val="212121"/>
                <w:sz w:val="16"/>
              </w:rPr>
              <w:t>pH &gt; 5.5, reducing substances negative</w:t>
            </w:r>
          </w:p>
        </w:tc>
        <w:tc>
          <w:tcPr>
            <w:tcW w:type="dxa" w:w="950"/>
            <w:vAlign w:val="top"/>
          </w:tcPr>
          <w:p>
            <w:pPr>
              <w:spacing w:after="40" w:before="0" w:line="259" w:lineRule="auto"/>
            </w:pPr>
            <w:r>
              <w:rPr>
                <w:rFonts w:ascii="Calibri" w:hAnsi="Calibri"/>
                <w:b w:val="0"/>
                <w:i w:val="0"/>
                <w:color w:val="212121"/>
                <w:sz w:val="16"/>
              </w:rPr>
              <w:t>pH &lt; 5.5, reducing substances positive</w:t>
            </w:r>
          </w:p>
        </w:tc>
        <w:tc>
          <w:tcPr>
            <w:tcW w:type="dxa" w:w="1036"/>
            <w:vAlign w:val="top"/>
          </w:tcPr>
          <w:p>
            <w:pPr>
              <w:spacing w:after="40" w:before="0" w:line="259" w:lineRule="auto"/>
            </w:pPr>
            <w:r>
              <w:rPr>
                <w:rFonts w:ascii="Calibri" w:hAnsi="Calibri"/>
                <w:b w:val="0"/>
                <w:i w:val="0"/>
                <w:color w:val="212121"/>
                <w:sz w:val="16"/>
              </w:rPr>
              <w:t>Unabsorbed lactose fermented to acids in the colon</w:t>
            </w:r>
          </w:p>
        </w:tc>
        <w:tc>
          <w:tcPr>
            <w:tcW w:type="dxa" w:w="1036"/>
            <w:vAlign w:val="top"/>
          </w:tcPr>
          <w:p>
            <w:pPr>
              <w:spacing w:after="40" w:before="0" w:line="259" w:lineRule="auto"/>
            </w:pPr>
            <w:r>
              <w:rPr>
                <w:rFonts w:ascii="Calibri" w:hAnsi="Calibri"/>
                <w:b w:val="0"/>
                <w:i w:val="0"/>
                <w:color w:val="212121"/>
                <w:sz w:val="16"/>
              </w:rPr>
              <w:t>Infants and young children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 (paediatric)</w:t>
            </w:r>
          </w:p>
        </w:tc>
        <w:tc>
          <w:tcPr>
            <w:tcW w:type="dxa" w:w="720"/>
            <w:vAlign w:val="top"/>
          </w:tcPr>
          <w:p>
            <w:pPr>
              <w:spacing w:after="40" w:before="0" w:line="259" w:lineRule="auto"/>
            </w:pPr>
            <w:r>
              <w:rPr>
                <w:rFonts w:ascii="Calibri" w:hAnsi="Calibri"/>
                <w:b w:val="0"/>
                <w:i w:val="0"/>
                <w:color w:val="212121"/>
                <w:sz w:val="16"/>
              </w:rPr>
              <w:t>Simple, bedside; supports secondary/transient LI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Genetic</w:t>
            </w:r>
          </w:p>
        </w:tc>
        <w:tc>
          <w:tcPr>
            <w:tcW w:type="dxa" w:w="1036"/>
            <w:vAlign w:val="top"/>
          </w:tcPr>
          <w:p>
            <w:pPr>
              <w:spacing w:after="40" w:before="0" w:line="259" w:lineRule="auto"/>
            </w:pPr>
            <w:r>
              <w:rPr>
                <w:rFonts w:ascii="Calibri" w:hAnsi="Calibri"/>
                <w:b w:val="0"/>
                <w:i w:val="0"/>
                <w:color w:val="212121"/>
                <w:sz w:val="16"/>
              </w:rPr>
              <w:t>MCM6/LCT -13910 C&gt;T</w:t>
            </w:r>
          </w:p>
        </w:tc>
        <w:tc>
          <w:tcPr>
            <w:tcW w:type="dxa" w:w="892"/>
            <w:vAlign w:val="top"/>
          </w:tcPr>
          <w:p>
            <w:pPr>
              <w:spacing w:after="40" w:before="0" w:line="259" w:lineRule="auto"/>
            </w:pPr>
            <w:r>
              <w:rPr>
                <w:rFonts w:ascii="Calibri" w:hAnsi="Calibri"/>
                <w:b w:val="0"/>
                <w:i w:val="0"/>
                <w:color w:val="212121"/>
                <w:sz w:val="16"/>
              </w:rPr>
              <w:t>Genotype</w:t>
            </w:r>
          </w:p>
        </w:tc>
        <w:tc>
          <w:tcPr>
            <w:tcW w:type="dxa" w:w="950"/>
            <w:vAlign w:val="top"/>
          </w:tcPr>
          <w:p>
            <w:pPr>
              <w:spacing w:after="40" w:before="0" w:line="259" w:lineRule="auto"/>
            </w:pPr>
            <w:r>
              <w:rPr>
                <w:rFonts w:ascii="Calibri" w:hAnsi="Calibri"/>
                <w:b w:val="0"/>
                <w:i w:val="0"/>
                <w:color w:val="212121"/>
                <w:sz w:val="16"/>
              </w:rPr>
              <w:t>C/T or T/T (persistence)</w:t>
            </w:r>
          </w:p>
        </w:tc>
        <w:tc>
          <w:tcPr>
            <w:tcW w:type="dxa" w:w="950"/>
            <w:vAlign w:val="top"/>
          </w:tcPr>
          <w:p>
            <w:pPr>
              <w:spacing w:after="40" w:before="0" w:line="259" w:lineRule="auto"/>
            </w:pPr>
            <w:r>
              <w:rPr>
                <w:rFonts w:ascii="Calibri" w:hAnsi="Calibri"/>
                <w:b w:val="0"/>
                <w:i w:val="0"/>
                <w:color w:val="212121"/>
                <w:sz w:val="16"/>
              </w:rPr>
              <w:t>C/C (non-persistence)</w:t>
            </w:r>
          </w:p>
        </w:tc>
        <w:tc>
          <w:tcPr>
            <w:tcW w:type="dxa" w:w="1036"/>
            <w:vAlign w:val="top"/>
          </w:tcPr>
          <w:p>
            <w:pPr>
              <w:spacing w:after="40" w:before="0" w:line="259" w:lineRule="auto"/>
            </w:pPr>
            <w:r>
              <w:rPr>
                <w:rFonts w:ascii="Calibri" w:hAnsi="Calibri"/>
                <w:b w:val="0"/>
                <w:i w:val="0"/>
                <w:color w:val="212121"/>
                <w:sz w:val="16"/>
              </w:rPr>
              <w:t>Confirms primary adult-type hypolactasia; does not detect secondary deficiency</w:t>
            </w:r>
          </w:p>
        </w:tc>
        <w:tc>
          <w:tcPr>
            <w:tcW w:type="dxa" w:w="1036"/>
            <w:vAlign w:val="top"/>
          </w:tcPr>
          <w:p>
            <w:pPr>
              <w:spacing w:after="40" w:before="0" w:line="259" w:lineRule="auto"/>
            </w:pPr>
            <w:r>
              <w:rPr>
                <w:rFonts w:ascii="Calibri" w:hAnsi="Calibri"/>
                <w:b w:val="0"/>
                <w:i w:val="0"/>
                <w:color w:val="212121"/>
                <w:sz w:val="16"/>
              </w:rPr>
              <w:t>Adults with suspected primary hypolactasia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(primary)</w:t>
            </w:r>
          </w:p>
        </w:tc>
        <w:tc>
          <w:tcPr>
            <w:tcW w:type="dxa" w:w="720"/>
            <w:vAlign w:val="top"/>
          </w:tcPr>
          <w:p>
            <w:pPr>
              <w:spacing w:after="40" w:before="0" w:line="259" w:lineRule="auto"/>
            </w:pPr>
            <w:r>
              <w:rPr>
                <w:rFonts w:ascii="Calibri" w:hAnsi="Calibri"/>
                <w:b w:val="0"/>
                <w:i w:val="0"/>
                <w:color w:val="212121"/>
                <w:sz w:val="16"/>
              </w:rPr>
              <w:t>Genotype frequency varies by Indian region and ancestry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Small-bowel biopsy lactase assay</w:t>
            </w:r>
          </w:p>
        </w:tc>
        <w:tc>
          <w:tcPr>
            <w:tcW w:type="dxa" w:w="892"/>
            <w:vAlign w:val="top"/>
          </w:tcPr>
          <w:p>
            <w:pPr>
              <w:spacing w:after="40" w:before="0" w:line="259" w:lineRule="auto"/>
            </w:pPr>
            <w:r>
              <w:rPr>
                <w:rFonts w:ascii="Calibri" w:hAnsi="Calibri"/>
                <w:b w:val="0"/>
                <w:i w:val="0"/>
                <w:color w:val="212121"/>
                <w:sz w:val="16"/>
              </w:rPr>
              <w:t>Mucosal lactase activity</w:t>
            </w:r>
          </w:p>
        </w:tc>
        <w:tc>
          <w:tcPr>
            <w:tcW w:type="dxa" w:w="950"/>
            <w:vAlign w:val="top"/>
          </w:tcPr>
          <w:p>
            <w:pPr>
              <w:spacing w:after="40" w:before="0" w:line="259" w:lineRule="auto"/>
            </w:pPr>
            <w:r>
              <w:rPr>
                <w:rFonts w:ascii="Calibri" w:hAnsi="Calibri"/>
                <w:b w:val="0"/>
                <w:i w:val="0"/>
                <w:color w:val="212121"/>
                <w:sz w:val="16"/>
              </w:rPr>
              <w:t>Normal enzyme activity</w:t>
            </w:r>
          </w:p>
        </w:tc>
        <w:tc>
          <w:tcPr>
            <w:tcW w:type="dxa" w:w="950"/>
            <w:vAlign w:val="top"/>
          </w:tcPr>
          <w:p>
            <w:pPr>
              <w:spacing w:after="40" w:before="0" w:line="259" w:lineRule="auto"/>
            </w:pPr>
            <w:r>
              <w:rPr>
                <w:rFonts w:ascii="Calibri" w:hAnsi="Calibri"/>
                <w:b w:val="0"/>
                <w:i w:val="0"/>
                <w:color w:val="212121"/>
                <w:sz w:val="16"/>
              </w:rPr>
              <w:t>Reduced or absent activity</w:t>
            </w:r>
          </w:p>
        </w:tc>
        <w:tc>
          <w:tcPr>
            <w:tcW w:type="dxa" w:w="1036"/>
            <w:vAlign w:val="top"/>
          </w:tcPr>
          <w:p>
            <w:pPr>
              <w:spacing w:after="40" w:before="0" w:line="259" w:lineRule="auto"/>
            </w:pPr>
            <w:r>
              <w:rPr>
                <w:rFonts w:ascii="Calibri" w:hAnsi="Calibri"/>
                <w:b w:val="0"/>
                <w:i w:val="0"/>
                <w:color w:val="212121"/>
                <w:sz w:val="16"/>
              </w:rPr>
              <w:t>Direct measurement; identifies secondary mucosal disease</w:t>
            </w:r>
          </w:p>
        </w:tc>
        <w:tc>
          <w:tcPr>
            <w:tcW w:type="dxa" w:w="1036"/>
            <w:vAlign w:val="top"/>
          </w:tcPr>
          <w:p>
            <w:pPr>
              <w:spacing w:after="40" w:before="0" w:line="259" w:lineRule="auto"/>
            </w:pPr>
            <w:r>
              <w:rPr>
                <w:rFonts w:ascii="Calibri" w:hAnsi="Calibri"/>
                <w:b w:val="0"/>
                <w:i w:val="0"/>
                <w:color w:val="212121"/>
                <w:sz w:val="16"/>
              </w:rPr>
              <w:t>Refractory or secondary cases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Gold standard (invasive)</w:t>
            </w:r>
          </w:p>
        </w:tc>
        <w:tc>
          <w:tcPr>
            <w:tcW w:type="dxa" w:w="720"/>
            <w:vAlign w:val="top"/>
          </w:tcPr>
          <w:p>
            <w:pPr>
              <w:spacing w:after="40" w:before="0" w:line="259" w:lineRule="auto"/>
            </w:pPr>
            <w:r>
              <w:rPr>
                <w:rFonts w:ascii="Calibri" w:hAnsi="Calibri"/>
                <w:b w:val="0"/>
                <w:i w:val="0"/>
                <w:color w:val="212121"/>
                <w:sz w:val="16"/>
              </w:rPr>
              <w:t>Reserved for evaluating enteropathy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Anti-tissue transglutaminase (tTG-IgA)</w:t>
            </w:r>
          </w:p>
        </w:tc>
        <w:tc>
          <w:tcPr>
            <w:tcW w:type="dxa" w:w="892"/>
            <w:vAlign w:val="top"/>
          </w:tcPr>
          <w:p>
            <w:pPr>
              <w:spacing w:after="40" w:before="0" w:line="259" w:lineRule="auto"/>
            </w:pPr>
            <w:r>
              <w:rPr>
                <w:rFonts w:ascii="Calibri" w:hAnsi="Calibri"/>
                <w:b w:val="0"/>
                <w:i w:val="0"/>
                <w:color w:val="212121"/>
                <w:sz w:val="16"/>
              </w:rPr>
              <w:t>Celiac serology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Screens for celiac disease as a secondary cause</w:t>
            </w:r>
          </w:p>
        </w:tc>
        <w:tc>
          <w:tcPr>
            <w:tcW w:type="dxa" w:w="1036"/>
            <w:vAlign w:val="top"/>
          </w:tcPr>
          <w:p>
            <w:pPr>
              <w:spacing w:after="40" w:before="0" w:line="259" w:lineRule="auto"/>
            </w:pPr>
            <w:r>
              <w:rPr>
                <w:rFonts w:ascii="Calibri" w:hAnsi="Calibri"/>
                <w:b w:val="0"/>
                <w:i w:val="0"/>
                <w:color w:val="212121"/>
                <w:sz w:val="16"/>
              </w:rPr>
              <w:t>Chronic diarrhoea, suspected malabsorption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Exclusion</w:t>
            </w:r>
          </w:p>
        </w:tc>
        <w:tc>
          <w:tcPr>
            <w:tcW w:type="dxa" w:w="720"/>
            <w:vAlign w:val="top"/>
          </w:tcPr>
          <w:p>
            <w:pPr>
              <w:spacing w:after="40" w:before="0" w:line="259" w:lineRule="auto"/>
            </w:pPr>
            <w:r>
              <w:rPr>
                <w:rFonts w:ascii="Calibri" w:hAnsi="Calibri"/>
                <w:b w:val="0"/>
                <w:i w:val="0"/>
                <w:color w:val="212121"/>
                <w:sz w:val="16"/>
              </w:rPr>
              <w:t>Check total IgA; confirm with duodenal biopsy if positive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calcium &amp; 25-OH vitamin D</w:t>
            </w:r>
          </w:p>
        </w:tc>
        <w:tc>
          <w:tcPr>
            <w:tcW w:type="dxa" w:w="892"/>
            <w:vAlign w:val="top"/>
          </w:tcPr>
          <w:p>
            <w:pPr>
              <w:spacing w:after="40" w:before="0" w:line="259" w:lineRule="auto"/>
            </w:pPr>
            <w:r>
              <w:rPr>
                <w:rFonts w:ascii="Calibri" w:hAnsi="Calibri"/>
                <w:b w:val="0"/>
                <w:i w:val="0"/>
                <w:color w:val="212121"/>
                <w:sz w:val="16"/>
              </w:rPr>
              <w:t>Bone-nutrition panel</w:t>
            </w:r>
          </w:p>
        </w:tc>
        <w:tc>
          <w:tcPr>
            <w:tcW w:type="dxa" w:w="950"/>
            <w:vAlign w:val="top"/>
          </w:tcPr>
          <w:p>
            <w:pPr>
              <w:spacing w:after="40" w:before="0" w:line="259" w:lineRule="auto"/>
            </w:pPr>
            <w:r>
              <w:rPr>
                <w:rFonts w:ascii="Calibri" w:hAnsi="Calibri"/>
                <w:b w:val="0"/>
                <w:i w:val="0"/>
                <w:color w:val="212121"/>
                <w:sz w:val="16"/>
              </w:rPr>
              <w:t>Ca 8.5-10.5 mg/dL; 25-OH-D ≥ 20 ng/mL</w:t>
            </w:r>
          </w:p>
        </w:tc>
        <w:tc>
          <w:tcPr>
            <w:tcW w:type="dxa" w:w="950"/>
            <w:vAlign w:val="top"/>
          </w:tcPr>
          <w:p>
            <w:pPr>
              <w:spacing w:after="40" w:before="0" w:line="259" w:lineRule="auto"/>
            </w:pPr>
            <w:r>
              <w:rPr>
                <w:rFonts w:ascii="Calibri" w:hAnsi="Calibri"/>
                <w:b w:val="0"/>
                <w:i w:val="0"/>
                <w:color w:val="212121"/>
                <w:sz w:val="16"/>
              </w:rPr>
              <w:t>Low calcium / 25-OH-D &lt; 20 ng/mL</w:t>
            </w:r>
          </w:p>
        </w:tc>
        <w:tc>
          <w:tcPr>
            <w:tcW w:type="dxa" w:w="1036"/>
            <w:vAlign w:val="top"/>
          </w:tcPr>
          <w:p>
            <w:pPr>
              <w:spacing w:after="40" w:before="0" w:line="259" w:lineRule="auto"/>
            </w:pPr>
            <w:r>
              <w:rPr>
                <w:rFonts w:ascii="Calibri" w:hAnsi="Calibri"/>
                <w:b w:val="0"/>
                <w:i w:val="0"/>
                <w:color w:val="212121"/>
                <w:sz w:val="16"/>
              </w:rPr>
              <w:t>Assesses nutritional complications of dairy avoidance</w:t>
            </w:r>
          </w:p>
        </w:tc>
        <w:tc>
          <w:tcPr>
            <w:tcW w:type="dxa" w:w="1036"/>
            <w:vAlign w:val="top"/>
          </w:tcPr>
          <w:p>
            <w:pPr>
              <w:spacing w:after="40" w:before="0" w:line="259" w:lineRule="auto"/>
            </w:pPr>
            <w:r>
              <w:rPr>
                <w:rFonts w:ascii="Calibri" w:hAnsi="Calibri"/>
                <w:b w:val="0"/>
                <w:i w:val="0"/>
                <w:color w:val="212121"/>
                <w:sz w:val="16"/>
              </w:rPr>
              <w:t>Chronic dairy avoiders, elderly, children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Guides calcium and vitamin D supplementation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Dose-related bloating, flatulence, cramps, diarrhoea after dairy</w:t>
            </w:r>
          </w:p>
        </w:tc>
        <w:tc>
          <w:tcPr>
            <w:tcW w:type="dxa" w:w="950"/>
            <w:vAlign w:val="top"/>
          </w:tcPr>
          <w:p>
            <w:pPr>
              <w:spacing w:after="40" w:before="0" w:line="259" w:lineRule="auto"/>
            </w:pPr>
            <w:r>
              <w:rPr>
                <w:rFonts w:ascii="Calibri" w:hAnsi="Calibri"/>
                <w:b w:val="0"/>
                <w:i w:val="0"/>
                <w:color w:val="212121"/>
                <w:sz w:val="16"/>
              </w:rPr>
              <w:t>No dairy-related symptoms</w:t>
            </w:r>
          </w:p>
        </w:tc>
        <w:tc>
          <w:tcPr>
            <w:tcW w:type="dxa" w:w="950"/>
            <w:vAlign w:val="top"/>
          </w:tcPr>
          <w:p>
            <w:pPr>
              <w:spacing w:after="40" w:before="0" w:line="259" w:lineRule="auto"/>
            </w:pPr>
            <w:r>
              <w:rPr>
                <w:rFonts w:ascii="Calibri" w:hAnsi="Calibri"/>
                <w:b w:val="0"/>
                <w:i w:val="0"/>
                <w:color w:val="212121"/>
                <w:sz w:val="16"/>
              </w:rPr>
              <w:t>Symptoms within 30 min-2 h of a lactose load</w:t>
            </w:r>
          </w:p>
        </w:tc>
        <w:tc>
          <w:tcPr>
            <w:tcW w:type="dxa" w:w="1036"/>
            <w:vAlign w:val="top"/>
          </w:tcPr>
          <w:p>
            <w:pPr>
              <w:spacing w:after="40" w:before="0" w:line="259" w:lineRule="auto"/>
            </w:pPr>
            <w:r>
              <w:rPr>
                <w:rFonts w:ascii="Calibri" w:hAnsi="Calibri"/>
                <w:b w:val="0"/>
                <w:i w:val="0"/>
                <w:color w:val="212121"/>
                <w:sz w:val="16"/>
              </w:rPr>
              <w:t>Temporal link to lactose ingestion</w:t>
            </w:r>
          </w:p>
        </w:tc>
        <w:tc>
          <w:tcPr>
            <w:tcW w:type="dxa" w:w="1036"/>
            <w:vAlign w:val="top"/>
          </w:tcPr>
          <w:p>
            <w:pPr>
              <w:spacing w:after="40" w:before="0" w:line="259" w:lineRule="auto"/>
            </w:pPr>
            <w:r>
              <w:rPr>
                <w:rFonts w:ascii="Calibri" w:hAnsi="Calibri"/>
                <w:b w:val="0"/>
                <w:i w:val="0"/>
                <w:color w:val="212121"/>
                <w:sz w:val="16"/>
              </w:rPr>
              <w:t>All suspected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Quantify dairy dose and timing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elimination-rechallenge trial</w:t>
            </w:r>
          </w:p>
        </w:tc>
        <w:tc>
          <w:tcPr>
            <w:tcW w:type="dxa" w:w="979"/>
            <w:vAlign w:val="top"/>
          </w:tcPr>
          <w:p>
            <w:pPr>
              <w:spacing w:after="40" w:before="0" w:line="259" w:lineRule="auto"/>
            </w:pPr>
            <w:r>
              <w:rPr>
                <w:rFonts w:ascii="Calibri" w:hAnsi="Calibri"/>
                <w:b w:val="0"/>
                <w:i w:val="0"/>
                <w:color w:val="212121"/>
                <w:sz w:val="16"/>
              </w:rPr>
              <w:t>Symptom response to lactose withdrawal and rechallenge</w:t>
            </w:r>
          </w:p>
        </w:tc>
        <w:tc>
          <w:tcPr>
            <w:tcW w:type="dxa" w:w="950"/>
            <w:vAlign w:val="top"/>
          </w:tcPr>
          <w:p>
            <w:pPr>
              <w:spacing w:after="40" w:before="0" w:line="259" w:lineRule="auto"/>
            </w:pPr>
            <w:r>
              <w:rPr>
                <w:rFonts w:ascii="Calibri" w:hAnsi="Calibri"/>
                <w:b w:val="0"/>
                <w:i w:val="0"/>
                <w:color w:val="212121"/>
                <w:sz w:val="16"/>
              </w:rPr>
              <w:t>Symptoms persist off dairy (other cause)</w:t>
            </w:r>
          </w:p>
        </w:tc>
        <w:tc>
          <w:tcPr>
            <w:tcW w:type="dxa" w:w="950"/>
            <w:vAlign w:val="top"/>
          </w:tcPr>
          <w:p>
            <w:pPr>
              <w:spacing w:after="40" w:before="0" w:line="259" w:lineRule="auto"/>
            </w:pPr>
            <w:r>
              <w:rPr>
                <w:rFonts w:ascii="Calibri" w:hAnsi="Calibri"/>
                <w:b w:val="0"/>
                <w:i w:val="0"/>
                <w:color w:val="212121"/>
                <w:sz w:val="16"/>
              </w:rPr>
              <w:t>Resolve on withdrawal, recur on rechallenge</w:t>
            </w:r>
          </w:p>
        </w:tc>
        <w:tc>
          <w:tcPr>
            <w:tcW w:type="dxa" w:w="1036"/>
            <w:vAlign w:val="top"/>
          </w:tcPr>
          <w:p>
            <w:pPr>
              <w:spacing w:after="40" w:before="0" w:line="259" w:lineRule="auto"/>
            </w:pPr>
            <w:r>
              <w:rPr>
                <w:rFonts w:ascii="Calibri" w:hAnsi="Calibri"/>
                <w:b w:val="0"/>
                <w:i w:val="0"/>
                <w:color w:val="212121"/>
                <w:sz w:val="16"/>
              </w:rPr>
              <w:t>Practical confirmation of lactose as the trigger</w:t>
            </w:r>
          </w:p>
        </w:tc>
        <w:tc>
          <w:tcPr>
            <w:tcW w:type="dxa" w:w="1036"/>
            <w:vAlign w:val="top"/>
          </w:tcPr>
          <w:p>
            <w:pPr>
              <w:spacing w:after="40" w:before="0" w:line="259" w:lineRule="auto"/>
            </w:pPr>
            <w:r>
              <w:rPr>
                <w:rFonts w:ascii="Calibri" w:hAnsi="Calibri"/>
                <w:b w:val="0"/>
                <w:i w:val="0"/>
                <w:color w:val="212121"/>
                <w:sz w:val="16"/>
              </w:rPr>
              <w:t>Adults, IBS overlap</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(practical)</w:t>
            </w:r>
          </w:p>
        </w:tc>
        <w:tc>
          <w:tcPr>
            <w:tcW w:type="dxa" w:w="720"/>
            <w:vAlign w:val="top"/>
          </w:tcPr>
          <w:p>
            <w:pPr>
              <w:spacing w:after="40" w:before="0" w:line="259" w:lineRule="auto"/>
            </w:pPr>
            <w:r>
              <w:rPr>
                <w:rFonts w:ascii="Calibri" w:hAnsi="Calibri"/>
                <w:b w:val="0"/>
                <w:i w:val="0"/>
                <w:color w:val="212121"/>
                <w:sz w:val="16"/>
              </w:rPr>
              <w:t>2-4 week structured trial with a food diary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Ethnic &amp; family history</w:t>
            </w:r>
          </w:p>
        </w:tc>
        <w:tc>
          <w:tcPr>
            <w:tcW w:type="dxa" w:w="979"/>
            <w:vAlign w:val="top"/>
          </w:tcPr>
          <w:p>
            <w:pPr>
              <w:spacing w:after="40" w:before="0" w:line="259" w:lineRule="auto"/>
            </w:pPr>
            <w:r>
              <w:rPr>
                <w:rFonts w:ascii="Calibri" w:hAnsi="Calibri"/>
                <w:b w:val="0"/>
                <w:i w:val="0"/>
                <w:color w:val="212121"/>
                <w:sz w:val="16"/>
              </w:rPr>
              <w:t>Dravidian/eastern/tribal ancestry; family milk intolerance</w:t>
            </w:r>
          </w:p>
        </w:tc>
        <w:tc>
          <w:tcPr>
            <w:tcW w:type="dxa" w:w="950"/>
            <w:vAlign w:val="top"/>
          </w:tcPr>
          <w:p>
            <w:pPr>
              <w:spacing w:after="40" w:before="0" w:line="259" w:lineRule="auto"/>
            </w:pPr>
            <w:r>
              <w:rPr>
                <w:rFonts w:ascii="Calibri" w:hAnsi="Calibri"/>
                <w:b w:val="0"/>
                <w:i w:val="0"/>
                <w:color w:val="212121"/>
                <w:sz w:val="16"/>
              </w:rPr>
              <w:t>North-western/pastoralist ancestry, no family history</w:t>
            </w:r>
          </w:p>
        </w:tc>
        <w:tc>
          <w:tcPr>
            <w:tcW w:type="dxa" w:w="950"/>
            <w:vAlign w:val="top"/>
          </w:tcPr>
          <w:p>
            <w:pPr>
              <w:spacing w:after="40" w:before="0" w:line="259" w:lineRule="auto"/>
            </w:pPr>
            <w:r>
              <w:rPr>
                <w:rFonts w:ascii="Calibri" w:hAnsi="Calibri"/>
                <w:b w:val="0"/>
                <w:i w:val="0"/>
                <w:color w:val="212121"/>
                <w:sz w:val="16"/>
              </w:rPr>
              <w:t>Southern/eastern ancestry, positive family history</w:t>
            </w:r>
          </w:p>
        </w:tc>
        <w:tc>
          <w:tcPr>
            <w:tcW w:type="dxa" w:w="1036"/>
            <w:vAlign w:val="top"/>
          </w:tcPr>
          <w:p>
            <w:pPr>
              <w:spacing w:after="40" w:before="0" w:line="259" w:lineRule="auto"/>
            </w:pPr>
            <w:r>
              <w:rPr>
                <w:rFonts w:ascii="Calibri" w:hAnsi="Calibri"/>
                <w:b w:val="0"/>
                <w:i w:val="0"/>
                <w:color w:val="212121"/>
                <w:sz w:val="16"/>
              </w:rPr>
              <w:t>Sets prior probability of primary non-persistence</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pre-test probability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Secondary-cause screen</w:t>
            </w:r>
          </w:p>
        </w:tc>
        <w:tc>
          <w:tcPr>
            <w:tcW w:type="dxa" w:w="979"/>
            <w:vAlign w:val="top"/>
          </w:tcPr>
          <w:p>
            <w:pPr>
              <w:spacing w:after="40" w:before="0" w:line="259" w:lineRule="auto"/>
            </w:pPr>
            <w:r>
              <w:rPr>
                <w:rFonts w:ascii="Calibri" w:hAnsi="Calibri"/>
                <w:b w:val="0"/>
                <w:i w:val="0"/>
                <w:color w:val="212121"/>
                <w:sz w:val="16"/>
              </w:rPr>
              <w:t>Recent gastroenteritis, giardiasis, antibiotics, celiac/IBD features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Recent infection or enteropathy features</w:t>
            </w:r>
          </w:p>
        </w:tc>
        <w:tc>
          <w:tcPr>
            <w:tcW w:type="dxa" w:w="1036"/>
            <w:vAlign w:val="top"/>
          </w:tcPr>
          <w:p>
            <w:pPr>
              <w:spacing w:after="40" w:before="0" w:line="259" w:lineRule="auto"/>
            </w:pPr>
            <w:r>
              <w:rPr>
                <w:rFonts w:ascii="Calibri" w:hAnsi="Calibri"/>
                <w:b w:val="0"/>
                <w:i w:val="0"/>
                <w:color w:val="212121"/>
                <w:sz w:val="16"/>
              </w:rPr>
              <w:t>Points to secondary (often reversible) lactase deficiency</w:t>
            </w:r>
          </w:p>
        </w:tc>
        <w:tc>
          <w:tcPr>
            <w:tcW w:type="dxa" w:w="1036"/>
            <w:vAlign w:val="top"/>
          </w:tcPr>
          <w:p>
            <w:pPr>
              <w:spacing w:after="40" w:before="0" w:line="259" w:lineRule="auto"/>
            </w:pPr>
            <w:r>
              <w:rPr>
                <w:rFonts w:ascii="Calibri" w:hAnsi="Calibri"/>
                <w:b w:val="0"/>
                <w:i w:val="0"/>
                <w:color w:val="212121"/>
                <w:sz w:val="16"/>
              </w:rPr>
              <w:t>Children, recent-onset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Triage</w:t>
            </w:r>
          </w:p>
        </w:tc>
        <w:tc>
          <w:tcPr>
            <w:tcW w:type="dxa" w:w="720"/>
            <w:vAlign w:val="top"/>
          </w:tcPr>
          <w:p>
            <w:pPr>
              <w:spacing w:after="40" w:before="0" w:line="259" w:lineRule="auto"/>
            </w:pPr>
            <w:r>
              <w:rPr>
                <w:rFonts w:ascii="Calibri" w:hAnsi="Calibri"/>
                <w:b w:val="0"/>
                <w:i w:val="0"/>
                <w:color w:val="212121"/>
                <w:sz w:val="16"/>
              </w:rPr>
              <w:t>Recent-onset LI is often secondary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Distension, tympany, hyperactive bowel sounds</w:t>
            </w:r>
          </w:p>
        </w:tc>
        <w:tc>
          <w:tcPr>
            <w:tcW w:type="dxa" w:w="950"/>
            <w:vAlign w:val="top"/>
          </w:tcPr>
          <w:p>
            <w:pPr>
              <w:spacing w:after="40" w:before="0" w:line="259" w:lineRule="auto"/>
            </w:pPr>
            <w:r>
              <w:rPr>
                <w:rFonts w:ascii="Calibri" w:hAnsi="Calibri"/>
                <w:b w:val="0"/>
                <w:i w:val="0"/>
                <w:color w:val="212121"/>
                <w:sz w:val="16"/>
              </w:rPr>
              <w:t>Soft, non-distended, normal bowel sounds</w:t>
            </w:r>
          </w:p>
        </w:tc>
        <w:tc>
          <w:tcPr>
            <w:tcW w:type="dxa" w:w="950"/>
            <w:vAlign w:val="top"/>
          </w:tcPr>
          <w:p>
            <w:pPr>
              <w:spacing w:after="40" w:before="0" w:line="259" w:lineRule="auto"/>
            </w:pPr>
            <w:r>
              <w:rPr>
                <w:rFonts w:ascii="Calibri" w:hAnsi="Calibri"/>
                <w:b w:val="0"/>
                <w:i w:val="0"/>
                <w:color w:val="212121"/>
                <w:sz w:val="16"/>
              </w:rPr>
              <w:t>Distended, tympanic, borborygmi</w:t>
            </w:r>
          </w:p>
        </w:tc>
        <w:tc>
          <w:tcPr>
            <w:tcW w:type="dxa" w:w="1036"/>
            <w:vAlign w:val="top"/>
          </w:tcPr>
          <w:p>
            <w:pPr>
              <w:spacing w:after="40" w:before="0" w:line="259" w:lineRule="auto"/>
            </w:pPr>
            <w:r>
              <w:rPr>
                <w:rFonts w:ascii="Calibri" w:hAnsi="Calibri"/>
                <w:b w:val="0"/>
                <w:i w:val="0"/>
                <w:color w:val="212121"/>
                <w:sz w:val="16"/>
              </w:rPr>
              <w:t>Consistent with gas and fluid from fermentation</w:t>
            </w:r>
          </w:p>
        </w:tc>
        <w:tc>
          <w:tcPr>
            <w:tcW w:type="dxa" w:w="1036"/>
            <w:vAlign w:val="top"/>
          </w:tcPr>
          <w:p>
            <w:pPr>
              <w:spacing w:after="40" w:before="0" w:line="259" w:lineRule="auto"/>
            </w:pPr>
            <w:r>
              <w:rPr>
                <w:rFonts w:ascii="Calibri" w:hAnsi="Calibri"/>
                <w:b w:val="0"/>
                <w:i w:val="0"/>
                <w:color w:val="212121"/>
                <w:sz w:val="16"/>
              </w:rPr>
              <w:t>Symptomatic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Absence of alarm signs favours a functional cause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Growth &amp; red-flag assessment</w:t>
            </w:r>
          </w:p>
        </w:tc>
        <w:tc>
          <w:tcPr>
            <w:tcW w:type="dxa" w:w="979"/>
            <w:vAlign w:val="top"/>
          </w:tcPr>
          <w:p>
            <w:pPr>
              <w:spacing w:after="40" w:before="0" w:line="259" w:lineRule="auto"/>
            </w:pPr>
            <w:r>
              <w:rPr>
                <w:rFonts w:ascii="Calibri" w:hAnsi="Calibri"/>
                <w:b w:val="0"/>
                <w:i w:val="0"/>
                <w:color w:val="212121"/>
                <w:sz w:val="16"/>
              </w:rPr>
              <w:t>Weight/height (children), weight loss, blood in stool, nocturnal symptoms</w:t>
            </w:r>
          </w:p>
        </w:tc>
        <w:tc>
          <w:tcPr>
            <w:tcW w:type="dxa" w:w="950"/>
            <w:vAlign w:val="top"/>
          </w:tcPr>
          <w:p>
            <w:pPr>
              <w:spacing w:after="40" w:before="0" w:line="259" w:lineRule="auto"/>
            </w:pPr>
            <w:r>
              <w:rPr>
                <w:rFonts w:ascii="Calibri" w:hAnsi="Calibri"/>
                <w:b w:val="0"/>
                <w:i w:val="0"/>
                <w:color w:val="212121"/>
                <w:sz w:val="16"/>
              </w:rPr>
              <w:t>Normal growth, no red flags</w:t>
            </w:r>
          </w:p>
        </w:tc>
        <w:tc>
          <w:tcPr>
            <w:tcW w:type="dxa" w:w="950"/>
            <w:vAlign w:val="top"/>
          </w:tcPr>
          <w:p>
            <w:pPr>
              <w:spacing w:after="40" w:before="0" w:line="259" w:lineRule="auto"/>
            </w:pPr>
            <w:r>
              <w:rPr>
                <w:rFonts w:ascii="Calibri" w:hAnsi="Calibri"/>
                <w:b w:val="0"/>
                <w:i w:val="0"/>
                <w:color w:val="212121"/>
                <w:sz w:val="16"/>
              </w:rPr>
              <w:t>Growth faltering or alarm features</w:t>
            </w:r>
          </w:p>
        </w:tc>
        <w:tc>
          <w:tcPr>
            <w:tcW w:type="dxa" w:w="1036"/>
            <w:vAlign w:val="top"/>
          </w:tcPr>
          <w:p>
            <w:pPr>
              <w:spacing w:after="40" w:before="0" w:line="259" w:lineRule="auto"/>
            </w:pPr>
            <w:r>
              <w:rPr>
                <w:rFonts w:ascii="Calibri" w:hAnsi="Calibri"/>
                <w:b w:val="0"/>
                <w:i w:val="0"/>
                <w:color w:val="212121"/>
                <w:sz w:val="16"/>
              </w:rPr>
              <w:t>Alarm features mandate work-up for organic disease</w:t>
            </w:r>
          </w:p>
        </w:tc>
        <w:tc>
          <w:tcPr>
            <w:tcW w:type="dxa" w:w="1036"/>
            <w:vAlign w:val="top"/>
          </w:tcPr>
          <w:p>
            <w:pPr>
              <w:spacing w:after="40" w:before="0" w:line="259" w:lineRule="auto"/>
            </w:pPr>
            <w:r>
              <w:rPr>
                <w:rFonts w:ascii="Calibri" w:hAnsi="Calibri"/>
                <w:b w:val="0"/>
                <w:i w:val="0"/>
                <w:color w:val="212121"/>
                <w:sz w:val="16"/>
              </w:rPr>
              <w:t>Children,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Safety-netting</w:t>
            </w:r>
          </w:p>
        </w:tc>
        <w:tc>
          <w:tcPr>
            <w:tcW w:type="dxa" w:w="720"/>
            <w:vAlign w:val="top"/>
          </w:tcPr>
          <w:p>
            <w:pPr>
              <w:spacing w:after="40" w:before="0" w:line="259" w:lineRule="auto"/>
            </w:pPr>
            <w:r>
              <w:rPr>
                <w:rFonts w:ascii="Calibri" w:hAnsi="Calibri"/>
                <w:b w:val="0"/>
                <w:i w:val="0"/>
                <w:color w:val="212121"/>
                <w:sz w:val="16"/>
              </w:rPr>
              <w:t>Do not attribute red-flag symptoms to lactose intolerance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Bloating / abdominal distension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Gas from colonic fermentation of undigested lactose distends the bowel within 30 min-2 h of dairy.</w:t>
            </w:r>
          </w:p>
        </w:tc>
      </w:tr>
      <w:tr>
        <w:trPr>
          <w:cantSplit/>
        </w:trPr>
        <w:tc>
          <w:tcPr>
            <w:tcW w:type="dxa" w:w="2304"/>
            <w:vAlign w:val="top"/>
          </w:tcPr>
          <w:p>
            <w:pPr>
              <w:spacing w:after="40" w:before="0" w:line="259" w:lineRule="auto"/>
            </w:pPr>
            <w:r>
              <w:rPr>
                <w:rFonts w:ascii="Calibri" w:hAnsi="Calibri"/>
                <w:b/>
                <w:i w:val="0"/>
                <w:color w:val="212121"/>
                <w:sz w:val="19"/>
              </w:rPr>
              <w:t>Flatulence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Excess hydrogen, methane and carbon dioxide produced by colonic bacteria.</w:t>
            </w:r>
          </w:p>
        </w:tc>
      </w:tr>
      <w:tr>
        <w:trPr>
          <w:cantSplit/>
        </w:trPr>
        <w:tc>
          <w:tcPr>
            <w:tcW w:type="dxa" w:w="2304"/>
            <w:vAlign w:val="top"/>
          </w:tcPr>
          <w:p>
            <w:pPr>
              <w:spacing w:after="40" w:before="0" w:line="259" w:lineRule="auto"/>
            </w:pPr>
            <w:r>
              <w:rPr>
                <w:rFonts w:ascii="Calibri" w:hAnsi="Calibri"/>
                <w:b/>
                <w:i w:val="0"/>
                <w:color w:val="212121"/>
                <w:sz w:val="19"/>
              </w:rPr>
              <w:t>Abdominal pain / cramps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Osmotic distension and increased motility cause peri-umbilical and lower abdominal cramping.</w:t>
            </w:r>
          </w:p>
        </w:tc>
      </w:tr>
      <w:tr>
        <w:trPr>
          <w:cantSplit/>
        </w:trPr>
        <w:tc>
          <w:tcPr>
            <w:tcW w:type="dxa" w:w="2304"/>
            <w:vAlign w:val="top"/>
          </w:tcPr>
          <w:p>
            <w:pPr>
              <w:spacing w:after="40" w:before="0" w:line="259" w:lineRule="auto"/>
            </w:pPr>
            <w:r>
              <w:rPr>
                <w:rFonts w:ascii="Calibri" w:hAnsi="Calibri"/>
                <w:b/>
                <w:i w:val="0"/>
                <w:color w:val="212121"/>
                <w:sz w:val="19"/>
              </w:rPr>
              <w:t>Diarrhoea (loose, watery, acidic stools)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Unabsorbed lactose and short-chain fatty acids draw water into the lumen (osmotic diarrhoea).</w:t>
            </w:r>
          </w:p>
        </w:tc>
      </w:tr>
      <w:tr>
        <w:trPr>
          <w:cantSplit/>
        </w:trPr>
        <w:tc>
          <w:tcPr>
            <w:tcW w:type="dxa" w:w="2304"/>
            <w:vAlign w:val="top"/>
          </w:tcPr>
          <w:p>
            <w:pPr>
              <w:spacing w:after="40" w:before="0" w:line="259" w:lineRule="auto"/>
            </w:pPr>
            <w:r>
              <w:rPr>
                <w:rFonts w:ascii="Calibri" w:hAnsi="Calibri"/>
                <w:b/>
                <w:i w:val="0"/>
                <w:color w:val="212121"/>
                <w:sz w:val="19"/>
              </w:rPr>
              <w:t>Borborygmi (audible bowel rumbling)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Increased fluid and gas with rapid transit produce loud bowel sounds.</w:t>
            </w:r>
          </w:p>
        </w:tc>
      </w:tr>
      <w:tr>
        <w:trPr>
          <w:cantSplit/>
        </w:trPr>
        <w:tc>
          <w:tcPr>
            <w:tcW w:type="dxa" w:w="2304"/>
            <w:vAlign w:val="top"/>
          </w:tcPr>
          <w:p>
            <w:pPr>
              <w:spacing w:after="40" w:before="0" w:line="259" w:lineRule="auto"/>
            </w:pPr>
            <w:r>
              <w:rPr>
                <w:rFonts w:ascii="Calibri" w:hAnsi="Calibri"/>
                <w:b/>
                <w:i w:val="0"/>
                <w:color w:val="212121"/>
                <w:sz w:val="19"/>
              </w:rPr>
              <w:t>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Gastric distension and delayed handling of a large lactose load.</w:t>
            </w:r>
          </w:p>
        </w:tc>
      </w:tr>
      <w:tr>
        <w:trPr>
          <w:cantSplit/>
        </w:trPr>
        <w:tc>
          <w:tcPr>
            <w:tcW w:type="dxa" w:w="2304"/>
            <w:vAlign w:val="top"/>
          </w:tcPr>
          <w:p>
            <w:pPr>
              <w:spacing w:after="40" w:before="0" w:line="259" w:lineRule="auto"/>
            </w:pPr>
            <w:r>
              <w:rPr>
                <w:rFonts w:ascii="Calibri" w:hAnsi="Calibri"/>
                <w:b/>
                <w:i w:val="0"/>
                <w:color w:val="212121"/>
                <w:sz w:val="19"/>
              </w:rPr>
              <w:t>Urgency / increased stool frequency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Rapid colonic transit, prominent where IBS-D overlaps.</w:t>
            </w:r>
          </w:p>
        </w:tc>
      </w:tr>
      <w:tr>
        <w:trPr>
          <w:cantSplit/>
        </w:trPr>
        <w:tc>
          <w:tcPr>
            <w:tcW w:type="dxa" w:w="2304"/>
            <w:vAlign w:val="top"/>
          </w:tcPr>
          <w:p>
            <w:pPr>
              <w:spacing w:after="40" w:before="0" w:line="259" w:lineRule="auto"/>
            </w:pPr>
            <w:r>
              <w:rPr>
                <w:rFonts w:ascii="Calibri" w:hAnsi="Calibri"/>
                <w:b/>
                <w:i w:val="0"/>
                <w:color w:val="212121"/>
                <w:sz w:val="19"/>
              </w:rPr>
              <w:t>Vomiting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More typical in children and adolescents after a large dairy load.</w:t>
            </w:r>
          </w:p>
        </w:tc>
      </w:tr>
      <w:tr>
        <w:trPr>
          <w:cantSplit/>
        </w:trPr>
        <w:tc>
          <w:tcPr>
            <w:tcW w:type="dxa" w:w="2304"/>
            <w:vAlign w:val="top"/>
          </w:tcPr>
          <w:p>
            <w:pPr>
              <w:spacing w:after="40" w:before="0" w:line="259" w:lineRule="auto"/>
            </w:pPr>
            <w:r>
              <w:rPr>
                <w:rFonts w:ascii="Calibri" w:hAnsi="Calibri"/>
                <w:b/>
                <w:i w:val="0"/>
                <w:color w:val="212121"/>
                <w:sz w:val="19"/>
              </w:rPr>
              <w:t>Constipation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Methane-predominant fermentation can slow transit in a minority.</w:t>
            </w:r>
          </w:p>
        </w:tc>
      </w:tr>
      <w:tr>
        <w:trPr>
          <w:cantSplit/>
        </w:trPr>
        <w:tc>
          <w:tcPr>
            <w:tcW w:type="dxa" w:w="2304"/>
            <w:vAlign w:val="top"/>
          </w:tcPr>
          <w:p>
            <w:pPr>
              <w:spacing w:after="40" w:before="0" w:line="259" w:lineRule="auto"/>
            </w:pPr>
            <w:r>
              <w:rPr>
                <w:rFonts w:ascii="Calibri" w:hAnsi="Calibri"/>
                <w:b/>
                <w:i w:val="0"/>
                <w:color w:val="212121"/>
                <w:sz w:val="19"/>
              </w:rPr>
              <w:t>Perianal excoriation / nappy rash (infants)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Acidic stools irritate perianal skin in infants with secondary intolerance.</w:t>
            </w:r>
          </w:p>
        </w:tc>
      </w:tr>
      <w:tr>
        <w:trPr>
          <w:cantSplit/>
        </w:trPr>
        <w:tc>
          <w:tcPr>
            <w:tcW w:type="dxa" w:w="2304"/>
            <w:vAlign w:val="top"/>
          </w:tcPr>
          <w:p>
            <w:pPr>
              <w:spacing w:after="40" w:before="0" w:line="259" w:lineRule="auto"/>
            </w:pPr>
            <w:r>
              <w:rPr>
                <w:rFonts w:ascii="Calibri" w:hAnsi="Calibri"/>
                <w:b/>
                <w:i w:val="0"/>
                <w:color w:val="212121"/>
                <w:sz w:val="19"/>
              </w:rPr>
              <w:t>Systemic symptoms - headache, fatigue, myalgia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Reported by a subset; attributed to fermentation metabolites, mechanism uncertain.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Abdominal distension with tympanic percussion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Gaseous distension of fluid- and gas-filled bowel loops.</w:t>
            </w:r>
          </w:p>
        </w:tc>
      </w:tr>
      <w:tr>
        <w:trPr>
          <w:cantSplit/>
        </w:trPr>
        <w:tc>
          <w:tcPr>
            <w:tcW w:type="dxa" w:w="3456"/>
            <w:vAlign w:val="top"/>
          </w:tcPr>
          <w:p>
            <w:pPr>
              <w:spacing w:after="40" w:before="0" w:line="259" w:lineRule="auto"/>
            </w:pPr>
            <w:r>
              <w:rPr>
                <w:rFonts w:ascii="Calibri" w:hAnsi="Calibri"/>
                <w:b/>
                <w:i w:val="0"/>
                <w:color w:val="212121"/>
                <w:sz w:val="19"/>
              </w:rPr>
              <w:t>Hyperactive bowel sounds (borborygmi)</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Audible on auscultation from increased luminal fluid/gas and motility.</w:t>
            </w:r>
          </w:p>
        </w:tc>
      </w:tr>
      <w:tr>
        <w:trPr>
          <w:cantSplit/>
        </w:trPr>
        <w:tc>
          <w:tcPr>
            <w:tcW w:type="dxa" w:w="3456"/>
            <w:vAlign w:val="top"/>
          </w:tcPr>
          <w:p>
            <w:pPr>
              <w:spacing w:after="40" w:before="0" w:line="259" w:lineRule="auto"/>
            </w:pPr>
            <w:r>
              <w:rPr>
                <w:rFonts w:ascii="Calibri" w:hAnsi="Calibri"/>
                <w:b/>
                <w:i w:val="0"/>
                <w:color w:val="212121"/>
                <w:sz w:val="19"/>
              </w:rPr>
              <w:t>Frothy, watery, acidic stool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osmotic diarrhoea and colonic fermentation.</w:t>
            </w:r>
          </w:p>
        </w:tc>
      </w:tr>
      <w:tr>
        <w:trPr>
          <w:cantSplit/>
        </w:trPr>
        <w:tc>
          <w:tcPr>
            <w:tcW w:type="dxa" w:w="3456"/>
            <w:vAlign w:val="top"/>
          </w:tcPr>
          <w:p>
            <w:pPr>
              <w:spacing w:after="40" w:before="0" w:line="259" w:lineRule="auto"/>
            </w:pPr>
            <w:r>
              <w:rPr>
                <w:rFonts w:ascii="Calibri" w:hAnsi="Calibri"/>
                <w:b/>
                <w:i w:val="0"/>
                <w:color w:val="212121"/>
                <w:sz w:val="19"/>
              </w:rPr>
              <w:t>Positive stool reducing substances / low stool pH (&lt; 5.5)</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Unabsorbed lactose lowers stool pH; a useful bedside test in children.</w:t>
            </w:r>
          </w:p>
        </w:tc>
      </w:tr>
      <w:tr>
        <w:trPr>
          <w:cantSplit/>
        </w:trPr>
        <w:tc>
          <w:tcPr>
            <w:tcW w:type="dxa" w:w="3456"/>
            <w:vAlign w:val="top"/>
          </w:tcPr>
          <w:p>
            <w:pPr>
              <w:spacing w:after="40" w:before="0" w:line="259" w:lineRule="auto"/>
            </w:pPr>
            <w:r>
              <w:rPr>
                <w:rFonts w:ascii="Calibri" w:hAnsi="Calibri"/>
                <w:b/>
                <w:i w:val="0"/>
                <w:color w:val="212121"/>
                <w:sz w:val="19"/>
              </w:rPr>
              <w:t>Perianal excoriation / diaper dermatitis (infants)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acidic stools in paediatric secondary intolerance.</w:t>
            </w:r>
          </w:p>
        </w:tc>
      </w:tr>
      <w:tr>
        <w:trPr>
          <w:cantSplit/>
        </w:trPr>
        <w:tc>
          <w:tcPr>
            <w:tcW w:type="dxa" w:w="3456"/>
            <w:vAlign w:val="top"/>
          </w:tcPr>
          <w:p>
            <w:pPr>
              <w:spacing w:after="40" w:before="0" w:line="259" w:lineRule="auto"/>
            </w:pPr>
            <w:r>
              <w:rPr>
                <w:rFonts w:ascii="Calibri" w:hAnsi="Calibri"/>
                <w:b/>
                <w:i w:val="0"/>
                <w:color w:val="212121"/>
                <w:sz w:val="19"/>
              </w:rPr>
              <w:t>Growth faltering / failure to thrive (children)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Chronic osmotic diarrhoea and reduced intake impair weight gain.</w:t>
            </w:r>
          </w:p>
        </w:tc>
      </w:tr>
      <w:tr>
        <w:trPr>
          <w:cantSplit/>
        </w:trPr>
        <w:tc>
          <w:tcPr>
            <w:tcW w:type="dxa" w:w="3456"/>
            <w:vAlign w:val="top"/>
          </w:tcPr>
          <w:p>
            <w:pPr>
              <w:spacing w:after="40" w:before="0" w:line="259" w:lineRule="auto"/>
            </w:pPr>
            <w:r>
              <w:rPr>
                <w:rFonts w:ascii="Calibri" w:hAnsi="Calibri"/>
                <w:b/>
                <w:i w:val="0"/>
                <w:color w:val="212121"/>
                <w:sz w:val="19"/>
              </w:rPr>
              <w:t>Signs of dehydration (dry mucosae, reduced skin turgor)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 severe paediatric or high-volume diarrhoea.</w:t>
            </w:r>
          </w:p>
        </w:tc>
      </w:tr>
      <w:tr>
        <w:trPr>
          <w:cantSplit/>
        </w:trPr>
        <w:tc>
          <w:tcPr>
            <w:tcW w:type="dxa" w:w="3456"/>
            <w:vAlign w:val="top"/>
          </w:tcPr>
          <w:p>
            <w:pPr>
              <w:spacing w:after="40" w:before="0" w:line="259" w:lineRule="auto"/>
            </w:pPr>
            <w:r>
              <w:rPr>
                <w:rFonts w:ascii="Calibri" w:hAnsi="Calibri"/>
                <w:b/>
                <w:i w:val="0"/>
                <w:color w:val="212121"/>
                <w:sz w:val="19"/>
              </w:rPr>
              <w:t>Signs of calcium/vitamin-D deficiency (bone tenderness; rickets in children)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From long-term dairy exclusion without adequate substitution.</w:t>
            </w:r>
          </w:p>
        </w:tc>
      </w:tr>
      <w:tr>
        <w:trPr>
          <w:cantSplit/>
        </w:trPr>
        <w:tc>
          <w:tcPr>
            <w:tcW w:type="dxa" w:w="3456"/>
            <w:vAlign w:val="top"/>
          </w:tcPr>
          <w:p>
            <w:pPr>
              <w:spacing w:after="40" w:before="0" w:line="259" w:lineRule="auto"/>
            </w:pPr>
            <w:r>
              <w:rPr>
                <w:rFonts w:ascii="Calibri" w:hAnsi="Calibri"/>
                <w:b/>
                <w:i w:val="0"/>
                <w:color w:val="212121"/>
                <w:sz w:val="19"/>
              </w:rPr>
              <w:t>Unremarkable examination between episodes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normal exam and absence of alarm features help distinguish from organic bowel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Osmotic diarrhoea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Abdominal bloating, cramps and flatulence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Nausea and borborygmi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and electrolyte disturbance in infants or severe cases</w:t>
            </w:r>
          </w:p>
        </w:tc>
        <w:tc>
          <w:tcPr>
            <w:tcW w:type="dxa" w:w="2980"/>
            <w:vAlign w:val="top"/>
          </w:tcPr>
          <w:p>
            <w:pPr>
              <w:spacing w:after="40" w:before="0" w:line="259" w:lineRule="auto"/>
            </w:pPr>
            <w:r>
              <w:rPr>
                <w:rFonts w:ascii="Calibri" w:hAnsi="Calibri"/>
                <w:b w:val="0"/>
                <w:i w:val="0"/>
                <w:color w:val="212121"/>
                <w:sz w:val="19"/>
              </w:rPr>
              <w:t>Direct osmotic and fermentative consequences of undigested lactose reaching the colon.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Inadequate calcium and vitamin D intake from dairy avoidance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Growth faltering / failure to thrive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Aggravation and mislabelling of irritable bowel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Unnecessarily restrictive diets and nutritional imbalance</w:t>
            </w:r>
          </w:p>
        </w:tc>
        <w:tc>
          <w:tcPr>
            <w:tcW w:type="dxa" w:w="2980"/>
            <w:vAlign w:val="top"/>
          </w:tcPr>
          <w:p>
            <w:pPr>
              <w:spacing w:after="40" w:before="0" w:line="259" w:lineRule="auto"/>
            </w:pPr>
            <w:r>
              <w:rPr>
                <w:rFonts w:ascii="Calibri" w:hAnsi="Calibri"/>
                <w:b w:val="0"/>
                <w:i w:val="0"/>
                <w:color w:val="212121"/>
                <w:sz w:val="19"/>
              </w:rPr>
              <w:t>Arise from symptom-driven dairy exclusion and overlap with functional GI disorders.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Osteopenia and osteoporosis with increased fracture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Osteomalacia in adults / rickets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 and dietary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Missed underlying celiac disease or IBD when only symptoms are treated</w:t>
            </w:r>
          </w:p>
        </w:tc>
        <w:tc>
          <w:tcPr>
            <w:tcW w:type="dxa" w:w="2980"/>
            <w:vAlign w:val="top"/>
          </w:tcPr>
          <w:p>
            <w:pPr>
              <w:spacing w:after="40" w:before="0" w:line="259" w:lineRule="auto"/>
            </w:pPr>
            <w:r>
              <w:rPr>
                <w:rFonts w:ascii="Calibri" w:hAnsi="Calibri"/>
                <w:b w:val="0"/>
                <w:i w:val="0"/>
                <w:color w:val="212121"/>
                <w:sz w:val="19"/>
              </w:rPr>
              <w:t>Long-term outcomes of sustained low calcium/vitamin-D intake and undiagnosed secondary causes.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Irritable bowel syndrome (especially IBS-D)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Lactose malabsorption overlaps with and worsens IBS, most strongly the diarrhoea-predominant subtype.</w:t>
            </w:r>
          </w:p>
          <w:p>
            <w:pPr>
              <w:spacing w:after="40" w:before="0" w:line="259" w:lineRule="auto"/>
            </w:pPr>
            <w:r>
              <w:rPr>
                <w:rFonts w:ascii="Calibri" w:hAnsi="Calibri"/>
                <w:b/>
                <w:i w:val="0"/>
                <w:color w:val="212121"/>
                <w:sz w:val="19"/>
              </w:rPr>
              <w:t>~38% (of IBS patients)</w:t>
            </w:r>
          </w:p>
        </w:tc>
      </w:tr>
      <w:tr>
        <w:trPr>
          <w:cantSplit/>
        </w:trPr>
        <w:tc>
          <w:tcPr>
            <w:tcW w:type="dxa" w:w="2232"/>
            <w:vAlign w:val="top"/>
          </w:tcPr>
          <w:p>
            <w:pPr>
              <w:spacing w:after="40" w:before="0" w:line="259" w:lineRule="auto"/>
            </w:pPr>
            <w:r>
              <w:rPr>
                <w:rFonts w:ascii="Calibri" w:hAnsi="Calibri"/>
                <w:b/>
                <w:i w:val="0"/>
                <w:color w:val="212121"/>
                <w:sz w:val="19"/>
              </w:rPr>
              <w:t>Celiac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Villous atrophy causes secondary lactase deficiency that improves on a gluten-free diet as the mucosa heals.</w:t>
            </w:r>
          </w:p>
        </w:tc>
      </w:tr>
      <w:tr>
        <w:trPr>
          <w:cantSplit/>
        </w:trPr>
        <w:tc>
          <w:tcPr>
            <w:tcW w:type="dxa" w:w="2232"/>
            <w:vAlign w:val="top"/>
          </w:tcPr>
          <w:p>
            <w:pPr>
              <w:spacing w:after="40" w:before="0" w:line="259" w:lineRule="auto"/>
            </w:pPr>
            <w:r>
              <w:rPr>
                <w:rFonts w:ascii="Calibri" w:hAnsi="Calibri"/>
                <w:b/>
                <w:i w:val="0"/>
                <w:color w:val="212121"/>
                <w:sz w:val="19"/>
              </w:rPr>
              <w:t>Osteopenia / osteoporosis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Dairy avoidance lowers calcium and vitamin D intake, reducing bone mineral density and raising fracture risk.</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Highly prevalent in India and compounded by dairy avoidance; impairs intestinal calcium absorption.</w:t>
            </w:r>
          </w:p>
        </w:tc>
      </w:tr>
      <w:tr>
        <w:trPr>
          <w:cantSplit/>
        </w:trPr>
        <w:tc>
          <w:tcPr>
            <w:tcW w:type="dxa" w:w="2232"/>
            <w:vAlign w:val="top"/>
          </w:tcPr>
          <w:p>
            <w:pPr>
              <w:spacing w:after="40" w:before="0" w:line="259" w:lineRule="auto"/>
            </w:pPr>
            <w:r>
              <w:rPr>
                <w:rFonts w:ascii="Calibri" w:hAnsi="Calibri"/>
                <w:b/>
                <w:i w:val="0"/>
                <w:color w:val="212121"/>
                <w:sz w:val="19"/>
              </w:rPr>
              <w:t>Inflammatory bowel disease (Crohn's disease)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Mucosal inflammation reduces lactase and is associated with low bone mineral density in Indian IBD patients.</w:t>
            </w:r>
          </w:p>
        </w:tc>
      </w:tr>
      <w:tr>
        <w:trPr>
          <w:cantSplit/>
        </w:trPr>
        <w:tc>
          <w:tcPr>
            <w:tcW w:type="dxa" w:w="2232"/>
            <w:vAlign w:val="top"/>
          </w:tcPr>
          <w:p>
            <w:pPr>
              <w:spacing w:after="40" w:before="0" w:line="259" w:lineRule="auto"/>
            </w:pPr>
            <w:r>
              <w:rPr>
                <w:rFonts w:ascii="Calibri" w:hAnsi="Calibri"/>
                <w:b/>
                <w:i w:val="0"/>
                <w:color w:val="212121"/>
                <w:sz w:val="19"/>
              </w:rPr>
              <w:t>Acute infectious gastroenteritis / rotavirus (children)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leading cause of transient secondary lactose intolerance in Indian children.</w:t>
            </w:r>
          </w:p>
        </w:tc>
      </w:tr>
      <w:tr>
        <w:trPr>
          <w:cantSplit/>
        </w:trPr>
        <w:tc>
          <w:tcPr>
            <w:tcW w:type="dxa" w:w="2232"/>
            <w:vAlign w:val="top"/>
          </w:tcPr>
          <w:p>
            <w:pPr>
              <w:spacing w:after="40" w:before="0" w:line="259" w:lineRule="auto"/>
            </w:pPr>
            <w:r>
              <w:rPr>
                <w:rFonts w:ascii="Calibri" w:hAnsi="Calibri"/>
                <w:b/>
                <w:i w:val="0"/>
                <w:color w:val="212121"/>
                <w:sz w:val="19"/>
              </w:rPr>
              <w:t>Small intestinal bacterial overgrowth (SIBO)</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Causes an early hydrogen rise and symptom overlap that can confound breath testing.</w:t>
            </w:r>
          </w:p>
        </w:tc>
      </w:tr>
      <w:tr>
        <w:trPr>
          <w:cantSplit/>
        </w:trPr>
        <w:tc>
          <w:tcPr>
            <w:tcW w:type="dxa" w:w="2232"/>
            <w:vAlign w:val="top"/>
          </w:tcPr>
          <w:p>
            <w:pPr>
              <w:spacing w:after="40" w:before="0" w:line="259" w:lineRule="auto"/>
            </w:pPr>
            <w:r>
              <w:rPr>
                <w:rFonts w:ascii="Calibri" w:hAnsi="Calibri"/>
                <w:b/>
                <w:i w:val="0"/>
                <w:color w:val="212121"/>
                <w:sz w:val="19"/>
              </w:rPr>
              <w:t>Cow's milk protein allergy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distinct immune-mediated reaction frequently confused with lactose intolerance; important to differentiate, especially in infants.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lactose intolerance is a dose-related symptom syndrome, not a milk allergy - most people tolerate small amounts, especially with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read labels for lactose, milk solids, whey and 'milk powder' hidden in breads, biscuits, sweets and processed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curd (dahi), buttermilk (chaas), lassi, paneer and aged cheeses contain far less lactose than fluid milk.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evaluation (breath test) and screening for celiac disease or IBD when symptoms are severe, of recent onset, or accompanied by weight loss or blood in stool.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eliminate all dairy indefinitely without replacing calcium and vitamin 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with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affected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South/East Indian &amp; tribal populations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Titrate lactose to tolerance: keep single doses ≤ 12 g (about 250 mL milk) and total intake ≤ 24 g/day, spread across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dairy with other (fatty or solid) foods to slow gastric emptying and reduce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fermented or low-lactose dairy - curd, buttermilk, lassi, paneer and hard cheeses - over fluid milk.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lactase-enzyme tablets or drops, or pre-hydrolysed (lactose-free) milk, when consuming larger dairy amounts.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Reintroduce dairy gradually to build colonic adaptation rather than avoiding it completely.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malabsorbers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IBS-D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Dairy-dependent diets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dietary calcium (~1000 mg/day, ICMR-NIN) from tolerated dairy plus ragi (finger millet), sesame (til), green leafy vegetables, tofu, almonds and small fish with bones.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vitamin D status through sensible sunlight exposure and supplementation where needed to aid calcium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children with post-infectious intolerance, continue age-appropriate feeding and use lactose-free formula only transiently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Distribute calcium-rich foods across the day for better absorption.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Dairy avoiders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 150 min/week of weight-bearing and resistance exercise to protect bone mineral density, especially when dairy intake is limited.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walking, yoga and strength training to support gut motility and overall metabolic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Dairy avoiders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at risk of osteopenia/osteoporosis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adequate sleep (7-9 h), as poor sleep heightens gut-brain sensitivity and functional GI symptom perception.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large late-night dairy loads that may provoke nocturnal bloating and disturbed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IBS overlap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heavy alcohol intake, which injures the small-bowel mucosa and can precipitate or worsen secondary lactase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creamy alcoholic drinks (e.g., cream liqueurs) that combine alcohol with a lactose load.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secondary lactase deficiency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which aggravates functional gastrointestinal symptoms and accelerates bone loss that compounds dairy-avoidance calcium deficiency.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at risk of osteoporosis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anxiety and stress, which amplify visceral sensitivity and symptom perception through the gut-brain axis, particularly where IBS overlaps.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reassurance, dietitian-guided individualised elimination-reintroduction, and gut-directed behavioural therapies rather than fear-driven total dairy exclusion.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IBS overlap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Health-anxious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self-reported intolerance</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32285/" TargetMode="External"/><Relationship Id="rId10" Type="http://schemas.openxmlformats.org/officeDocument/2006/relationships/hyperlink" Target="https://pubmed.ncbi.nlm.nih.gov/38034051/" TargetMode="External"/><Relationship Id="rId11" Type="http://schemas.openxmlformats.org/officeDocument/2006/relationships/hyperlink" Target="https://www.sciencedirect.com/science/article/abs/pii/S0002916523429097" TargetMode="External"/><Relationship Id="rId12" Type="http://schemas.openxmlformats.org/officeDocument/2006/relationships/hyperlink" Target="https://www.biorxiv.org/content/10.1101/2025.11.05.686799v1.full" TargetMode="External"/><Relationship Id="rId13" Type="http://schemas.openxmlformats.org/officeDocument/2006/relationships/hyperlink" Target="https://www.ncbi.nlm.nih.gov/books/NBK534631/" TargetMode="External"/><Relationship Id="rId14" Type="http://schemas.openxmlformats.org/officeDocument/2006/relationships/hyperlink" Target="https://www.cureus.com/articles/428773-lactose-intolerance-in-irritable-bowel-syndrome-prevalence-subtype-correlations-and-clinical-predictors-in-an-indian-cohort" TargetMode="External"/><Relationship Id="rId15" Type="http://schemas.openxmlformats.org/officeDocument/2006/relationships/hyperlink" Target="https://pubmed.ncbi.nlm.nih.gov/23030683/" TargetMode="External"/><Relationship Id="rId16" Type="http://schemas.openxmlformats.org/officeDocument/2006/relationships/hyperlink" Target="https://pubmed.ncbi.nlm.nih.gov/239988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