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Ulcerative Colitis</w:t>
      </w:r>
    </w:p>
    <w:p>
      <w:pPr>
        <w:spacing w:before="0" w:after="160"/>
      </w:pPr>
      <w:r>
        <w:rPr>
          <w:rFonts w:ascii="Calibri" w:hAnsi="Calibri"/>
          <w:b/>
          <w:i w:val="0"/>
          <w:color w:val="212121"/>
          <w:sz w:val="22"/>
        </w:rPr>
        <w:t xml:space="preserve">AKA </w:t>
      </w:r>
      <w:r>
        <w:rPr>
          <w:rFonts w:ascii="Calibri" w:hAnsi="Calibri"/>
          <w:b w:val="0"/>
          <w:i w:val="0"/>
          <w:color w:val="212121"/>
          <w:sz w:val="22"/>
        </w:rPr>
        <w:t>i.e., UC, Chronic Ulcerative Colitis, Idiopathic Proctocolitis, Ulcerative Proctitis (when limited to the rectum); a major form of Inflammatory Bowel Disease (IBD)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Ulcerative colitis is a chronic, relapsing-remitting, immune-mediated inflammatory bowel disease characterised by continuous inflammation of the colonic mucosa and submucosa that almost always begins in the rectum and extends proximally in an uninterrupted fashion. Clinically it manifests with bloody diarrhoea, faecal urgency, tenesmus and lower-abdominal cramping, punctuated by acute flares and periods of remission. Unlike Crohn's disease, the inflammation is confined to the colon and does not typically penetrate beyond the mucosa/submucosa, sparing the small bowel; over years it carries a heightened risk of colonic dysplasia and colorectal cancer.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 first population-based study from India (Punjab, North India) reported a crude ulcerative colitis prevalence of about 44.3 per 100,000 population and an incidence of roughly 6.0 per 100,000 per year — frequencies not much lower than those of Europe and North America. India is undergoing a marked epidemiological transition and is projected to carry one of the highest absolute IBD burdens in the world, with rising incidence concentrated in urban and northern populations as diets and lifestyles westernise.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Ulcerative colitis is a clinical diagnosis supported by endoscopic, histological and laboratory findings, made only after infective and other mimics are excluded. In India, intestinal tuberculosis and amoebic colitis are critical differentials that must be ruled out before immunosuppression is started. Diagnosis rests on a combination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chronic diarrhoea (≥ 4 weeks) with visible rectal bleeding, often with urgency, tenesmus and passage of mucus;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ileocolonoscopy showing continuous, confluent mucosal inflammation starting at the rectum — loss of vascular pattern, granularity, friability, erosions and ulcers with a clear demarcation from normal proximal mucosa;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histology of biopsies showing crypt architectural distortion, crypt abscesses, basal plasmacytosis and mucin depletion limited to the mucosa/submucosa (no granulomas);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negative stool studies excluding infection — routine culture, Clostridioides difficile toxin, and stool microscopy/serology for Entamoeba histolytica; exclusion of intestinal tuberculosis where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raised faecal calprotectin and inflammatory markers (CRP, ESR) supporting active mucosal inflammation and distinguishing it from functional bowel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graded at presentation with the Truelove and Witts criteria (stool frequency, rectal bleeding, temperature, pulse, haemoglobin and ESR).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Ulcerative colitis is classified by anatomical extent and by clinical severity, which together guide treatment intensity, surveillance and prognosis. The Montreal classification is the most widely used framework:</w:t>
      </w:r>
    </w:p>
    <w:p>
      <w:pPr>
        <w:spacing w:before="0" w:after="80"/>
      </w:pPr>
      <w:r>
        <w:rPr>
          <w:rFonts w:ascii="Calibri" w:hAnsi="Calibri"/>
          <w:b w:val="0"/>
          <w:i w:val="0"/>
          <w:color w:val="212121"/>
          <w:sz w:val="21"/>
        </w:rPr>
        <w:t>(1) By extent (Montreal): E1 — ulcerative proctitis (limited to the rectum); E2 — left-sided (distal) colitis extending up to the splenic flexure; and E3 — extensive colitis / pancolitis extending proximal to the splenic flexure. Greater extent predicts higher relapse rates, colectomy risk and colorectal cancer risk.</w:t>
      </w:r>
    </w:p>
    <w:p>
      <w:pPr>
        <w:spacing w:before="0" w:after="80"/>
      </w:pPr>
      <w:r>
        <w:rPr>
          <w:rFonts w:ascii="Calibri" w:hAnsi="Calibri"/>
          <w:b w:val="0"/>
          <w:i w:val="0"/>
          <w:color w:val="212121"/>
          <w:sz w:val="21"/>
        </w:rPr>
        <w:t>(2) By severity (Montreal S-score): S0 clinical remission; S1 mild; S2 moderate; and S3 severe disease (≥ 6 bloody stools/day with systemic features such as tachycardia, fever, anaemia or raised ESR/CRP).</w:t>
      </w:r>
    </w:p>
    <w:p>
      <w:pPr>
        <w:spacing w:before="0" w:after="80"/>
      </w:pPr>
      <w:r>
        <w:rPr>
          <w:rFonts w:ascii="Calibri" w:hAnsi="Calibri"/>
          <w:b w:val="0"/>
          <w:i w:val="0"/>
          <w:color w:val="212121"/>
          <w:sz w:val="21"/>
        </w:rPr>
        <w:t>(3) By activity over time: relapsing-remitting (the usual course), chronic continuous, and acute severe ulcerative colitis (ASUC) — a medical emergency defined largely by the Truelove and Witts criteria requiring hospitalisation.</w:t>
      </w:r>
    </w:p>
    <w:p>
      <w:pPr>
        <w:spacing w:before="0" w:after="80"/>
      </w:pPr>
      <w:r>
        <w:rPr>
          <w:rFonts w:ascii="Calibri" w:hAnsi="Calibri"/>
          <w:b w:val="0"/>
          <w:i w:val="0"/>
          <w:color w:val="212121"/>
          <w:sz w:val="21"/>
        </w:rPr>
        <w:t>(4) By course/response: steroid-responsive, steroid-dependent, and steroid-refractory / medically refractory disease, the latter groups often needing biologics, small molecules or colectomy.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Dysregulated mucosal immunity: An aberrant, sustained immune response to luminal antigens drives continuous colonic inflammation; UC is characterised by an atypical Th2/Th9 and innate immune activation.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Gut dysbiosis: Reduced microbial diversity and loss of protective short-chain-fatty-acid producers impair the colonic epithelial barrier and perpetuate inflammation.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susceptibility: More than 200 IBD susceptibility loci (including HLA-DR associations) confer risk; heritability is real but positive family history is notably less common in Indian than Western patients.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Environmental / lifestyle triggers: Westernised low-fibre high-sugar diets, urbanisation, air pollution, early-life antibiotic exposure and the hygiene environment modulate risk.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Epithelial barrier defect: Defective mucus layer and tight-junction integrity increase mucosal exposure to bacteria and antigens, initiating and sustaining inflammation.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Loss of protective exposures: Smoking cessation and a non-appendicectomised state are paradoxically associated with higher UC risk, implicating immune modulation by nicotine and appendiceal lymphoid tissue.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(peak onset 15–40 years)</w:t>
            </w:r>
          </w:p>
        </w:tc>
        <w:tc>
          <w:tcPr>
            <w:tcW w:type="dxa" w:w="4276"/>
            <w:vAlign w:val="top"/>
          </w:tcPr>
          <w:p>
            <w:pPr>
              <w:spacing w:after="60" w:line="259" w:lineRule="auto"/>
            </w:pPr>
            <w:r>
              <w:rPr>
                <w:rFonts w:ascii="Calibri" w:hAnsi="Calibri"/>
                <w:b w:val="0"/>
                <w:i w:val="0"/>
                <w:color w:val="212121"/>
                <w:sz w:val="19"/>
              </w:rPr>
              <w:t>UC classically presents in adolescents and young adults, with the mucosal immune system reacting to a westernising luminal environment; India's disease surge is concentrated in this economically active young-adult group as urban diets and lifestyles change.</w:t>
            </w:r>
          </w:p>
          <w:p>
            <w:pPr>
              <w:spacing w:after="40" w:before="60" w:line="259" w:lineRule="auto"/>
            </w:pPr>
            <w:r>
              <w:rPr>
                <w:rFonts w:ascii="Calibri" w:hAnsi="Calibri"/>
                <w:b w:val="0"/>
                <w:i w:val="0"/>
                <w:color w:val="212121"/>
                <w:sz w:val="19"/>
              </w:rPr>
              <w:t>India is undergoing an epidemiological transition and is projected to have one of the highest IBD burdens globally, with incidence rising most in young urban adults.</w:t>
            </w:r>
          </w:p>
          <w:p>
            <w:pPr>
              <w:spacing w:after="40" w:line="252" w:lineRule="auto"/>
            </w:pPr>
            <w:hyperlink r:id="rId9">
              <w:r>
                <w:rPr>
                  <w:rFonts w:ascii="Calibri" w:hAnsi="Calibri" w:cs="Calibri"/>
                  <w:sz w:val="18"/>
                  <w:color w:val="1155CC"/>
                  <w:u w:val="single"/>
                </w:rPr>
                <w:t xml:space="preserve">pubmed.ncbi.nlm.nih.gov/30018961 — IBD in India: The Great Shift East</w:t>
              </w:r>
            </w:hyperlink>
          </w:p>
          <w:p>
            <w:pPr>
              <w:spacing w:before="60" w:after="40"/>
            </w:pPr>
            <w:r>
              <w:rPr>
                <w:rFonts w:ascii="Calibri" w:hAnsi="Calibri"/>
                <w:b w:val="0"/>
                <w:i w:val="0"/>
                <w:color w:val="5A5A5A"/>
                <w:sz w:val="18"/>
              </w:rPr>
              <w:t>#ulcerativecolitis  #youngadults  #IBD  #epidemiologicaltransition  #urbanindia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(second peak ~50–70 years)</w:t>
            </w:r>
          </w:p>
        </w:tc>
        <w:tc>
          <w:tcPr>
            <w:tcW w:type="dxa" w:w="4276"/>
            <w:vAlign w:val="top"/>
          </w:tcPr>
          <w:p>
            <w:pPr>
              <w:spacing w:after="60" w:line="259" w:lineRule="auto"/>
            </w:pPr>
            <w:r>
              <w:rPr>
                <w:rFonts w:ascii="Calibri" w:hAnsi="Calibri"/>
                <w:b w:val="0"/>
                <w:i w:val="0"/>
                <w:color w:val="212121"/>
                <w:sz w:val="19"/>
              </w:rPr>
              <w:t>A distinct second incidence peak occurs in older adults (elderly-onset UC). Presentation is often left-sided, but immunosenescence, polypharmacy and comorbidity make drug choices, infection risk and surgical risk more challenging.</w:t>
            </w:r>
          </w:p>
          <w:p>
            <w:pPr>
              <w:spacing w:after="40" w:before="60" w:line="259" w:lineRule="auto"/>
            </w:pPr>
            <w:r>
              <w:rPr>
                <w:rFonts w:ascii="Calibri" w:hAnsi="Calibri"/>
                <w:b w:val="0"/>
                <w:i w:val="0"/>
                <w:color w:val="212121"/>
                <w:sz w:val="19"/>
              </w:rPr>
              <w:t>Roughly 10–15% of UC is diagnosed after age 60; elderly-onset disease carries higher hospitalisation, infection and treatment-related risks.</w:t>
            </w:r>
          </w:p>
          <w:p>
            <w:pPr>
              <w:spacing w:before="60" w:after="40"/>
            </w:pPr>
            <w:r>
              <w:rPr>
                <w:rFonts w:ascii="Calibri" w:hAnsi="Calibri"/>
                <w:b w:val="0"/>
                <w:i w:val="0"/>
                <w:color w:val="5A5A5A"/>
                <w:sz w:val="18"/>
              </w:rPr>
              <w:t>#elderlyonset  #immunosenescence  #polypharmacy  #leftsidedcolitis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 (slight male predominance in India)</w:t>
            </w:r>
          </w:p>
        </w:tc>
        <w:tc>
          <w:tcPr>
            <w:tcW w:type="dxa" w:w="4276"/>
            <w:vAlign w:val="top"/>
          </w:tcPr>
          <w:p>
            <w:pPr>
              <w:spacing w:after="60" w:line="259" w:lineRule="auto"/>
            </w:pPr>
            <w:r>
              <w:rPr>
                <w:rFonts w:ascii="Calibri" w:hAnsi="Calibri"/>
                <w:b w:val="0"/>
                <w:i w:val="0"/>
                <w:color w:val="212121"/>
                <w:sz w:val="19"/>
              </w:rPr>
              <w:t>Indian and Asian cohorts show a modest male predominance in ulcerative colitis, in contrast to the roughly equal sex ratio in the West; the reasons are incompletely understood and likely involve hormonal and environmental interactions.</w:t>
            </w:r>
          </w:p>
          <w:p>
            <w:pPr>
              <w:spacing w:after="40" w:before="60" w:line="259" w:lineRule="auto"/>
            </w:pPr>
            <w:r>
              <w:rPr>
                <w:rFonts w:ascii="Calibri" w:hAnsi="Calibri"/>
                <w:b w:val="0"/>
                <w:i w:val="0"/>
                <w:color w:val="212121"/>
                <w:sz w:val="19"/>
              </w:rPr>
              <w:t>Indian IBD series generally report a male-to-female ratio slightly above 1, unlike the near-equal ratio seen in Western UC.</w:t>
            </w:r>
          </w:p>
          <w:p>
            <w:pPr>
              <w:spacing w:after="40" w:line="252" w:lineRule="auto"/>
            </w:pPr>
            <w:hyperlink r:id="rId9">
              <w:r>
                <w:rPr>
                  <w:rFonts w:ascii="Calibri" w:hAnsi="Calibri" w:cs="Calibri"/>
                  <w:sz w:val="18"/>
                  <w:color w:val="1155CC"/>
                  <w:u w:val="single"/>
                </w:rPr>
                <w:t xml:space="preserve">pubmed.ncbi.nlm.nih.gov/30018961 — IBD in India</w:t>
              </w:r>
            </w:hyperlink>
          </w:p>
          <w:p>
            <w:pPr>
              <w:spacing w:before="60" w:after="40"/>
            </w:pPr>
            <w:r>
              <w:rPr>
                <w:rFonts w:ascii="Calibri" w:hAnsi="Calibri"/>
                <w:b w:val="0"/>
                <w:i w:val="0"/>
                <w:color w:val="5A5A5A"/>
                <w:sz w:val="18"/>
              </w:rPr>
              <w:t>#malepredominance  #sexdifference  #asianIBD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higher-income, white-collar populations</w:t>
            </w:r>
          </w:p>
        </w:tc>
        <w:tc>
          <w:tcPr>
            <w:tcW w:type="dxa" w:w="4276"/>
            <w:vAlign w:val="top"/>
          </w:tcPr>
          <w:p>
            <w:pPr>
              <w:spacing w:after="60" w:line="259" w:lineRule="auto"/>
            </w:pPr>
            <w:r>
              <w:rPr>
                <w:rFonts w:ascii="Calibri" w:hAnsi="Calibri"/>
                <w:b w:val="0"/>
                <w:i w:val="0"/>
                <w:color w:val="212121"/>
                <w:sz w:val="19"/>
              </w:rPr>
              <w:t>Urbanisation, sanitised early-life environments, processed-food access and sedentary occupations cluster in higher socioeconomic urban groups, consistent with the hygiene hypothesis and westernisation of diet.</w:t>
            </w:r>
          </w:p>
          <w:p>
            <w:pPr>
              <w:spacing w:after="40" w:before="60" w:line="259" w:lineRule="auto"/>
            </w:pPr>
            <w:r>
              <w:rPr>
                <w:rFonts w:ascii="Calibri" w:hAnsi="Calibri"/>
                <w:b w:val="0"/>
                <w:i w:val="0"/>
                <w:color w:val="212121"/>
                <w:sz w:val="19"/>
              </w:rPr>
              <w:t>Urbanisation, air pollution, and westernised diet are recognised environmental drivers of rising IBD incidence.</w:t>
            </w:r>
          </w:p>
          <w:p>
            <w:pPr>
              <w:spacing w:after="40" w:line="252" w:lineRule="auto"/>
            </w:pPr>
            <w:hyperlink r:id="rId10">
              <w:r>
                <w:rPr>
                  <w:rFonts w:ascii="Calibri" w:hAnsi="Calibri" w:cs="Calibri"/>
                  <w:sz w:val="18"/>
                  <w:color w:val="1155CC"/>
                  <w:u w:val="single"/>
                </w:rPr>
                <w:t xml:space="preserve">pubmed.ncbi.nlm.nih.gov/41340403 — environmental factors in IBD</w:t>
              </w:r>
            </w:hyperlink>
          </w:p>
          <w:p>
            <w:pPr>
              <w:spacing w:before="60" w:after="40"/>
            </w:pPr>
            <w:r>
              <w:rPr>
                <w:rFonts w:ascii="Calibri" w:hAnsi="Calibri"/>
                <w:b w:val="0"/>
                <w:i w:val="0"/>
                <w:color w:val="5A5A5A"/>
                <w:sz w:val="18"/>
              </w:rPr>
              <w:t>#urbanisation  #hygienehypothesis  #westernisation  #socioeconomic</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 Indian (e.g., Punjab) populations</w:t>
            </w:r>
          </w:p>
        </w:tc>
        <w:tc>
          <w:tcPr>
            <w:tcW w:type="dxa" w:w="4276"/>
            <w:vAlign w:val="top"/>
          </w:tcPr>
          <w:p>
            <w:pPr>
              <w:spacing w:after="60" w:line="259" w:lineRule="auto"/>
            </w:pPr>
            <w:r>
              <w:rPr>
                <w:rFonts w:ascii="Calibri" w:hAnsi="Calibri"/>
                <w:b w:val="0"/>
                <w:i w:val="0"/>
                <w:color w:val="212121"/>
                <w:sz w:val="19"/>
              </w:rPr>
              <w:t>The earliest and highest documented Indian UC frequencies come from North India, where the first house-to-house population survey established that the disease is far from rare on the subcontinent.</w:t>
            </w:r>
          </w:p>
          <w:p>
            <w:pPr>
              <w:spacing w:after="40" w:before="60" w:line="259" w:lineRule="auto"/>
            </w:pPr>
            <w:r>
              <w:rPr>
                <w:rFonts w:ascii="Calibri" w:hAnsi="Calibri"/>
                <w:b w:val="0"/>
                <w:i w:val="0"/>
                <w:color w:val="212121"/>
                <w:sz w:val="19"/>
              </w:rPr>
              <w:t>Punjab population survey: crude UC prevalence 44.3/100,000 (95% CI 29.4–66.6) and incidence 6.02/100,000 (95% CI 1.2–17.6).</w:t>
            </w:r>
          </w:p>
          <w:p>
            <w:pPr>
              <w:spacing w:after="40" w:line="252" w:lineRule="auto"/>
            </w:pPr>
            <w:hyperlink r:id="rId11">
              <w:r>
                <w:rPr>
                  <w:rFonts w:ascii="Calibri" w:hAnsi="Calibri" w:cs="Calibri"/>
                  <w:sz w:val="18"/>
                  <w:color w:val="1155CC"/>
                  <w:u w:val="single"/>
                </w:rPr>
                <w:t xml:space="preserve">pubmed.ncbi.nlm.nih.gov/14570727 — UC incidence/prevalence in Punjab</w:t>
              </w:r>
            </w:hyperlink>
          </w:p>
          <w:p>
            <w:pPr>
              <w:spacing w:before="60" w:after="40"/>
            </w:pPr>
            <w:r>
              <w:rPr>
                <w:rFonts w:ascii="Calibri" w:hAnsi="Calibri"/>
                <w:b w:val="0"/>
                <w:i w:val="0"/>
                <w:color w:val="5A5A5A"/>
                <w:sz w:val="18"/>
              </w:rPr>
              <w:t>#northindia  #punjab  #prevalence  #populationstudy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 / ethnicity</w:t>
            </w:r>
          </w:p>
        </w:tc>
        <w:tc>
          <w:tcPr>
            <w:tcW w:type="dxa" w:w="2160"/>
            <w:vAlign w:val="top"/>
          </w:tcPr>
          <w:p>
            <w:pPr>
              <w:spacing w:after="40" w:before="0" w:line="259" w:lineRule="auto"/>
            </w:pPr>
            <w:r>
              <w:rPr>
                <w:rFonts w:ascii="Calibri" w:hAnsi="Calibri"/>
                <w:b w:val="0"/>
                <w:i w:val="0"/>
                <w:color w:val="212121"/>
                <w:sz w:val="19"/>
              </w:rPr>
              <w:t>Second-generation Indian immigrants to the West</w:t>
            </w:r>
          </w:p>
        </w:tc>
        <w:tc>
          <w:tcPr>
            <w:tcW w:type="dxa" w:w="4276"/>
            <w:vAlign w:val="top"/>
          </w:tcPr>
          <w:p>
            <w:pPr>
              <w:spacing w:after="60" w:line="259" w:lineRule="auto"/>
            </w:pPr>
            <w:r>
              <w:rPr>
                <w:rFonts w:ascii="Calibri" w:hAnsi="Calibri"/>
                <w:b w:val="0"/>
                <w:i w:val="0"/>
                <w:color w:val="212121"/>
                <w:sz w:val="19"/>
              </w:rPr>
              <w:t>Migration studies show that people of Indian origin born in Western countries develop IBD at rates similar to the host population, indicating that environment — not ethnicity alone — drives the rising burden.</w:t>
            </w:r>
          </w:p>
          <w:p>
            <w:pPr>
              <w:spacing w:after="40" w:before="60" w:line="259" w:lineRule="auto"/>
            </w:pPr>
            <w:r>
              <w:rPr>
                <w:rFonts w:ascii="Calibri" w:hAnsi="Calibri"/>
                <w:b w:val="0"/>
                <w:i w:val="0"/>
                <w:color w:val="212121"/>
                <w:sz w:val="19"/>
              </w:rPr>
              <w:t>Second-generation Indian immigrants show incidence rates approaching those of Western host populations, implicating environmental over purely genetic factors.</w:t>
            </w:r>
          </w:p>
          <w:p>
            <w:pPr>
              <w:spacing w:after="40" w:line="252" w:lineRule="auto"/>
            </w:pPr>
            <w:hyperlink r:id="rId9">
              <w:r>
                <w:rPr>
                  <w:rFonts w:ascii="Calibri" w:hAnsi="Calibri" w:cs="Calibri"/>
                  <w:sz w:val="18"/>
                  <w:color w:val="1155CC"/>
                  <w:u w:val="single"/>
                </w:rPr>
                <w:t xml:space="preserve">pubmed.ncbi.nlm.nih.gov/30018961 — migration &amp; IBD</w:t>
              </w:r>
            </w:hyperlink>
          </w:p>
          <w:p>
            <w:pPr>
              <w:spacing w:before="60" w:after="40"/>
            </w:pPr>
            <w:r>
              <w:rPr>
                <w:rFonts w:ascii="Calibri" w:hAnsi="Calibri"/>
                <w:b w:val="0"/>
                <w:i w:val="0"/>
                <w:color w:val="5A5A5A"/>
                <w:sz w:val="18"/>
              </w:rPr>
              <w:t>#migration  #environmentaldrivers  #immigrants  #gutmicrobiome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status (ex-smokers)</w:t>
            </w:r>
          </w:p>
        </w:tc>
        <w:tc>
          <w:tcPr>
            <w:tcW w:type="dxa" w:w="2160"/>
            <w:vAlign w:val="top"/>
          </w:tcPr>
          <w:p>
            <w:pPr>
              <w:spacing w:after="40" w:before="0" w:line="259" w:lineRule="auto"/>
            </w:pPr>
            <w:r>
              <w:rPr>
                <w:rFonts w:ascii="Calibri" w:hAnsi="Calibri"/>
                <w:b w:val="0"/>
                <w:i w:val="0"/>
                <w:color w:val="212121"/>
                <w:sz w:val="19"/>
              </w:rPr>
              <w:t>Former smokers / recent quitters</w:t>
            </w:r>
          </w:p>
        </w:tc>
        <w:tc>
          <w:tcPr>
            <w:tcW w:type="dxa" w:w="4276"/>
            <w:vAlign w:val="top"/>
          </w:tcPr>
          <w:p>
            <w:pPr>
              <w:spacing w:after="60" w:line="259" w:lineRule="auto"/>
            </w:pPr>
            <w:r>
              <w:rPr>
                <w:rFonts w:ascii="Calibri" w:hAnsi="Calibri"/>
                <w:b w:val="0"/>
                <w:i w:val="0"/>
                <w:color w:val="212121"/>
                <w:sz w:val="19"/>
              </w:rPr>
              <w:t>Uniquely among common diseases, current smoking is inversely associated with UC while smoking cessation raises risk and can precipitate onset or flares — an effect attributed to nicotine's immune-modulating and mucus-stimulating actions. This is NOT a reason to smoke, as smoking's overall harms far outweigh this effect.</w:t>
            </w:r>
          </w:p>
          <w:p>
            <w:pPr>
              <w:spacing w:after="40" w:before="60" w:line="259" w:lineRule="auto"/>
            </w:pPr>
            <w:r>
              <w:rPr>
                <w:rFonts w:ascii="Calibri" w:hAnsi="Calibri"/>
                <w:b w:val="0"/>
                <w:i w:val="0"/>
                <w:color w:val="212121"/>
                <w:sz w:val="19"/>
              </w:rPr>
              <w:t>Meta-analysis: smoking was protective against UC versus smoking cessation (pooled OR 0.26, 95% CI 0.21–0.32); former smokers carry the highest risk.</w:t>
            </w:r>
          </w:p>
          <w:p>
            <w:pPr>
              <w:spacing w:after="40" w:line="252" w:lineRule="auto"/>
            </w:pPr>
            <w:hyperlink r:id="rId12">
              <w:r>
                <w:rPr>
                  <w:rFonts w:ascii="Calibri" w:hAnsi="Calibri" w:cs="Calibri"/>
                  <w:sz w:val="18"/>
                  <w:color w:val="1155CC"/>
                  <w:u w:val="single"/>
                </w:rPr>
                <w:t xml:space="preserve">pubmed.ncbi.nlm.nih.gov/40246988 — smoking status &amp; UC meta-analysis</w:t>
              </w:r>
            </w:hyperlink>
          </w:p>
          <w:p>
            <w:pPr>
              <w:spacing w:before="60" w:after="40"/>
            </w:pPr>
            <w:r>
              <w:rPr>
                <w:rFonts w:ascii="Calibri" w:hAnsi="Calibri"/>
                <w:b w:val="0"/>
                <w:i w:val="0"/>
                <w:color w:val="5A5A5A"/>
                <w:sz w:val="18"/>
              </w:rPr>
              <w:t>#smokingparadox  #exsmoker  #nicotine  #cessationflare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behaviour</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Low physical activity is linked to systemic inflammation and altered gut motility and microbiota; regular activity appears to lower IBD risk, though the protective signal for UC is seen mainly with activity levels above standard recommendations.</w:t>
            </w:r>
          </w:p>
          <w:p>
            <w:pPr>
              <w:spacing w:after="40" w:before="60" w:line="259" w:lineRule="auto"/>
            </w:pPr>
            <w:r>
              <w:rPr>
                <w:rFonts w:ascii="Calibri" w:hAnsi="Calibri"/>
                <w:b w:val="0"/>
                <w:i w:val="0"/>
                <w:color w:val="212121"/>
                <w:sz w:val="19"/>
              </w:rPr>
              <w:t>In a UK Biobank cohort of 293,578 people, higher physical activity was associated with reduced IBD risk, with a significant reduction in UC risk among those exceeding standard activity recommendations.</w:t>
            </w:r>
          </w:p>
          <w:p>
            <w:pPr>
              <w:spacing w:after="40" w:line="252" w:lineRule="auto"/>
            </w:pPr>
            <w:hyperlink r:id="rId13">
              <w:r>
                <w:rPr>
                  <w:rFonts w:ascii="Calibri" w:hAnsi="Calibri" w:cs="Calibri"/>
                  <w:sz w:val="18"/>
                  <w:color w:val="1155CC"/>
                  <w:u w:val="single"/>
                </w:rPr>
                <w:t xml:space="preserve">pubmed.ncbi.nlm.nih.gov/42221652 — physical activity &amp; IBD cohort</w:t>
              </w:r>
            </w:hyperlink>
          </w:p>
          <w:p>
            <w:pPr>
              <w:spacing w:before="60" w:after="40"/>
            </w:pPr>
            <w:r>
              <w:rPr>
                <w:rFonts w:ascii="Calibri" w:hAnsi="Calibri"/>
                <w:b w:val="0"/>
                <w:i w:val="0"/>
                <w:color w:val="5A5A5A"/>
                <w:sz w:val="18"/>
              </w:rPr>
              <w:t>#sedentary  #physicalactivity  #inflammation  #exercise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Chronically stressed individuals</w:t>
            </w:r>
          </w:p>
        </w:tc>
        <w:tc>
          <w:tcPr>
            <w:tcW w:type="dxa" w:w="4276"/>
            <w:vAlign w:val="top"/>
          </w:tcPr>
          <w:p>
            <w:pPr>
              <w:spacing w:after="60" w:line="259" w:lineRule="auto"/>
            </w:pPr>
            <w:r>
              <w:rPr>
                <w:rFonts w:ascii="Calibri" w:hAnsi="Calibri"/>
                <w:b w:val="0"/>
                <w:i w:val="0"/>
                <w:color w:val="212121"/>
                <w:sz w:val="19"/>
              </w:rPr>
              <w:t>Via the gut-brain axis, chronic psychological stress increases intestinal permeability and pro-inflammatory signalling and is a recognised trigger of UC flares, feeding a bidirectional loop with anxiety and depression.</w:t>
            </w:r>
          </w:p>
          <w:p>
            <w:pPr>
              <w:spacing w:after="40" w:before="60" w:line="259" w:lineRule="auto"/>
            </w:pPr>
            <w:r>
              <w:rPr>
                <w:rFonts w:ascii="Calibri" w:hAnsi="Calibri"/>
                <w:b w:val="0"/>
                <w:i w:val="0"/>
                <w:color w:val="212121"/>
                <w:sz w:val="19"/>
              </w:rPr>
              <w:t>Psychological stress and sleep disruption are listed among the modifiable environmental factors influencing IBD onset and course.</w:t>
            </w:r>
          </w:p>
          <w:p>
            <w:pPr>
              <w:spacing w:after="40" w:line="252" w:lineRule="auto"/>
            </w:pPr>
            <w:hyperlink r:id="rId10">
              <w:r>
                <w:rPr>
                  <w:rFonts w:ascii="Calibri" w:hAnsi="Calibri" w:cs="Calibri"/>
                  <w:sz w:val="18"/>
                  <w:color w:val="1155CC"/>
                  <w:u w:val="single"/>
                </w:rPr>
                <w:t xml:space="preserve">pubmed.ncbi.nlm.nih.gov/41340403 — environmental factors in IBD</w:t>
              </w:r>
            </w:hyperlink>
          </w:p>
          <w:p>
            <w:pPr>
              <w:spacing w:before="60" w:after="40"/>
            </w:pPr>
            <w:r>
              <w:rPr>
                <w:rFonts w:ascii="Calibri" w:hAnsi="Calibri"/>
                <w:b w:val="0"/>
                <w:i w:val="0"/>
                <w:color w:val="5A5A5A"/>
                <w:sz w:val="18"/>
              </w:rPr>
              <w:t>#stress  #gutbrainaxis  #flaretrigger  #mentalhealth</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sugar &amp; sugar-sweetened-beverage consumers</w:t>
            </w:r>
          </w:p>
        </w:tc>
        <w:tc>
          <w:tcPr>
            <w:tcW w:type="dxa" w:w="4276"/>
            <w:vAlign w:val="top"/>
          </w:tcPr>
          <w:p>
            <w:pPr>
              <w:spacing w:after="60" w:line="259" w:lineRule="auto"/>
            </w:pPr>
            <w:r>
              <w:rPr>
                <w:rFonts w:ascii="Calibri" w:hAnsi="Calibri"/>
                <w:b w:val="0"/>
                <w:i w:val="0"/>
                <w:color w:val="212121"/>
                <w:sz w:val="19"/>
              </w:rPr>
              <w:t>Diets high in added sugar and sweetened drinks promote dysbiosis, mucus-layer degradation and mucosal inflammation, increasing the risk of developing ulcerative colitis.</w:t>
            </w:r>
          </w:p>
          <w:p>
            <w:pPr>
              <w:spacing w:after="40" w:before="60" w:line="259" w:lineRule="auto"/>
            </w:pPr>
            <w:r>
              <w:rPr>
                <w:rFonts w:ascii="Calibri" w:hAnsi="Calibri"/>
                <w:b w:val="0"/>
                <w:i w:val="0"/>
                <w:color w:val="212121"/>
                <w:sz w:val="19"/>
              </w:rPr>
              <w:t>Meta-analysis: added-sugar intake raised UC risk (OR 1.59, 95% CI 1.25–2.02) and soda/sweetened-beverage intake raised UC risk (OR 1.72, 95% CI 1.23–2.39).</w:t>
            </w:r>
          </w:p>
          <w:p>
            <w:pPr>
              <w:spacing w:after="40" w:line="252" w:lineRule="auto"/>
            </w:pPr>
            <w:hyperlink r:id="rId14">
              <w:r>
                <w:rPr>
                  <w:rFonts w:ascii="Calibri" w:hAnsi="Calibri" w:cs="Calibri"/>
                  <w:sz w:val="18"/>
                  <w:color w:val="1155CC"/>
                  <w:u w:val="single"/>
                </w:rPr>
                <w:t xml:space="preserve">pubmed.ncbi.nlm.nih.gov/40532067 — dietary sugar &amp; IBD meta-analysis</w:t>
              </w:r>
            </w:hyperlink>
          </w:p>
          <w:p>
            <w:pPr>
              <w:spacing w:before="60" w:after="40"/>
            </w:pPr>
            <w:r>
              <w:rPr>
                <w:rFonts w:ascii="Calibri" w:hAnsi="Calibri"/>
                <w:b w:val="0"/>
                <w:i w:val="0"/>
                <w:color w:val="5A5A5A"/>
                <w:sz w:val="18"/>
              </w:rPr>
              <w:t>#sugar  #sweetenedbeverages  #dysbiosis  #dietrisk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Low-fibre, ultra-processed 'Western' diet</w:t>
            </w:r>
          </w:p>
        </w:tc>
        <w:tc>
          <w:tcPr>
            <w:tcW w:type="dxa" w:w="4276"/>
            <w:vAlign w:val="top"/>
          </w:tcPr>
          <w:p>
            <w:pPr>
              <w:spacing w:after="60" w:line="259" w:lineRule="auto"/>
            </w:pPr>
            <w:r>
              <w:rPr>
                <w:rFonts w:ascii="Calibri" w:hAnsi="Calibri"/>
                <w:b w:val="0"/>
                <w:i w:val="0"/>
                <w:color w:val="212121"/>
                <w:sz w:val="19"/>
              </w:rPr>
              <w:t>Reduced fibre lowers protective short-chain fatty acids while emulsifiers and additives in ultra-processed foods disrupt the mucus barrier; westernisation of the Indian diet parallels the rising UC incidence.</w:t>
            </w:r>
          </w:p>
          <w:p>
            <w:pPr>
              <w:spacing w:after="40" w:before="60" w:line="259" w:lineRule="auto"/>
            </w:pPr>
            <w:r>
              <w:rPr>
                <w:rFonts w:ascii="Calibri" w:hAnsi="Calibri"/>
                <w:b w:val="0"/>
                <w:i w:val="0"/>
                <w:color w:val="212121"/>
                <w:sz w:val="19"/>
              </w:rPr>
              <w:t>Dietary and nutritional exposures — with dietary risks especially pronounced in Western-pattern eating — are key modifiable determinants distinguishing IBD risk between East and West.</w:t>
            </w:r>
          </w:p>
          <w:p>
            <w:pPr>
              <w:spacing w:after="40" w:line="252" w:lineRule="auto"/>
            </w:pPr>
            <w:hyperlink r:id="rId15">
              <w:r>
                <w:rPr>
                  <w:rFonts w:ascii="Calibri" w:hAnsi="Calibri" w:cs="Calibri"/>
                  <w:sz w:val="18"/>
                  <w:color w:val="1155CC"/>
                  <w:u w:val="single"/>
                </w:rPr>
                <w:t xml:space="preserve">pubmed.ncbi.nlm.nih.gov/40604809 — East vs West IBD risk factors</w:t>
              </w:r>
            </w:hyperlink>
          </w:p>
          <w:p>
            <w:pPr>
              <w:spacing w:before="60" w:after="40"/>
            </w:pPr>
            <w:r>
              <w:rPr>
                <w:rFonts w:ascii="Calibri" w:hAnsi="Calibri"/>
                <w:b w:val="0"/>
                <w:i w:val="0"/>
                <w:color w:val="5A5A5A"/>
                <w:sz w:val="18"/>
              </w:rPr>
              <w:t>#lowfibre  #ultraprocessed  #emulsifiers  #westerndiet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IBD patients</w:t>
            </w:r>
          </w:p>
        </w:tc>
        <w:tc>
          <w:tcPr>
            <w:tcW w:type="dxa" w:w="4276"/>
            <w:vAlign w:val="top"/>
          </w:tcPr>
          <w:p>
            <w:pPr>
              <w:spacing w:after="60" w:line="259" w:lineRule="auto"/>
            </w:pPr>
            <w:r>
              <w:rPr>
                <w:rFonts w:ascii="Calibri" w:hAnsi="Calibri"/>
                <w:b w:val="0"/>
                <w:i w:val="0"/>
                <w:color w:val="212121"/>
                <w:sz w:val="19"/>
              </w:rPr>
              <w:t>A family history of IBD raises risk through shared susceptibility genes and environment; notably, far fewer Indian UC patients report a positive family history than their Western counterparts, underscoring the strong environmental contribution locally.</w:t>
            </w:r>
          </w:p>
          <w:p>
            <w:pPr>
              <w:spacing w:after="40" w:before="60" w:line="259" w:lineRule="auto"/>
            </w:pPr>
            <w:r>
              <w:rPr>
                <w:rFonts w:ascii="Calibri" w:hAnsi="Calibri"/>
                <w:b w:val="0"/>
                <w:i w:val="0"/>
                <w:color w:val="212121"/>
                <w:sz w:val="19"/>
              </w:rPr>
              <w:t>Unlike Western patients, very few Indian patients with IBD have a positive family history.</w:t>
            </w:r>
          </w:p>
          <w:p>
            <w:pPr>
              <w:spacing w:after="40" w:line="252" w:lineRule="auto"/>
            </w:pPr>
            <w:hyperlink r:id="rId9">
              <w:r>
                <w:rPr>
                  <w:rFonts w:ascii="Calibri" w:hAnsi="Calibri" w:cs="Calibri"/>
                  <w:sz w:val="18"/>
                  <w:color w:val="1155CC"/>
                  <w:u w:val="single"/>
                </w:rPr>
                <w:t xml:space="preserve">pubmed.ncbi.nlm.nih.gov/30018961 — family history in Indian IBD</w:t>
              </w:r>
            </w:hyperlink>
          </w:p>
          <w:p>
            <w:pPr>
              <w:spacing w:before="60" w:after="40"/>
            </w:pPr>
            <w:r>
              <w:rPr>
                <w:rFonts w:ascii="Calibri" w:hAnsi="Calibri"/>
                <w:b w:val="0"/>
                <w:i w:val="0"/>
                <w:color w:val="5A5A5A"/>
                <w:sz w:val="18"/>
              </w:rPr>
              <w:t>#familyhistory  #genetics  #HLA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Non-appendicectomised state</w:t>
            </w:r>
          </w:p>
        </w:tc>
        <w:tc>
          <w:tcPr>
            <w:tcW w:type="dxa" w:w="2160"/>
            <w:vAlign w:val="top"/>
          </w:tcPr>
          <w:p>
            <w:pPr>
              <w:spacing w:after="40" w:before="0" w:line="259" w:lineRule="auto"/>
            </w:pPr>
            <w:r>
              <w:rPr>
                <w:rFonts w:ascii="Calibri" w:hAnsi="Calibri"/>
                <w:b w:val="0"/>
                <w:i w:val="0"/>
                <w:color w:val="212121"/>
                <w:sz w:val="19"/>
              </w:rPr>
              <w:t>Individuals with an intact appendix (no early appendicectomy)</w:t>
            </w:r>
          </w:p>
        </w:tc>
        <w:tc>
          <w:tcPr>
            <w:tcW w:type="dxa" w:w="4276"/>
            <w:vAlign w:val="top"/>
          </w:tcPr>
          <w:p>
            <w:pPr>
              <w:spacing w:after="60" w:line="259" w:lineRule="auto"/>
            </w:pPr>
            <w:r>
              <w:rPr>
                <w:rFonts w:ascii="Calibri" w:hAnsi="Calibri"/>
                <w:b w:val="0"/>
                <w:i w:val="0"/>
                <w:color w:val="212121"/>
                <w:sz w:val="19"/>
              </w:rPr>
              <w:t>Appendicectomy for true inflammation before adulthood is associated with a lower subsequent risk of ulcerative colitis, attributed to removal of appendiceal lymphoid tissue that helps drive mucosal immunity; those who retain the appendix lack this protective modulation.</w:t>
            </w:r>
          </w:p>
          <w:p>
            <w:pPr>
              <w:spacing w:after="40" w:before="60" w:line="259" w:lineRule="auto"/>
            </w:pPr>
            <w:r>
              <w:rPr>
                <w:rFonts w:ascii="Calibri" w:hAnsi="Calibri"/>
                <w:b w:val="0"/>
                <w:i w:val="0"/>
                <w:color w:val="212121"/>
                <w:sz w:val="19"/>
              </w:rPr>
              <w:t>Appendicectomy is consistently associated with a reduced incidence and risk of ulcerative colitis onset.</w:t>
            </w:r>
          </w:p>
          <w:p>
            <w:pPr>
              <w:spacing w:after="40" w:line="252" w:lineRule="auto"/>
            </w:pPr>
            <w:hyperlink r:id="rId16">
              <w:r>
                <w:rPr>
                  <w:rFonts w:ascii="Calibri" w:hAnsi="Calibri" w:cs="Calibri"/>
                  <w:sz w:val="18"/>
                  <w:color w:val="1155CC"/>
                  <w:u w:val="single"/>
                </w:rPr>
                <w:t xml:space="preserve">pubmed.ncbi.nlm.nih.gov/40372363 — appendicectomy in IBD review</w:t>
              </w:r>
            </w:hyperlink>
          </w:p>
          <w:p>
            <w:pPr>
              <w:spacing w:before="60" w:after="40"/>
            </w:pPr>
            <w:r>
              <w:rPr>
                <w:rFonts w:ascii="Calibri" w:hAnsi="Calibri"/>
                <w:b w:val="0"/>
                <w:i w:val="0"/>
                <w:color w:val="5A5A5A"/>
                <w:sz w:val="18"/>
              </w:rPr>
              <w:t>#appendix  #appendicectomy  #immunomodulation  #protectivefactor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Primary sclerosing cholangitis</w:t>
            </w:r>
          </w:p>
        </w:tc>
        <w:tc>
          <w:tcPr>
            <w:tcW w:type="dxa" w:w="2160"/>
            <w:vAlign w:val="top"/>
          </w:tcPr>
          <w:p>
            <w:pPr>
              <w:spacing w:after="40" w:before="0" w:line="259" w:lineRule="auto"/>
            </w:pPr>
            <w:r>
              <w:rPr>
                <w:rFonts w:ascii="Calibri" w:hAnsi="Calibri"/>
                <w:b w:val="0"/>
                <w:i w:val="0"/>
                <w:color w:val="212121"/>
                <w:sz w:val="19"/>
              </w:rPr>
              <w:t>UC patients with PSC</w:t>
            </w:r>
          </w:p>
        </w:tc>
        <w:tc>
          <w:tcPr>
            <w:tcW w:type="dxa" w:w="4276"/>
            <w:vAlign w:val="top"/>
          </w:tcPr>
          <w:p>
            <w:pPr>
              <w:spacing w:after="60" w:line="259" w:lineRule="auto"/>
            </w:pPr>
            <w:r>
              <w:rPr>
                <w:rFonts w:ascii="Calibri" w:hAnsi="Calibri"/>
                <w:b w:val="0"/>
                <w:i w:val="0"/>
                <w:color w:val="212121"/>
                <w:sz w:val="19"/>
              </w:rPr>
              <w:t>PSC is the classic hepatobiliary association of UC; coexisting PSC markedly amplifies colorectal cancer risk and mandates earlier, more frequent colonoscopic surveillance and hepatobiliary monitoring.</w:t>
            </w:r>
          </w:p>
          <w:p>
            <w:pPr>
              <w:spacing w:after="40" w:before="60" w:line="259" w:lineRule="auto"/>
            </w:pPr>
            <w:r>
              <w:rPr>
                <w:rFonts w:ascii="Calibri" w:hAnsi="Calibri"/>
                <w:b w:val="0"/>
                <w:i w:val="0"/>
                <w:color w:val="212121"/>
                <w:sz w:val="19"/>
              </w:rPr>
              <w:t>Pooled PSC prevalence among IBD patients is about 15.2 per 1,000 (~1.5%), far above the general population.</w:t>
            </w:r>
          </w:p>
          <w:p>
            <w:pPr>
              <w:spacing w:after="40" w:line="252" w:lineRule="auto"/>
            </w:pPr>
            <w:hyperlink r:id="rId17">
              <w:r>
                <w:rPr>
                  <w:rFonts w:ascii="Calibri" w:hAnsi="Calibri" w:cs="Calibri"/>
                  <w:sz w:val="18"/>
                  <w:color w:val="1155CC"/>
                  <w:u w:val="single"/>
                </w:rPr>
                <w:t xml:space="preserve">pubmed.ncbi.nlm.nih.gov/42435161 — PSC epidemiology in IBD</w:t>
              </w:r>
            </w:hyperlink>
          </w:p>
          <w:p>
            <w:pPr>
              <w:spacing w:before="60" w:after="40"/>
            </w:pPr>
            <w:r>
              <w:rPr>
                <w:rFonts w:ascii="Calibri" w:hAnsi="Calibri"/>
                <w:b w:val="0"/>
                <w:i w:val="0"/>
                <w:color w:val="5A5A5A"/>
                <w:sz w:val="18"/>
              </w:rPr>
              <w:t>#PSC  #cholangitis  #hepatobiliary  #surveillance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Colorectal neoplasia risk</w:t>
            </w:r>
          </w:p>
        </w:tc>
        <w:tc>
          <w:tcPr>
            <w:tcW w:type="dxa" w:w="2160"/>
            <w:vAlign w:val="top"/>
          </w:tcPr>
          <w:p>
            <w:pPr>
              <w:spacing w:after="40" w:before="0" w:line="259" w:lineRule="auto"/>
            </w:pPr>
            <w:r>
              <w:rPr>
                <w:rFonts w:ascii="Calibri" w:hAnsi="Calibri"/>
                <w:b w:val="0"/>
                <w:i w:val="0"/>
                <w:color w:val="212121"/>
                <w:sz w:val="19"/>
              </w:rPr>
              <w:t>Long-standing extensive colitis</w:t>
            </w:r>
          </w:p>
        </w:tc>
        <w:tc>
          <w:tcPr>
            <w:tcW w:type="dxa" w:w="4276"/>
            <w:vAlign w:val="top"/>
          </w:tcPr>
          <w:p>
            <w:pPr>
              <w:spacing w:after="60" w:line="259" w:lineRule="auto"/>
            </w:pPr>
            <w:r>
              <w:rPr>
                <w:rFonts w:ascii="Calibri" w:hAnsi="Calibri"/>
                <w:b w:val="0"/>
                <w:i w:val="0"/>
                <w:color w:val="212121"/>
                <w:sz w:val="19"/>
              </w:rPr>
              <w:t>Chronic colonic inflammation drives an inflammation-dysplasia-carcinoma sequence; long disease duration, extensive colitis, coexisting PSC, prior dysplasia and family history of colorectal cancer are the principal amplifiers.</w:t>
            </w:r>
          </w:p>
          <w:p>
            <w:pPr>
              <w:spacing w:after="40" w:before="60" w:line="259" w:lineRule="auto"/>
            </w:pPr>
            <w:r>
              <w:rPr>
                <w:rFonts w:ascii="Calibri" w:hAnsi="Calibri"/>
                <w:b w:val="0"/>
                <w:i w:val="0"/>
                <w:color w:val="212121"/>
                <w:sz w:val="19"/>
              </w:rPr>
              <w:t>Long disease duration, extensive colitis, concomitant PSC, prior dysplasia and family history of CRC remain the major risk factors for UC-associated colorectal cancer.</w:t>
            </w:r>
          </w:p>
          <w:p>
            <w:pPr>
              <w:spacing w:after="40" w:line="252" w:lineRule="auto"/>
            </w:pPr>
            <w:hyperlink r:id="rId18">
              <w:r>
                <w:rPr>
                  <w:rFonts w:ascii="Calibri" w:hAnsi="Calibri" w:cs="Calibri"/>
                  <w:sz w:val="18"/>
                  <w:color w:val="1155CC"/>
                  <w:u w:val="single"/>
                </w:rPr>
                <w:t xml:space="preserve">pubmed.ncbi.nlm.nih.gov/41721152 — IBD-associated colorectal neoplasia</w:t>
              </w:r>
            </w:hyperlink>
          </w:p>
          <w:p>
            <w:pPr>
              <w:spacing w:before="60" w:after="40"/>
            </w:pPr>
            <w:r>
              <w:rPr>
                <w:rFonts w:ascii="Calibri" w:hAnsi="Calibri"/>
                <w:b w:val="0"/>
                <w:i w:val="0"/>
                <w:color w:val="5A5A5A"/>
                <w:sz w:val="18"/>
              </w:rPr>
              <w:t>#colorectalcancer  #dysplasia  #surveillance  #diseaseduration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Iron-deficiency / chronic-disease anaemia</w:t>
            </w:r>
          </w:p>
        </w:tc>
        <w:tc>
          <w:tcPr>
            <w:tcW w:type="dxa" w:w="2160"/>
            <w:vAlign w:val="top"/>
          </w:tcPr>
          <w:p>
            <w:pPr>
              <w:spacing w:after="40" w:before="0" w:line="259" w:lineRule="auto"/>
            </w:pPr>
            <w:r>
              <w:rPr>
                <w:rFonts w:ascii="Calibri" w:hAnsi="Calibri"/>
                <w:b w:val="0"/>
                <w:i w:val="0"/>
                <w:color w:val="212121"/>
                <w:sz w:val="19"/>
              </w:rPr>
              <w:t>Patients with active or extensive UC</w:t>
            </w:r>
          </w:p>
        </w:tc>
        <w:tc>
          <w:tcPr>
            <w:tcW w:type="dxa" w:w="4276"/>
            <w:vAlign w:val="top"/>
          </w:tcPr>
          <w:p>
            <w:pPr>
              <w:spacing w:after="60" w:line="259" w:lineRule="auto"/>
            </w:pPr>
            <w:r>
              <w:rPr>
                <w:rFonts w:ascii="Calibri" w:hAnsi="Calibri"/>
                <w:b w:val="0"/>
                <w:i w:val="0"/>
                <w:color w:val="212121"/>
                <w:sz w:val="19"/>
              </w:rPr>
              <w:t>Chronic blood loss plus inflammation-driven impairment of iron handling makes anaemia the commonest systemic complication of UC; active disease and raised CRP are strong drivers.</w:t>
            </w:r>
          </w:p>
          <w:p>
            <w:pPr>
              <w:spacing w:after="40" w:before="60" w:line="259" w:lineRule="auto"/>
            </w:pPr>
            <w:r>
              <w:rPr>
                <w:rFonts w:ascii="Calibri" w:hAnsi="Calibri"/>
                <w:b w:val="0"/>
                <w:i w:val="0"/>
                <w:color w:val="212121"/>
                <w:sz w:val="19"/>
              </w:rPr>
              <w:t>Anaemia risk in IBD rises with active disease (OR 2.11) and elevated CRP (UC OR 2.20); pooled IBD anaemia prevalence is around 24%.</w:t>
            </w:r>
          </w:p>
          <w:p>
            <w:pPr>
              <w:spacing w:after="40" w:line="252" w:lineRule="auto"/>
            </w:pPr>
            <w:hyperlink r:id="rId19">
              <w:r>
                <w:rPr>
                  <w:rFonts w:ascii="Calibri" w:hAnsi="Calibri" w:cs="Calibri"/>
                  <w:sz w:val="18"/>
                  <w:color w:val="1155CC"/>
                  <w:u w:val="single"/>
                </w:rPr>
                <w:t xml:space="preserve">pubmed.ncbi.nlm.nih.gov/42116329 — risk factors for anaemia in IBD</w:t>
              </w:r>
            </w:hyperlink>
          </w:p>
          <w:p>
            <w:pPr>
              <w:spacing w:before="60" w:after="40"/>
            </w:pPr>
            <w:r>
              <w:rPr>
                <w:rFonts w:ascii="Calibri" w:hAnsi="Calibri"/>
                <w:b w:val="0"/>
                <w:i w:val="0"/>
                <w:color w:val="5A5A5A"/>
                <w:sz w:val="18"/>
              </w:rPr>
              <w:t>#anaemia  #irondeficiency  #chronicdisease  #activedisease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Extraintestinal manifestations</w:t>
            </w:r>
          </w:p>
        </w:tc>
        <w:tc>
          <w:tcPr>
            <w:tcW w:type="dxa" w:w="2160"/>
            <w:vAlign w:val="top"/>
          </w:tcPr>
          <w:p>
            <w:pPr>
              <w:spacing w:after="40" w:before="0" w:line="259" w:lineRule="auto"/>
            </w:pPr>
            <w:r>
              <w:rPr>
                <w:rFonts w:ascii="Calibri" w:hAnsi="Calibri"/>
                <w:b w:val="0"/>
                <w:i w:val="0"/>
                <w:color w:val="212121"/>
                <w:sz w:val="19"/>
              </w:rPr>
              <w:t>UC patients with joint/skin/eye involvement</w:t>
            </w:r>
          </w:p>
        </w:tc>
        <w:tc>
          <w:tcPr>
            <w:tcW w:type="dxa" w:w="4276"/>
            <w:vAlign w:val="top"/>
          </w:tcPr>
          <w:p>
            <w:pPr>
              <w:spacing w:after="60" w:line="259" w:lineRule="auto"/>
            </w:pPr>
            <w:r>
              <w:rPr>
                <w:rFonts w:ascii="Calibri" w:hAnsi="Calibri"/>
                <w:b w:val="0"/>
                <w:i w:val="0"/>
                <w:color w:val="212121"/>
                <w:sz w:val="19"/>
              </w:rPr>
              <w:t>Immune-mediated inflammation extends beyond the gut to joints, skin, eyes and the biliary tree; screening for these manifestations is part of routine UC assessment.</w:t>
            </w:r>
          </w:p>
          <w:p>
            <w:pPr>
              <w:spacing w:after="40" w:before="60" w:line="259" w:lineRule="auto"/>
            </w:pPr>
            <w:r>
              <w:rPr>
                <w:rFonts w:ascii="Calibri" w:hAnsi="Calibri"/>
                <w:b w:val="0"/>
                <w:i w:val="0"/>
                <w:color w:val="212121"/>
                <w:sz w:val="19"/>
              </w:rPr>
              <w:t>In an Indian UC cohort the prevalence of extraintestinal manifestations was 7.92%, with mucocutaneous manifestations most common (4.84%); appendicectomy history was an associated risk factor.</w:t>
            </w:r>
          </w:p>
          <w:p>
            <w:pPr>
              <w:spacing w:after="40" w:line="252" w:lineRule="auto"/>
            </w:pPr>
            <w:hyperlink r:id="rId20">
              <w:r>
                <w:rPr>
                  <w:rFonts w:ascii="Calibri" w:hAnsi="Calibri" w:cs="Calibri"/>
                  <w:sz w:val="18"/>
                  <w:color w:val="1155CC"/>
                  <w:u w:val="single"/>
                </w:rPr>
                <w:t xml:space="preserve">pubmed.ncbi.nlm.nih.gov/34569013 — EIM in Indian UC</w:t>
              </w:r>
            </w:hyperlink>
          </w:p>
          <w:p>
            <w:pPr>
              <w:spacing w:before="60" w:after="40"/>
            </w:pPr>
            <w:r>
              <w:rPr>
                <w:rFonts w:ascii="Calibri" w:hAnsi="Calibri"/>
                <w:b w:val="0"/>
                <w:i w:val="0"/>
                <w:color w:val="5A5A5A"/>
                <w:sz w:val="18"/>
              </w:rPr>
              <w:t>#extraintestinal  #arthritis  #uveitis  #skinlesions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Higher physical activity is associated with lower IBD risk in large cohorts; for UC a significant risk reduction is seen mainly in those exceeding standard activity recommendations, and regular activity supports remission, bone health and mood.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a major modifiable factor: added sugar (UC OR 1.59) and sweetened beverages (UC OR 1.72) raise risk, while low fibre and ultra-processed, emulsifier-rich foods degrade the mucus barrier and promote dysbiosis.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sleep quality and short sleep duration are recognised environmental influences on IBD; sleep disruption promotes systemic inflammation and is associated with higher flare frequency.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UC shows a paradoxical inverse association with current smoking (protective vs cessation, OR 0.26), with former smokers at highest risk; cessation can precipitate onset or flares. Smoking is never recommended, as its overall harms outweigh this effect.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intake and sulphite-containing drinks can aggravate symptoms and mucosal inflammation and may trigger flares; evidence on causation of new-onset UC is mixed.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Bidirectional gut-brain interaction is strong in UC: stress, anxiety and depression are common, worsen disease activity and quality of life, and flares in turn worsen mood.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matters mainly for managing diarrhoeal fluid and electrolyte losses during flares; there is no strong evidence that water intake alters disease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can stimulate colonic motility and worsen urgency and diarrhoea during active disease, but a causal role in UC onset is not established.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hygiene hypothesis links sanitised early-life environments and reduced microbial exposure to higher IBD risk; in India the evidence remains contradictory and debated.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Common flare triggers include enteric and Clostridioides difficile infections, NSAIDs, antibiotics, non-adherence to maintenance therapy and recent smoking cessation.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intake (g/day)</w:t>
            </w:r>
          </w:p>
        </w:tc>
        <w:tc>
          <w:tcPr>
            <w:tcW w:type="dxa" w:w="1655"/>
            <w:vAlign w:val="top"/>
          </w:tcPr>
          <w:p>
            <w:pPr>
              <w:spacing w:after="40" w:before="0" w:line="259" w:lineRule="auto"/>
            </w:pPr>
            <w:r>
              <w:rPr>
                <w:rFonts w:ascii="Calibri" w:hAnsi="Calibri"/>
                <w:b w:val="0"/>
                <w:i w:val="0"/>
                <w:color w:val="212121"/>
                <w:sz w:val="19"/>
              </w:rPr>
              <w:t>Adults with or at risk of UC</w:t>
            </w:r>
          </w:p>
        </w:tc>
        <w:tc>
          <w:tcPr>
            <w:tcW w:type="dxa" w:w="1512"/>
            <w:vAlign w:val="top"/>
          </w:tcPr>
          <w:p>
            <w:pPr>
              <w:spacing w:after="40" w:before="0" w:line="259" w:lineRule="auto"/>
            </w:pPr>
            <w:r>
              <w:rPr>
                <w:rFonts w:ascii="Calibri" w:hAnsi="Calibri"/>
                <w:b w:val="0"/>
                <w:i w:val="0"/>
                <w:color w:val="212121"/>
                <w:sz w:val="19"/>
              </w:rPr>
              <w:t>25–35 g/day from whole grains, pulses, vegetables</w:t>
            </w:r>
          </w:p>
        </w:tc>
        <w:tc>
          <w:tcPr>
            <w:tcW w:type="dxa" w:w="1512"/>
            <w:vAlign w:val="top"/>
          </w:tcPr>
          <w:p>
            <w:pPr>
              <w:spacing w:after="40" w:before="0" w:line="259" w:lineRule="auto"/>
            </w:pPr>
            <w:r>
              <w:rPr>
                <w:rFonts w:ascii="Calibri" w:hAnsi="Calibri"/>
                <w:b w:val="0"/>
                <w:i w:val="0"/>
                <w:color w:val="212121"/>
                <w:sz w:val="19"/>
              </w:rPr>
              <w:t>Persistently low fibre with high ultra-processed intake</w:t>
            </w:r>
          </w:p>
        </w:tc>
        <w:tc>
          <w:tcPr>
            <w:tcW w:type="dxa" w:w="1468"/>
            <w:vAlign w:val="top"/>
          </w:tcPr>
          <w:p>
            <w:pPr>
              <w:spacing w:after="40" w:before="0" w:line="259" w:lineRule="auto"/>
            </w:pPr>
            <w:r>
              <w:rPr>
                <w:rFonts w:ascii="Calibri" w:hAnsi="Calibri"/>
                <w:b w:val="0"/>
                <w:i w:val="0"/>
                <w:color w:val="212121"/>
                <w:sz w:val="19"/>
              </w:rPr>
              <w:t>Low fibre reduces protective short-chain fatty acids and weakens the mucus barrier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Added sugar / sweetened-beverage intake</w:t>
            </w:r>
          </w:p>
        </w:tc>
        <w:tc>
          <w:tcPr>
            <w:tcW w:type="dxa" w:w="1655"/>
            <w:vAlign w:val="top"/>
          </w:tcPr>
          <w:p>
            <w:pPr>
              <w:spacing w:after="40" w:before="0" w:line="259" w:lineRule="auto"/>
            </w:pPr>
            <w:r>
              <w:rPr>
                <w:rFonts w:ascii="Calibri" w:hAnsi="Calibri"/>
                <w:b w:val="0"/>
                <w:i w:val="0"/>
                <w:color w:val="212121"/>
                <w:sz w:val="19"/>
              </w:rPr>
              <w:t>Young urban adults</w:t>
            </w:r>
          </w:p>
        </w:tc>
        <w:tc>
          <w:tcPr>
            <w:tcW w:type="dxa" w:w="1512"/>
            <w:vAlign w:val="top"/>
          </w:tcPr>
          <w:p>
            <w:pPr>
              <w:spacing w:after="40" w:before="0" w:line="259" w:lineRule="auto"/>
            </w:pPr>
            <w:r>
              <w:rPr>
                <w:rFonts w:ascii="Calibri" w:hAnsi="Calibri"/>
                <w:b w:val="0"/>
                <w:i w:val="0"/>
                <w:color w:val="212121"/>
                <w:sz w:val="19"/>
              </w:rPr>
              <w:t>Minimal added sugar; avoid daily sugary drinks</w:t>
            </w:r>
          </w:p>
        </w:tc>
        <w:tc>
          <w:tcPr>
            <w:tcW w:type="dxa" w:w="1512"/>
            <w:vAlign w:val="top"/>
          </w:tcPr>
          <w:p>
            <w:pPr>
              <w:spacing w:after="40" w:before="0" w:line="259" w:lineRule="auto"/>
            </w:pPr>
            <w:r>
              <w:rPr>
                <w:rFonts w:ascii="Calibri" w:hAnsi="Calibri"/>
                <w:b w:val="0"/>
                <w:i w:val="0"/>
                <w:color w:val="212121"/>
                <w:sz w:val="19"/>
              </w:rPr>
              <w:t>Regular sugar-sweetened beverage consumption</w:t>
            </w:r>
          </w:p>
        </w:tc>
        <w:tc>
          <w:tcPr>
            <w:tcW w:type="dxa" w:w="1468"/>
            <w:vAlign w:val="top"/>
          </w:tcPr>
          <w:p>
            <w:pPr>
              <w:spacing w:after="60" w:line="259" w:lineRule="auto"/>
            </w:pPr>
            <w:r>
              <w:rPr>
                <w:rFonts w:ascii="Calibri" w:hAnsi="Calibri"/>
                <w:b w:val="0"/>
                <w:i w:val="0"/>
                <w:color w:val="212121"/>
                <w:sz w:val="19"/>
              </w:rPr>
              <w:t>Higher intake associated with increased UC risk (OR ~1.6–1.7)</w:t>
            </w:r>
          </w:p>
          <w:p>
            <w:pPr>
              <w:spacing w:after="40" w:line="252" w:lineRule="auto"/>
            </w:pPr>
            <w:hyperlink r:id="rId14">
              <w:r>
                <w:rPr>
                  <w:rFonts w:ascii="Calibri" w:hAnsi="Calibri" w:cs="Calibri"/>
                  <w:sz w:val="18"/>
                  <w:color w:val="1155CC"/>
                  <w:u w:val="single"/>
                </w:rPr>
                <w:t xml:space="preserve">https://pubmed.ncbi.nlm.nih.gov/40532067/</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with UC</w:t>
            </w:r>
          </w:p>
        </w:tc>
        <w:tc>
          <w:tcPr>
            <w:tcW w:type="dxa" w:w="1512"/>
            <w:vAlign w:val="top"/>
          </w:tcPr>
          <w:p>
            <w:pPr>
              <w:spacing w:after="40" w:before="0" w:line="259" w:lineRule="auto"/>
            </w:pPr>
            <w:r>
              <w:rPr>
                <w:rFonts w:ascii="Calibri" w:hAnsi="Calibri"/>
                <w:b w:val="0"/>
                <w:i w:val="0"/>
                <w:color w:val="212121"/>
                <w:sz w:val="19"/>
              </w:rPr>
              <w:t>≥ 150 min/week moderate activity</w:t>
            </w:r>
          </w:p>
        </w:tc>
        <w:tc>
          <w:tcPr>
            <w:tcW w:type="dxa" w:w="1512"/>
            <w:vAlign w:val="top"/>
          </w:tcPr>
          <w:p>
            <w:pPr>
              <w:spacing w:after="40" w:before="0" w:line="259" w:lineRule="auto"/>
            </w:pPr>
            <w:r>
              <w:rPr>
                <w:rFonts w:ascii="Calibri" w:hAnsi="Calibri"/>
                <w:b w:val="0"/>
                <w:i w:val="0"/>
                <w:color w:val="212121"/>
                <w:sz w:val="19"/>
              </w:rPr>
              <w:t>&lt; 150 min/week (largely sedentary)</w:t>
            </w:r>
          </w:p>
        </w:tc>
        <w:tc>
          <w:tcPr>
            <w:tcW w:type="dxa" w:w="1468"/>
            <w:vAlign w:val="top"/>
          </w:tcPr>
          <w:p>
            <w:pPr>
              <w:spacing w:after="60" w:line="259" w:lineRule="auto"/>
            </w:pPr>
            <w:r>
              <w:rPr>
                <w:rFonts w:ascii="Calibri" w:hAnsi="Calibri"/>
                <w:b w:val="0"/>
                <w:i w:val="0"/>
                <w:color w:val="212121"/>
                <w:sz w:val="19"/>
              </w:rPr>
              <w:t>Activity above recommended levels associated with reduced UC risk</w:t>
            </w:r>
          </w:p>
          <w:p>
            <w:pPr>
              <w:spacing w:after="40" w:line="252" w:lineRule="auto"/>
            </w:pPr>
            <w:hyperlink r:id="rId13">
              <w:r>
                <w:rPr>
                  <w:rFonts w:ascii="Calibri" w:hAnsi="Calibri" w:cs="Calibri"/>
                  <w:sz w:val="18"/>
                  <w:color w:val="1155CC"/>
                  <w:u w:val="single"/>
                </w:rPr>
                <w:t xml:space="preserve">https://pubmed.ncbi.nlm.nih.gov/42221652/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 (Asian-Indian cut-offs)</w:t>
            </w:r>
          </w:p>
        </w:tc>
        <w:tc>
          <w:tcPr>
            <w:tcW w:type="dxa" w:w="1512"/>
            <w:vAlign w:val="top"/>
          </w:tcPr>
          <w:p>
            <w:pPr>
              <w:spacing w:after="40" w:before="0" w:line="259" w:lineRule="auto"/>
            </w:pPr>
            <w:r>
              <w:rPr>
                <w:rFonts w:ascii="Calibri" w:hAnsi="Calibri"/>
                <w:b w:val="0"/>
                <w:i w:val="0"/>
                <w:color w:val="212121"/>
                <w:sz w:val="19"/>
              </w:rPr>
              <w:t>&lt; 18.5 (undernutrition in active disease) or ≥ 25</w:t>
            </w:r>
          </w:p>
        </w:tc>
        <w:tc>
          <w:tcPr>
            <w:tcW w:type="dxa" w:w="1468"/>
            <w:vAlign w:val="top"/>
          </w:tcPr>
          <w:p>
            <w:pPr>
              <w:spacing w:after="40" w:before="0" w:line="259" w:lineRule="auto"/>
            </w:pPr>
            <w:r>
              <w:rPr>
                <w:rFonts w:ascii="Calibri" w:hAnsi="Calibri"/>
                <w:b w:val="0"/>
                <w:i w:val="0"/>
                <w:color w:val="212121"/>
                <w:sz w:val="19"/>
              </w:rPr>
              <w:t>Weight loss and low BMI signal active/severe disease and malnutrition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Teenagers,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Any smoking (harmful overall); recent cessation may flare UC</w:t>
            </w:r>
          </w:p>
        </w:tc>
        <w:tc>
          <w:tcPr>
            <w:tcW w:type="dxa" w:w="1468"/>
            <w:vAlign w:val="top"/>
          </w:tcPr>
          <w:p>
            <w:pPr>
              <w:spacing w:after="60" w:line="259" w:lineRule="auto"/>
            </w:pPr>
            <w:r>
              <w:rPr>
                <w:rFonts w:ascii="Calibri" w:hAnsi="Calibri"/>
                <w:b w:val="0"/>
                <w:i w:val="0"/>
                <w:color w:val="212121"/>
                <w:sz w:val="19"/>
              </w:rPr>
              <w:t>Never use smoking as therapy; monitor for flare after quitting</w:t>
            </w:r>
          </w:p>
          <w:p>
            <w:pPr>
              <w:spacing w:after="40" w:line="252" w:lineRule="auto"/>
            </w:pPr>
            <w:hyperlink r:id="rId12">
              <w:r>
                <w:rPr>
                  <w:rFonts w:ascii="Calibri" w:hAnsi="Calibri" w:cs="Calibri"/>
                  <w:sz w:val="18"/>
                  <w:color w:val="1155CC"/>
                  <w:u w:val="single"/>
                </w:rPr>
                <w:t xml:space="preserve">https://pubmed.ncbi.nlm.nih.gov/40246988/</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 with UC</w:t>
            </w:r>
          </w:p>
        </w:tc>
        <w:tc>
          <w:tcPr>
            <w:tcW w:type="dxa" w:w="1512"/>
            <w:vAlign w:val="top"/>
          </w:tcPr>
          <w:p>
            <w:pPr>
              <w:spacing w:after="40" w:before="0" w:line="259" w:lineRule="auto"/>
            </w:pPr>
            <w:r>
              <w:rPr>
                <w:rFonts w:ascii="Calibri" w:hAnsi="Calibri"/>
                <w:b w:val="0"/>
                <w:i w:val="0"/>
                <w:color w:val="212121"/>
                <w:sz w:val="19"/>
              </w:rPr>
              <w:t>Nil to minimal</w:t>
            </w:r>
          </w:p>
        </w:tc>
        <w:tc>
          <w:tcPr>
            <w:tcW w:type="dxa" w:w="1512"/>
            <w:vAlign w:val="top"/>
          </w:tcPr>
          <w:p>
            <w:pPr>
              <w:spacing w:after="40" w:before="0" w:line="259" w:lineRule="auto"/>
            </w:pPr>
            <w:r>
              <w:rPr>
                <w:rFonts w:ascii="Calibri" w:hAnsi="Calibri"/>
                <w:b w:val="0"/>
                <w:i w:val="0"/>
                <w:color w:val="212121"/>
                <w:sz w:val="19"/>
              </w:rPr>
              <w:t>Heavy or sulphite-rich drinking</w:t>
            </w:r>
          </w:p>
        </w:tc>
        <w:tc>
          <w:tcPr>
            <w:tcW w:type="dxa" w:w="1468"/>
            <w:vAlign w:val="top"/>
          </w:tcPr>
          <w:p>
            <w:pPr>
              <w:spacing w:after="40" w:before="0" w:line="259" w:lineRule="auto"/>
            </w:pPr>
            <w:r>
              <w:rPr>
                <w:rFonts w:ascii="Calibri" w:hAnsi="Calibri"/>
                <w:b w:val="0"/>
                <w:i w:val="0"/>
                <w:color w:val="212121"/>
                <w:sz w:val="19"/>
              </w:rPr>
              <w:t>May aggravate diarrhoea, urgency and mucosal inflammation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with UC</w:t>
            </w:r>
          </w:p>
        </w:tc>
        <w:tc>
          <w:tcPr>
            <w:tcW w:type="dxa" w:w="1512"/>
            <w:vAlign w:val="top"/>
          </w:tcPr>
          <w:p>
            <w:pPr>
              <w:spacing w:after="40" w:before="0" w:line="259" w:lineRule="auto"/>
            </w:pPr>
            <w:r>
              <w:rPr>
                <w:rFonts w:ascii="Calibri" w:hAnsi="Calibri"/>
                <w:b w:val="0"/>
                <w:i w:val="0"/>
                <w:color w:val="212121"/>
                <w:sz w:val="19"/>
              </w:rPr>
              <w:t>7–9 hours/night, good quality</w:t>
            </w:r>
          </w:p>
        </w:tc>
        <w:tc>
          <w:tcPr>
            <w:tcW w:type="dxa" w:w="1512"/>
            <w:vAlign w:val="top"/>
          </w:tcPr>
          <w:p>
            <w:pPr>
              <w:spacing w:after="40" w:before="0" w:line="259" w:lineRule="auto"/>
            </w:pPr>
            <w:r>
              <w:rPr>
                <w:rFonts w:ascii="Calibri" w:hAnsi="Calibri"/>
                <w:b w:val="0"/>
                <w:i w:val="0"/>
                <w:color w:val="212121"/>
                <w:sz w:val="19"/>
              </w:rPr>
              <w:t>&lt; 6 hours or poor quality</w:t>
            </w:r>
          </w:p>
        </w:tc>
        <w:tc>
          <w:tcPr>
            <w:tcW w:type="dxa" w:w="1468"/>
            <w:vAlign w:val="top"/>
          </w:tcPr>
          <w:p>
            <w:pPr>
              <w:spacing w:after="40" w:before="0" w:line="259" w:lineRule="auto"/>
            </w:pPr>
            <w:r>
              <w:rPr>
                <w:rFonts w:ascii="Calibri" w:hAnsi="Calibri"/>
                <w:b w:val="0"/>
                <w:i w:val="0"/>
                <w:color w:val="212121"/>
                <w:sz w:val="19"/>
              </w:rPr>
              <w:t>Sleep disruption promotes inflammation and flare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Validated anxiety/depression screen (e.g., HADS/PHQ-9)</w:t>
            </w:r>
          </w:p>
        </w:tc>
        <w:tc>
          <w:tcPr>
            <w:tcW w:type="dxa" w:w="1655"/>
            <w:vAlign w:val="top"/>
          </w:tcPr>
          <w:p>
            <w:pPr>
              <w:spacing w:after="40" w:before="0" w:line="259" w:lineRule="auto"/>
            </w:pPr>
            <w:r>
              <w:rPr>
                <w:rFonts w:ascii="Calibri" w:hAnsi="Calibri"/>
                <w:b w:val="0"/>
                <w:i w:val="0"/>
                <w:color w:val="212121"/>
                <w:sz w:val="19"/>
              </w:rPr>
              <w:t>UC patients</w:t>
            </w:r>
          </w:p>
        </w:tc>
        <w:tc>
          <w:tcPr>
            <w:tcW w:type="dxa" w:w="1512"/>
            <w:vAlign w:val="top"/>
          </w:tcPr>
          <w:p>
            <w:pPr>
              <w:spacing w:after="40" w:before="0" w:line="259" w:lineRule="auto"/>
            </w:pPr>
            <w:r>
              <w:rPr>
                <w:rFonts w:ascii="Calibri" w:hAnsi="Calibri"/>
                <w:b w:val="0"/>
                <w:i w:val="0"/>
                <w:color w:val="212121"/>
                <w:sz w:val="19"/>
              </w:rPr>
              <w:t>Normal / below clinical threshold</w:t>
            </w:r>
          </w:p>
        </w:tc>
        <w:tc>
          <w:tcPr>
            <w:tcW w:type="dxa" w:w="1512"/>
            <w:vAlign w:val="top"/>
          </w:tcPr>
          <w:p>
            <w:pPr>
              <w:spacing w:after="40" w:before="0" w:line="259" w:lineRule="auto"/>
            </w:pPr>
            <w:r>
              <w:rPr>
                <w:rFonts w:ascii="Calibri" w:hAnsi="Calibri"/>
                <w:b w:val="0"/>
                <w:i w:val="0"/>
                <w:color w:val="212121"/>
                <w:sz w:val="19"/>
              </w:rPr>
              <w:t>Screen positive for anxiety or depression</w:t>
            </w:r>
          </w:p>
        </w:tc>
        <w:tc>
          <w:tcPr>
            <w:tcW w:type="dxa" w:w="1468"/>
            <w:vAlign w:val="top"/>
          </w:tcPr>
          <w:p>
            <w:pPr>
              <w:spacing w:after="40" w:before="0" w:line="259" w:lineRule="auto"/>
            </w:pPr>
            <w:r>
              <w:rPr>
                <w:rFonts w:ascii="Calibri" w:hAnsi="Calibri"/>
                <w:b w:val="0"/>
                <w:i w:val="0"/>
                <w:color w:val="212121"/>
                <w:sz w:val="19"/>
              </w:rPr>
              <w:t>Psychological distress worsens disease activity via the gut-brain axis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Faecal calprotectin (µg/g)</w:t>
            </w:r>
          </w:p>
        </w:tc>
        <w:tc>
          <w:tcPr>
            <w:tcW w:type="dxa" w:w="1655"/>
            <w:vAlign w:val="top"/>
          </w:tcPr>
          <w:p>
            <w:pPr>
              <w:spacing w:after="40" w:before="0" w:line="259" w:lineRule="auto"/>
            </w:pPr>
            <w:r>
              <w:rPr>
                <w:rFonts w:ascii="Calibri" w:hAnsi="Calibri"/>
                <w:b w:val="0"/>
                <w:i w:val="0"/>
                <w:color w:val="212121"/>
                <w:sz w:val="19"/>
              </w:rPr>
              <w:t>UC under monitoring</w:t>
            </w:r>
          </w:p>
        </w:tc>
        <w:tc>
          <w:tcPr>
            <w:tcW w:type="dxa" w:w="1512"/>
            <w:vAlign w:val="top"/>
          </w:tcPr>
          <w:p>
            <w:pPr>
              <w:spacing w:after="40" w:before="0" w:line="259" w:lineRule="auto"/>
            </w:pPr>
            <w:r>
              <w:rPr>
                <w:rFonts w:ascii="Calibri" w:hAnsi="Calibri"/>
                <w:b w:val="0"/>
                <w:i w:val="0"/>
                <w:color w:val="212121"/>
                <w:sz w:val="19"/>
              </w:rPr>
              <w:t>&lt; 50 µg/g (remission)</w:t>
            </w:r>
          </w:p>
        </w:tc>
        <w:tc>
          <w:tcPr>
            <w:tcW w:type="dxa" w:w="1512"/>
            <w:vAlign w:val="top"/>
          </w:tcPr>
          <w:p>
            <w:pPr>
              <w:spacing w:after="40" w:before="0" w:line="259" w:lineRule="auto"/>
            </w:pPr>
            <w:r>
              <w:rPr>
                <w:rFonts w:ascii="Calibri" w:hAnsi="Calibri"/>
                <w:b w:val="0"/>
                <w:i w:val="0"/>
                <w:color w:val="212121"/>
                <w:sz w:val="19"/>
              </w:rPr>
              <w:t>&gt; 150–250 µg/g (active inflammation/flare)</w:t>
            </w:r>
          </w:p>
        </w:tc>
        <w:tc>
          <w:tcPr>
            <w:tcW w:type="dxa" w:w="1468"/>
            <w:vAlign w:val="top"/>
          </w:tcPr>
          <w:p>
            <w:pPr>
              <w:spacing w:after="40" w:before="0" w:line="259" w:lineRule="auto"/>
            </w:pPr>
            <w:r>
              <w:rPr>
                <w:rFonts w:ascii="Calibri" w:hAnsi="Calibri"/>
                <w:b w:val="0"/>
                <w:i w:val="0"/>
                <w:color w:val="212121"/>
                <w:sz w:val="19"/>
              </w:rPr>
              <w:t>Non-invasive marker of mucosal inflammation and relapse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UC patients</w:t>
            </w:r>
          </w:p>
        </w:tc>
        <w:tc>
          <w:tcPr>
            <w:tcW w:type="dxa" w:w="1512"/>
            <w:vAlign w:val="top"/>
          </w:tcPr>
          <w:p>
            <w:pPr>
              <w:spacing w:after="40" w:before="0" w:line="259" w:lineRule="auto"/>
            </w:pPr>
            <w:r>
              <w:rPr>
                <w:rFonts w:ascii="Calibri" w:hAnsi="Calibri"/>
                <w:b w:val="0"/>
                <w:i w:val="0"/>
                <w:color w:val="212121"/>
                <w:sz w:val="19"/>
              </w:rPr>
              <w:t>M ≥ 13; F ≥ 12 g/dL</w:t>
            </w:r>
          </w:p>
        </w:tc>
        <w:tc>
          <w:tcPr>
            <w:tcW w:type="dxa" w:w="1512"/>
            <w:vAlign w:val="top"/>
          </w:tcPr>
          <w:p>
            <w:pPr>
              <w:spacing w:after="40" w:before="0" w:line="259" w:lineRule="auto"/>
            </w:pPr>
            <w:r>
              <w:rPr>
                <w:rFonts w:ascii="Calibri" w:hAnsi="Calibri"/>
                <w:b w:val="0"/>
                <w:i w:val="0"/>
                <w:color w:val="212121"/>
                <w:sz w:val="19"/>
              </w:rPr>
              <w:t>Below thresholds (anaemia)</w:t>
            </w:r>
          </w:p>
        </w:tc>
        <w:tc>
          <w:tcPr>
            <w:tcW w:type="dxa" w:w="1468"/>
            <w:vAlign w:val="top"/>
          </w:tcPr>
          <w:p>
            <w:pPr>
              <w:spacing w:after="60" w:line="259" w:lineRule="auto"/>
            </w:pPr>
            <w:r>
              <w:rPr>
                <w:rFonts w:ascii="Calibri" w:hAnsi="Calibri"/>
                <w:b w:val="0"/>
                <w:i w:val="0"/>
                <w:color w:val="212121"/>
                <w:sz w:val="19"/>
              </w:rPr>
              <w:t>Reflects chronic blood loss and inflammation; commonest systemic complication</w:t>
            </w:r>
          </w:p>
          <w:p>
            <w:pPr>
              <w:spacing w:after="40" w:line="252" w:lineRule="auto"/>
            </w:pPr>
            <w:hyperlink r:id="rId19">
              <w:r>
                <w:rPr>
                  <w:rFonts w:ascii="Calibri" w:hAnsi="Calibri" w:cs="Calibri"/>
                  <w:sz w:val="18"/>
                  <w:color w:val="1155CC"/>
                  <w:u w:val="single"/>
                </w:rPr>
                <w:t xml:space="preserve">https://pubmed.ncbi.nlm.nih.gov/42116329/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C-reactive protein (mg/L)</w:t>
            </w:r>
          </w:p>
        </w:tc>
        <w:tc>
          <w:tcPr>
            <w:tcW w:type="dxa" w:w="1655"/>
            <w:vAlign w:val="top"/>
          </w:tcPr>
          <w:p>
            <w:pPr>
              <w:spacing w:after="40" w:before="0" w:line="259" w:lineRule="auto"/>
            </w:pPr>
            <w:r>
              <w:rPr>
                <w:rFonts w:ascii="Calibri" w:hAnsi="Calibri"/>
                <w:b w:val="0"/>
                <w:i w:val="0"/>
                <w:color w:val="212121"/>
                <w:sz w:val="19"/>
              </w:rPr>
              <w:t>UC patients</w:t>
            </w:r>
          </w:p>
        </w:tc>
        <w:tc>
          <w:tcPr>
            <w:tcW w:type="dxa" w:w="1512"/>
            <w:vAlign w:val="top"/>
          </w:tcPr>
          <w:p>
            <w:pPr>
              <w:spacing w:after="40" w:before="0" w:line="259" w:lineRule="auto"/>
            </w:pPr>
            <w:r>
              <w:rPr>
                <w:rFonts w:ascii="Calibri" w:hAnsi="Calibri"/>
                <w:b w:val="0"/>
                <w:i w:val="0"/>
                <w:color w:val="212121"/>
                <w:sz w:val="19"/>
              </w:rPr>
              <w:t>&lt; 5 mg/L</w:t>
            </w:r>
          </w:p>
        </w:tc>
        <w:tc>
          <w:tcPr>
            <w:tcW w:type="dxa" w:w="1512"/>
            <w:vAlign w:val="top"/>
          </w:tcPr>
          <w:p>
            <w:pPr>
              <w:spacing w:after="40" w:before="0" w:line="259" w:lineRule="auto"/>
            </w:pPr>
            <w:r>
              <w:rPr>
                <w:rFonts w:ascii="Calibri" w:hAnsi="Calibri"/>
                <w:b w:val="0"/>
                <w:i w:val="0"/>
                <w:color w:val="212121"/>
                <w:sz w:val="19"/>
              </w:rPr>
              <w:t>Elevated (tracks with active/severe disease)</w:t>
            </w:r>
          </w:p>
        </w:tc>
        <w:tc>
          <w:tcPr>
            <w:tcW w:type="dxa" w:w="1468"/>
            <w:vAlign w:val="top"/>
          </w:tcPr>
          <w:p>
            <w:pPr>
              <w:spacing w:after="60" w:line="259" w:lineRule="auto"/>
            </w:pPr>
            <w:r>
              <w:rPr>
                <w:rFonts w:ascii="Calibri" w:hAnsi="Calibri"/>
                <w:b w:val="0"/>
                <w:i w:val="0"/>
                <w:color w:val="212121"/>
                <w:sz w:val="19"/>
              </w:rPr>
              <w:t>Supports severity grading and anaemia risk (UC OR ~2.2)</w:t>
            </w:r>
          </w:p>
          <w:p>
            <w:pPr>
              <w:spacing w:after="40" w:line="252" w:lineRule="auto"/>
            </w:pPr>
            <w:hyperlink r:id="rId19">
              <w:r>
                <w:rPr>
                  <w:rFonts w:ascii="Calibri" w:hAnsi="Calibri" w:cs="Calibri"/>
                  <w:sz w:val="18"/>
                  <w:color w:val="1155CC"/>
                  <w:u w:val="single"/>
                </w:rPr>
                <w:t xml:space="preserve">https://pubmed.ncbi.nlm.nih.gov/42116329/</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 marker</w:t>
            </w:r>
          </w:p>
        </w:tc>
        <w:tc>
          <w:tcPr>
            <w:tcW w:type="dxa" w:w="1036"/>
            <w:vAlign w:val="top"/>
          </w:tcPr>
          <w:p>
            <w:pPr>
              <w:spacing w:after="40" w:before="0" w:line="259" w:lineRule="auto"/>
            </w:pPr>
            <w:r>
              <w:rPr>
                <w:rFonts w:ascii="Calibri" w:hAnsi="Calibri"/>
                <w:b w:val="0"/>
                <w:i w:val="0"/>
                <w:color w:val="212121"/>
                <w:sz w:val="16"/>
              </w:rPr>
              <w:t>Faecal calprotectin</w:t>
            </w:r>
          </w:p>
        </w:tc>
        <w:tc>
          <w:tcPr>
            <w:tcW w:type="dxa" w:w="892"/>
            <w:vAlign w:val="top"/>
          </w:tcPr>
          <w:p>
            <w:pPr>
              <w:spacing w:after="40" w:before="0" w:line="259" w:lineRule="auto"/>
            </w:pPr>
            <w:r>
              <w:rPr>
                <w:rFonts w:ascii="Calibri" w:hAnsi="Calibri"/>
                <w:b w:val="0"/>
                <w:i w:val="0"/>
                <w:color w:val="212121"/>
                <w:sz w:val="16"/>
              </w:rPr>
              <w:t>Stool inflammatory marker</w:t>
            </w:r>
          </w:p>
        </w:tc>
        <w:tc>
          <w:tcPr>
            <w:tcW w:type="dxa" w:w="950"/>
            <w:vAlign w:val="top"/>
          </w:tcPr>
          <w:p>
            <w:pPr>
              <w:spacing w:after="40" w:before="0" w:line="259" w:lineRule="auto"/>
            </w:pPr>
            <w:r>
              <w:rPr>
                <w:rFonts w:ascii="Calibri" w:hAnsi="Calibri"/>
                <w:b w:val="0"/>
                <w:i w:val="0"/>
                <w:color w:val="212121"/>
                <w:sz w:val="16"/>
              </w:rPr>
              <w:t>&lt; 50 µg/g</w:t>
            </w:r>
          </w:p>
        </w:tc>
        <w:tc>
          <w:tcPr>
            <w:tcW w:type="dxa" w:w="950"/>
            <w:vAlign w:val="top"/>
          </w:tcPr>
          <w:p>
            <w:pPr>
              <w:spacing w:after="40" w:before="0" w:line="259" w:lineRule="auto"/>
            </w:pPr>
            <w:r>
              <w:rPr>
                <w:rFonts w:ascii="Calibri" w:hAnsi="Calibri"/>
                <w:b w:val="0"/>
                <w:i w:val="0"/>
                <w:color w:val="212121"/>
                <w:sz w:val="16"/>
              </w:rPr>
              <w:t>&gt; 150–250 µg/g</w:t>
            </w:r>
          </w:p>
        </w:tc>
        <w:tc>
          <w:tcPr>
            <w:tcW w:type="dxa" w:w="1036"/>
            <w:vAlign w:val="top"/>
          </w:tcPr>
          <w:p>
            <w:pPr>
              <w:spacing w:after="40" w:before="0" w:line="259" w:lineRule="auto"/>
            </w:pPr>
            <w:r>
              <w:rPr>
                <w:rFonts w:ascii="Calibri" w:hAnsi="Calibri"/>
                <w:b w:val="0"/>
                <w:i w:val="0"/>
                <w:color w:val="212121"/>
                <w:sz w:val="16"/>
              </w:rPr>
              <w:t>Sensitive marker of colonic mucosal inflammation; monitors activity and predicts relapse</w:t>
            </w:r>
          </w:p>
        </w:tc>
        <w:tc>
          <w:tcPr>
            <w:tcW w:type="dxa" w:w="1036"/>
            <w:vAlign w:val="top"/>
          </w:tcPr>
          <w:p>
            <w:pPr>
              <w:spacing w:after="40" w:before="0" w:line="259" w:lineRule="auto"/>
            </w:pPr>
            <w:r>
              <w:rPr>
                <w:rFonts w:ascii="Calibri" w:hAnsi="Calibri"/>
                <w:b w:val="0"/>
                <w:i w:val="0"/>
                <w:color w:val="212121"/>
                <w:sz w:val="16"/>
              </w:rPr>
              <w:t>UC patients, those in suspected flare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Helps distinguish IBD flare from functional symptoms and reduces needless endoscopy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&amp; ESR</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5 mg/L; ESR age/sex dependent</w:t>
            </w:r>
          </w:p>
        </w:tc>
        <w:tc>
          <w:tcPr>
            <w:tcW w:type="dxa" w:w="950"/>
            <w:vAlign w:val="top"/>
          </w:tcPr>
          <w:p>
            <w:pPr>
              <w:spacing w:after="40" w:before="0" w:line="259" w:lineRule="auto"/>
            </w:pPr>
            <w:r>
              <w:rPr>
                <w:rFonts w:ascii="Calibri" w:hAnsi="Calibri"/>
                <w:b w:val="0"/>
                <w:i w:val="0"/>
                <w:color w:val="212121"/>
                <w:sz w:val="16"/>
              </w:rPr>
              <w:t>Raised CRP/ESR</w:t>
            </w:r>
          </w:p>
        </w:tc>
        <w:tc>
          <w:tcPr>
            <w:tcW w:type="dxa" w:w="1036"/>
            <w:vAlign w:val="top"/>
          </w:tcPr>
          <w:p>
            <w:pPr>
              <w:spacing w:after="40" w:before="0" w:line="259" w:lineRule="auto"/>
            </w:pPr>
            <w:r>
              <w:rPr>
                <w:rFonts w:ascii="Calibri" w:hAnsi="Calibri"/>
                <w:b w:val="0"/>
                <w:i w:val="0"/>
                <w:color w:val="212121"/>
                <w:sz w:val="16"/>
              </w:rPr>
              <w:t>Reflect systemic inflammatory burden; part of Truelove-Witts severity</w:t>
            </w:r>
          </w:p>
        </w:tc>
        <w:tc>
          <w:tcPr>
            <w:tcW w:type="dxa" w:w="1036"/>
            <w:vAlign w:val="top"/>
          </w:tcPr>
          <w:p>
            <w:pPr>
              <w:spacing w:after="40" w:before="0" w:line="259" w:lineRule="auto"/>
            </w:pPr>
            <w:r>
              <w:rPr>
                <w:rFonts w:ascii="Calibri" w:hAnsi="Calibri"/>
                <w:b w:val="0"/>
                <w:i w:val="0"/>
                <w:color w:val="212121"/>
                <w:sz w:val="16"/>
              </w:rPr>
              <w:t>Acute severe UC, moderate-severe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Some UC flares (esp. proctitis) have normal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(Hb, platelets, WBC)</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M ≥ 13, F ≥ 12 g/dL</w:t>
            </w:r>
          </w:p>
        </w:tc>
        <w:tc>
          <w:tcPr>
            <w:tcW w:type="dxa" w:w="950"/>
            <w:vAlign w:val="top"/>
          </w:tcPr>
          <w:p>
            <w:pPr>
              <w:spacing w:after="40" w:before="0" w:line="259" w:lineRule="auto"/>
            </w:pPr>
            <w:r>
              <w:rPr>
                <w:rFonts w:ascii="Calibri" w:hAnsi="Calibri"/>
                <w:b w:val="0"/>
                <w:i w:val="0"/>
                <w:color w:val="212121"/>
                <w:sz w:val="16"/>
              </w:rPr>
              <w:t>Anaemia, thrombocytosis, leucocytosis</w:t>
            </w:r>
          </w:p>
        </w:tc>
        <w:tc>
          <w:tcPr>
            <w:tcW w:type="dxa" w:w="1036"/>
            <w:vAlign w:val="top"/>
          </w:tcPr>
          <w:p>
            <w:pPr>
              <w:spacing w:after="40" w:before="0" w:line="259" w:lineRule="auto"/>
            </w:pPr>
            <w:r>
              <w:rPr>
                <w:rFonts w:ascii="Calibri" w:hAnsi="Calibri"/>
                <w:b w:val="0"/>
                <w:i w:val="0"/>
                <w:color w:val="212121"/>
                <w:sz w:val="16"/>
              </w:rPr>
              <w:t>Anaemia from blood loss/chronic disease; thrombocytosis marks active inflammation and thrombotic risk</w:t>
            </w:r>
          </w:p>
        </w:tc>
        <w:tc>
          <w:tcPr>
            <w:tcW w:type="dxa" w:w="1036"/>
            <w:vAlign w:val="top"/>
          </w:tcPr>
          <w:p>
            <w:pPr>
              <w:spacing w:after="40" w:before="0" w:line="259" w:lineRule="auto"/>
            </w:pPr>
            <w:r>
              <w:rPr>
                <w:rFonts w:ascii="Calibri" w:hAnsi="Calibri"/>
                <w:b w:val="0"/>
                <w:i w:val="0"/>
                <w:color w:val="212121"/>
                <w:sz w:val="16"/>
              </w:rPr>
              <w:t>All UC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Anaemia is the commonest systemic complication (~24%)</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w:t>
            </w:r>
          </w:p>
        </w:tc>
        <w:tc>
          <w:tcPr>
            <w:tcW w:type="dxa" w:w="892"/>
            <w:vAlign w:val="top"/>
          </w:tcPr>
          <w:p>
            <w:pPr>
              <w:spacing w:after="40" w:before="0" w:line="259" w:lineRule="auto"/>
            </w:pPr>
            <w:r>
              <w:rPr>
                <w:rFonts w:ascii="Calibri" w:hAnsi="Calibri"/>
                <w:b w:val="0"/>
                <w:i w:val="0"/>
                <w:color w:val="212121"/>
                <w:sz w:val="16"/>
              </w:rPr>
              <w:t>Nutritional/inflammatory marker</w:t>
            </w:r>
          </w:p>
        </w:tc>
        <w:tc>
          <w:tcPr>
            <w:tcW w:type="dxa" w:w="950"/>
            <w:vAlign w:val="top"/>
          </w:tcPr>
          <w:p>
            <w:pPr>
              <w:spacing w:after="40" w:before="0" w:line="259" w:lineRule="auto"/>
            </w:pPr>
            <w:r>
              <w:rPr>
                <w:rFonts w:ascii="Calibri" w:hAnsi="Calibri"/>
                <w:b w:val="0"/>
                <w:i w:val="0"/>
                <w:color w:val="212121"/>
                <w:sz w:val="16"/>
              </w:rPr>
              <w:t>3.5–5.0 g/dL</w:t>
            </w:r>
          </w:p>
        </w:tc>
        <w:tc>
          <w:tcPr>
            <w:tcW w:type="dxa" w:w="950"/>
            <w:vAlign w:val="top"/>
          </w:tcPr>
          <w:p>
            <w:pPr>
              <w:spacing w:after="40" w:before="0" w:line="259" w:lineRule="auto"/>
            </w:pPr>
            <w:r>
              <w:rPr>
                <w:rFonts w:ascii="Calibri" w:hAnsi="Calibri"/>
                <w:b w:val="0"/>
                <w:i w:val="0"/>
                <w:color w:val="212121"/>
                <w:sz w:val="16"/>
              </w:rPr>
              <w:t>&lt; 3.5 g/dL (hypoalbuminaemia)</w:t>
            </w:r>
          </w:p>
        </w:tc>
        <w:tc>
          <w:tcPr>
            <w:tcW w:type="dxa" w:w="1036"/>
            <w:vAlign w:val="top"/>
          </w:tcPr>
          <w:p>
            <w:pPr>
              <w:spacing w:after="40" w:before="0" w:line="259" w:lineRule="auto"/>
            </w:pPr>
            <w:r>
              <w:rPr>
                <w:rFonts w:ascii="Calibri" w:hAnsi="Calibri"/>
                <w:b w:val="0"/>
                <w:i w:val="0"/>
                <w:color w:val="212121"/>
                <w:sz w:val="16"/>
              </w:rPr>
              <w:t>Low albumin indicates severe/protein-losing disease and predicts poor response in acute severe colitis</w:t>
            </w:r>
          </w:p>
        </w:tc>
        <w:tc>
          <w:tcPr>
            <w:tcW w:type="dxa" w:w="1036"/>
            <w:vAlign w:val="top"/>
          </w:tcPr>
          <w:p>
            <w:pPr>
              <w:spacing w:after="40" w:before="0" w:line="259" w:lineRule="auto"/>
            </w:pPr>
            <w:r>
              <w:rPr>
                <w:rFonts w:ascii="Calibri" w:hAnsi="Calibri"/>
                <w:b w:val="0"/>
                <w:i w:val="0"/>
                <w:color w:val="212121"/>
                <w:sz w:val="16"/>
              </w:rPr>
              <w:t>Acute severe UC, malnourished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Falling albumin in ASUC flags need for rescue therapy/surgery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Stool studies (culture, C. difficile toxin, ova &amp; parasite)</w:t>
            </w:r>
          </w:p>
        </w:tc>
        <w:tc>
          <w:tcPr>
            <w:tcW w:type="dxa" w:w="892"/>
            <w:vAlign w:val="top"/>
          </w:tcPr>
          <w:p>
            <w:pPr>
              <w:spacing w:after="40" w:before="0" w:line="259" w:lineRule="auto"/>
            </w:pPr>
            <w:r>
              <w:rPr>
                <w:rFonts w:ascii="Calibri" w:hAnsi="Calibri"/>
                <w:b w:val="0"/>
                <w:i w:val="0"/>
                <w:color w:val="212121"/>
                <w:sz w:val="16"/>
              </w:rPr>
              <w:t>Stool infective screen</w:t>
            </w:r>
          </w:p>
        </w:tc>
        <w:tc>
          <w:tcPr>
            <w:tcW w:type="dxa" w:w="950"/>
            <w:vAlign w:val="top"/>
          </w:tcPr>
          <w:p>
            <w:pPr>
              <w:spacing w:after="40" w:before="0" w:line="259" w:lineRule="auto"/>
            </w:pPr>
            <w:r>
              <w:rPr>
                <w:rFonts w:ascii="Calibri" w:hAnsi="Calibri"/>
                <w:b w:val="0"/>
                <w:i w:val="0"/>
                <w:color w:val="212121"/>
                <w:sz w:val="16"/>
              </w:rPr>
              <w:t>No pathogen; toxin negative</w:t>
            </w:r>
          </w:p>
        </w:tc>
        <w:tc>
          <w:tcPr>
            <w:tcW w:type="dxa" w:w="950"/>
            <w:vAlign w:val="top"/>
          </w:tcPr>
          <w:p>
            <w:pPr>
              <w:spacing w:after="40" w:before="0" w:line="259" w:lineRule="auto"/>
            </w:pPr>
            <w:r>
              <w:rPr>
                <w:rFonts w:ascii="Calibri" w:hAnsi="Calibri"/>
                <w:b w:val="0"/>
                <w:i w:val="0"/>
                <w:color w:val="212121"/>
                <w:sz w:val="16"/>
              </w:rPr>
              <w:t>Positive pathogen / C. difficile / Entamoeba</w:t>
            </w:r>
          </w:p>
        </w:tc>
        <w:tc>
          <w:tcPr>
            <w:tcW w:type="dxa" w:w="1036"/>
            <w:vAlign w:val="top"/>
          </w:tcPr>
          <w:p>
            <w:pPr>
              <w:spacing w:after="40" w:before="0" w:line="259" w:lineRule="auto"/>
            </w:pPr>
            <w:r>
              <w:rPr>
                <w:rFonts w:ascii="Calibri" w:hAnsi="Calibri"/>
                <w:b w:val="0"/>
                <w:i w:val="0"/>
                <w:color w:val="212121"/>
                <w:sz w:val="16"/>
              </w:rPr>
              <w:t>Excludes and identifies superimposed infection that mimics or provokes flares</w:t>
            </w:r>
          </w:p>
        </w:tc>
        <w:tc>
          <w:tcPr>
            <w:tcW w:type="dxa" w:w="1036"/>
            <w:vAlign w:val="top"/>
          </w:tcPr>
          <w:p>
            <w:pPr>
              <w:spacing w:after="40" w:before="0" w:line="259" w:lineRule="auto"/>
            </w:pPr>
            <w:r>
              <w:rPr>
                <w:rFonts w:ascii="Calibri" w:hAnsi="Calibri"/>
                <w:b w:val="0"/>
                <w:i w:val="0"/>
                <w:color w:val="212121"/>
                <w:sz w:val="16"/>
              </w:rPr>
              <w:t>New diagnosis, every significant flare</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In India, amoebiasis and intestinal TB must be excluded before immunosuppression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 (esp. ALP, GGT)</w:t>
            </w:r>
          </w:p>
        </w:tc>
        <w:tc>
          <w:tcPr>
            <w:tcW w:type="dxa" w:w="892"/>
            <w:vAlign w:val="top"/>
          </w:tcPr>
          <w:p>
            <w:pPr>
              <w:spacing w:after="40" w:before="0" w:line="259" w:lineRule="auto"/>
            </w:pPr>
            <w:r>
              <w:rPr>
                <w:rFonts w:ascii="Calibri" w:hAnsi="Calibri"/>
                <w:b w:val="0"/>
                <w:i w:val="0"/>
                <w:color w:val="212121"/>
                <w:sz w:val="16"/>
              </w:rPr>
              <w:t>Hepatobiliary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Cholestatic pattern (raised ALP/GGT)</w:t>
            </w:r>
          </w:p>
        </w:tc>
        <w:tc>
          <w:tcPr>
            <w:tcW w:type="dxa" w:w="1036"/>
            <w:vAlign w:val="top"/>
          </w:tcPr>
          <w:p>
            <w:pPr>
              <w:spacing w:after="40" w:before="0" w:line="259" w:lineRule="auto"/>
            </w:pPr>
            <w:r>
              <w:rPr>
                <w:rFonts w:ascii="Calibri" w:hAnsi="Calibri"/>
                <w:b w:val="0"/>
                <w:i w:val="0"/>
                <w:color w:val="212121"/>
                <w:sz w:val="16"/>
              </w:rPr>
              <w:t>Persistent cholestasis prompts MRCP to evaluate for primary sclerosing cholangitis</w:t>
            </w:r>
          </w:p>
        </w:tc>
        <w:tc>
          <w:tcPr>
            <w:tcW w:type="dxa" w:w="1036"/>
            <w:vAlign w:val="top"/>
          </w:tcPr>
          <w:p>
            <w:pPr>
              <w:spacing w:after="40" w:before="0" w:line="259" w:lineRule="auto"/>
            </w:pPr>
            <w:r>
              <w:rPr>
                <w:rFonts w:ascii="Calibri" w:hAnsi="Calibri"/>
                <w:b w:val="0"/>
                <w:i w:val="0"/>
                <w:color w:val="212121"/>
                <w:sz w:val="16"/>
              </w:rPr>
              <w:t>UC patients, those with pruritus/fatigue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PSC coexists in ~1.5% of IBD and alters cancer surveillance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 + histology</w:t>
            </w:r>
          </w:p>
        </w:tc>
        <w:tc>
          <w:tcPr>
            <w:tcW w:type="dxa" w:w="1036"/>
            <w:vAlign w:val="top"/>
          </w:tcPr>
          <w:p>
            <w:pPr>
              <w:spacing w:after="40" w:before="0" w:line="259" w:lineRule="auto"/>
            </w:pPr>
            <w:r>
              <w:rPr>
                <w:rFonts w:ascii="Calibri" w:hAnsi="Calibri"/>
                <w:b w:val="0"/>
                <w:i w:val="0"/>
                <w:color w:val="212121"/>
                <w:sz w:val="16"/>
              </w:rPr>
              <w:t>Ileocolonoscopy with biopsy</w:t>
            </w:r>
          </w:p>
        </w:tc>
        <w:tc>
          <w:tcPr>
            <w:tcW w:type="dxa" w:w="892"/>
            <w:vAlign w:val="top"/>
          </w:tcPr>
          <w:p>
            <w:pPr>
              <w:spacing w:after="40" w:before="0" w:line="259" w:lineRule="auto"/>
            </w:pPr>
            <w:r>
              <w:rPr>
                <w:rFonts w:ascii="Calibri" w:hAnsi="Calibri"/>
                <w:b w:val="0"/>
                <w:i w:val="0"/>
                <w:color w:val="212121"/>
                <w:sz w:val="16"/>
              </w:rPr>
              <w:t>Endoscopic &amp; histological assessment</w:t>
            </w:r>
          </w:p>
        </w:tc>
        <w:tc>
          <w:tcPr>
            <w:tcW w:type="dxa" w:w="950"/>
            <w:vAlign w:val="top"/>
          </w:tcPr>
          <w:p>
            <w:pPr>
              <w:spacing w:after="40" w:before="0" w:line="259" w:lineRule="auto"/>
            </w:pPr>
            <w:r>
              <w:rPr>
                <w:rFonts w:ascii="Calibri" w:hAnsi="Calibri"/>
                <w:b w:val="0"/>
                <w:i w:val="0"/>
                <w:color w:val="212121"/>
                <w:sz w:val="16"/>
              </w:rPr>
              <w:t>Normal mucosa, preserved vascular pattern</w:t>
            </w:r>
          </w:p>
        </w:tc>
        <w:tc>
          <w:tcPr>
            <w:tcW w:type="dxa" w:w="950"/>
            <w:vAlign w:val="top"/>
          </w:tcPr>
          <w:p>
            <w:pPr>
              <w:spacing w:after="40" w:before="0" w:line="259" w:lineRule="auto"/>
            </w:pPr>
            <w:r>
              <w:rPr>
                <w:rFonts w:ascii="Calibri" w:hAnsi="Calibri"/>
                <w:b w:val="0"/>
                <w:i w:val="0"/>
                <w:color w:val="212121"/>
                <w:sz w:val="16"/>
              </w:rPr>
              <w:t>Continuous friable inflamed mucosa from rectum; crypt distortion, crypt abscesses, basal plasmacytosis</w:t>
            </w:r>
          </w:p>
        </w:tc>
        <w:tc>
          <w:tcPr>
            <w:tcW w:type="dxa" w:w="1036"/>
            <w:vAlign w:val="top"/>
          </w:tcPr>
          <w:p>
            <w:pPr>
              <w:spacing w:after="40" w:before="0" w:line="259" w:lineRule="auto"/>
            </w:pPr>
            <w:r>
              <w:rPr>
                <w:rFonts w:ascii="Calibri" w:hAnsi="Calibri"/>
                <w:b w:val="0"/>
                <w:i w:val="0"/>
                <w:color w:val="212121"/>
                <w:sz w:val="16"/>
              </w:rPr>
              <w:t>Confirms diagnosis, defines extent (Montreal E1–E3) and grades endoscopic severity (Mayo endoscopic subscore)</w:t>
            </w:r>
          </w:p>
        </w:tc>
        <w:tc>
          <w:tcPr>
            <w:tcW w:type="dxa" w:w="1036"/>
            <w:vAlign w:val="top"/>
          </w:tcPr>
          <w:p>
            <w:pPr>
              <w:spacing w:after="40" w:before="0" w:line="259" w:lineRule="auto"/>
            </w:pPr>
            <w:r>
              <w:rPr>
                <w:rFonts w:ascii="Calibri" w:hAnsi="Calibri"/>
                <w:b w:val="0"/>
                <w:i w:val="0"/>
                <w:color w:val="212121"/>
                <w:sz w:val="16"/>
              </w:rPr>
              <w:t>All suspected UC; surveillance in long-standing colitis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Also the platform for dysplasia surveillance biopsies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Bloody diarrhoea, urgency, tenesmus, mucus</w:t>
            </w:r>
          </w:p>
        </w:tc>
        <w:tc>
          <w:tcPr>
            <w:tcW w:type="dxa" w:w="950"/>
            <w:vAlign w:val="top"/>
          </w:tcPr>
          <w:p>
            <w:pPr>
              <w:spacing w:after="40" w:before="0" w:line="259" w:lineRule="auto"/>
            </w:pPr>
            <w:r>
              <w:rPr>
                <w:rFonts w:ascii="Calibri" w:hAnsi="Calibri"/>
                <w:b w:val="0"/>
                <w:i w:val="0"/>
                <w:color w:val="212121"/>
                <w:sz w:val="16"/>
              </w:rPr>
              <w:t>Formed, non-bloody stool</w:t>
            </w:r>
          </w:p>
        </w:tc>
        <w:tc>
          <w:tcPr>
            <w:tcW w:type="dxa" w:w="950"/>
            <w:vAlign w:val="top"/>
          </w:tcPr>
          <w:p>
            <w:pPr>
              <w:spacing w:after="40" w:before="0" w:line="259" w:lineRule="auto"/>
            </w:pPr>
            <w:r>
              <w:rPr>
                <w:rFonts w:ascii="Calibri" w:hAnsi="Calibri"/>
                <w:b w:val="0"/>
                <w:i w:val="0"/>
                <w:color w:val="212121"/>
                <w:sz w:val="16"/>
              </w:rPr>
              <w:t>Frequent bloody/mucoid stools with urgency</w:t>
            </w:r>
          </w:p>
        </w:tc>
        <w:tc>
          <w:tcPr>
            <w:tcW w:type="dxa" w:w="1036"/>
            <w:vAlign w:val="top"/>
          </w:tcPr>
          <w:p>
            <w:pPr>
              <w:spacing w:after="40" w:before="0" w:line="259" w:lineRule="auto"/>
            </w:pPr>
            <w:r>
              <w:rPr>
                <w:rFonts w:ascii="Calibri" w:hAnsi="Calibri"/>
                <w:b w:val="0"/>
                <w:i w:val="0"/>
                <w:color w:val="212121"/>
                <w:sz w:val="16"/>
              </w:rPr>
              <w:t>Cardinal presentation of active distal/colonic inflammation</w:t>
            </w:r>
          </w:p>
        </w:tc>
        <w:tc>
          <w:tcPr>
            <w:tcW w:type="dxa" w:w="1036"/>
            <w:vAlign w:val="top"/>
          </w:tcPr>
          <w:p>
            <w:pPr>
              <w:spacing w:after="40" w:before="0" w:line="259" w:lineRule="auto"/>
            </w:pPr>
            <w:r>
              <w:rPr>
                <w:rFonts w:ascii="Calibri" w:hAnsi="Calibri"/>
                <w:b w:val="0"/>
                <w:i w:val="0"/>
                <w:color w:val="212121"/>
                <w:sz w:val="16"/>
              </w:rPr>
              <w:t>Patients presenting with chronic diarrhoea</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Nocturnal diarrhoea and weight loss suggest organic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duration &amp; pattern</w:t>
            </w:r>
          </w:p>
        </w:tc>
        <w:tc>
          <w:tcPr>
            <w:tcW w:type="dxa" w:w="979"/>
            <w:vAlign w:val="top"/>
          </w:tcPr>
          <w:p>
            <w:pPr>
              <w:spacing w:after="40" w:before="0" w:line="259" w:lineRule="auto"/>
            </w:pPr>
            <w:r>
              <w:rPr>
                <w:rFonts w:ascii="Calibri" w:hAnsi="Calibri"/>
                <w:b w:val="0"/>
                <w:i w:val="0"/>
                <w:color w:val="212121"/>
                <w:sz w:val="16"/>
              </w:rPr>
              <w:t>Chronicity (≥ 4 weeks), relapsing course</w:t>
            </w:r>
          </w:p>
        </w:tc>
        <w:tc>
          <w:tcPr>
            <w:tcW w:type="dxa" w:w="950"/>
            <w:vAlign w:val="top"/>
          </w:tcPr>
          <w:p>
            <w:pPr>
              <w:spacing w:after="40" w:before="0" w:line="259" w:lineRule="auto"/>
            </w:pPr>
            <w:r>
              <w:rPr>
                <w:rFonts w:ascii="Calibri" w:hAnsi="Calibri"/>
                <w:b w:val="0"/>
                <w:i w:val="0"/>
                <w:color w:val="212121"/>
                <w:sz w:val="16"/>
              </w:rPr>
              <w:t>Acute self-limited illness</w:t>
            </w:r>
          </w:p>
        </w:tc>
        <w:tc>
          <w:tcPr>
            <w:tcW w:type="dxa" w:w="950"/>
            <w:vAlign w:val="top"/>
          </w:tcPr>
          <w:p>
            <w:pPr>
              <w:spacing w:after="40" w:before="0" w:line="259" w:lineRule="auto"/>
            </w:pPr>
            <w:r>
              <w:rPr>
                <w:rFonts w:ascii="Calibri" w:hAnsi="Calibri"/>
                <w:b w:val="0"/>
                <w:i w:val="0"/>
                <w:color w:val="212121"/>
                <w:sz w:val="16"/>
              </w:rPr>
              <w:t>Chronic/relapsing bloody diarrhoea</w:t>
            </w:r>
          </w:p>
        </w:tc>
        <w:tc>
          <w:tcPr>
            <w:tcW w:type="dxa" w:w="1036"/>
            <w:vAlign w:val="top"/>
          </w:tcPr>
          <w:p>
            <w:pPr>
              <w:spacing w:after="40" w:before="0" w:line="259" w:lineRule="auto"/>
            </w:pPr>
            <w:r>
              <w:rPr>
                <w:rFonts w:ascii="Calibri" w:hAnsi="Calibri"/>
                <w:b w:val="0"/>
                <w:i w:val="0"/>
                <w:color w:val="212121"/>
                <w:sz w:val="16"/>
              </w:rPr>
              <w:t>Distinguishes UC from acute infective colitis</w:t>
            </w:r>
          </w:p>
        </w:tc>
        <w:tc>
          <w:tcPr>
            <w:tcW w:type="dxa" w:w="1036"/>
            <w:vAlign w:val="top"/>
          </w:tcPr>
          <w:p>
            <w:pPr>
              <w:spacing w:after="40" w:before="0" w:line="259" w:lineRule="auto"/>
            </w:pPr>
            <w:r>
              <w:rPr>
                <w:rFonts w:ascii="Calibri" w:hAnsi="Calibri"/>
                <w:b w:val="0"/>
                <w:i w:val="0"/>
                <w:color w:val="212121"/>
                <w:sz w:val="16"/>
              </w:rPr>
              <w:t>Chronic diarrhoea, recurrent flares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Document flare triggers — NSAIDs, infection, non-adherence, smoking cessation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&amp; appendicectomy history</w:t>
            </w:r>
          </w:p>
        </w:tc>
        <w:tc>
          <w:tcPr>
            <w:tcW w:type="dxa" w:w="979"/>
            <w:vAlign w:val="top"/>
          </w:tcPr>
          <w:p>
            <w:pPr>
              <w:spacing w:after="40" w:before="0" w:line="259" w:lineRule="auto"/>
            </w:pPr>
            <w:r>
              <w:rPr>
                <w:rFonts w:ascii="Calibri" w:hAnsi="Calibri"/>
                <w:b w:val="0"/>
                <w:i w:val="0"/>
                <w:color w:val="212121"/>
                <w:sz w:val="16"/>
              </w:rPr>
              <w:t>Current/former smoking; prior appendicectomy</w:t>
            </w:r>
          </w:p>
        </w:tc>
        <w:tc>
          <w:tcPr>
            <w:tcW w:type="dxa" w:w="950"/>
            <w:vAlign w:val="top"/>
          </w:tcPr>
          <w:p>
            <w:pPr>
              <w:spacing w:after="40" w:before="0" w:line="259" w:lineRule="auto"/>
            </w:pPr>
            <w:r>
              <w:rPr>
                <w:rFonts w:ascii="Calibri" w:hAnsi="Calibri"/>
                <w:b w:val="0"/>
                <w:i w:val="0"/>
                <w:color w:val="212121"/>
                <w:sz w:val="16"/>
              </w:rPr>
              <w:t>Documented for risk stratification</w:t>
            </w:r>
          </w:p>
        </w:tc>
        <w:tc>
          <w:tcPr>
            <w:tcW w:type="dxa" w:w="950"/>
            <w:vAlign w:val="top"/>
          </w:tcPr>
          <w:p>
            <w:pPr>
              <w:spacing w:after="40" w:before="0" w:line="259" w:lineRule="auto"/>
            </w:pPr>
            <w:r>
              <w:rPr>
                <w:rFonts w:ascii="Calibri" w:hAnsi="Calibri"/>
                <w:b w:val="0"/>
                <w:i w:val="0"/>
                <w:color w:val="212121"/>
                <w:sz w:val="16"/>
              </w:rPr>
              <w:t>Recent smoking cessation; intact appendix</w:t>
            </w:r>
          </w:p>
        </w:tc>
        <w:tc>
          <w:tcPr>
            <w:tcW w:type="dxa" w:w="1036"/>
            <w:vAlign w:val="top"/>
          </w:tcPr>
          <w:p>
            <w:pPr>
              <w:spacing w:after="40" w:before="0" w:line="259" w:lineRule="auto"/>
            </w:pPr>
            <w:r>
              <w:rPr>
                <w:rFonts w:ascii="Calibri" w:hAnsi="Calibri"/>
                <w:b w:val="0"/>
                <w:i w:val="0"/>
                <w:color w:val="212121"/>
                <w:sz w:val="16"/>
              </w:rPr>
              <w:t>Recent cessation associates with onset/flares; appendicectomy is protective</w:t>
            </w:r>
          </w:p>
        </w:tc>
        <w:tc>
          <w:tcPr>
            <w:tcW w:type="dxa" w:w="1036"/>
            <w:vAlign w:val="top"/>
          </w:tcPr>
          <w:p>
            <w:pPr>
              <w:spacing w:after="40" w:before="0" w:line="259" w:lineRule="auto"/>
            </w:pPr>
            <w:r>
              <w:rPr>
                <w:rFonts w:ascii="Calibri" w:hAnsi="Calibri"/>
                <w:b w:val="0"/>
                <w:i w:val="0"/>
                <w:color w:val="212121"/>
                <w:sz w:val="16"/>
              </w:rPr>
              <w:t>All UC patients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Never advise smoking as therapy despite the paradox</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IBD</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first-degree relative</w:t>
            </w:r>
          </w:p>
        </w:tc>
        <w:tc>
          <w:tcPr>
            <w:tcW w:type="dxa" w:w="1036"/>
            <w:vAlign w:val="top"/>
          </w:tcPr>
          <w:p>
            <w:pPr>
              <w:spacing w:after="40" w:before="0" w:line="259" w:lineRule="auto"/>
            </w:pPr>
            <w:r>
              <w:rPr>
                <w:rFonts w:ascii="Calibri" w:hAnsi="Calibri"/>
                <w:b w:val="0"/>
                <w:i w:val="0"/>
                <w:color w:val="212121"/>
                <w:sz w:val="16"/>
              </w:rPr>
              <w:t>Genetic predisposition; less frequent in Indian than Western patients</w:t>
            </w:r>
          </w:p>
        </w:tc>
        <w:tc>
          <w:tcPr>
            <w:tcW w:type="dxa" w:w="1036"/>
            <w:vAlign w:val="top"/>
          </w:tcPr>
          <w:p>
            <w:pPr>
              <w:spacing w:after="40" w:before="0" w:line="259" w:lineRule="auto"/>
            </w:pPr>
            <w:r>
              <w:rPr>
                <w:rFonts w:ascii="Calibri" w:hAnsi="Calibri"/>
                <w:b w:val="0"/>
                <w:i w:val="0"/>
                <w:color w:val="212121"/>
                <w:sz w:val="16"/>
              </w:rPr>
              <w:t>Relatives of IBD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Absence does not exclude UC given strong environmental drivers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&amp; general exam</w:t>
            </w:r>
          </w:p>
        </w:tc>
        <w:tc>
          <w:tcPr>
            <w:tcW w:type="dxa" w:w="979"/>
            <w:vAlign w:val="top"/>
          </w:tcPr>
          <w:p>
            <w:pPr>
              <w:spacing w:after="40" w:before="0" w:line="259" w:lineRule="auto"/>
            </w:pPr>
            <w:r>
              <w:rPr>
                <w:rFonts w:ascii="Calibri" w:hAnsi="Calibri"/>
                <w:b w:val="0"/>
                <w:i w:val="0"/>
                <w:color w:val="212121"/>
                <w:sz w:val="16"/>
              </w:rPr>
              <w:t>Tenderness, distension, pallor, fever, tachycardia</w:t>
            </w:r>
          </w:p>
        </w:tc>
        <w:tc>
          <w:tcPr>
            <w:tcW w:type="dxa" w:w="950"/>
            <w:vAlign w:val="top"/>
          </w:tcPr>
          <w:p>
            <w:pPr>
              <w:spacing w:after="40" w:before="0" w:line="259" w:lineRule="auto"/>
            </w:pPr>
            <w:r>
              <w:rPr>
                <w:rFonts w:ascii="Calibri" w:hAnsi="Calibri"/>
                <w:b w:val="0"/>
                <w:i w:val="0"/>
                <w:color w:val="212121"/>
                <w:sz w:val="16"/>
              </w:rPr>
              <w:t>Soft, non-tender abdomen; stable vitals</w:t>
            </w:r>
          </w:p>
        </w:tc>
        <w:tc>
          <w:tcPr>
            <w:tcW w:type="dxa" w:w="950"/>
            <w:vAlign w:val="top"/>
          </w:tcPr>
          <w:p>
            <w:pPr>
              <w:spacing w:after="40" w:before="0" w:line="259" w:lineRule="auto"/>
            </w:pPr>
            <w:r>
              <w:rPr>
                <w:rFonts w:ascii="Calibri" w:hAnsi="Calibri"/>
                <w:b w:val="0"/>
                <w:i w:val="0"/>
                <w:color w:val="212121"/>
                <w:sz w:val="16"/>
              </w:rPr>
              <w:t>LLQ tenderness, pallor; distension/tachycardia/fever in severe disease</w:t>
            </w:r>
          </w:p>
        </w:tc>
        <w:tc>
          <w:tcPr>
            <w:tcW w:type="dxa" w:w="1036"/>
            <w:vAlign w:val="top"/>
          </w:tcPr>
          <w:p>
            <w:pPr>
              <w:spacing w:after="40" w:before="0" w:line="259" w:lineRule="auto"/>
            </w:pPr>
            <w:r>
              <w:rPr>
                <w:rFonts w:ascii="Calibri" w:hAnsi="Calibri"/>
                <w:b w:val="0"/>
                <w:i w:val="0"/>
                <w:color w:val="212121"/>
                <w:sz w:val="16"/>
              </w:rPr>
              <w:t>Assesses activity/severity; distension with systemic toxicity warns of toxic megacolon</w:t>
            </w:r>
          </w:p>
        </w:tc>
        <w:tc>
          <w:tcPr>
            <w:tcW w:type="dxa" w:w="1036"/>
            <w:vAlign w:val="top"/>
          </w:tcPr>
          <w:p>
            <w:pPr>
              <w:spacing w:after="40" w:before="0" w:line="259" w:lineRule="auto"/>
            </w:pPr>
            <w:r>
              <w:rPr>
                <w:rFonts w:ascii="Calibri" w:hAnsi="Calibri"/>
                <w:b w:val="0"/>
                <w:i w:val="0"/>
                <w:color w:val="212121"/>
                <w:sz w:val="16"/>
              </w:rPr>
              <w:t>All patients, especially acute severe UC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Abdominal distension + toxicity is an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Digital rectal examination</w:t>
            </w:r>
          </w:p>
        </w:tc>
        <w:tc>
          <w:tcPr>
            <w:tcW w:type="dxa" w:w="979"/>
            <w:vAlign w:val="top"/>
          </w:tcPr>
          <w:p>
            <w:pPr>
              <w:spacing w:after="40" w:before="0" w:line="259" w:lineRule="auto"/>
            </w:pPr>
            <w:r>
              <w:rPr>
                <w:rFonts w:ascii="Calibri" w:hAnsi="Calibri"/>
                <w:b w:val="0"/>
                <w:i w:val="0"/>
                <w:color w:val="212121"/>
                <w:sz w:val="16"/>
              </w:rPr>
              <w:t>Blood, mucus on the examining finger</w:t>
            </w:r>
          </w:p>
        </w:tc>
        <w:tc>
          <w:tcPr>
            <w:tcW w:type="dxa" w:w="950"/>
            <w:vAlign w:val="top"/>
          </w:tcPr>
          <w:p>
            <w:pPr>
              <w:spacing w:after="40" w:before="0" w:line="259" w:lineRule="auto"/>
            </w:pPr>
            <w:r>
              <w:rPr>
                <w:rFonts w:ascii="Calibri" w:hAnsi="Calibri"/>
                <w:b w:val="0"/>
                <w:i w:val="0"/>
                <w:color w:val="212121"/>
                <w:sz w:val="16"/>
              </w:rPr>
              <w:t>No blood/mucus</w:t>
            </w:r>
          </w:p>
        </w:tc>
        <w:tc>
          <w:tcPr>
            <w:tcW w:type="dxa" w:w="950"/>
            <w:vAlign w:val="top"/>
          </w:tcPr>
          <w:p>
            <w:pPr>
              <w:spacing w:after="40" w:before="0" w:line="259" w:lineRule="auto"/>
            </w:pPr>
            <w:r>
              <w:rPr>
                <w:rFonts w:ascii="Calibri" w:hAnsi="Calibri"/>
                <w:b w:val="0"/>
                <w:i w:val="0"/>
                <w:color w:val="212121"/>
                <w:sz w:val="16"/>
              </w:rPr>
              <w:t>Fresh blood and mucus</w:t>
            </w:r>
          </w:p>
        </w:tc>
        <w:tc>
          <w:tcPr>
            <w:tcW w:type="dxa" w:w="1036"/>
            <w:vAlign w:val="top"/>
          </w:tcPr>
          <w:p>
            <w:pPr>
              <w:spacing w:after="40" w:before="0" w:line="259" w:lineRule="auto"/>
            </w:pPr>
            <w:r>
              <w:rPr>
                <w:rFonts w:ascii="Calibri" w:hAnsi="Calibri"/>
                <w:b w:val="0"/>
                <w:i w:val="0"/>
                <w:color w:val="212121"/>
                <w:sz w:val="16"/>
              </w:rPr>
              <w:t>Corroborates distal colonic inflammation</w:t>
            </w:r>
          </w:p>
        </w:tc>
        <w:tc>
          <w:tcPr>
            <w:tcW w:type="dxa" w:w="1036"/>
            <w:vAlign w:val="top"/>
          </w:tcPr>
          <w:p>
            <w:pPr>
              <w:spacing w:after="40" w:before="0" w:line="259" w:lineRule="auto"/>
            </w:pPr>
            <w:r>
              <w:rPr>
                <w:rFonts w:ascii="Calibri" w:hAnsi="Calibri"/>
                <w:b w:val="0"/>
                <w:i w:val="0"/>
                <w:color w:val="212121"/>
                <w:sz w:val="16"/>
              </w:rPr>
              <w:t>Patients with rectal bleeding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Quick bedside supportive finding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Extraintestinal survey</w:t>
            </w:r>
          </w:p>
        </w:tc>
        <w:tc>
          <w:tcPr>
            <w:tcW w:type="dxa" w:w="979"/>
            <w:vAlign w:val="top"/>
          </w:tcPr>
          <w:p>
            <w:pPr>
              <w:spacing w:after="40" w:before="0" w:line="259" w:lineRule="auto"/>
            </w:pPr>
            <w:r>
              <w:rPr>
                <w:rFonts w:ascii="Calibri" w:hAnsi="Calibri"/>
                <w:b w:val="0"/>
                <w:i w:val="0"/>
                <w:color w:val="212121"/>
                <w:sz w:val="16"/>
              </w:rPr>
              <w:t>Joints, eyes, skin, mouth, hepatobiliary</w:t>
            </w:r>
          </w:p>
        </w:tc>
        <w:tc>
          <w:tcPr>
            <w:tcW w:type="dxa" w:w="950"/>
            <w:vAlign w:val="top"/>
          </w:tcPr>
          <w:p>
            <w:pPr>
              <w:spacing w:after="40" w:before="0" w:line="259" w:lineRule="auto"/>
            </w:pPr>
            <w:r>
              <w:rPr>
                <w:rFonts w:ascii="Calibri" w:hAnsi="Calibri"/>
                <w:b w:val="0"/>
                <w:i w:val="0"/>
                <w:color w:val="212121"/>
                <w:sz w:val="16"/>
              </w:rPr>
              <w:t>No extraintestinal signs</w:t>
            </w:r>
          </w:p>
        </w:tc>
        <w:tc>
          <w:tcPr>
            <w:tcW w:type="dxa" w:w="950"/>
            <w:vAlign w:val="top"/>
          </w:tcPr>
          <w:p>
            <w:pPr>
              <w:spacing w:after="40" w:before="0" w:line="259" w:lineRule="auto"/>
            </w:pPr>
            <w:r>
              <w:rPr>
                <w:rFonts w:ascii="Calibri" w:hAnsi="Calibri"/>
                <w:b w:val="0"/>
                <w:i w:val="0"/>
                <w:color w:val="212121"/>
                <w:sz w:val="16"/>
              </w:rPr>
              <w:t>Arthritis, uveitis/episcleritis, erythema nodosum, pyoderma gangrenosum, aphthous ulcers</w:t>
            </w:r>
          </w:p>
        </w:tc>
        <w:tc>
          <w:tcPr>
            <w:tcW w:type="dxa" w:w="1036"/>
            <w:vAlign w:val="top"/>
          </w:tcPr>
          <w:p>
            <w:pPr>
              <w:spacing w:after="40" w:before="0" w:line="259" w:lineRule="auto"/>
            </w:pPr>
            <w:r>
              <w:rPr>
                <w:rFonts w:ascii="Calibri" w:hAnsi="Calibri"/>
                <w:b w:val="0"/>
                <w:i w:val="0"/>
                <w:color w:val="212121"/>
                <w:sz w:val="16"/>
              </w:rPr>
              <w:t>Identifies extraintestinal manifestations needing specialist input</w:t>
            </w:r>
          </w:p>
        </w:tc>
        <w:tc>
          <w:tcPr>
            <w:tcW w:type="dxa" w:w="1036"/>
            <w:vAlign w:val="top"/>
          </w:tcPr>
          <w:p>
            <w:pPr>
              <w:spacing w:after="40" w:before="0" w:line="259" w:lineRule="auto"/>
            </w:pPr>
            <w:r>
              <w:rPr>
                <w:rFonts w:ascii="Calibri" w:hAnsi="Calibri"/>
                <w:b w:val="0"/>
                <w:i w:val="0"/>
                <w:color w:val="212121"/>
                <w:sz w:val="16"/>
              </w:rPr>
              <w:t>UC patients (EIM ~8% in Indian cohort)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Some EIMs track disease activity, others run independent courses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Bloody diarrhoea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 frequent loose stools mixed with visible blood from inflamed friable rectal/colonic mucosa.</w:t>
            </w:r>
          </w:p>
        </w:tc>
      </w:tr>
      <w:tr>
        <w:trPr>
          <w:cantSplit/>
        </w:trPr>
        <w:tc>
          <w:tcPr>
            <w:tcW w:type="dxa" w:w="2304"/>
            <w:vAlign w:val="top"/>
          </w:tcPr>
          <w:p>
            <w:pPr>
              <w:spacing w:after="40" w:before="0" w:line="259" w:lineRule="auto"/>
            </w:pPr>
            <w:r>
              <w:rPr>
                <w:rFonts w:ascii="Calibri" w:hAnsi="Calibri"/>
                <w:b/>
                <w:i w:val="0"/>
                <w:color w:val="212121"/>
                <w:sz w:val="19"/>
              </w:rPr>
              <w:t>Rectal bleeding / haematochezia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Passage of fresh blood, sometimes with clots, reflecting distal colonic ulceration.</w:t>
            </w:r>
          </w:p>
        </w:tc>
      </w:tr>
      <w:tr>
        <w:trPr>
          <w:cantSplit/>
        </w:trPr>
        <w:tc>
          <w:tcPr>
            <w:tcW w:type="dxa" w:w="2304"/>
            <w:vAlign w:val="top"/>
          </w:tcPr>
          <w:p>
            <w:pPr>
              <w:spacing w:after="40" w:before="0" w:line="259" w:lineRule="auto"/>
            </w:pPr>
            <w:r>
              <w:rPr>
                <w:rFonts w:ascii="Calibri" w:hAnsi="Calibri"/>
                <w:b/>
                <w:i w:val="0"/>
                <w:color w:val="212121"/>
                <w:sz w:val="19"/>
              </w:rPr>
              <w:t>Faecal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compelling need to defecate due to rectal inflammation and reduced compliance.</w:t>
            </w:r>
          </w:p>
        </w:tc>
      </w:tr>
      <w:tr>
        <w:trPr>
          <w:cantSplit/>
        </w:trPr>
        <w:tc>
          <w:tcPr>
            <w:tcW w:type="dxa" w:w="2304"/>
            <w:vAlign w:val="top"/>
          </w:tcPr>
          <w:p>
            <w:pPr>
              <w:spacing w:after="40" w:before="0" w:line="259" w:lineRule="auto"/>
            </w:pPr>
            <w:r>
              <w:rPr>
                <w:rFonts w:ascii="Calibri" w:hAnsi="Calibri"/>
                <w:b/>
                <w:i w:val="0"/>
                <w:color w:val="212121"/>
                <w:sz w:val="19"/>
              </w:rPr>
              <w:t>Tenesmus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persistent sensation of incomplete evacuation from rectal inflammation (proctitis).</w:t>
            </w:r>
          </w:p>
        </w:tc>
      </w:tr>
      <w:tr>
        <w:trPr>
          <w:cantSplit/>
        </w:trPr>
        <w:tc>
          <w:tcPr>
            <w:tcW w:type="dxa" w:w="2304"/>
            <w:vAlign w:val="top"/>
          </w:tcPr>
          <w:p>
            <w:pPr>
              <w:spacing w:after="40" w:before="0" w:line="259" w:lineRule="auto"/>
            </w:pPr>
            <w:r>
              <w:rPr>
                <w:rFonts w:ascii="Calibri" w:hAnsi="Calibri"/>
                <w:b/>
                <w:i w:val="0"/>
                <w:color w:val="212121"/>
                <w:sz w:val="19"/>
              </w:rPr>
              <w:t>Increased stool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Multiple small-volume stools per day; nocturnal stools suggest active organic disease.</w:t>
            </w:r>
          </w:p>
        </w:tc>
      </w:tr>
      <w:tr>
        <w:trPr>
          <w:cantSplit/>
        </w:trPr>
        <w:tc>
          <w:tcPr>
            <w:tcW w:type="dxa" w:w="2304"/>
            <w:vAlign w:val="top"/>
          </w:tcPr>
          <w:p>
            <w:pPr>
              <w:spacing w:after="40" w:before="0" w:line="259" w:lineRule="auto"/>
            </w:pPr>
            <w:r>
              <w:rPr>
                <w:rFonts w:ascii="Calibri" w:hAnsi="Calibri"/>
                <w:b/>
                <w:i w:val="0"/>
                <w:color w:val="212121"/>
                <w:sz w:val="19"/>
              </w:rPr>
              <w:t>Passage of mucus / mucopus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 mucus, sometimes purulent, from the inflamed colonic mucosa.</w:t>
            </w:r>
          </w:p>
        </w:tc>
      </w:tr>
      <w:tr>
        <w:trPr>
          <w:cantSplit/>
        </w:trPr>
        <w:tc>
          <w:tcPr>
            <w:tcW w:type="dxa" w:w="2304"/>
            <w:vAlign w:val="top"/>
          </w:tcPr>
          <w:p>
            <w:pPr>
              <w:spacing w:after="40" w:before="0" w:line="259" w:lineRule="auto"/>
            </w:pPr>
            <w:r>
              <w:rPr>
                <w:rFonts w:ascii="Calibri" w:hAnsi="Calibri"/>
                <w:b/>
                <w:i w:val="0"/>
                <w:color w:val="212121"/>
                <w:sz w:val="19"/>
              </w:rPr>
              <w:t>Lower abdominal cramping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Colicky left-lower-quadrant pain, often relieved transiently by defecation.</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Driven by anaemia, chronic inflammation and poor sleep during active disease.</w:t>
            </w:r>
          </w:p>
        </w:tc>
      </w:tr>
      <w:tr>
        <w:trPr>
          <w:cantSplit/>
        </w:trPr>
        <w:tc>
          <w:tcPr>
            <w:tcW w:type="dxa" w:w="2304"/>
            <w:vAlign w:val="top"/>
          </w:tcPr>
          <w:p>
            <w:pPr>
              <w:spacing w:after="40" w:before="0" w:line="259" w:lineRule="auto"/>
            </w:pPr>
            <w:r>
              <w:rPr>
                <w:rFonts w:ascii="Calibri" w:hAnsi="Calibri"/>
                <w:b/>
                <w:i w:val="0"/>
                <w:color w:val="212121"/>
                <w:sz w:val="19"/>
              </w:rPr>
              <w:t>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reduced intake, catabolism and protein loss in moderate-severe disease.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Low-grade fever accompanies moderate-severe flares and systemic inflammation.</w:t>
            </w:r>
          </w:p>
        </w:tc>
      </w:tr>
      <w:tr>
        <w:trPr>
          <w:cantSplit/>
        </w:trPr>
        <w:tc>
          <w:tcPr>
            <w:tcW w:type="dxa" w:w="2304"/>
            <w:vAlign w:val="top"/>
          </w:tcPr>
          <w:p>
            <w:pPr>
              <w:spacing w:after="40" w:before="0" w:line="259" w:lineRule="auto"/>
            </w:pPr>
            <w:r>
              <w:rPr>
                <w:rFonts w:ascii="Calibri" w:hAnsi="Calibri"/>
                <w:b/>
                <w:i w:val="0"/>
                <w:color w:val="212121"/>
                <w:sz w:val="19"/>
              </w:rPr>
              <w:t>Arthralgia / joint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Peripheral or axial joint symptoms as an extraintestinal manifestation.</w:t>
            </w:r>
          </w:p>
        </w:tc>
      </w:tr>
      <w:tr>
        <w:trPr>
          <w:cantSplit/>
        </w:trPr>
        <w:tc>
          <w:tcPr>
            <w:tcW w:type="dxa" w:w="2304"/>
            <w:vAlign w:val="top"/>
          </w:tcPr>
          <w:p>
            <w:pPr>
              <w:spacing w:after="40" w:before="0" w:line="259" w:lineRule="auto"/>
            </w:pPr>
            <w:r>
              <w:rPr>
                <w:rFonts w:ascii="Calibri" w:hAnsi="Calibri"/>
                <w:b/>
                <w:i w:val="0"/>
                <w:color w:val="212121"/>
                <w:sz w:val="19"/>
              </w:rPr>
              <w:t>Painful red eye / skin nodules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Uveitis/episcleritis or erythema nodosum/pyoderma gangrenosum as extraintestinal manifestations.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Conjunctival/palmar pallor from iron-deficiency and chronic-disease anaemia.</w:t>
            </w:r>
          </w:p>
        </w:tc>
      </w:tr>
      <w:tr>
        <w:trPr>
          <w:cantSplit/>
        </w:trPr>
        <w:tc>
          <w:tcPr>
            <w:tcW w:type="dxa" w:w="3456"/>
            <w:vAlign w:val="top"/>
          </w:tcPr>
          <w:p>
            <w:pPr>
              <w:spacing w:after="40" w:before="0" w:line="259" w:lineRule="auto"/>
            </w:pPr>
            <w:r>
              <w:rPr>
                <w:rFonts w:ascii="Calibri" w:hAnsi="Calibri"/>
                <w:b/>
                <w:i w:val="0"/>
                <w:color w:val="212121"/>
                <w:sz w:val="19"/>
              </w:rPr>
              <w:t>Blood and mucus on digital rectal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Fresh blood and mucus corroborate distal colonic inflammation.</w:t>
            </w:r>
          </w:p>
        </w:tc>
      </w:tr>
      <w:tr>
        <w:trPr>
          <w:cantSplit/>
        </w:trPr>
        <w:tc>
          <w:tcPr>
            <w:tcW w:type="dxa" w:w="3456"/>
            <w:vAlign w:val="top"/>
          </w:tcPr>
          <w:p>
            <w:pPr>
              <w:spacing w:after="40" w:before="0" w:line="259" w:lineRule="auto"/>
            </w:pPr>
            <w:r>
              <w:rPr>
                <w:rFonts w:ascii="Calibri" w:hAnsi="Calibri"/>
                <w:b/>
                <w:i w:val="0"/>
                <w:color w:val="212121"/>
                <w:sz w:val="19"/>
              </w:rPr>
              <w:t>Left-lower-quadrant abdominal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over the inflamed distal colon.</w:t>
            </w:r>
          </w:p>
        </w:tc>
      </w:tr>
      <w:tr>
        <w:trPr>
          <w:cantSplit/>
        </w:trPr>
        <w:tc>
          <w:tcPr>
            <w:tcW w:type="dxa" w:w="3456"/>
            <w:vAlign w:val="top"/>
          </w:tcPr>
          <w:p>
            <w:pPr>
              <w:spacing w:after="40" w:before="0" w:line="259" w:lineRule="auto"/>
            </w:pPr>
            <w:r>
              <w:rPr>
                <w:rFonts w:ascii="Calibri" w:hAnsi="Calibri"/>
                <w:b/>
                <w:i w:val="0"/>
                <w:color w:val="212121"/>
                <w:sz w:val="19"/>
              </w:rPr>
              <w:t>Tachycardia and fever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Systemic signs of moderate-severe or acute severe colitis (Truelove-Witts).</w:t>
            </w:r>
          </w:p>
        </w:tc>
      </w:tr>
      <w:tr>
        <w:trPr>
          <w:cantSplit/>
        </w:trPr>
        <w:tc>
          <w:tcPr>
            <w:tcW w:type="dxa" w:w="3456"/>
            <w:vAlign w:val="top"/>
          </w:tcPr>
          <w:p>
            <w:pPr>
              <w:spacing w:after="40" w:before="0" w:line="259" w:lineRule="auto"/>
            </w:pPr>
            <w:r>
              <w:rPr>
                <w:rFonts w:ascii="Calibri" w:hAnsi="Calibri"/>
                <w:b/>
                <w:i w:val="0"/>
                <w:color w:val="212121"/>
                <w:sz w:val="19"/>
              </w:rPr>
              <w:t>Aphthous oral ulcers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Mucocutaneous extraintestinal manifestation, often paralleling disease activity.</w:t>
            </w:r>
          </w:p>
        </w:tc>
      </w:tr>
      <w:tr>
        <w:trPr>
          <w:cantSplit/>
        </w:trPr>
        <w:tc>
          <w:tcPr>
            <w:tcW w:type="dxa" w:w="3456"/>
            <w:vAlign w:val="top"/>
          </w:tcPr>
          <w:p>
            <w:pPr>
              <w:spacing w:after="40" w:before="0" w:line="259" w:lineRule="auto"/>
            </w:pPr>
            <w:r>
              <w:rPr>
                <w:rFonts w:ascii="Calibri" w:hAnsi="Calibri"/>
                <w:b/>
                <w:i w:val="0"/>
                <w:color w:val="212121"/>
                <w:sz w:val="19"/>
              </w:rPr>
              <w:t>Erythema nodosum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 red nodules on the shins; an activity-related skin manifestation.</w:t>
            </w:r>
          </w:p>
        </w:tc>
      </w:tr>
      <w:tr>
        <w:trPr>
          <w:cantSplit/>
        </w:trPr>
        <w:tc>
          <w:tcPr>
            <w:tcW w:type="dxa" w:w="3456"/>
            <w:vAlign w:val="top"/>
          </w:tcPr>
          <w:p>
            <w:pPr>
              <w:spacing w:after="40" w:before="0" w:line="259" w:lineRule="auto"/>
            </w:pPr>
            <w:r>
              <w:rPr>
                <w:rFonts w:ascii="Calibri" w:hAnsi="Calibri"/>
                <w:b/>
                <w:i w:val="0"/>
                <w:color w:val="212121"/>
                <w:sz w:val="19"/>
              </w:rPr>
              <w:t>Episcleritis / anterior uveitis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 sometimes painful eye; uveitis needs urgent ophthalmology review.</w:t>
            </w:r>
          </w:p>
        </w:tc>
      </w:tr>
      <w:tr>
        <w:trPr>
          <w:cantSplit/>
        </w:trPr>
        <w:tc>
          <w:tcPr>
            <w:tcW w:type="dxa" w:w="3456"/>
            <w:vAlign w:val="top"/>
          </w:tcPr>
          <w:p>
            <w:pPr>
              <w:spacing w:after="40" w:before="0" w:line="259" w:lineRule="auto"/>
            </w:pPr>
            <w:r>
              <w:rPr>
                <w:rFonts w:ascii="Calibri" w:hAnsi="Calibri"/>
                <w:b/>
                <w:i w:val="0"/>
                <w:color w:val="212121"/>
                <w:sz w:val="19"/>
              </w:rPr>
              <w:t>Peripheral / axial arthritis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Joint swelling or spinal stiffness as spondyloarthritis-spectrum manifestations.</w:t>
            </w:r>
          </w:p>
        </w:tc>
      </w:tr>
      <w:tr>
        <w:trPr>
          <w:cantSplit/>
        </w:trPr>
        <w:tc>
          <w:tcPr>
            <w:tcW w:type="dxa" w:w="3456"/>
            <w:vAlign w:val="top"/>
          </w:tcPr>
          <w:p>
            <w:pPr>
              <w:spacing w:after="40" w:before="0" w:line="259" w:lineRule="auto"/>
            </w:pPr>
            <w:r>
              <w:rPr>
                <w:rFonts w:ascii="Calibri" w:hAnsi="Calibri"/>
                <w:b/>
                <w:i w:val="0"/>
                <w:color w:val="212121"/>
                <w:sz w:val="19"/>
              </w:rPr>
              <w:t>Pyoderma gangrenosum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Rapidly enlarging painful ulcer with violaceous undermined edges — a serious cutaneous manifestation.</w:t>
            </w:r>
          </w:p>
        </w:tc>
      </w:tr>
      <w:tr>
        <w:trPr>
          <w:cantSplit/>
        </w:trPr>
        <w:tc>
          <w:tcPr>
            <w:tcW w:type="dxa" w:w="3456"/>
            <w:vAlign w:val="top"/>
          </w:tcPr>
          <w:p>
            <w:pPr>
              <w:spacing w:after="40" w:before="0" w:line="259" w:lineRule="auto"/>
            </w:pPr>
            <w:r>
              <w:rPr>
                <w:rFonts w:ascii="Calibri" w:hAnsi="Calibri"/>
                <w:b/>
                <w:i w:val="0"/>
                <w:color w:val="212121"/>
                <w:sz w:val="19"/>
              </w:rPr>
              <w:t>Abdominal distension with toxicity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Distension, tenderness and systemic toxicity signalling toxic megacolon — a surgical emergency.</w:t>
            </w:r>
          </w:p>
        </w:tc>
      </w:tr>
      <w:tr>
        <w:trPr>
          <w:cantSplit/>
        </w:trPr>
        <w:tc>
          <w:tcPr>
            <w:tcW w:type="dxa" w:w="3456"/>
            <w:vAlign w:val="top"/>
          </w:tcPr>
          <w:p>
            <w:pPr>
              <w:spacing w:after="40" w:before="0" w:line="259" w:lineRule="auto"/>
            </w:pPr>
            <w:r>
              <w:rPr>
                <w:rFonts w:ascii="Calibri" w:hAnsi="Calibri"/>
                <w:b/>
                <w:i w:val="0"/>
                <w:color w:val="212121"/>
                <w:sz w:val="19"/>
              </w:rPr>
              <w:t>Jaundice / cholestatic signs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indicate coexisting primary sclerosing cholangitis.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severe ulcerative colitis (ASUC) requiring hospitalisation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Toxic megacolon (colonic dilatation with systemic 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Fulminant colitis and colonic perforation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Massive lower gastrointestinal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dehydration and electrolyte imbalance</w:t>
            </w:r>
          </w:p>
        </w:tc>
        <w:tc>
          <w:tcPr>
            <w:tcW w:type="dxa" w:w="2980"/>
            <w:vAlign w:val="top"/>
          </w:tcPr>
          <w:p>
            <w:pPr>
              <w:spacing w:after="40" w:before="0" w:line="259" w:lineRule="auto"/>
            </w:pPr>
            <w:r>
              <w:rPr>
                <w:rFonts w:ascii="Calibri" w:hAnsi="Calibri"/>
                <w:b w:val="0"/>
                <w:i w:val="0"/>
                <w:color w:val="212121"/>
                <w:sz w:val="19"/>
              </w:rPr>
              <w:t>Acute, life-threatening consequences of intense or extensive colonic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Iron-deficiency and chronic-disease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and hypoalbuminaemia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(DVT/PE) from a hypercoagulable inflammatory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bone disease / osteoporosis (disease- and corticosteroid-related)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Extraintestinal manifestations (arthritis, uveitis/episcleritis, erythema nodosum, pyoderma gangrenosum)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 sclerosing cholangitis and other hepatobiliary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Superimposed Clostridioides difficile or CMV infection</w:t>
            </w:r>
          </w:p>
        </w:tc>
        <w:tc>
          <w:tcPr>
            <w:tcW w:type="dxa" w:w="2980"/>
            <w:vAlign w:val="top"/>
          </w:tcPr>
          <w:p>
            <w:pPr>
              <w:spacing w:after="40" w:before="0" w:line="259" w:lineRule="auto"/>
            </w:pPr>
            <w:r>
              <w:rPr>
                <w:rFonts w:ascii="Calibri" w:hAnsi="Calibri"/>
                <w:b w:val="0"/>
                <w:i w:val="0"/>
                <w:color w:val="212121"/>
                <w:sz w:val="19"/>
              </w:rPr>
              <w:t>Systemic and organ-specific effects of chronic inflammation, blood loss and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Colorectal dysplasia and colitis-associated colorectal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Cholangiocarcinoma (in PSC)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Colectomy with ileostomy or ileal pouch–anal anastomosis, and pouchitis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growth failure in children,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liver disease from advanced PSC</w:t>
            </w:r>
          </w:p>
        </w:tc>
        <w:tc>
          <w:tcPr>
            <w:tcW w:type="dxa" w:w="2980"/>
            <w:vAlign w:val="top"/>
          </w:tcPr>
          <w:p>
            <w:pPr>
              <w:spacing w:after="40" w:before="0" w:line="259" w:lineRule="auto"/>
            </w:pPr>
            <w:r>
              <w:rPr>
                <w:rFonts w:ascii="Calibri" w:hAnsi="Calibri"/>
                <w:b w:val="0"/>
                <w:i w:val="0"/>
                <w:color w:val="212121"/>
                <w:sz w:val="19"/>
              </w:rPr>
              <w:t>Irreversible, end-stage outcomes of long-standing disease and its major associations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Primary sclerosing cholangitis (PSC)</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Classic hepatobiliary association; coexistence sharply raises colorectal cancer risk and mandates intensified surveillance and hepatobiliary monitoring.</w:t>
            </w:r>
          </w:p>
          <w:p>
            <w:pPr>
              <w:spacing w:after="40" w:before="0" w:line="259" w:lineRule="auto"/>
            </w:pPr>
            <w:r>
              <w:rPr>
                <w:rFonts w:ascii="Calibri" w:hAnsi="Calibri"/>
                <w:b/>
                <w:i w:val="0"/>
                <w:color w:val="212121"/>
                <w:sz w:val="19"/>
              </w:rPr>
              <w:t>~1.5–2.2% of IBD</w:t>
            </w:r>
          </w:p>
        </w:tc>
      </w:tr>
      <w:tr>
        <w:trPr>
          <w:cantSplit/>
        </w:trPr>
        <w:tc>
          <w:tcPr>
            <w:tcW w:type="dxa" w:w="2232"/>
            <w:vAlign w:val="top"/>
          </w:tcPr>
          <w:p>
            <w:pPr>
              <w:spacing w:after="40" w:before="0" w:line="259" w:lineRule="auto"/>
            </w:pPr>
            <w:r>
              <w:rPr>
                <w:rFonts w:ascii="Calibri" w:hAnsi="Calibri"/>
                <w:b/>
                <w:i w:val="0"/>
                <w:color w:val="212121"/>
                <w:sz w:val="19"/>
              </w:rPr>
              <w:t>Colitis-associated colorectal cancer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 duration, extensive colitis, PSC, prior dysplasia and family history drive an inflammation-dysplasia-carcinoma sequence.</w:t>
            </w:r>
          </w:p>
        </w:tc>
      </w:tr>
      <w:tr>
        <w:trPr>
          <w:cantSplit/>
        </w:trPr>
        <w:tc>
          <w:tcPr>
            <w:tcW w:type="dxa" w:w="2232"/>
            <w:vAlign w:val="top"/>
          </w:tcPr>
          <w:p>
            <w:pPr>
              <w:spacing w:after="40" w:before="0" w:line="259" w:lineRule="auto"/>
            </w:pPr>
            <w:r>
              <w:rPr>
                <w:rFonts w:ascii="Calibri" w:hAnsi="Calibri"/>
                <w:b/>
                <w:i w:val="0"/>
                <w:color w:val="212121"/>
                <w:sz w:val="19"/>
              </w:rPr>
              <w:t>Iron-deficiency / chronic-disease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Commonest systemic complication, from chronic blood loss and inflammation-impaired iron handling; worsens fatigue and quality of life.</w:t>
            </w:r>
          </w:p>
          <w:p>
            <w:pPr>
              <w:spacing w:after="40" w:before="0" w:line="259" w:lineRule="auto"/>
            </w:pPr>
            <w:r>
              <w:rPr>
                <w:rFonts w:ascii="Calibri" w:hAnsi="Calibri"/>
                <w:b/>
                <w:i w:val="0"/>
                <w:color w:val="212121"/>
                <w:sz w:val="19"/>
              </w:rPr>
              <w:t>~24% of IBD</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 hepatic comorbidity in IBD, linked to inflammation, steroids and metabolic factors.</w:t>
            </w:r>
          </w:p>
          <w:p>
            <w:pPr>
              <w:spacing w:after="40" w:before="0" w:line="259" w:lineRule="auto"/>
            </w:pPr>
            <w:r>
              <w:rPr>
                <w:rFonts w:ascii="Calibri" w:hAnsi="Calibri"/>
                <w:b/>
                <w:i w:val="0"/>
                <w:color w:val="212121"/>
                <w:sz w:val="19"/>
              </w:rPr>
              <w:t>~32% of IBD</w:t>
            </w:r>
          </w:p>
        </w:tc>
      </w:tr>
      <w:tr>
        <w:trPr>
          <w:cantSplit/>
        </w:trPr>
        <w:tc>
          <w:tcPr>
            <w:tcW w:type="dxa" w:w="2232"/>
            <w:vAlign w:val="top"/>
          </w:tcPr>
          <w:p>
            <w:pPr>
              <w:spacing w:after="40" w:before="0" w:line="259" w:lineRule="auto"/>
            </w:pPr>
            <w:r>
              <w:rPr>
                <w:rFonts w:ascii="Calibri" w:hAnsi="Calibri"/>
                <w:b/>
                <w:i w:val="0"/>
                <w:color w:val="212121"/>
                <w:sz w:val="19"/>
              </w:rPr>
              <w:t>Axial/peripheral spondyloarthritis (incl. ankylosing spondylitis)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Shared immune-genetic (HLA-linked) mechanisms; the commonest musculoskeletal extraintestinal manifestation.</w:t>
            </w:r>
          </w:p>
        </w:tc>
      </w:tr>
      <w:tr>
        <w:trPr>
          <w:cantSplit/>
        </w:trPr>
        <w:tc>
          <w:tcPr>
            <w:tcW w:type="dxa" w:w="2232"/>
            <w:vAlign w:val="top"/>
          </w:tcPr>
          <w:p>
            <w:pPr>
              <w:spacing w:after="40" w:before="0" w:line="259" w:lineRule="auto"/>
            </w:pPr>
            <w:r>
              <w:rPr>
                <w:rFonts w:ascii="Calibri" w:hAnsi="Calibri"/>
                <w:b/>
                <w:i w:val="0"/>
                <w:color w:val="212121"/>
                <w:sz w:val="19"/>
              </w:rPr>
              <w:t>Venous thromboembolism (DVT/PE)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Active UC creates a prothrombotic state; VTE risk rises during flares and hospitalisation, warranting prophylaxis.</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gut-brain relationship — distress worsens disease activity and flares worsen mood; screening and psychological support improve outcomes.</w:t>
            </w:r>
          </w:p>
        </w:tc>
      </w:tr>
      <w:tr>
        <w:trPr>
          <w:cantSplit/>
        </w:trPr>
        <w:tc>
          <w:tcPr>
            <w:tcW w:type="dxa" w:w="2232"/>
            <w:vAlign w:val="top"/>
          </w:tcPr>
          <w:p>
            <w:pPr>
              <w:spacing w:after="40" w:before="0" w:line="259" w:lineRule="auto"/>
            </w:pPr>
            <w:r>
              <w:rPr>
                <w:rFonts w:ascii="Calibri" w:hAnsi="Calibri"/>
                <w:b/>
                <w:i w:val="0"/>
                <w:color w:val="212121"/>
                <w:sz w:val="19"/>
              </w:rPr>
              <w:t>Osteoporosis / metabolic bone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From chronic inflammation, malabsorption and especially corticosteroid exposure; increases fracture risk.</w:t>
            </w:r>
          </w:p>
        </w:tc>
      </w:tr>
      <w:tr>
        <w:trPr>
          <w:cantSplit/>
        </w:trPr>
        <w:tc>
          <w:tcPr>
            <w:tcW w:type="dxa" w:w="2232"/>
            <w:vAlign w:val="top"/>
          </w:tcPr>
          <w:p>
            <w:pPr>
              <w:spacing w:after="40" w:before="0" w:line="259" w:lineRule="auto"/>
            </w:pPr>
            <w:r>
              <w:rPr>
                <w:rFonts w:ascii="Calibri" w:hAnsi="Calibri"/>
                <w:b/>
                <w:i w:val="0"/>
                <w:color w:val="212121"/>
                <w:sz w:val="19"/>
              </w:rPr>
              <w:t>Uveitis / episcleritis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Ocular extraintestinal manifestation sharing immune mechanisms; needs prompt ophthalmology review.</w:t>
            </w:r>
          </w:p>
          <w:p>
            <w:pPr>
              <w:spacing w:after="40" w:before="0" w:line="259" w:lineRule="auto"/>
            </w:pPr>
            <w:r>
              <w:rPr>
                <w:rFonts w:ascii="Calibri" w:hAnsi="Calibri"/>
                <w:b/>
                <w:i w:val="0"/>
                <w:color w:val="212121"/>
                <w:sz w:val="19"/>
              </w:rPr>
              <w:t>Uveitis ~2.4% of IBD</w:t>
            </w:r>
          </w:p>
        </w:tc>
      </w:tr>
      <w:tr>
        <w:trPr>
          <w:cantSplit/>
        </w:trPr>
        <w:tc>
          <w:tcPr>
            <w:tcW w:type="dxa" w:w="2232"/>
            <w:vAlign w:val="top"/>
          </w:tcPr>
          <w:p>
            <w:pPr>
              <w:spacing w:after="40" w:before="0" w:line="259" w:lineRule="auto"/>
            </w:pPr>
            <w:r>
              <w:rPr>
                <w:rFonts w:ascii="Calibri" w:hAnsi="Calibri"/>
                <w:b/>
                <w:i w:val="0"/>
                <w:color w:val="212121"/>
                <w:sz w:val="19"/>
              </w:rPr>
              <w:t>Erythema nodosum / pyoderma gangrenosum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Immune-mediated cutaneous manifestations; erythema nodosum often tracks activity, pyoderma gangrenosum can be independent.</w:t>
            </w:r>
          </w:p>
        </w:tc>
      </w:tr>
      <w:tr>
        <w:trPr>
          <w:cantSplit/>
        </w:trPr>
        <w:tc>
          <w:tcPr>
            <w:tcW w:type="dxa" w:w="2232"/>
            <w:vAlign w:val="top"/>
          </w:tcPr>
          <w:p>
            <w:pPr>
              <w:spacing w:after="40" w:before="0" w:line="259" w:lineRule="auto"/>
            </w:pPr>
            <w:r>
              <w:rPr>
                <w:rFonts w:ascii="Calibri" w:hAnsi="Calibri"/>
                <w:b/>
                <w:i w:val="0"/>
                <w:color w:val="212121"/>
                <w:sz w:val="19"/>
              </w:rPr>
              <w:t>Clostridioides difficile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Superimposed infection that mimics and precipitates flares and worsens outcomes; must be tested for at each significant flare.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ulcerative colitis is a chronic relapsing-remitting disease; adherence to maintenance therapy (e.g., 5-ASA) even in remission is the single most important step to prevent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flare warning signs — increasing bloody stools, urgency, nocturnal diarrhoea, abdominal pain, fever — and seek care early rather than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NSAIDs and unnecessary antibiotics, which are common flare triggers; consult before starting any new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India, insist on excluding infections (amoebiasis, C. difficile) and intestinal tuberculosis before or alongside immunosuppression, and complete recommended vaccinations.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up scheduled colonoscopic surveillance for dysplasia, especially with long-standing extensive colitis or coexisting PSC.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take up or resume smoking to control UC — despite the epidemiological paradox, smoking's overall harms far outweigh any effect.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UC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long-standing colitis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 activity (brisk walking, cycling, yoga) aiming for at least 150 minutes/week when disease permits.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weight-bearing and light resistance exercise to protect bone density, especially if corticosteroids have been used.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Scale intensity to disease activity — favour gentle activity during flares and build up gradually in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and yoga/breathing practices as adjuncts to reduce stress and support the gut-brain axis.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UC patients in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Steroid-exposed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low bone density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added sugar and sugar-sweetened beverages, which are associated with higher UC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emulsifier-rich foods and adopt a balanced, largely whole-food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remission, maintain adequate fibre from well-tolerated whole grains, pulses and vegetables to support the colonic mucus barrier.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active flares, prefer a low-residue, easily digestible diet and ensure adequate protein and 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vitamin D, vitamin B12 and other deficiencies with clinician guidance; avoid unproven restrictive fad diets that risk malnutrition.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UC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urban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anaemia/deficiencies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flare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Personalise diet with a dietitian, using a food-symptom diary to identify individual trigger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calories and protein (aim ~1–1.5 g/kg/day in active disease) to counter catabolism and hypoalbuminaemia.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fluids and electrolytes lost through diarrhoea, using oral rehydration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clinician-guided iron repletion (oral or intravenous) for iron-deficiency anaemia.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UC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Malnourished/hypoalbuminaemic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severe UC</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nightly; poor sleep promotes inflammation and flare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 schedule and good sleep hygiene (limit screens and caffeine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nocturnal diarrhoea promptly, as it both disrupts sleep and signals active disease needing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UC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start or resume smoking to manage UC — its cardiovascular, respiratory and cancer harms far outweigh any protective signal.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smoke and plan to quit (strongly recommended overall), tell your gastroenterologist, as cessation can occasionally precipitate a flare that may need proactive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and use evidence-based cessation support rather than continuing tobacco.</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 with UC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Recent quitters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alcohol, particularly sulphite-rich drinks, which can aggravate diarrhoea, urgency and mucosal irritation.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active flares and when taking medications with hepatic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safe limits with your clinician, especially if liver involvement (e.g., PSC) is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UC patients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flare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hepatobiliary involvement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which are common and worsen disease activity through the gut-brain axis.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strategies — mindfulness, yoga, breathing exercises, structured routines — as adjuncts to medical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psychological therapies (e.g., CBT) and, where appropriate, gut-directed interventions and peer/support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mental-health care into routine follow-up, as improved mood supports adherence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UC patients with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active disease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0018961/" TargetMode="External"/><Relationship Id="rId10" Type="http://schemas.openxmlformats.org/officeDocument/2006/relationships/hyperlink" Target="https://pubmed.ncbi.nlm.nih.gov/41340403/" TargetMode="External"/><Relationship Id="rId11" Type="http://schemas.openxmlformats.org/officeDocument/2006/relationships/hyperlink" Target="https://pubmed.ncbi.nlm.nih.gov/14570727/" TargetMode="External"/><Relationship Id="rId12" Type="http://schemas.openxmlformats.org/officeDocument/2006/relationships/hyperlink" Target="https://pubmed.ncbi.nlm.nih.gov/40246988/" TargetMode="External"/><Relationship Id="rId13" Type="http://schemas.openxmlformats.org/officeDocument/2006/relationships/hyperlink" Target="https://pubmed.ncbi.nlm.nih.gov/42221652/" TargetMode="External"/><Relationship Id="rId14" Type="http://schemas.openxmlformats.org/officeDocument/2006/relationships/hyperlink" Target="https://pubmed.ncbi.nlm.nih.gov/40532067/" TargetMode="External"/><Relationship Id="rId15" Type="http://schemas.openxmlformats.org/officeDocument/2006/relationships/hyperlink" Target="https://pubmed.ncbi.nlm.nih.gov/40604809/" TargetMode="External"/><Relationship Id="rId16" Type="http://schemas.openxmlformats.org/officeDocument/2006/relationships/hyperlink" Target="https://pubmed.ncbi.nlm.nih.gov/40372363/" TargetMode="External"/><Relationship Id="rId17" Type="http://schemas.openxmlformats.org/officeDocument/2006/relationships/hyperlink" Target="https://pubmed.ncbi.nlm.nih.gov/42435161/" TargetMode="External"/><Relationship Id="rId18" Type="http://schemas.openxmlformats.org/officeDocument/2006/relationships/hyperlink" Target="https://pubmed.ncbi.nlm.nih.gov/41721152/" TargetMode="External"/><Relationship Id="rId19" Type="http://schemas.openxmlformats.org/officeDocument/2006/relationships/hyperlink" Target="https://pubmed.ncbi.nlm.nih.gov/42116329/" TargetMode="External"/><Relationship Id="rId20" Type="http://schemas.openxmlformats.org/officeDocument/2006/relationships/hyperlink" Target="https://pubmed.ncbi.nlm.nih.gov/34569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