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Anal Fissure</w:t>
      </w:r>
    </w:p>
    <w:p>
      <w:pPr>
        <w:spacing w:before="0" w:after="160"/>
      </w:pPr>
      <w:r>
        <w:rPr>
          <w:rFonts w:ascii="Calibri" w:hAnsi="Calibri"/>
          <w:b/>
          <w:i w:val="0"/>
          <w:color w:val="212121"/>
          <w:sz w:val="22"/>
        </w:rPr>
        <w:t xml:space="preserve">AKA </w:t>
      </w:r>
      <w:r>
        <w:rPr>
          <w:rFonts w:ascii="Calibri" w:hAnsi="Calibri"/>
          <w:b w:val="0"/>
          <w:i w:val="0"/>
          <w:color w:val="212121"/>
          <w:sz w:val="22"/>
        </w:rPr>
        <w:t>i.e., Fissure-in-ano, Fissure in ano, Anal ulcer, 'painful tear near the back passage'; described clinically as acute or chronic, and primary (idiopathic) or secondary</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An anal fissure is a longitudinal tear or ulcer in the squamous-lined anoderm of the distal anal canal, extending from just below the dentate line towards the anal verge. It characteristically produces severe, sharp, tearing pain during and for minutes to hours after defecation, usually with a small amount of bright-red bleeding. Most primary fissures are perpetuated by hypertonia and spasm of the internal anal sphincter, which reduces anodermal blood flow — especially at the relatively ischaemic posterior midline — and impairs healing. A fissure is termed acute when it has been present for under six weeks and chronic when it persists beyond six weeks or shows secondary features such as a sentinel skin tag, a hypertrophied anal papilla or exposed internal-sphincter fibres.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Anal fissure is among the commonest benign anorectal conditions presenting to surgical and proctology outpatient clinics across India, where a heavy burden of chronic constipation and low-fibre, refined-cereal (polished rice and wheat) diets provides fertile ground. Community and district surveys estimate that functional constipation — the dominant precipitant of fissures — affects roughly one in six Indian adults (about 18.1% in a Kerala district survey and a substantial fraction of rural populations). A precise population prevalence of the fissure itself is not tracked in India; globally the estimated lifetime risk is around 7.8%, affecting young and middle-aged adults of both sexes at broadly similar rates.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Anal fissure is fundamentally a clinical diagnosis made from a characteristic history and gentle perianal inspection; invasive tests are reserved for atypical, recurrent or secondary disease. The diagnosis rests on a combination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typical history of severe, knife-like or tearing anal pain during defecation that persists for minutes to hours afterwards, often with bright-red blood streaking the stool or seen on the toilet paper;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gentle inspection with the buttocks parted revealing a longitudinal tear in the anoderm — in the large majority at the posterior midline, with anterior-midline fissures relatively more common in women and after childbirth;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features of chronicity when present — a sentinel skin tag distally, a hypertrophied anal papilla proximally, indurated margins, and visible transverse fibres of the internal anal sphincter at the fissure base;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digital rectal examination and anoscopy often deferred in the acute phase because pain and sphincter spasm make them intolerable, and performed once healing has begun or under topical anaesthetic to exclude other pathology and assess sphincter tone;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atypical features — lateral, multiple, painless, irregular, undermined or non-healing fissures — prompting evaluation for a secondary cause (Crohn's disease, tuberculosis, HIV, syphilis or anal carcinoma) with biopsy and targeted testing;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anal manometry and endoanal ultrasound reserved for atypical, recurrent or post-surgical cases, for example to document sphincter hypertonia or to assess incontinence risk before repeat surgery.</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Anal fissures are classified along several practical axes — duration, underlying cause, anatomical location and sphincter-pressure pattern — which together guide prognosis and treatment intensity:</w:t>
      </w:r>
    </w:p>
    <w:p>
      <w:pPr>
        <w:spacing w:before="0" w:after="80"/>
      </w:pPr>
      <w:r>
        <w:rPr>
          <w:rFonts w:ascii="Calibri" w:hAnsi="Calibri"/>
          <w:b w:val="0"/>
          <w:i w:val="0"/>
          <w:color w:val="212121"/>
          <w:sz w:val="21"/>
        </w:rPr>
        <w:t>(1) By duration: acute fissures (present under six weeks) appear as a superficial, fresh tear, whereas chronic fissures (present beyond six weeks or with secondary changes) show a sentinel tag, hypertrophied papilla, exposed internal-sphincter fibres and indurated edges; roughly 40% of acute fissures progress to chronicity.</w:t>
      </w:r>
    </w:p>
    <w:p>
      <w:pPr>
        <w:spacing w:before="0" w:after="80"/>
      </w:pPr>
      <w:r>
        <w:rPr>
          <w:rFonts w:ascii="Calibri" w:hAnsi="Calibri"/>
          <w:b w:val="0"/>
          <w:i w:val="0"/>
          <w:color w:val="212121"/>
          <w:sz w:val="21"/>
        </w:rPr>
        <w:t>(2) By aetiology: primary (idiopathic) fissures — the great majority — arise from internal-sphincter hypertonia and local trauma from a hard stool, while secondary fissures reflect an underlying disorder (Crohn's disease, ulcerative colitis, tuberculosis, HIV, syphilis, malignancy, or previous anal/obstetric trauma).</w:t>
      </w:r>
    </w:p>
    <w:p>
      <w:pPr>
        <w:spacing w:before="0" w:after="80"/>
      </w:pPr>
      <w:r>
        <w:rPr>
          <w:rFonts w:ascii="Calibri" w:hAnsi="Calibri"/>
          <w:b w:val="0"/>
          <w:i w:val="0"/>
          <w:color w:val="212121"/>
          <w:sz w:val="21"/>
        </w:rPr>
        <w:t>(3) By location: posterior-midline fissures predominate in both sexes; anterior-midline fissures are relatively more frequent in women, especially postpartum; and off-midline (lateral) or multiple fissures are atypical and should raise suspicion of a secondary cause.</w:t>
      </w:r>
    </w:p>
    <w:p>
      <w:pPr>
        <w:spacing w:before="0" w:after="80"/>
      </w:pPr>
      <w:r>
        <w:rPr>
          <w:rFonts w:ascii="Calibri" w:hAnsi="Calibri"/>
          <w:b w:val="0"/>
          <w:i w:val="0"/>
          <w:color w:val="212121"/>
          <w:sz w:val="21"/>
        </w:rPr>
        <w:t>(4) By sphincter-pressure pattern: most primary fissures are 'high-pressure' with a hypertonic internal anal sphincter, but 'low-pressure' fissures occur in postpartum women and the elderly (normal or low resting tone from an ischaemic mechanism) and respond poorly to sphincter-lowering therapy.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Constipation and hard stool: The dominant precipitant — passage of a large, hard faecal bolus tears the anoderm, and repetitive straining raises anal canal pressure.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Internal anal sphincter hypertonia: Elevated resting anal pressure and sphincter spasm reduce anodermal perfusion, producing a self-perpetuating ischaemic ulcer that will not heal until the pressure is relieved.</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Local ischaemia at the posterior midline: The posterior commissure receives less than half the blood flow of the rest of the anal canal, explaining why most primary fissures occur there and heal slowly.</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Diarrhoea and repeated defecation: Frequent, forceful or irritant stools also traumatise and inflame the delicate anoderm.</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Obstetric trauma and childbirth: Vaginal delivery predisposes to (typically anterior, low-pressure) postpartum fissures.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Secondary and systemic disease: Crohn's disease, ulcerative colitis, tuberculosis, HIV, syphilis, anal cancer and previous anal surgery cause atypical, off-midline or non-healing fissures.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Low-fibre diet and inadequate fluids: Reduced stool bulk and softness promote constipation, hard stools and recurrence of fissures.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and middle-aged adults</w:t>
            </w:r>
          </w:p>
        </w:tc>
        <w:tc>
          <w:tcPr>
            <w:tcW w:type="dxa" w:w="4276"/>
            <w:vAlign w:val="top"/>
          </w:tcPr>
          <w:p>
            <w:pPr>
              <w:spacing w:after="60" w:line="259" w:lineRule="auto"/>
            </w:pPr>
            <w:r>
              <w:rPr>
                <w:rFonts w:ascii="Calibri" w:hAnsi="Calibri"/>
                <w:b w:val="0"/>
                <w:i w:val="0"/>
                <w:color w:val="212121"/>
                <w:sz w:val="19"/>
              </w:rPr>
              <w:t>Anal fissure peaks in otherwise healthy young and middle-aged adults, in whom internal-sphincter hypertonia combines with constipation and hard stools to tear and then keep re-tearing the anoderm.</w:t>
            </w:r>
          </w:p>
          <w:p>
            <w:pPr>
              <w:spacing w:after="40" w:before="60" w:line="259" w:lineRule="auto"/>
            </w:pPr>
            <w:r>
              <w:rPr>
                <w:rFonts w:ascii="Calibri" w:hAnsi="Calibri"/>
                <w:b w:val="0"/>
                <w:i w:val="0"/>
                <w:color w:val="212121"/>
                <w:sz w:val="19"/>
              </w:rPr>
              <w:t>Fissures most commonly affect younger and middle-aged individuals, with an estimated lifetime risk of about 7.8% and similar incidence in both sexes.</w:t>
            </w:r>
          </w:p>
          <w:p>
            <w:pPr>
              <w:spacing w:after="40" w:line="252" w:lineRule="auto"/>
            </w:pPr>
            <w:hyperlink r:id="rId9">
              <w:r>
                <w:rPr>
                  <w:rFonts w:ascii="Calibri" w:hAnsi="Calibri" w:cs="Calibri"/>
                  <w:sz w:val="18"/>
                  <w:color w:val="1155CC"/>
                  <w:u w:val="single"/>
                </w:rPr>
                <w:t xml:space="preserve">ncbi.nlm.nih.gov/books/NBK526063 — Anal Fissure (StatPearls)</w:t>
              </w:r>
            </w:hyperlink>
          </w:p>
          <w:p>
            <w:pPr>
              <w:spacing w:before="60" w:after="40"/>
            </w:pPr>
            <w:r>
              <w:rPr>
                <w:rFonts w:ascii="Calibri" w:hAnsi="Calibri"/>
                <w:b w:val="0"/>
                <w:i w:val="0"/>
                <w:color w:val="5A5A5A"/>
                <w:sz w:val="18"/>
              </w:rPr>
              <w:t>#analfissure  #youngadults  #sphincterhypertonia  #constipation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Infants and toddlers</w:t>
            </w:r>
          </w:p>
        </w:tc>
        <w:tc>
          <w:tcPr>
            <w:tcW w:type="dxa" w:w="4276"/>
            <w:vAlign w:val="top"/>
          </w:tcPr>
          <w:p>
            <w:pPr>
              <w:spacing w:after="60" w:line="259" w:lineRule="auto"/>
            </w:pPr>
            <w:r>
              <w:rPr>
                <w:rFonts w:ascii="Calibri" w:hAnsi="Calibri"/>
                <w:b w:val="0"/>
                <w:i w:val="0"/>
                <w:color w:val="212121"/>
                <w:sz w:val="19"/>
              </w:rPr>
              <w:t>Anal fissure is a leading cause of painful, bright-red rectal bleeding in infancy and early childhood, triggered by hard stools and then perpetuated by a pain-withholding cycle in which the child holds stool to avoid pain, making it harder.</w:t>
            </w:r>
          </w:p>
          <w:p>
            <w:pPr>
              <w:spacing w:after="40" w:before="60" w:line="259" w:lineRule="auto"/>
            </w:pPr>
            <w:r>
              <w:rPr>
                <w:rFonts w:ascii="Calibri" w:hAnsi="Calibri"/>
                <w:b w:val="0"/>
                <w:i w:val="0"/>
                <w:color w:val="212121"/>
                <w:sz w:val="19"/>
              </w:rPr>
              <w:t>In young children, fissures are typically benign and self-limiting once constipation and stool-withholding are corrected with softeners and fibre.</w:t>
            </w:r>
          </w:p>
          <w:p>
            <w:pPr>
              <w:spacing w:after="40" w:line="252" w:lineRule="auto"/>
            </w:pPr>
            <w:hyperlink r:id="rId9">
              <w:r>
                <w:rPr>
                  <w:rFonts w:ascii="Calibri" w:hAnsi="Calibri" w:cs="Calibri"/>
                  <w:sz w:val="18"/>
                  <w:color w:val="1155CC"/>
                  <w:u w:val="single"/>
                </w:rPr>
                <w:t xml:space="preserve">ncbi.nlm.nih.gov/books/NBK526063 — Anal Fissure (StatPearls)</w:t>
              </w:r>
            </w:hyperlink>
          </w:p>
          <w:p>
            <w:pPr>
              <w:spacing w:before="60" w:after="40"/>
            </w:pPr>
            <w:r>
              <w:rPr>
                <w:rFonts w:ascii="Calibri" w:hAnsi="Calibri"/>
                <w:b w:val="0"/>
                <w:i w:val="0"/>
                <w:color w:val="5A5A5A"/>
                <w:sz w:val="18"/>
              </w:rPr>
              <w:t>#paediatric  #rectalbleeding  #stoolwithholding  #hardstool</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In older adults reduced anodermal perfusion, immobility and chronic constipation favour fissures that are often 'low-pressure' and ischaemic; they heal slowly and carry a higher risk of incontinence if sphincterotomy is used.</w:t>
            </w:r>
          </w:p>
          <w:p>
            <w:pPr>
              <w:spacing w:after="40" w:before="60" w:line="259" w:lineRule="auto"/>
            </w:pPr>
            <w:r>
              <w:rPr>
                <w:rFonts w:ascii="Calibri" w:hAnsi="Calibri"/>
                <w:b w:val="0"/>
                <w:i w:val="0"/>
                <w:color w:val="212121"/>
                <w:sz w:val="19"/>
              </w:rPr>
              <w:t>Elderly and postpartum fissures may occur with normal or low resting anal pressure rather than hypertonia, and respond poorly to sphincter-lowering therapy.</w:t>
            </w:r>
          </w:p>
          <w:p>
            <w:pPr>
              <w:spacing w:after="40" w:line="252" w:lineRule="auto"/>
            </w:pPr>
            <w:hyperlink r:id="rId9">
              <w:r>
                <w:rPr>
                  <w:rFonts w:ascii="Calibri" w:hAnsi="Calibri" w:cs="Calibri"/>
                  <w:sz w:val="18"/>
                  <w:color w:val="1155CC"/>
                  <w:u w:val="single"/>
                </w:rPr>
                <w:t xml:space="preserve">ncbi.nlm.nih.gov/books/NBK526063 — Anal Fissure (StatPearls)</w:t>
              </w:r>
            </w:hyperlink>
          </w:p>
          <w:p>
            <w:pPr>
              <w:spacing w:before="60" w:after="40"/>
            </w:pPr>
            <w:r>
              <w:rPr>
                <w:rFonts w:ascii="Calibri" w:hAnsi="Calibri"/>
                <w:b w:val="0"/>
                <w:i w:val="0"/>
                <w:color w:val="5A5A5A"/>
                <w:sz w:val="18"/>
              </w:rPr>
              <w:t>#elderly  #lowpressurefissure  #ischaemia  #slowhealing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Both sexes (posterior-midline predominant)</w:t>
            </w:r>
          </w:p>
        </w:tc>
        <w:tc>
          <w:tcPr>
            <w:tcW w:type="dxa" w:w="4276"/>
            <w:vAlign w:val="top"/>
          </w:tcPr>
          <w:p>
            <w:pPr>
              <w:spacing w:after="60" w:line="259" w:lineRule="auto"/>
            </w:pPr>
            <w:r>
              <w:rPr>
                <w:rFonts w:ascii="Calibri" w:hAnsi="Calibri"/>
                <w:b w:val="0"/>
                <w:i w:val="0"/>
                <w:color w:val="212121"/>
                <w:sz w:val="19"/>
              </w:rPr>
              <w:t>Primary fissures affect men and women at broadly similar rates and lie at the posterior midline in the great majority; anterior fissures are relatively more common in women.</w:t>
            </w:r>
          </w:p>
          <w:p>
            <w:pPr>
              <w:spacing w:after="40" w:before="60" w:line="259" w:lineRule="auto"/>
            </w:pPr>
            <w:r>
              <w:rPr>
                <w:rFonts w:ascii="Calibri" w:hAnsi="Calibri"/>
                <w:b w:val="0"/>
                <w:i w:val="0"/>
                <w:color w:val="212121"/>
                <w:sz w:val="19"/>
              </w:rPr>
              <w:t>Incidence is similar between the sexes; the posterior midline is by far the commonest site because it is the least perfused part of the anal canal.</w:t>
            </w:r>
          </w:p>
          <w:p>
            <w:pPr>
              <w:spacing w:after="40" w:line="252" w:lineRule="auto"/>
            </w:pPr>
            <w:hyperlink r:id="rId9">
              <w:r>
                <w:rPr>
                  <w:rFonts w:ascii="Calibri" w:hAnsi="Calibri" w:cs="Calibri"/>
                  <w:sz w:val="18"/>
                  <w:color w:val="1155CC"/>
                  <w:u w:val="single"/>
                </w:rPr>
                <w:t xml:space="preserve">ncbi.nlm.nih.gov/books/NBK526063 — Anal Fissure (StatPearls)</w:t>
              </w:r>
            </w:hyperlink>
          </w:p>
          <w:p>
            <w:pPr>
              <w:spacing w:before="60" w:after="40"/>
            </w:pPr>
            <w:r>
              <w:rPr>
                <w:rFonts w:ascii="Calibri" w:hAnsi="Calibri"/>
                <w:b w:val="0"/>
                <w:i w:val="0"/>
                <w:color w:val="5A5A5A"/>
                <w:sz w:val="18"/>
              </w:rPr>
              <w:t>#posteriormidline  #sexdistribution  #anoderm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Peripartum status</w:t>
            </w:r>
          </w:p>
        </w:tc>
        <w:tc>
          <w:tcPr>
            <w:tcW w:type="dxa" w:w="2160"/>
            <w:vAlign w:val="top"/>
          </w:tcPr>
          <w:p>
            <w:pPr>
              <w:spacing w:after="40" w:before="0" w:line="259" w:lineRule="auto"/>
            </w:pPr>
            <w:r>
              <w:rPr>
                <w:rFonts w:ascii="Calibri" w:hAnsi="Calibri"/>
                <w:b w:val="0"/>
                <w:i w:val="0"/>
                <w:color w:val="212121"/>
                <w:sz w:val="19"/>
              </w:rPr>
              <w:t>Pregnant and postpartum women</w:t>
            </w:r>
          </w:p>
        </w:tc>
        <w:tc>
          <w:tcPr>
            <w:tcW w:type="dxa" w:w="4276"/>
            <w:vAlign w:val="top"/>
          </w:tcPr>
          <w:p>
            <w:pPr>
              <w:spacing w:after="60" w:line="259" w:lineRule="auto"/>
            </w:pPr>
            <w:r>
              <w:rPr>
                <w:rFonts w:ascii="Calibri" w:hAnsi="Calibri"/>
                <w:b w:val="0"/>
                <w:i w:val="0"/>
                <w:color w:val="212121"/>
                <w:sz w:val="19"/>
              </w:rPr>
              <w:t>Pregnancy and vaginal delivery predispose to anal fissures — characteristically anterior and 'low-pressure' — through constipation, straining and perineal trauma; these fissures occur despite normal or low sphincter tone.</w:t>
            </w:r>
          </w:p>
          <w:p>
            <w:pPr>
              <w:spacing w:after="40" w:before="60" w:line="259" w:lineRule="auto"/>
            </w:pPr>
            <w:r>
              <w:rPr>
                <w:rFonts w:ascii="Calibri" w:hAnsi="Calibri"/>
                <w:b w:val="0"/>
                <w:i w:val="0"/>
                <w:color w:val="212121"/>
                <w:sz w:val="19"/>
              </w:rPr>
              <w:t>About 35.2% of women were found to have an anal lesion (fissure or thrombosed external haemorrhoid) after delivery, and postpartum fissures are associated with low, not high, anal canal pressures.</w:t>
            </w:r>
          </w:p>
          <w:p>
            <w:pPr>
              <w:spacing w:after="40" w:line="252" w:lineRule="auto"/>
            </w:pPr>
            <w:hyperlink r:id="rId10">
              <w:r>
                <w:rPr>
                  <w:rFonts w:ascii="Calibri" w:hAnsi="Calibri" w:cs="Calibri"/>
                  <w:sz w:val="18"/>
                  <w:color w:val="1155CC"/>
                  <w:u w:val="single"/>
                </w:rPr>
                <w:t xml:space="preserve">pubmed.ncbi.nlm.nih.gov/12004215 — anal fissure/haemorrhoids after delivery</w:t>
              </w:r>
            </w:hyperlink>
          </w:p>
          <w:p>
            <w:pPr>
              <w:spacing w:before="60" w:after="40"/>
            </w:pPr>
            <w:r>
              <w:rPr>
                <w:rFonts w:ascii="Calibri" w:hAnsi="Calibri"/>
                <w:b w:val="0"/>
                <w:i w:val="0"/>
                <w:color w:val="5A5A5A"/>
                <w:sz w:val="18"/>
              </w:rPr>
              <w:t>#postpartum  #anteriorfissure  #pregnancy  #lowpressure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 occupation</w:t>
            </w:r>
          </w:p>
        </w:tc>
        <w:tc>
          <w:tcPr>
            <w:tcW w:type="dxa" w:w="2160"/>
            <w:vAlign w:val="top"/>
          </w:tcPr>
          <w:p>
            <w:pPr>
              <w:spacing w:after="40" w:before="0" w:line="259" w:lineRule="auto"/>
            </w:pPr>
            <w:r>
              <w:rPr>
                <w:rFonts w:ascii="Calibri" w:hAnsi="Calibri"/>
                <w:b w:val="0"/>
                <w:i w:val="0"/>
                <w:color w:val="212121"/>
                <w:sz w:val="19"/>
              </w:rPr>
              <w:t>Sedentary urban office workers</w:t>
            </w:r>
          </w:p>
        </w:tc>
        <w:tc>
          <w:tcPr>
            <w:tcW w:type="dxa" w:w="4276"/>
            <w:vAlign w:val="top"/>
          </w:tcPr>
          <w:p>
            <w:pPr>
              <w:spacing w:after="60" w:line="259" w:lineRule="auto"/>
            </w:pPr>
            <w:r>
              <w:rPr>
                <w:rFonts w:ascii="Calibri" w:hAnsi="Calibri"/>
                <w:b w:val="0"/>
                <w:i w:val="0"/>
                <w:color w:val="212121"/>
                <w:sz w:val="19"/>
              </w:rPr>
              <w:t>Urban, deskbound workers combine low physical activity, low-fibre processed food, inadequate fluids and prolonged toilet sitting (often with a phone), all of which promote constipation, straining and fissure formation.</w:t>
            </w:r>
          </w:p>
          <w:p>
            <w:pPr>
              <w:spacing w:after="40" w:before="60" w:line="259" w:lineRule="auto"/>
            </w:pPr>
            <w:r>
              <w:rPr>
                <w:rFonts w:ascii="Calibri" w:hAnsi="Calibri"/>
                <w:b w:val="0"/>
                <w:i w:val="0"/>
                <w:color w:val="212121"/>
                <w:sz w:val="19"/>
              </w:rPr>
              <w:t>Functional constipation — the main driver of fissures — is common in Indian urban and rural surveys, reported at about 18.1% of adults in a Kerala district study.</w:t>
            </w:r>
          </w:p>
          <w:p>
            <w:pPr>
              <w:spacing w:after="40" w:line="252" w:lineRule="auto"/>
            </w:pPr>
            <w:hyperlink r:id="rId11">
              <w:r>
                <w:rPr>
                  <w:rFonts w:ascii="Calibri" w:hAnsi="Calibri" w:cs="Calibri"/>
                  <w:sz w:val="18"/>
                  <w:color w:val="1155CC"/>
                  <w:u w:val="single"/>
                </w:rPr>
                <w:t xml:space="preserve">pubmed.ncbi.nlm.nih.gov/41624679 — FGIDs incl. functional constipation, Kerala</w:t>
              </w:r>
            </w:hyperlink>
          </w:p>
          <w:p>
            <w:pPr>
              <w:spacing w:before="60" w:after="40"/>
            </w:pPr>
            <w:r>
              <w:rPr>
                <w:rFonts w:ascii="Calibri" w:hAnsi="Calibri"/>
                <w:b w:val="0"/>
                <w:i w:val="0"/>
                <w:color w:val="5A5A5A"/>
                <w:sz w:val="18"/>
              </w:rPr>
              <w:t>#sedentary  #urbanindia  #processedfood  #toilethabits</w:t>
            </w:r>
          </w:p>
        </w:tc>
      </w:tr>
      <w:tr>
        <w:trPr>
          <w:cantSplit/>
        </w:trPr>
        <w:tc>
          <w:tcPr>
            <w:tcW w:type="dxa" w:w="1512"/>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diet</w:t>
            </w:r>
          </w:p>
        </w:tc>
        <w:tc>
          <w:tcPr>
            <w:tcW w:type="dxa" w:w="2160"/>
            <w:vAlign w:val="top"/>
          </w:tcPr>
          <w:p>
            <w:pPr>
              <w:spacing w:after="40" w:before="0" w:line="259" w:lineRule="auto"/>
            </w:pPr>
            <w:r>
              <w:rPr>
                <w:rFonts w:ascii="Calibri" w:hAnsi="Calibri"/>
                <w:b w:val="0"/>
                <w:i w:val="0"/>
                <w:color w:val="212121"/>
                <w:sz w:val="19"/>
              </w:rPr>
              <w:t>Indian populations on low-fibre refined-cereal diets</w:t>
            </w:r>
          </w:p>
        </w:tc>
        <w:tc>
          <w:tcPr>
            <w:tcW w:type="dxa" w:w="4276"/>
            <w:vAlign w:val="top"/>
          </w:tcPr>
          <w:p>
            <w:pPr>
              <w:spacing w:after="60" w:line="259" w:lineRule="auto"/>
            </w:pPr>
            <w:r>
              <w:rPr>
                <w:rFonts w:ascii="Calibri" w:hAnsi="Calibri"/>
                <w:b w:val="0"/>
                <w:i w:val="0"/>
                <w:color w:val="212121"/>
                <w:sz w:val="19"/>
              </w:rPr>
              <w:t>Diets dominated by polished rice and refined wheat with little fruit, vegetable or millet fibre produce hard, low-bulk stools; combined with low fluid intake this drives the high constipation burden underlying most Indian fissures.</w:t>
            </w:r>
          </w:p>
          <w:p>
            <w:pPr>
              <w:spacing w:after="40" w:before="60" w:line="259" w:lineRule="auto"/>
            </w:pPr>
            <w:r>
              <w:rPr>
                <w:rFonts w:ascii="Calibri" w:hAnsi="Calibri"/>
                <w:b w:val="0"/>
                <w:i w:val="0"/>
                <w:color w:val="212121"/>
                <w:sz w:val="19"/>
              </w:rPr>
              <w:t>Chronic constipation and functional gastrointestinal disorders are highly prevalent in Indian community surveys, both urban and rural.</w:t>
            </w:r>
          </w:p>
          <w:p>
            <w:pPr>
              <w:spacing w:after="40" w:line="252" w:lineRule="auto"/>
            </w:pPr>
            <w:hyperlink r:id="rId12">
              <w:r>
                <w:rPr>
                  <w:rFonts w:ascii="Calibri" w:hAnsi="Calibri" w:cs="Calibri"/>
                  <w:sz w:val="18"/>
                  <w:color w:val="1155CC"/>
                  <w:u w:val="single"/>
                </w:rPr>
                <w:t xml:space="preserve">pubmed.ncbi.nlm.nih.gov/27262283 — FGIDs in a rural Indian population</w:t>
              </w:r>
            </w:hyperlink>
          </w:p>
          <w:p>
            <w:pPr>
              <w:spacing w:before="60" w:after="40"/>
            </w:pPr>
            <w:r>
              <w:rPr>
                <w:rFonts w:ascii="Calibri" w:hAnsi="Calibri"/>
                <w:b w:val="0"/>
                <w:i w:val="0"/>
                <w:color w:val="5A5A5A"/>
                <w:sz w:val="18"/>
              </w:rPr>
              <w:t>#india  #lowfibre  #refinedcereals  #constipation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behaviour</w:t>
            </w:r>
          </w:p>
        </w:tc>
        <w:tc>
          <w:tcPr>
            <w:tcW w:type="dxa" w:w="2160"/>
            <w:vAlign w:val="top"/>
          </w:tcPr>
          <w:p>
            <w:pPr>
              <w:spacing w:after="40" w:before="0" w:line="259" w:lineRule="auto"/>
            </w:pPr>
            <w:r>
              <w:rPr>
                <w:rFonts w:ascii="Calibri" w:hAnsi="Calibri"/>
                <w:b w:val="0"/>
                <w:i w:val="0"/>
                <w:color w:val="212121"/>
                <w:sz w:val="19"/>
              </w:rPr>
              <w:t>Physically inactive adults</w:t>
            </w:r>
          </w:p>
        </w:tc>
        <w:tc>
          <w:tcPr>
            <w:tcW w:type="dxa" w:w="4276"/>
            <w:vAlign w:val="top"/>
          </w:tcPr>
          <w:p>
            <w:pPr>
              <w:spacing w:after="60" w:line="259" w:lineRule="auto"/>
            </w:pPr>
            <w:r>
              <w:rPr>
                <w:rFonts w:ascii="Calibri" w:hAnsi="Calibri"/>
                <w:b w:val="0"/>
                <w:i w:val="0"/>
                <w:color w:val="212121"/>
                <w:sz w:val="19"/>
              </w:rPr>
              <w:t>Physical inactivity slows colonic transit and predisposes to constipation and harder stools; regular activity improves bowel regularity and lowers the risk of fissures and their recurrence.</w:t>
            </w:r>
          </w:p>
          <w:p>
            <w:pPr>
              <w:spacing w:after="40" w:before="60" w:line="259" w:lineRule="auto"/>
            </w:pPr>
            <w:r>
              <w:rPr>
                <w:rFonts w:ascii="Calibri" w:hAnsi="Calibri"/>
                <w:b w:val="0"/>
                <w:i w:val="0"/>
                <w:color w:val="212121"/>
                <w:sz w:val="19"/>
              </w:rPr>
              <w:t>Low physical activity is a recognised contributor to constipation, the principal precipitant of anal fissures.</w:t>
            </w:r>
          </w:p>
          <w:p>
            <w:pPr>
              <w:spacing w:before="60" w:after="40"/>
            </w:pPr>
            <w:r>
              <w:rPr>
                <w:rFonts w:ascii="Calibri" w:hAnsi="Calibri"/>
                <w:b w:val="0"/>
                <w:i w:val="0"/>
                <w:color w:val="5A5A5A"/>
                <w:sz w:val="18"/>
              </w:rPr>
              <w:t>#inactivity  #slowtransit  #constipation  #bowelregularity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Toilet habits / straining</w:t>
            </w:r>
          </w:p>
        </w:tc>
        <w:tc>
          <w:tcPr>
            <w:tcW w:type="dxa" w:w="2160"/>
            <w:vAlign w:val="top"/>
          </w:tcPr>
          <w:p>
            <w:pPr>
              <w:spacing w:after="40" w:before="0" w:line="259" w:lineRule="auto"/>
            </w:pPr>
            <w:r>
              <w:rPr>
                <w:rFonts w:ascii="Calibri" w:hAnsi="Calibri"/>
                <w:b w:val="0"/>
                <w:i w:val="0"/>
                <w:color w:val="212121"/>
                <w:sz w:val="19"/>
              </w:rPr>
              <w:t>Prolonged toilet sitting and straining</w:t>
            </w:r>
          </w:p>
        </w:tc>
        <w:tc>
          <w:tcPr>
            <w:tcW w:type="dxa" w:w="4276"/>
            <w:vAlign w:val="top"/>
          </w:tcPr>
          <w:p>
            <w:pPr>
              <w:spacing w:after="60" w:line="259" w:lineRule="auto"/>
            </w:pPr>
            <w:r>
              <w:rPr>
                <w:rFonts w:ascii="Calibri" w:hAnsi="Calibri"/>
                <w:b w:val="0"/>
                <w:i w:val="0"/>
                <w:color w:val="212121"/>
                <w:sz w:val="19"/>
              </w:rPr>
              <w:t>Prolonged sitting and straining on the toilet (frequently while using a phone) raises anal canal pressure and venous engorgement and mechanically traumatises the anoderm, precipitating and perpetuating fissures.</w:t>
            </w:r>
          </w:p>
          <w:p>
            <w:pPr>
              <w:spacing w:after="40" w:before="60" w:line="259" w:lineRule="auto"/>
            </w:pPr>
            <w:r>
              <w:rPr>
                <w:rFonts w:ascii="Calibri" w:hAnsi="Calibri"/>
                <w:b w:val="0"/>
                <w:i w:val="0"/>
                <w:color w:val="212121"/>
                <w:sz w:val="19"/>
              </w:rPr>
              <w:t>Straining and hard-stool trauma are the mechanical events that initiate most primary anal fissures.</w:t>
            </w:r>
          </w:p>
          <w:p>
            <w:pPr>
              <w:spacing w:after="40" w:line="252" w:lineRule="auto"/>
            </w:pPr>
            <w:hyperlink r:id="rId9">
              <w:r>
                <w:rPr>
                  <w:rFonts w:ascii="Calibri" w:hAnsi="Calibri" w:cs="Calibri"/>
                  <w:sz w:val="18"/>
                  <w:color w:val="1155CC"/>
                  <w:u w:val="single"/>
                </w:rPr>
                <w:t xml:space="preserve">ncbi.nlm.nih.gov/books/NBK526063 — Anal Fissure (StatPearls)</w:t>
              </w:r>
            </w:hyperlink>
          </w:p>
          <w:p>
            <w:pPr>
              <w:spacing w:before="60" w:after="40"/>
            </w:pPr>
            <w:r>
              <w:rPr>
                <w:rFonts w:ascii="Calibri" w:hAnsi="Calibri"/>
                <w:b w:val="0"/>
                <w:i w:val="0"/>
                <w:color w:val="5A5A5A"/>
                <w:sz w:val="18"/>
              </w:rPr>
              <w:t>#straining  #toilettime  #analpressure  #trauma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Anoreceptive intercourse</w:t>
            </w:r>
          </w:p>
        </w:tc>
        <w:tc>
          <w:tcPr>
            <w:tcW w:type="dxa" w:w="2160"/>
            <w:vAlign w:val="top"/>
          </w:tcPr>
          <w:p>
            <w:pPr>
              <w:spacing w:after="40" w:before="0" w:line="259" w:lineRule="auto"/>
            </w:pPr>
            <w:r>
              <w:rPr>
                <w:rFonts w:ascii="Calibri" w:hAnsi="Calibri"/>
                <w:b w:val="0"/>
                <w:i w:val="0"/>
                <w:color w:val="212121"/>
                <w:sz w:val="19"/>
              </w:rPr>
              <w:t>Individuals engaging in receptive anal intercourse</w:t>
            </w:r>
          </w:p>
        </w:tc>
        <w:tc>
          <w:tcPr>
            <w:tcW w:type="dxa" w:w="4276"/>
            <w:vAlign w:val="top"/>
          </w:tcPr>
          <w:p>
            <w:pPr>
              <w:spacing w:after="60" w:line="259" w:lineRule="auto"/>
            </w:pPr>
            <w:r>
              <w:rPr>
                <w:rFonts w:ascii="Calibri" w:hAnsi="Calibri"/>
                <w:b w:val="0"/>
                <w:i w:val="0"/>
                <w:color w:val="212121"/>
                <w:sz w:val="19"/>
              </w:rPr>
              <w:t>Receptive anal intercourse can cause direct anodermal trauma and is a recognised cause of fissures, including atypical or off-midline lesions that may also prompt screening for sexually transmitted infection.</w:t>
            </w:r>
          </w:p>
          <w:p>
            <w:pPr>
              <w:spacing w:after="40" w:before="60" w:line="259" w:lineRule="auto"/>
            </w:pPr>
            <w:r>
              <w:rPr>
                <w:rFonts w:ascii="Calibri" w:hAnsi="Calibri"/>
                <w:b w:val="0"/>
                <w:i w:val="0"/>
                <w:color w:val="212121"/>
                <w:sz w:val="19"/>
              </w:rPr>
              <w:t>Anoreceptive intercourse, along with hard stools, infectious proctitis and direct trauma, is listed among the causes of anal fissure.</w:t>
            </w:r>
          </w:p>
          <w:p>
            <w:pPr>
              <w:spacing w:after="40" w:line="252" w:lineRule="auto"/>
            </w:pPr>
            <w:hyperlink r:id="rId9">
              <w:r>
                <w:rPr>
                  <w:rFonts w:ascii="Calibri" w:hAnsi="Calibri" w:cs="Calibri"/>
                  <w:sz w:val="18"/>
                  <w:color w:val="1155CC"/>
                  <w:u w:val="single"/>
                </w:rPr>
                <w:t xml:space="preserve">ncbi.nlm.nih.gov/books/NBK526063 — Anal Fissure (StatPearls)</w:t>
              </w:r>
            </w:hyperlink>
          </w:p>
          <w:p>
            <w:pPr>
              <w:spacing w:before="60" w:after="40"/>
            </w:pPr>
            <w:r>
              <w:rPr>
                <w:rFonts w:ascii="Calibri" w:hAnsi="Calibri"/>
                <w:b w:val="0"/>
                <w:i w:val="0"/>
                <w:color w:val="5A5A5A"/>
                <w:sz w:val="18"/>
              </w:rPr>
              <w:t>#analtrauma  #atypicalfissure  #STIscreen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w:t>
            </w:r>
          </w:p>
        </w:tc>
        <w:tc>
          <w:tcPr>
            <w:tcW w:type="dxa" w:w="4276"/>
            <w:vAlign w:val="top"/>
          </w:tcPr>
          <w:p>
            <w:pPr>
              <w:spacing w:after="60" w:line="259" w:lineRule="auto"/>
            </w:pPr>
            <w:r>
              <w:rPr>
                <w:rFonts w:ascii="Calibri" w:hAnsi="Calibri"/>
                <w:b w:val="0"/>
                <w:i w:val="0"/>
                <w:color w:val="212121"/>
                <w:sz w:val="19"/>
              </w:rPr>
              <w:t>Tobacco smoking impairs anodermal microvascular perfusion and wound healing, which can delay closure of an already ischaemic fissure; it is a contributory rather than a primary cause.</w:t>
            </w:r>
          </w:p>
          <w:p>
            <w:pPr>
              <w:spacing w:after="40" w:before="60" w:line="259" w:lineRule="auto"/>
            </w:pPr>
            <w:r>
              <w:rPr>
                <w:rFonts w:ascii="Calibri" w:hAnsi="Calibri"/>
                <w:b w:val="0"/>
                <w:i w:val="0"/>
                <w:color w:val="212121"/>
                <w:sz w:val="19"/>
              </w:rPr>
              <w:t>Fissure healing depends on restoring anodermal blood flow, so any factor reducing perfusion, including smoking, is theoretically unfavourable.</w:t>
            </w:r>
          </w:p>
          <w:p>
            <w:pPr>
              <w:spacing w:before="60" w:after="40"/>
            </w:pPr>
            <w:r>
              <w:rPr>
                <w:rFonts w:ascii="Calibri" w:hAnsi="Calibri"/>
                <w:b w:val="0"/>
                <w:i w:val="0"/>
                <w:color w:val="5A5A5A"/>
                <w:sz w:val="18"/>
              </w:rPr>
              <w:t>#smoking  #microvascular  #woundhealing  #perfusion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fibre</w:t>
            </w:r>
          </w:p>
        </w:tc>
        <w:tc>
          <w:tcPr>
            <w:tcW w:type="dxa" w:w="2160"/>
            <w:vAlign w:val="top"/>
          </w:tcPr>
          <w:p>
            <w:pPr>
              <w:spacing w:after="40" w:before="0" w:line="259" w:lineRule="auto"/>
            </w:pPr>
            <w:r>
              <w:rPr>
                <w:rFonts w:ascii="Calibri" w:hAnsi="Calibri"/>
                <w:b w:val="0"/>
                <w:i w:val="0"/>
                <w:color w:val="212121"/>
                <w:sz w:val="19"/>
              </w:rPr>
              <w:t>Low-fibre, low-residue eaters</w:t>
            </w:r>
          </w:p>
        </w:tc>
        <w:tc>
          <w:tcPr>
            <w:tcW w:type="dxa" w:w="4276"/>
            <w:vAlign w:val="top"/>
          </w:tcPr>
          <w:p>
            <w:pPr>
              <w:spacing w:after="60" w:line="259" w:lineRule="auto"/>
            </w:pPr>
            <w:r>
              <w:rPr>
                <w:rFonts w:ascii="Calibri" w:hAnsi="Calibri"/>
                <w:b w:val="0"/>
                <w:i w:val="0"/>
                <w:color w:val="212121"/>
                <w:sz w:val="19"/>
              </w:rPr>
              <w:t>A persistently low-fibre diet yields hard, low-bulk stools that tear the anoderm and drive recurrence; adequate fibre and maintenance supplementation reduce both onset and relapse of fissures.</w:t>
            </w:r>
          </w:p>
          <w:p>
            <w:pPr>
              <w:spacing w:after="40" w:before="60" w:line="259" w:lineRule="auto"/>
            </w:pPr>
            <w:r>
              <w:rPr>
                <w:rFonts w:ascii="Calibri" w:hAnsi="Calibri"/>
                <w:b w:val="0"/>
                <w:i w:val="0"/>
                <w:color w:val="212121"/>
                <w:sz w:val="19"/>
              </w:rPr>
              <w:t>Low intake of dietary fibre is identified as a risk factor for chronic anal fissure, and maintenance fibre (e.g., psyllium) after healing reduces recurrence.</w:t>
            </w:r>
          </w:p>
          <w:p>
            <w:pPr>
              <w:spacing w:after="40" w:line="252" w:lineRule="auto"/>
            </w:pPr>
            <w:hyperlink r:id="rId13">
              <w:r>
                <w:rPr>
                  <w:rFonts w:ascii="Calibri" w:hAnsi="Calibri" w:cs="Calibri"/>
                  <w:sz w:val="18"/>
                  <w:color w:val="1155CC"/>
                  <w:u w:val="single"/>
                </w:rPr>
                <w:t xml:space="preserve">pubmed.ncbi.nlm.nih.gov/39256270 — tailored LIS for chronic anal fissure</w:t>
              </w:r>
            </w:hyperlink>
          </w:p>
          <w:p>
            <w:pPr>
              <w:spacing w:before="60" w:after="40"/>
            </w:pPr>
            <w:r>
              <w:rPr>
                <w:rFonts w:ascii="Calibri" w:hAnsi="Calibri"/>
                <w:b w:val="0"/>
                <w:i w:val="0"/>
                <w:color w:val="5A5A5A"/>
                <w:sz w:val="18"/>
              </w:rPr>
              <w:t>#lowfibre  #hardstool  #psyllium  #recurrence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Fluids / irritant foods</w:t>
            </w:r>
          </w:p>
        </w:tc>
        <w:tc>
          <w:tcPr>
            <w:tcW w:type="dxa" w:w="2160"/>
            <w:vAlign w:val="top"/>
          </w:tcPr>
          <w:p>
            <w:pPr>
              <w:spacing w:after="40" w:before="0" w:line="259" w:lineRule="auto"/>
            </w:pPr>
            <w:r>
              <w:rPr>
                <w:rFonts w:ascii="Calibri" w:hAnsi="Calibri"/>
                <w:b w:val="0"/>
                <w:i w:val="0"/>
                <w:color w:val="212121"/>
                <w:sz w:val="19"/>
              </w:rPr>
              <w:t>Low water intake and very spicy diets</w:t>
            </w:r>
          </w:p>
        </w:tc>
        <w:tc>
          <w:tcPr>
            <w:tcW w:type="dxa" w:w="4276"/>
            <w:vAlign w:val="top"/>
          </w:tcPr>
          <w:p>
            <w:pPr>
              <w:spacing w:after="60" w:line="259" w:lineRule="auto"/>
            </w:pPr>
            <w:r>
              <w:rPr>
                <w:rFonts w:ascii="Calibri" w:hAnsi="Calibri"/>
                <w:b w:val="0"/>
                <w:i w:val="0"/>
                <w:color w:val="212121"/>
                <w:sz w:val="19"/>
              </w:rPr>
              <w:t>Inadequate fluid intake hardens stool and promotes constipation, while very spicy foods commonly aggravate the burning pain of an existing fissure; both are relevant in Indian dietary patterns.</w:t>
            </w:r>
          </w:p>
          <w:p>
            <w:pPr>
              <w:spacing w:after="40" w:before="60" w:line="259" w:lineRule="auto"/>
            </w:pPr>
            <w:r>
              <w:rPr>
                <w:rFonts w:ascii="Calibri" w:hAnsi="Calibri"/>
                <w:b w:val="0"/>
                <w:i w:val="0"/>
                <w:color w:val="212121"/>
                <w:sz w:val="19"/>
              </w:rPr>
              <w:t>Adequate hydration is advised to minimise the risk of recurrent fissures.</w:t>
            </w:r>
          </w:p>
          <w:p>
            <w:pPr>
              <w:spacing w:after="40" w:line="252" w:lineRule="auto"/>
            </w:pPr>
            <w:hyperlink r:id="rId9">
              <w:r>
                <w:rPr>
                  <w:rFonts w:ascii="Calibri" w:hAnsi="Calibri" w:cs="Calibri"/>
                  <w:sz w:val="18"/>
                  <w:color w:val="1155CC"/>
                  <w:u w:val="single"/>
                </w:rPr>
                <w:t xml:space="preserve">ncbi.nlm.nih.gov/books/NBK526063 — Anal Fissure (StatPearls)</w:t>
              </w:r>
            </w:hyperlink>
          </w:p>
          <w:p>
            <w:pPr>
              <w:spacing w:before="60" w:after="40"/>
            </w:pPr>
            <w:r>
              <w:rPr>
                <w:rFonts w:ascii="Calibri" w:hAnsi="Calibri"/>
                <w:b w:val="0"/>
                <w:i w:val="0"/>
                <w:color w:val="5A5A5A"/>
                <w:sz w:val="18"/>
              </w:rPr>
              <w:t>#hydration  #spicyfood  #hardstool  #indiandiet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alcohol consumers</w:t>
            </w:r>
          </w:p>
        </w:tc>
        <w:tc>
          <w:tcPr>
            <w:tcW w:type="dxa" w:w="4276"/>
            <w:vAlign w:val="top"/>
          </w:tcPr>
          <w:p>
            <w:pPr>
              <w:spacing w:after="60" w:line="259" w:lineRule="auto"/>
            </w:pPr>
            <w:r>
              <w:rPr>
                <w:rFonts w:ascii="Calibri" w:hAnsi="Calibri"/>
                <w:b w:val="0"/>
                <w:i w:val="0"/>
                <w:color w:val="212121"/>
                <w:sz w:val="19"/>
              </w:rPr>
              <w:t>Heavy alcohol use contributes to dehydration and altered bowel habit (constipation or diarrhoea), indirectly promoting the hard or irritant stools that traumatise the anoderm.</w:t>
            </w:r>
          </w:p>
          <w:p>
            <w:pPr>
              <w:spacing w:after="40" w:before="60" w:line="259" w:lineRule="auto"/>
            </w:pPr>
            <w:r>
              <w:rPr>
                <w:rFonts w:ascii="Calibri" w:hAnsi="Calibri"/>
                <w:b w:val="0"/>
                <w:i w:val="0"/>
                <w:color w:val="212121"/>
                <w:sz w:val="19"/>
              </w:rPr>
              <w:t>Alcohol influences fissures indirectly through its effects on hydration and bowel habit rather than as a direct cause.</w:t>
            </w:r>
          </w:p>
          <w:p>
            <w:pPr>
              <w:spacing w:before="60" w:after="40"/>
            </w:pPr>
            <w:r>
              <w:rPr>
                <w:rFonts w:ascii="Calibri" w:hAnsi="Calibri"/>
                <w:b w:val="0"/>
                <w:i w:val="0"/>
                <w:color w:val="5A5A5A"/>
                <w:sz w:val="18"/>
              </w:rPr>
              <w:t>#alcohol  #dehydration  #bowelhabit</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Constitutional sphincter tone / family history</w:t>
            </w:r>
          </w:p>
        </w:tc>
        <w:tc>
          <w:tcPr>
            <w:tcW w:type="dxa" w:w="2160"/>
            <w:vAlign w:val="top"/>
          </w:tcPr>
          <w:p>
            <w:pPr>
              <w:spacing w:after="40" w:before="0" w:line="259" w:lineRule="auto"/>
            </w:pPr>
            <w:r>
              <w:rPr>
                <w:rFonts w:ascii="Calibri" w:hAnsi="Calibri"/>
                <w:b w:val="0"/>
                <w:i w:val="0"/>
                <w:color w:val="212121"/>
                <w:sz w:val="19"/>
              </w:rPr>
              <w:t>High resting anal tone or familial constipation</w:t>
            </w:r>
          </w:p>
        </w:tc>
        <w:tc>
          <w:tcPr>
            <w:tcW w:type="dxa" w:w="4276"/>
            <w:vAlign w:val="top"/>
          </w:tcPr>
          <w:p>
            <w:pPr>
              <w:spacing w:after="60" w:line="259" w:lineRule="auto"/>
            </w:pPr>
            <w:r>
              <w:rPr>
                <w:rFonts w:ascii="Calibri" w:hAnsi="Calibri"/>
                <w:b w:val="0"/>
                <w:i w:val="0"/>
                <w:color w:val="212121"/>
                <w:sz w:val="19"/>
              </w:rPr>
              <w:t>A constitutionally high resting internal-sphincter tone and a familial tendency to constipation predispose to fissures; the condition is not strongly heritable, but these shared traits cluster in families.</w:t>
            </w:r>
          </w:p>
          <w:p>
            <w:pPr>
              <w:spacing w:after="40" w:before="60" w:line="259" w:lineRule="auto"/>
            </w:pPr>
            <w:r>
              <w:rPr>
                <w:rFonts w:ascii="Calibri" w:hAnsi="Calibri"/>
                <w:b w:val="0"/>
                <w:i w:val="0"/>
                <w:color w:val="212121"/>
                <w:sz w:val="19"/>
              </w:rPr>
              <w:t>Sustained internal-sphincter hypertonia with reduced anodermal perfusion is the core mechanism of primary fissure, and resting pressure varies constitutionally between individuals.</w:t>
            </w:r>
          </w:p>
          <w:p>
            <w:pPr>
              <w:spacing w:after="40" w:line="252" w:lineRule="auto"/>
            </w:pPr>
            <w:hyperlink r:id="rId9">
              <w:r>
                <w:rPr>
                  <w:rFonts w:ascii="Calibri" w:hAnsi="Calibri" w:cs="Calibri"/>
                  <w:sz w:val="18"/>
                  <w:color w:val="1155CC"/>
                  <w:u w:val="single"/>
                </w:rPr>
                <w:t xml:space="preserve">ncbi.nlm.nih.gov/books/NBK526063 — Anal Fissure (StatPearls)</w:t>
              </w:r>
            </w:hyperlink>
          </w:p>
          <w:p>
            <w:pPr>
              <w:spacing w:before="60" w:after="40"/>
            </w:pPr>
            <w:r>
              <w:rPr>
                <w:rFonts w:ascii="Calibri" w:hAnsi="Calibri"/>
                <w:b w:val="0"/>
                <w:i w:val="0"/>
                <w:color w:val="5A5A5A"/>
                <w:sz w:val="18"/>
              </w:rPr>
              <w:t>#sphinctertone  #familialconstipation  #hypertonia</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Chronic / functional constipation</w:t>
            </w:r>
          </w:p>
        </w:tc>
        <w:tc>
          <w:tcPr>
            <w:tcW w:type="dxa" w:w="2160"/>
            <w:vAlign w:val="top"/>
          </w:tcPr>
          <w:p>
            <w:pPr>
              <w:spacing w:after="40" w:before="0" w:line="259" w:lineRule="auto"/>
            </w:pPr>
            <w:r>
              <w:rPr>
                <w:rFonts w:ascii="Calibri" w:hAnsi="Calibri"/>
                <w:b w:val="0"/>
                <w:i w:val="0"/>
                <w:color w:val="212121"/>
                <w:sz w:val="19"/>
              </w:rPr>
              <w:t>Patients with chronic constipation</w:t>
            </w:r>
          </w:p>
        </w:tc>
        <w:tc>
          <w:tcPr>
            <w:tcW w:type="dxa" w:w="4276"/>
            <w:vAlign w:val="top"/>
          </w:tcPr>
          <w:p>
            <w:pPr>
              <w:spacing w:after="60" w:line="259" w:lineRule="auto"/>
            </w:pPr>
            <w:r>
              <w:rPr>
                <w:rFonts w:ascii="Calibri" w:hAnsi="Calibri"/>
                <w:b w:val="0"/>
                <w:i w:val="0"/>
                <w:color w:val="212121"/>
                <w:sz w:val="19"/>
              </w:rPr>
              <w:t>Chronic and functional constipation is the single strongest associated condition: hard stools and straining both initiate fissures and, once a fissure is painful, withholding worsens constipation in a vicious cycle.</w:t>
            </w:r>
          </w:p>
          <w:p>
            <w:pPr>
              <w:spacing w:after="40" w:before="60" w:line="259" w:lineRule="auto"/>
            </w:pPr>
            <w:r>
              <w:rPr>
                <w:rFonts w:ascii="Calibri" w:hAnsi="Calibri"/>
                <w:b w:val="0"/>
                <w:i w:val="0"/>
                <w:color w:val="212121"/>
                <w:sz w:val="19"/>
              </w:rPr>
              <w:t>Functional constipation affects roughly one in six Indian adults (about 18.1% in a Kerala district survey), underpinning most fissures.</w:t>
            </w:r>
          </w:p>
          <w:p>
            <w:pPr>
              <w:spacing w:after="40" w:line="252" w:lineRule="auto"/>
            </w:pPr>
            <w:hyperlink r:id="rId11">
              <w:r>
                <w:rPr>
                  <w:rFonts w:ascii="Calibri" w:hAnsi="Calibri" w:cs="Calibri"/>
                  <w:sz w:val="18"/>
                  <w:color w:val="1155CC"/>
                  <w:u w:val="single"/>
                </w:rPr>
                <w:t xml:space="preserve">pubmed.ncbi.nlm.nih.gov/41624679 — functional constipation prevalence, Kerala</w:t>
              </w:r>
            </w:hyperlink>
          </w:p>
          <w:p>
            <w:pPr>
              <w:spacing w:before="60" w:after="40"/>
            </w:pPr>
            <w:r>
              <w:rPr>
                <w:rFonts w:ascii="Calibri" w:hAnsi="Calibri"/>
                <w:b w:val="0"/>
                <w:i w:val="0"/>
                <w:color w:val="5A5A5A"/>
                <w:sz w:val="18"/>
              </w:rPr>
              <w:t>#constipation  #straining  #viciouscycle  #functionalGI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Inflammatory bowel disease</w:t>
            </w:r>
          </w:p>
        </w:tc>
        <w:tc>
          <w:tcPr>
            <w:tcW w:type="dxa" w:w="2160"/>
            <w:vAlign w:val="top"/>
          </w:tcPr>
          <w:p>
            <w:pPr>
              <w:spacing w:after="40" w:before="0" w:line="259" w:lineRule="auto"/>
            </w:pPr>
            <w:r>
              <w:rPr>
                <w:rFonts w:ascii="Calibri" w:hAnsi="Calibri"/>
                <w:b w:val="0"/>
                <w:i w:val="0"/>
                <w:color w:val="212121"/>
                <w:sz w:val="19"/>
              </w:rPr>
              <w:t>Crohn's disease patients</w:t>
            </w:r>
          </w:p>
        </w:tc>
        <w:tc>
          <w:tcPr>
            <w:tcW w:type="dxa" w:w="4276"/>
            <w:vAlign w:val="top"/>
          </w:tcPr>
          <w:p>
            <w:pPr>
              <w:spacing w:after="60" w:line="259" w:lineRule="auto"/>
            </w:pPr>
            <w:r>
              <w:rPr>
                <w:rFonts w:ascii="Calibri" w:hAnsi="Calibri"/>
                <w:b w:val="0"/>
                <w:i w:val="0"/>
                <w:color w:val="212121"/>
                <w:sz w:val="19"/>
              </w:rPr>
              <w:t>Crohn's disease (and, less often, ulcerative colitis) causes secondary anal fissures that are frequently atypical — lateral, multiple, deep or painless — and demand a different, conservative approach because sphincterotomy risks poor healing and incontinence.</w:t>
            </w:r>
          </w:p>
          <w:p>
            <w:pPr>
              <w:spacing w:after="40" w:before="60" w:line="259" w:lineRule="auto"/>
            </w:pPr>
            <w:r>
              <w:rPr>
                <w:rFonts w:ascii="Calibri" w:hAnsi="Calibri"/>
                <w:b w:val="0"/>
                <w:i w:val="0"/>
                <w:color w:val="212121"/>
                <w:sz w:val="19"/>
              </w:rPr>
              <w:t>Anal lesions were far more frequent in Crohn's colitis than in small-bowel Crohn's disease (52% vs 14%), reflecting the strong link between colonic Crohn's and perianal disease.</w:t>
            </w:r>
          </w:p>
          <w:p>
            <w:pPr>
              <w:spacing w:after="40" w:line="252" w:lineRule="auto"/>
            </w:pPr>
            <w:hyperlink r:id="rId14">
              <w:r>
                <w:rPr>
                  <w:rFonts w:ascii="Calibri" w:hAnsi="Calibri" w:cs="Calibri"/>
                  <w:sz w:val="18"/>
                  <w:color w:val="1155CC"/>
                  <w:u w:val="single"/>
                </w:rPr>
                <w:t xml:space="preserve">pubmed.ncbi.nlm.nih.gov/7472097 — anal complications in Crohn's disease</w:t>
              </w:r>
            </w:hyperlink>
          </w:p>
          <w:p>
            <w:pPr>
              <w:spacing w:before="60" w:after="40"/>
            </w:pPr>
            <w:r>
              <w:rPr>
                <w:rFonts w:ascii="Calibri" w:hAnsi="Calibri"/>
                <w:b w:val="0"/>
                <w:i w:val="0"/>
                <w:color w:val="5A5A5A"/>
                <w:sz w:val="18"/>
              </w:rPr>
              <w:t>#Crohns  #IBD  #secondaryfissure  #atypical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Haemorrhoids</w:t>
            </w:r>
          </w:p>
        </w:tc>
        <w:tc>
          <w:tcPr>
            <w:tcW w:type="dxa" w:w="2160"/>
            <w:vAlign w:val="top"/>
          </w:tcPr>
          <w:p>
            <w:pPr>
              <w:spacing w:after="40" w:before="0" w:line="259" w:lineRule="auto"/>
            </w:pPr>
            <w:r>
              <w:rPr>
                <w:rFonts w:ascii="Calibri" w:hAnsi="Calibri"/>
                <w:b w:val="0"/>
                <w:i w:val="0"/>
                <w:color w:val="212121"/>
                <w:sz w:val="19"/>
              </w:rPr>
              <w:t>Patients with haemorrhoids</w:t>
            </w:r>
          </w:p>
        </w:tc>
        <w:tc>
          <w:tcPr>
            <w:tcW w:type="dxa" w:w="4276"/>
            <w:vAlign w:val="top"/>
          </w:tcPr>
          <w:p>
            <w:pPr>
              <w:spacing w:after="60" w:line="259" w:lineRule="auto"/>
            </w:pPr>
            <w:r>
              <w:rPr>
                <w:rFonts w:ascii="Calibri" w:hAnsi="Calibri"/>
                <w:b w:val="0"/>
                <w:i w:val="0"/>
                <w:color w:val="212121"/>
                <w:sz w:val="19"/>
              </w:rPr>
              <w:t>Haemorrhoids and anal fissures share the same drivers — constipation, straining and hard stools — and frequently coexist, so both should be sought together and managed with the same stool-softening and fibre strategy.</w:t>
            </w:r>
          </w:p>
          <w:p>
            <w:pPr>
              <w:spacing w:after="40" w:before="60" w:line="259" w:lineRule="auto"/>
            </w:pPr>
            <w:r>
              <w:rPr>
                <w:rFonts w:ascii="Calibri" w:hAnsi="Calibri"/>
                <w:b w:val="0"/>
                <w:i w:val="0"/>
                <w:color w:val="212121"/>
                <w:sz w:val="19"/>
              </w:rPr>
              <w:t>Fissures, haemorrhoids and other benign anorectal disorders commonly coexist and share evacuation-related mechanisms.</w:t>
            </w:r>
          </w:p>
          <w:p>
            <w:pPr>
              <w:spacing w:after="40" w:line="252" w:lineRule="auto"/>
            </w:pPr>
            <w:hyperlink r:id="rId15">
              <w:r>
                <w:rPr>
                  <w:rFonts w:ascii="Calibri" w:hAnsi="Calibri" w:cs="Calibri"/>
                  <w:sz w:val="18"/>
                  <w:color w:val="1155CC"/>
                  <w:u w:val="single"/>
                </w:rPr>
                <w:t xml:space="preserve">pubmed.ncbi.nlm.nih.gov/30707420 — evacuation disorders in fissure/haemorrhoids (India)</w:t>
              </w:r>
            </w:hyperlink>
          </w:p>
          <w:p>
            <w:pPr>
              <w:spacing w:before="60" w:after="40"/>
            </w:pPr>
            <w:r>
              <w:rPr>
                <w:rFonts w:ascii="Calibri" w:hAnsi="Calibri"/>
                <w:b w:val="0"/>
                <w:i w:val="0"/>
                <w:color w:val="5A5A5A"/>
                <w:sz w:val="18"/>
              </w:rPr>
              <w:t>#haemorrhoids  #coexisting  #straining  #anorectal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 / infection</w:t>
            </w:r>
          </w:p>
        </w:tc>
        <w:tc>
          <w:tcPr>
            <w:tcW w:type="dxa" w:w="2160"/>
            <w:vAlign w:val="top"/>
          </w:tcPr>
          <w:p>
            <w:pPr>
              <w:spacing w:after="40" w:before="0" w:line="259" w:lineRule="auto"/>
            </w:pPr>
            <w:r>
              <w:rPr>
                <w:rFonts w:ascii="Calibri" w:hAnsi="Calibri"/>
                <w:b w:val="0"/>
                <w:i w:val="0"/>
                <w:color w:val="212121"/>
                <w:sz w:val="19"/>
              </w:rPr>
              <w:t>HIV, immunocompromised and anorectal tuberculosis</w:t>
            </w:r>
          </w:p>
        </w:tc>
        <w:tc>
          <w:tcPr>
            <w:tcW w:type="dxa" w:w="4276"/>
            <w:vAlign w:val="top"/>
          </w:tcPr>
          <w:p>
            <w:pPr>
              <w:spacing w:after="60" w:line="259" w:lineRule="auto"/>
            </w:pPr>
            <w:r>
              <w:rPr>
                <w:rFonts w:ascii="Calibri" w:hAnsi="Calibri"/>
                <w:b w:val="0"/>
                <w:i w:val="0"/>
                <w:color w:val="212121"/>
                <w:sz w:val="19"/>
              </w:rPr>
              <w:t>Immunosuppression (notably HIV) and anorectal tuberculosis — an important differential in India — cause atypical, off-midline and non-healing fissures that require biopsy and specific therapy rather than routine fissure treatment.</w:t>
            </w:r>
          </w:p>
          <w:p>
            <w:pPr>
              <w:spacing w:after="40" w:before="60" w:line="259" w:lineRule="auto"/>
            </w:pPr>
            <w:r>
              <w:rPr>
                <w:rFonts w:ascii="Calibri" w:hAnsi="Calibri"/>
                <w:b w:val="0"/>
                <w:i w:val="0"/>
                <w:color w:val="212121"/>
                <w:sz w:val="19"/>
              </w:rPr>
              <w:t>Tuberculosis, HIV, sexually transmitted infections and anal cancer are recognised causes of secondary, atypical fissures.</w:t>
            </w:r>
          </w:p>
          <w:p>
            <w:pPr>
              <w:spacing w:after="40" w:line="252" w:lineRule="auto"/>
            </w:pPr>
            <w:hyperlink r:id="rId9">
              <w:r>
                <w:rPr>
                  <w:rFonts w:ascii="Calibri" w:hAnsi="Calibri" w:cs="Calibri"/>
                  <w:sz w:val="18"/>
                  <w:color w:val="1155CC"/>
                  <w:u w:val="single"/>
                </w:rPr>
                <w:t xml:space="preserve">ncbi.nlm.nih.gov/books/NBK526063 — Anal Fissure (StatPearls)</w:t>
              </w:r>
            </w:hyperlink>
          </w:p>
          <w:p>
            <w:pPr>
              <w:spacing w:before="60" w:after="40"/>
            </w:pPr>
            <w:r>
              <w:rPr>
                <w:rFonts w:ascii="Calibri" w:hAnsi="Calibri"/>
                <w:b w:val="0"/>
                <w:i w:val="0"/>
                <w:color w:val="5A5A5A"/>
                <w:sz w:val="18"/>
              </w:rPr>
              <w:t>#HIV  #tuberculosis  #nonhealing  #biopsy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inactivity slows colonic transit and promotes constipation and harder stools, the main precipitant of fissures; regular activity supports bowel regularity and reduces onset and recurrence.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 low-fibre, low-residue diet produces hard, low-bulk stools that tear the anoderm and drive recurrence; adequate fibre and maintenance psyllium after healing markedly reduce relapse, making diet the dominant modifiable factor.</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sleep and disrupted routines are loosely linked to altered bowel habit, but there is no strong direct evidence connecting sleep to fissure onset or healing.</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impairs anodermal microvascular perfusion and wound healing and may delay closure of an ischaemic fissure, but it is a contributory rather than a primary factor.</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alcohol intake influences fissures indirectly through dehydration and altered bowel habit rather than as a direct cause.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Fear of painful defecation drives stool-withholding and worsening constipation, and stress heightens sphincter spasm; this gut-brain loop perpetuates the fissure, and reassurance improves adherence to conservative care.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Adequate hydration softens stool and, combined with fibre, is advised to reduce the risk of recurrent fissures; dehydration hardens stool and promotes tearing.</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only a minor and inconsistent effect on bowel habit; in excess it may contribute to dehydration or loose stools but has no established direct role in fissures.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Gentle perianal hygiene and warm sitz baths relax the sphincter, relieve pain and help prevent secondary infection, whereas harsh wiping, soaps or irritants aggravate the fissure.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Hard stool and constipation, acute diarrhoea, childbirth, prolonged straining and anal instrumentation or intercourse are the events that precipitate fissures and provoke flares of pain and bleeding.</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Prolonged sitting and straining on the toilet raise anal canal pressure; unhurried, well-supported defecation posture (feet raised, no straining) reduces mechanical trauma to the anoderm.</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fibre intake (g/day)</w:t>
            </w:r>
          </w:p>
        </w:tc>
        <w:tc>
          <w:tcPr>
            <w:tcW w:type="dxa" w:w="1655"/>
            <w:vAlign w:val="top"/>
          </w:tcPr>
          <w:p>
            <w:pPr>
              <w:spacing w:after="40" w:before="0" w:line="259" w:lineRule="auto"/>
            </w:pPr>
            <w:r>
              <w:rPr>
                <w:rFonts w:ascii="Calibri" w:hAnsi="Calibri"/>
                <w:b w:val="0"/>
                <w:i w:val="0"/>
                <w:color w:val="212121"/>
                <w:sz w:val="19"/>
              </w:rPr>
              <w:t>Adults with or at risk of fissure</w:t>
            </w:r>
          </w:p>
        </w:tc>
        <w:tc>
          <w:tcPr>
            <w:tcW w:type="dxa" w:w="1512"/>
            <w:vAlign w:val="top"/>
          </w:tcPr>
          <w:p>
            <w:pPr>
              <w:spacing w:after="40" w:before="0" w:line="259" w:lineRule="auto"/>
            </w:pPr>
            <w:r>
              <w:rPr>
                <w:rFonts w:ascii="Calibri" w:hAnsi="Calibri"/>
                <w:b w:val="0"/>
                <w:i w:val="0"/>
                <w:color w:val="212121"/>
                <w:sz w:val="19"/>
              </w:rPr>
              <w:t>25-35 g/day from whole grains, millets, fruit, vegetables, pulses</w:t>
            </w:r>
          </w:p>
        </w:tc>
        <w:tc>
          <w:tcPr>
            <w:tcW w:type="dxa" w:w="1512"/>
            <w:vAlign w:val="top"/>
          </w:tcPr>
          <w:p>
            <w:pPr>
              <w:spacing w:after="40" w:before="0" w:line="259" w:lineRule="auto"/>
            </w:pPr>
            <w:r>
              <w:rPr>
                <w:rFonts w:ascii="Calibri" w:hAnsi="Calibri"/>
                <w:b w:val="0"/>
                <w:i w:val="0"/>
                <w:color w:val="212121"/>
                <w:sz w:val="19"/>
              </w:rPr>
              <w:t>Persistently &lt; 20 g/day</w:t>
            </w:r>
          </w:p>
        </w:tc>
        <w:tc>
          <w:tcPr>
            <w:tcW w:type="dxa" w:w="1468"/>
            <w:vAlign w:val="top"/>
          </w:tcPr>
          <w:p>
            <w:pPr>
              <w:spacing w:after="60" w:line="259" w:lineRule="auto"/>
            </w:pPr>
            <w:r>
              <w:rPr>
                <w:rFonts w:ascii="Calibri" w:hAnsi="Calibri"/>
                <w:b w:val="0"/>
                <w:i w:val="0"/>
                <w:color w:val="212121"/>
                <w:sz w:val="19"/>
              </w:rPr>
              <w:t>Low fibre yields hard stools that tear the anoderm; maintenance fibre reduces recurrence</w:t>
            </w:r>
          </w:p>
          <w:p>
            <w:pPr>
              <w:spacing w:after="40" w:line="252" w:lineRule="auto"/>
            </w:pPr>
            <w:hyperlink r:id="rId13">
              <w:r>
                <w:rPr>
                  <w:rFonts w:ascii="Calibri" w:hAnsi="Calibri" w:cs="Calibri"/>
                  <w:sz w:val="18"/>
                  <w:color w:val="1155CC"/>
                  <w:u w:val="single"/>
                </w:rPr>
                <w:t xml:space="preserve">https://pubmed.ncbi.nlm.nih.gov/39256270/</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Fluid intake (litres/day)</w:t>
            </w:r>
          </w:p>
        </w:tc>
        <w:tc>
          <w:tcPr>
            <w:tcW w:type="dxa" w:w="1655"/>
            <w:vAlign w:val="top"/>
          </w:tcPr>
          <w:p>
            <w:pPr>
              <w:spacing w:after="40" w:before="0" w:line="259" w:lineRule="auto"/>
            </w:pPr>
            <w:r>
              <w:rPr>
                <w:rFonts w:ascii="Calibri" w:hAnsi="Calibri"/>
                <w:b w:val="0"/>
                <w:i w:val="0"/>
                <w:color w:val="212121"/>
                <w:sz w:val="19"/>
              </w:rPr>
              <w:t>Adults, constipation-prone</w:t>
            </w:r>
          </w:p>
        </w:tc>
        <w:tc>
          <w:tcPr>
            <w:tcW w:type="dxa" w:w="1512"/>
            <w:vAlign w:val="top"/>
          </w:tcPr>
          <w:p>
            <w:pPr>
              <w:spacing w:after="40" w:before="0" w:line="259" w:lineRule="auto"/>
            </w:pPr>
            <w:r>
              <w:rPr>
                <w:rFonts w:ascii="Calibri" w:hAnsi="Calibri"/>
                <w:b w:val="0"/>
                <w:i w:val="0"/>
                <w:color w:val="212121"/>
                <w:sz w:val="19"/>
              </w:rPr>
              <w:t>~2-2.5 L/day (about 8-10 glasses)</w:t>
            </w:r>
          </w:p>
        </w:tc>
        <w:tc>
          <w:tcPr>
            <w:tcW w:type="dxa" w:w="1512"/>
            <w:vAlign w:val="top"/>
          </w:tcPr>
          <w:p>
            <w:pPr>
              <w:spacing w:after="40" w:before="0" w:line="259" w:lineRule="auto"/>
            </w:pPr>
            <w:r>
              <w:rPr>
                <w:rFonts w:ascii="Calibri" w:hAnsi="Calibri"/>
                <w:b w:val="0"/>
                <w:i w:val="0"/>
                <w:color w:val="212121"/>
                <w:sz w:val="19"/>
              </w:rPr>
              <w:t>&lt; 1.5 L/day</w:t>
            </w:r>
          </w:p>
        </w:tc>
        <w:tc>
          <w:tcPr>
            <w:tcW w:type="dxa" w:w="1468"/>
            <w:vAlign w:val="top"/>
          </w:tcPr>
          <w:p>
            <w:pPr>
              <w:spacing w:after="60" w:line="259" w:lineRule="auto"/>
            </w:pPr>
            <w:r>
              <w:rPr>
                <w:rFonts w:ascii="Calibri" w:hAnsi="Calibri"/>
                <w:b w:val="0"/>
                <w:i w:val="0"/>
                <w:color w:val="212121"/>
                <w:sz w:val="19"/>
              </w:rPr>
              <w:t>Adequate hydration softens stool and helps prevent recurrent fissures</w:t>
            </w:r>
          </w:p>
          <w:p>
            <w:pPr>
              <w:spacing w:after="40" w:line="252" w:lineRule="auto"/>
            </w:pPr>
            <w:hyperlink r:id="rId9">
              <w:r>
                <w:rPr>
                  <w:rFonts w:ascii="Calibri" w:hAnsi="Calibri" w:cs="Calibri"/>
                  <w:sz w:val="18"/>
                  <w:color w:val="1155CC"/>
                  <w:u w:val="single"/>
                </w:rPr>
                <w:t xml:space="preserve">https://www.ncbi.nlm.nih.gov/books/NBK526063/</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Stool consistency (Bristol Stool Scale)</w:t>
            </w:r>
          </w:p>
        </w:tc>
        <w:tc>
          <w:tcPr>
            <w:tcW w:type="dxa" w:w="1655"/>
            <w:vAlign w:val="top"/>
          </w:tcPr>
          <w:p>
            <w:pPr>
              <w:spacing w:after="40" w:before="0" w:line="259" w:lineRule="auto"/>
            </w:pPr>
            <w:r>
              <w:rPr>
                <w:rFonts w:ascii="Calibri" w:hAnsi="Calibri"/>
                <w:b w:val="0"/>
                <w:i w:val="0"/>
                <w:color w:val="212121"/>
                <w:sz w:val="19"/>
              </w:rPr>
              <w:t>Fissure patients</w:t>
            </w:r>
          </w:p>
        </w:tc>
        <w:tc>
          <w:tcPr>
            <w:tcW w:type="dxa" w:w="1512"/>
            <w:vAlign w:val="top"/>
          </w:tcPr>
          <w:p>
            <w:pPr>
              <w:spacing w:after="40" w:before="0" w:line="259" w:lineRule="auto"/>
            </w:pPr>
            <w:r>
              <w:rPr>
                <w:rFonts w:ascii="Calibri" w:hAnsi="Calibri"/>
                <w:b w:val="0"/>
                <w:i w:val="0"/>
                <w:color w:val="212121"/>
                <w:sz w:val="19"/>
              </w:rPr>
              <w:t>Type 3-4 (soft, formed, easy to pass)</w:t>
            </w:r>
          </w:p>
        </w:tc>
        <w:tc>
          <w:tcPr>
            <w:tcW w:type="dxa" w:w="1512"/>
            <w:vAlign w:val="top"/>
          </w:tcPr>
          <w:p>
            <w:pPr>
              <w:spacing w:after="40" w:before="0" w:line="259" w:lineRule="auto"/>
            </w:pPr>
            <w:r>
              <w:rPr>
                <w:rFonts w:ascii="Calibri" w:hAnsi="Calibri"/>
                <w:b w:val="0"/>
                <w:i w:val="0"/>
                <w:color w:val="212121"/>
                <w:sz w:val="19"/>
              </w:rPr>
              <w:t>Type 1-2 (hard, lumpy) or Type 6-7 (loose)</w:t>
            </w:r>
          </w:p>
        </w:tc>
        <w:tc>
          <w:tcPr>
            <w:tcW w:type="dxa" w:w="1468"/>
            <w:vAlign w:val="top"/>
          </w:tcPr>
          <w:p>
            <w:pPr>
              <w:spacing w:after="40" w:before="0" w:line="259" w:lineRule="auto"/>
            </w:pPr>
            <w:r>
              <w:rPr>
                <w:rFonts w:ascii="Calibri" w:hAnsi="Calibri"/>
                <w:b w:val="0"/>
                <w:i w:val="0"/>
                <w:color w:val="212121"/>
                <w:sz w:val="19"/>
              </w:rPr>
              <w:t>Hard lumpy stools tear the anoderm; loose acidic stools also irritate it</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Bowel-movement frequency</w:t>
            </w:r>
          </w:p>
        </w:tc>
        <w:tc>
          <w:tcPr>
            <w:tcW w:type="dxa" w:w="1655"/>
            <w:vAlign w:val="top"/>
          </w:tcPr>
          <w:p>
            <w:pPr>
              <w:spacing w:after="40" w:before="0" w:line="259" w:lineRule="auto"/>
            </w:pPr>
            <w:r>
              <w:rPr>
                <w:rFonts w:ascii="Calibri" w:hAnsi="Calibri"/>
                <w:b w:val="0"/>
                <w:i w:val="0"/>
                <w:color w:val="212121"/>
                <w:sz w:val="19"/>
              </w:rPr>
              <w:t>Constipation-prone adults</w:t>
            </w:r>
          </w:p>
        </w:tc>
        <w:tc>
          <w:tcPr>
            <w:tcW w:type="dxa" w:w="1512"/>
            <w:vAlign w:val="top"/>
          </w:tcPr>
          <w:p>
            <w:pPr>
              <w:spacing w:after="40" w:before="0" w:line="259" w:lineRule="auto"/>
            </w:pPr>
            <w:r>
              <w:rPr>
                <w:rFonts w:ascii="Calibri" w:hAnsi="Calibri"/>
                <w:b w:val="0"/>
                <w:i w:val="0"/>
                <w:color w:val="212121"/>
                <w:sz w:val="19"/>
              </w:rPr>
              <w:t>3 per week to 3 per day, passed without straining</w:t>
            </w:r>
          </w:p>
        </w:tc>
        <w:tc>
          <w:tcPr>
            <w:tcW w:type="dxa" w:w="1512"/>
            <w:vAlign w:val="top"/>
          </w:tcPr>
          <w:p>
            <w:pPr>
              <w:spacing w:after="40" w:before="0" w:line="259" w:lineRule="auto"/>
            </w:pPr>
            <w:r>
              <w:rPr>
                <w:rFonts w:ascii="Calibri" w:hAnsi="Calibri"/>
                <w:b w:val="0"/>
                <w:i w:val="0"/>
                <w:color w:val="212121"/>
                <w:sz w:val="19"/>
              </w:rPr>
              <w:t>&lt; 3 per week with straining</w:t>
            </w:r>
          </w:p>
        </w:tc>
        <w:tc>
          <w:tcPr>
            <w:tcW w:type="dxa" w:w="1468"/>
            <w:vAlign w:val="top"/>
          </w:tcPr>
          <w:p>
            <w:pPr>
              <w:spacing w:after="40" w:before="0" w:line="259" w:lineRule="auto"/>
            </w:pPr>
            <w:r>
              <w:rPr>
                <w:rFonts w:ascii="Calibri" w:hAnsi="Calibri"/>
                <w:b w:val="0"/>
                <w:i w:val="0"/>
                <w:color w:val="212121"/>
                <w:sz w:val="19"/>
              </w:rPr>
              <w:t>Infrequent hard stools are the commonest precipitant of fissures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Time spent / straining on toilet</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&lt; 5 minutes, no straining</w:t>
            </w:r>
          </w:p>
        </w:tc>
        <w:tc>
          <w:tcPr>
            <w:tcW w:type="dxa" w:w="1512"/>
            <w:vAlign w:val="top"/>
          </w:tcPr>
          <w:p>
            <w:pPr>
              <w:spacing w:after="40" w:before="0" w:line="259" w:lineRule="auto"/>
            </w:pPr>
            <w:r>
              <w:rPr>
                <w:rFonts w:ascii="Calibri" w:hAnsi="Calibri"/>
                <w:b w:val="0"/>
                <w:i w:val="0"/>
                <w:color w:val="212121"/>
                <w:sz w:val="19"/>
              </w:rPr>
              <w:t>Prolonged sitting &gt; 10 minutes with straining</w:t>
            </w:r>
          </w:p>
        </w:tc>
        <w:tc>
          <w:tcPr>
            <w:tcW w:type="dxa" w:w="1468"/>
            <w:vAlign w:val="top"/>
          </w:tcPr>
          <w:p>
            <w:pPr>
              <w:spacing w:after="40" w:before="0" w:line="259" w:lineRule="auto"/>
            </w:pPr>
            <w:r>
              <w:rPr>
                <w:rFonts w:ascii="Calibri" w:hAnsi="Calibri"/>
                <w:b w:val="0"/>
                <w:i w:val="0"/>
                <w:color w:val="212121"/>
                <w:sz w:val="19"/>
              </w:rPr>
              <w:t>Prolonged straining raises anal pressure and traumatises the anoderm</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Sedentary adults</w:t>
            </w:r>
          </w:p>
        </w:tc>
        <w:tc>
          <w:tcPr>
            <w:tcW w:type="dxa" w:w="1512"/>
            <w:vAlign w:val="top"/>
          </w:tcPr>
          <w:p>
            <w:pPr>
              <w:spacing w:after="40" w:before="0" w:line="259" w:lineRule="auto"/>
            </w:pPr>
            <w:r>
              <w:rPr>
                <w:rFonts w:ascii="Calibri" w:hAnsi="Calibri"/>
                <w:b w:val="0"/>
                <w:i w:val="0"/>
                <w:color w:val="212121"/>
                <w:sz w:val="19"/>
              </w:rPr>
              <w:t>&gt;= 150 min/week</w:t>
            </w:r>
          </w:p>
        </w:tc>
        <w:tc>
          <w:tcPr>
            <w:tcW w:type="dxa" w:w="1512"/>
            <w:vAlign w:val="top"/>
          </w:tcPr>
          <w:p>
            <w:pPr>
              <w:spacing w:after="40" w:before="0" w:line="259" w:lineRule="auto"/>
            </w:pPr>
            <w:r>
              <w:rPr>
                <w:rFonts w:ascii="Calibri" w:hAnsi="Calibri"/>
                <w:b w:val="0"/>
                <w:i w:val="0"/>
                <w:color w:val="212121"/>
                <w:sz w:val="19"/>
              </w:rPr>
              <w:t>Largely sedentary (&lt; 150 min/week)</w:t>
            </w:r>
          </w:p>
        </w:tc>
        <w:tc>
          <w:tcPr>
            <w:tcW w:type="dxa" w:w="1468"/>
            <w:vAlign w:val="top"/>
          </w:tcPr>
          <w:p>
            <w:pPr>
              <w:spacing w:after="40" w:before="0" w:line="259" w:lineRule="auto"/>
            </w:pPr>
            <w:r>
              <w:rPr>
                <w:rFonts w:ascii="Calibri" w:hAnsi="Calibri"/>
                <w:b w:val="0"/>
                <w:i w:val="0"/>
                <w:color w:val="212121"/>
                <w:sz w:val="19"/>
              </w:rPr>
              <w:t>Activity improves colonic transit and bowel regularity, reducing constipation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(kg/m2, Asian-Indian)</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18.5-22.9 kg/m2</w:t>
            </w:r>
          </w:p>
        </w:tc>
        <w:tc>
          <w:tcPr>
            <w:tcW w:type="dxa" w:w="1512"/>
            <w:vAlign w:val="top"/>
          </w:tcPr>
          <w:p>
            <w:pPr>
              <w:spacing w:after="40" w:before="0" w:line="259" w:lineRule="auto"/>
            </w:pPr>
            <w:r>
              <w:rPr>
                <w:rFonts w:ascii="Calibri" w:hAnsi="Calibri"/>
                <w:b w:val="0"/>
                <w:i w:val="0"/>
                <w:color w:val="212121"/>
                <w:sz w:val="19"/>
              </w:rPr>
              <w:t>&gt;= 23 (overweight); &gt;= 25 (obese)</w:t>
            </w:r>
          </w:p>
        </w:tc>
        <w:tc>
          <w:tcPr>
            <w:tcW w:type="dxa" w:w="1468"/>
            <w:vAlign w:val="top"/>
          </w:tcPr>
          <w:p>
            <w:pPr>
              <w:spacing w:after="40" w:before="0" w:line="259" w:lineRule="auto"/>
            </w:pPr>
            <w:r>
              <w:rPr>
                <w:rFonts w:ascii="Calibri" w:hAnsi="Calibri"/>
                <w:b w:val="0"/>
                <w:i w:val="0"/>
                <w:color w:val="212121"/>
                <w:sz w:val="19"/>
              </w:rPr>
              <w:t>Higher BMI and inactivity are associated with constipation and straining</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Resting anal canal pressure (manometry)</w:t>
            </w:r>
          </w:p>
        </w:tc>
        <w:tc>
          <w:tcPr>
            <w:tcW w:type="dxa" w:w="1655"/>
            <w:vAlign w:val="top"/>
          </w:tcPr>
          <w:p>
            <w:pPr>
              <w:spacing w:after="40" w:before="0" w:line="259" w:lineRule="auto"/>
            </w:pPr>
            <w:r>
              <w:rPr>
                <w:rFonts w:ascii="Calibri" w:hAnsi="Calibri"/>
                <w:b w:val="0"/>
                <w:i w:val="0"/>
                <w:color w:val="212121"/>
                <w:sz w:val="19"/>
              </w:rPr>
              <w:t>Atypical / recurrent / pre-repeat-surgery</w:t>
            </w:r>
          </w:p>
        </w:tc>
        <w:tc>
          <w:tcPr>
            <w:tcW w:type="dxa" w:w="1512"/>
            <w:vAlign w:val="top"/>
          </w:tcPr>
          <w:p>
            <w:pPr>
              <w:spacing w:after="40" w:before="0" w:line="259" w:lineRule="auto"/>
            </w:pPr>
            <w:r>
              <w:rPr>
                <w:rFonts w:ascii="Calibri" w:hAnsi="Calibri"/>
                <w:b w:val="0"/>
                <w:i w:val="0"/>
                <w:color w:val="212121"/>
                <w:sz w:val="19"/>
              </w:rPr>
              <w:t>Within normal range</w:t>
            </w:r>
          </w:p>
        </w:tc>
        <w:tc>
          <w:tcPr>
            <w:tcW w:type="dxa" w:w="1512"/>
            <w:vAlign w:val="top"/>
          </w:tcPr>
          <w:p>
            <w:pPr>
              <w:spacing w:after="40" w:before="0" w:line="259" w:lineRule="auto"/>
            </w:pPr>
            <w:r>
              <w:rPr>
                <w:rFonts w:ascii="Calibri" w:hAnsi="Calibri"/>
                <w:b w:val="0"/>
                <w:i w:val="0"/>
                <w:color w:val="212121"/>
                <w:sz w:val="19"/>
              </w:rPr>
              <w:t>Elevated resting pressure (hypertonia)</w:t>
            </w:r>
          </w:p>
        </w:tc>
        <w:tc>
          <w:tcPr>
            <w:tcW w:type="dxa" w:w="1468"/>
            <w:vAlign w:val="top"/>
          </w:tcPr>
          <w:p>
            <w:pPr>
              <w:spacing w:after="40" w:before="0" w:line="259" w:lineRule="auto"/>
            </w:pPr>
            <w:r>
              <w:rPr>
                <w:rFonts w:ascii="Calibri" w:hAnsi="Calibri"/>
                <w:b w:val="0"/>
                <w:i w:val="0"/>
                <w:color w:val="212121"/>
                <w:sz w:val="19"/>
              </w:rPr>
              <w:t>Most primary chronic fissures are hypertonic; postpartum/elderly fissures may be low-pressure</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Defecation-related pain/anxiety (clinical screen)</w:t>
            </w:r>
          </w:p>
        </w:tc>
        <w:tc>
          <w:tcPr>
            <w:tcW w:type="dxa" w:w="1655"/>
            <w:vAlign w:val="top"/>
          </w:tcPr>
          <w:p>
            <w:pPr>
              <w:spacing w:after="40" w:before="0" w:line="259" w:lineRule="auto"/>
            </w:pPr>
            <w:r>
              <w:rPr>
                <w:rFonts w:ascii="Calibri" w:hAnsi="Calibri"/>
                <w:b w:val="0"/>
                <w:i w:val="0"/>
                <w:color w:val="212121"/>
                <w:sz w:val="19"/>
              </w:rPr>
              <w:t>Patients (esp. children) with withholding</w:t>
            </w:r>
          </w:p>
        </w:tc>
        <w:tc>
          <w:tcPr>
            <w:tcW w:type="dxa" w:w="1512"/>
            <w:vAlign w:val="top"/>
          </w:tcPr>
          <w:p>
            <w:pPr>
              <w:spacing w:after="40" w:before="0" w:line="259" w:lineRule="auto"/>
            </w:pPr>
            <w:r>
              <w:rPr>
                <w:rFonts w:ascii="Calibri" w:hAnsi="Calibri"/>
                <w:b w:val="0"/>
                <w:i w:val="0"/>
                <w:color w:val="212121"/>
                <w:sz w:val="19"/>
              </w:rPr>
              <w:t>No fear-driven withholding</w:t>
            </w:r>
          </w:p>
        </w:tc>
        <w:tc>
          <w:tcPr>
            <w:tcW w:type="dxa" w:w="1512"/>
            <w:vAlign w:val="top"/>
          </w:tcPr>
          <w:p>
            <w:pPr>
              <w:spacing w:after="40" w:before="0" w:line="259" w:lineRule="auto"/>
            </w:pPr>
            <w:r>
              <w:rPr>
                <w:rFonts w:ascii="Calibri" w:hAnsi="Calibri"/>
                <w:b w:val="0"/>
                <w:i w:val="0"/>
                <w:color w:val="212121"/>
                <w:sz w:val="19"/>
              </w:rPr>
              <w:t>Stool-withholding to avoid pain</w:t>
            </w:r>
          </w:p>
        </w:tc>
        <w:tc>
          <w:tcPr>
            <w:tcW w:type="dxa" w:w="1468"/>
            <w:vAlign w:val="top"/>
          </w:tcPr>
          <w:p>
            <w:pPr>
              <w:spacing w:after="40" w:before="0" w:line="259" w:lineRule="auto"/>
            </w:pPr>
            <w:r>
              <w:rPr>
                <w:rFonts w:ascii="Calibri" w:hAnsi="Calibri"/>
                <w:b w:val="0"/>
                <w:i w:val="0"/>
                <w:color w:val="212121"/>
                <w:sz w:val="19"/>
              </w:rPr>
              <w:t>Fear of painful defecation worsens constipation and perpetuates the fissure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Physiology</w:t>
            </w:r>
          </w:p>
        </w:tc>
        <w:tc>
          <w:tcPr>
            <w:tcW w:type="dxa" w:w="1036"/>
            <w:vAlign w:val="top"/>
          </w:tcPr>
          <w:p>
            <w:pPr>
              <w:spacing w:after="40" w:before="0" w:line="259" w:lineRule="auto"/>
            </w:pPr>
            <w:r>
              <w:rPr>
                <w:rFonts w:ascii="Calibri" w:hAnsi="Calibri"/>
                <w:b w:val="0"/>
                <w:i w:val="0"/>
                <w:color w:val="212121"/>
                <w:sz w:val="16"/>
              </w:rPr>
              <w:t>Anal manometry (resting pressure)</w:t>
            </w:r>
          </w:p>
        </w:tc>
        <w:tc>
          <w:tcPr>
            <w:tcW w:type="dxa" w:w="892"/>
            <w:vAlign w:val="top"/>
          </w:tcPr>
          <w:p>
            <w:pPr>
              <w:spacing w:after="40" w:before="0" w:line="259" w:lineRule="auto"/>
            </w:pPr>
            <w:r>
              <w:rPr>
                <w:rFonts w:ascii="Calibri" w:hAnsi="Calibri"/>
                <w:b w:val="0"/>
                <w:i w:val="0"/>
                <w:color w:val="212121"/>
                <w:sz w:val="16"/>
              </w:rPr>
              <w:t>Anorectal manometry</w:t>
            </w:r>
          </w:p>
        </w:tc>
        <w:tc>
          <w:tcPr>
            <w:tcW w:type="dxa" w:w="950"/>
            <w:vAlign w:val="top"/>
          </w:tcPr>
          <w:p>
            <w:pPr>
              <w:spacing w:after="40" w:before="0" w:line="259" w:lineRule="auto"/>
            </w:pPr>
            <w:r>
              <w:rPr>
                <w:rFonts w:ascii="Calibri" w:hAnsi="Calibri"/>
                <w:b w:val="0"/>
                <w:i w:val="0"/>
                <w:color w:val="212121"/>
                <w:sz w:val="16"/>
              </w:rPr>
              <w:t>Resting anal pressure within reference range</w:t>
            </w:r>
          </w:p>
        </w:tc>
        <w:tc>
          <w:tcPr>
            <w:tcW w:type="dxa" w:w="950"/>
            <w:vAlign w:val="top"/>
          </w:tcPr>
          <w:p>
            <w:pPr>
              <w:spacing w:after="40" w:before="0" w:line="259" w:lineRule="auto"/>
            </w:pPr>
            <w:r>
              <w:rPr>
                <w:rFonts w:ascii="Calibri" w:hAnsi="Calibri"/>
                <w:b w:val="0"/>
                <w:i w:val="0"/>
                <w:color w:val="212121"/>
                <w:sz w:val="16"/>
              </w:rPr>
              <w:t>Elevated resting pressure (hypertonia) or, in some, low pressure</w:t>
            </w:r>
          </w:p>
        </w:tc>
        <w:tc>
          <w:tcPr>
            <w:tcW w:type="dxa" w:w="1036"/>
            <w:vAlign w:val="top"/>
          </w:tcPr>
          <w:p>
            <w:pPr>
              <w:spacing w:after="40" w:before="0" w:line="259" w:lineRule="auto"/>
            </w:pPr>
            <w:r>
              <w:rPr>
                <w:rFonts w:ascii="Calibri" w:hAnsi="Calibri"/>
                <w:b w:val="0"/>
                <w:i w:val="0"/>
                <w:color w:val="212121"/>
                <w:sz w:val="16"/>
              </w:rPr>
              <w:t>Documents internal-sphincter hypertonia in primary fissure and identifies low-pressure fissures that respond poorly to sphincter-lowering therapy</w:t>
            </w:r>
          </w:p>
        </w:tc>
        <w:tc>
          <w:tcPr>
            <w:tcW w:type="dxa" w:w="1036"/>
            <w:vAlign w:val="top"/>
          </w:tcPr>
          <w:p>
            <w:pPr>
              <w:spacing w:after="40" w:before="0" w:line="259" w:lineRule="auto"/>
            </w:pPr>
            <w:r>
              <w:rPr>
                <w:rFonts w:ascii="Calibri" w:hAnsi="Calibri"/>
                <w:b w:val="0"/>
                <w:i w:val="0"/>
                <w:color w:val="212121"/>
                <w:sz w:val="16"/>
              </w:rPr>
              <w:t>Atypical, recurrent or post-surgical fissure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Not needed for a typical acute fissure; guides therapy in difficult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Endoanal ultrasound</w:t>
            </w:r>
          </w:p>
        </w:tc>
        <w:tc>
          <w:tcPr>
            <w:tcW w:type="dxa" w:w="892"/>
            <w:vAlign w:val="top"/>
          </w:tcPr>
          <w:p>
            <w:pPr>
              <w:spacing w:after="40" w:before="0" w:line="259" w:lineRule="auto"/>
            </w:pPr>
            <w:r>
              <w:rPr>
                <w:rFonts w:ascii="Calibri" w:hAnsi="Calibri"/>
                <w:b w:val="0"/>
                <w:i w:val="0"/>
                <w:color w:val="212121"/>
                <w:sz w:val="16"/>
              </w:rPr>
              <w:t>Endoanal ultrasonography</w:t>
            </w:r>
          </w:p>
        </w:tc>
        <w:tc>
          <w:tcPr>
            <w:tcW w:type="dxa" w:w="950"/>
            <w:vAlign w:val="top"/>
          </w:tcPr>
          <w:p>
            <w:pPr>
              <w:spacing w:after="40" w:before="0" w:line="259" w:lineRule="auto"/>
            </w:pPr>
            <w:r>
              <w:rPr>
                <w:rFonts w:ascii="Calibri" w:hAnsi="Calibri"/>
                <w:b w:val="0"/>
                <w:i w:val="0"/>
                <w:color w:val="212121"/>
                <w:sz w:val="16"/>
              </w:rPr>
              <w:t>Intact internal and external sphincters</w:t>
            </w:r>
          </w:p>
        </w:tc>
        <w:tc>
          <w:tcPr>
            <w:tcW w:type="dxa" w:w="950"/>
            <w:vAlign w:val="top"/>
          </w:tcPr>
          <w:p>
            <w:pPr>
              <w:spacing w:after="40" w:before="0" w:line="259" w:lineRule="auto"/>
            </w:pPr>
            <w:r>
              <w:rPr>
                <w:rFonts w:ascii="Calibri" w:hAnsi="Calibri"/>
                <w:b w:val="0"/>
                <w:i w:val="0"/>
                <w:color w:val="212121"/>
                <w:sz w:val="16"/>
              </w:rPr>
              <w:t>Sphincter defect or thinning</w:t>
            </w:r>
          </w:p>
        </w:tc>
        <w:tc>
          <w:tcPr>
            <w:tcW w:type="dxa" w:w="1036"/>
            <w:vAlign w:val="top"/>
          </w:tcPr>
          <w:p>
            <w:pPr>
              <w:spacing w:after="40" w:before="0" w:line="259" w:lineRule="auto"/>
            </w:pPr>
            <w:r>
              <w:rPr>
                <w:rFonts w:ascii="Calibri" w:hAnsi="Calibri"/>
                <w:b w:val="0"/>
                <w:i w:val="0"/>
                <w:color w:val="212121"/>
                <w:sz w:val="16"/>
              </w:rPr>
              <w:t>Assesses sphincter integrity and incontinence risk before repeat or when obstetric injury is suspected</w:t>
            </w:r>
          </w:p>
        </w:tc>
        <w:tc>
          <w:tcPr>
            <w:tcW w:type="dxa" w:w="1036"/>
            <w:vAlign w:val="top"/>
          </w:tcPr>
          <w:p>
            <w:pPr>
              <w:spacing w:after="40" w:before="0" w:line="259" w:lineRule="auto"/>
            </w:pPr>
            <w:r>
              <w:rPr>
                <w:rFonts w:ascii="Calibri" w:hAnsi="Calibri"/>
                <w:b w:val="0"/>
                <w:i w:val="0"/>
                <w:color w:val="212121"/>
                <w:sz w:val="16"/>
              </w:rPr>
              <w:t>Recurrent fissure, prior obstetric/anal surgery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Helps avoid incontinence from sphincterotomy in at-risk patients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Endoscopy + histology</w:t>
            </w:r>
          </w:p>
        </w:tc>
        <w:tc>
          <w:tcPr>
            <w:tcW w:type="dxa" w:w="1036"/>
            <w:vAlign w:val="top"/>
          </w:tcPr>
          <w:p>
            <w:pPr>
              <w:spacing w:after="40" w:before="0" w:line="259" w:lineRule="auto"/>
            </w:pPr>
            <w:r>
              <w:rPr>
                <w:rFonts w:ascii="Calibri" w:hAnsi="Calibri"/>
                <w:b w:val="0"/>
                <w:i w:val="0"/>
                <w:color w:val="212121"/>
                <w:sz w:val="16"/>
              </w:rPr>
              <w:t>Sigmoidoscopy / colonoscopy with biopsy</w:t>
            </w:r>
          </w:p>
        </w:tc>
        <w:tc>
          <w:tcPr>
            <w:tcW w:type="dxa" w:w="892"/>
            <w:vAlign w:val="top"/>
          </w:tcPr>
          <w:p>
            <w:pPr>
              <w:spacing w:after="40" w:before="0" w:line="259" w:lineRule="auto"/>
            </w:pPr>
            <w:r>
              <w:rPr>
                <w:rFonts w:ascii="Calibri" w:hAnsi="Calibri"/>
                <w:b w:val="0"/>
                <w:i w:val="0"/>
                <w:color w:val="212121"/>
                <w:sz w:val="16"/>
              </w:rPr>
              <w:t>Lower GI endoscopy</w:t>
            </w:r>
          </w:p>
        </w:tc>
        <w:tc>
          <w:tcPr>
            <w:tcW w:type="dxa" w:w="950"/>
            <w:vAlign w:val="top"/>
          </w:tcPr>
          <w:p>
            <w:pPr>
              <w:spacing w:after="40" w:before="0" w:line="259" w:lineRule="auto"/>
            </w:pPr>
            <w:r>
              <w:rPr>
                <w:rFonts w:ascii="Calibri" w:hAnsi="Calibri"/>
                <w:b w:val="0"/>
                <w:i w:val="0"/>
                <w:color w:val="212121"/>
                <w:sz w:val="16"/>
              </w:rPr>
              <w:t>Normal mucosa; typical midline fissure only</w:t>
            </w:r>
          </w:p>
        </w:tc>
        <w:tc>
          <w:tcPr>
            <w:tcW w:type="dxa" w:w="950"/>
            <w:vAlign w:val="top"/>
          </w:tcPr>
          <w:p>
            <w:pPr>
              <w:spacing w:after="40" w:before="0" w:line="259" w:lineRule="auto"/>
            </w:pPr>
            <w:r>
              <w:rPr>
                <w:rFonts w:ascii="Calibri" w:hAnsi="Calibri"/>
                <w:b w:val="0"/>
                <w:i w:val="0"/>
                <w:color w:val="212121"/>
                <w:sz w:val="16"/>
              </w:rPr>
              <w:t>Colitis, ulceration, granulomas, or malignancy; atypical fissure</w:t>
            </w:r>
          </w:p>
        </w:tc>
        <w:tc>
          <w:tcPr>
            <w:tcW w:type="dxa" w:w="1036"/>
            <w:vAlign w:val="top"/>
          </w:tcPr>
          <w:p>
            <w:pPr>
              <w:spacing w:after="40" w:before="0" w:line="259" w:lineRule="auto"/>
            </w:pPr>
            <w:r>
              <w:rPr>
                <w:rFonts w:ascii="Calibri" w:hAnsi="Calibri"/>
                <w:b w:val="0"/>
                <w:i w:val="0"/>
                <w:color w:val="212121"/>
                <w:sz w:val="16"/>
              </w:rPr>
              <w:t>Evaluates atypical, lateral, multiple or non-healing fissures for Crohn's disease, tuberculosis or anal cancer</w:t>
            </w:r>
          </w:p>
        </w:tc>
        <w:tc>
          <w:tcPr>
            <w:tcW w:type="dxa" w:w="1036"/>
            <w:vAlign w:val="top"/>
          </w:tcPr>
          <w:p>
            <w:pPr>
              <w:spacing w:after="40" w:before="0" w:line="259" w:lineRule="auto"/>
            </w:pPr>
            <w:r>
              <w:rPr>
                <w:rFonts w:ascii="Calibri" w:hAnsi="Calibri"/>
                <w:b w:val="0"/>
                <w:i w:val="0"/>
                <w:color w:val="212121"/>
                <w:sz w:val="16"/>
              </w:rPr>
              <w:t>Atypical/secondary fissure, alarm features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High (when atypical)</w:t>
            </w:r>
          </w:p>
        </w:tc>
        <w:tc>
          <w:tcPr>
            <w:tcW w:type="dxa" w:w="720"/>
            <w:vAlign w:val="top"/>
          </w:tcPr>
          <w:p>
            <w:pPr>
              <w:spacing w:after="40" w:before="0" w:line="259" w:lineRule="auto"/>
            </w:pPr>
            <w:r>
              <w:rPr>
                <w:rFonts w:ascii="Calibri" w:hAnsi="Calibri"/>
                <w:b w:val="0"/>
                <w:i w:val="0"/>
                <w:color w:val="212121"/>
                <w:sz w:val="16"/>
              </w:rPr>
              <w:t>Biopsy of the fissure edge confirms Crohn's, TB or malignancy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 haematology</w:t>
            </w:r>
          </w:p>
        </w:tc>
        <w:tc>
          <w:tcPr>
            <w:tcW w:type="dxa" w:w="1036"/>
            <w:vAlign w:val="top"/>
          </w:tcPr>
          <w:p>
            <w:pPr>
              <w:spacing w:after="40" w:before="0" w:line="259" w:lineRule="auto"/>
            </w:pPr>
            <w:r>
              <w:rPr>
                <w:rFonts w:ascii="Calibri" w:hAnsi="Calibri"/>
                <w:b w:val="0"/>
                <w:i w:val="0"/>
                <w:color w:val="212121"/>
                <w:sz w:val="16"/>
              </w:rPr>
              <w:t>CBC, CRP/ESR, faecal calprotectin</w:t>
            </w:r>
          </w:p>
        </w:tc>
        <w:tc>
          <w:tcPr>
            <w:tcW w:type="dxa" w:w="892"/>
            <w:vAlign w:val="top"/>
          </w:tcPr>
          <w:p>
            <w:pPr>
              <w:spacing w:after="40" w:before="0" w:line="259" w:lineRule="auto"/>
            </w:pPr>
            <w:r>
              <w:rPr>
                <w:rFonts w:ascii="Calibri" w:hAnsi="Calibri"/>
                <w:b w:val="0"/>
                <w:i w:val="0"/>
                <w:color w:val="212121"/>
                <w:sz w:val="16"/>
              </w:rPr>
              <w:t>Inflammatory &amp; anaemia screen</w:t>
            </w:r>
          </w:p>
        </w:tc>
        <w:tc>
          <w:tcPr>
            <w:tcW w:type="dxa" w:w="950"/>
            <w:vAlign w:val="top"/>
          </w:tcPr>
          <w:p>
            <w:pPr>
              <w:spacing w:after="40" w:before="0" w:line="259" w:lineRule="auto"/>
            </w:pPr>
            <w:r>
              <w:rPr>
                <w:rFonts w:ascii="Calibri" w:hAnsi="Calibri"/>
                <w:b w:val="0"/>
                <w:i w:val="0"/>
                <w:color w:val="212121"/>
                <w:sz w:val="16"/>
              </w:rPr>
              <w:t>Normal counts and markers</w:t>
            </w:r>
          </w:p>
        </w:tc>
        <w:tc>
          <w:tcPr>
            <w:tcW w:type="dxa" w:w="950"/>
            <w:vAlign w:val="top"/>
          </w:tcPr>
          <w:p>
            <w:pPr>
              <w:spacing w:after="40" w:before="0" w:line="259" w:lineRule="auto"/>
            </w:pPr>
            <w:r>
              <w:rPr>
                <w:rFonts w:ascii="Calibri" w:hAnsi="Calibri"/>
                <w:b w:val="0"/>
                <w:i w:val="0"/>
                <w:color w:val="212121"/>
                <w:sz w:val="16"/>
              </w:rPr>
              <w:t>Anaemia, raised CRP/ESR, elevated calprotectin</w:t>
            </w:r>
          </w:p>
        </w:tc>
        <w:tc>
          <w:tcPr>
            <w:tcW w:type="dxa" w:w="1036"/>
            <w:vAlign w:val="top"/>
          </w:tcPr>
          <w:p>
            <w:pPr>
              <w:spacing w:after="40" w:before="0" w:line="259" w:lineRule="auto"/>
            </w:pPr>
            <w:r>
              <w:rPr>
                <w:rFonts w:ascii="Calibri" w:hAnsi="Calibri"/>
                <w:b w:val="0"/>
                <w:i w:val="0"/>
                <w:color w:val="212121"/>
                <w:sz w:val="16"/>
              </w:rPr>
              <w:t>Screens for inflammatory bowel disease and significant blood loss in atypical or persistently bleeding fissures</w:t>
            </w:r>
          </w:p>
        </w:tc>
        <w:tc>
          <w:tcPr>
            <w:tcW w:type="dxa" w:w="1036"/>
            <w:vAlign w:val="top"/>
          </w:tcPr>
          <w:p>
            <w:pPr>
              <w:spacing w:after="40" w:before="0" w:line="259" w:lineRule="auto"/>
            </w:pPr>
            <w:r>
              <w:rPr>
                <w:rFonts w:ascii="Calibri" w:hAnsi="Calibri"/>
                <w:b w:val="0"/>
                <w:i w:val="0"/>
                <w:color w:val="212121"/>
                <w:sz w:val="16"/>
              </w:rPr>
              <w:t>Suspected IBD, recurrent bleeding</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Raised calprotectin points to mucosal inflammation warranting endoscopy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 / serology</w:t>
            </w:r>
          </w:p>
        </w:tc>
        <w:tc>
          <w:tcPr>
            <w:tcW w:type="dxa" w:w="1036"/>
            <w:vAlign w:val="top"/>
          </w:tcPr>
          <w:p>
            <w:pPr>
              <w:spacing w:after="40" w:before="0" w:line="259" w:lineRule="auto"/>
            </w:pPr>
            <w:r>
              <w:rPr>
                <w:rFonts w:ascii="Calibri" w:hAnsi="Calibri"/>
                <w:b w:val="0"/>
                <w:i w:val="0"/>
                <w:color w:val="212121"/>
                <w:sz w:val="16"/>
              </w:rPr>
              <w:t>HIV, VDRL/TPHA, TB workup</w:t>
            </w:r>
          </w:p>
        </w:tc>
        <w:tc>
          <w:tcPr>
            <w:tcW w:type="dxa" w:w="892"/>
            <w:vAlign w:val="top"/>
          </w:tcPr>
          <w:p>
            <w:pPr>
              <w:spacing w:after="40" w:before="0" w:line="259" w:lineRule="auto"/>
            </w:pPr>
            <w:r>
              <w:rPr>
                <w:rFonts w:ascii="Calibri" w:hAnsi="Calibri"/>
                <w:b w:val="0"/>
                <w:i w:val="0"/>
                <w:color w:val="212121"/>
                <w:sz w:val="16"/>
              </w:rPr>
              <w:t>Infective screen</w:t>
            </w:r>
          </w:p>
        </w:tc>
        <w:tc>
          <w:tcPr>
            <w:tcW w:type="dxa" w:w="950"/>
            <w:vAlign w:val="top"/>
          </w:tcPr>
          <w:p>
            <w:pPr>
              <w:spacing w:after="40" w:before="0" w:line="259" w:lineRule="auto"/>
            </w:pPr>
            <w:r>
              <w:rPr>
                <w:rFonts w:ascii="Calibri" w:hAnsi="Calibri"/>
                <w:b w:val="0"/>
                <w:i w:val="0"/>
                <w:color w:val="212121"/>
                <w:sz w:val="16"/>
              </w:rPr>
              <w:t>Non-reactive / negative</w:t>
            </w:r>
          </w:p>
        </w:tc>
        <w:tc>
          <w:tcPr>
            <w:tcW w:type="dxa" w:w="950"/>
            <w:vAlign w:val="top"/>
          </w:tcPr>
          <w:p>
            <w:pPr>
              <w:spacing w:after="40" w:before="0" w:line="259" w:lineRule="auto"/>
            </w:pPr>
            <w:r>
              <w:rPr>
                <w:rFonts w:ascii="Calibri" w:hAnsi="Calibri"/>
                <w:b w:val="0"/>
                <w:i w:val="0"/>
                <w:color w:val="212121"/>
                <w:sz w:val="16"/>
              </w:rPr>
              <w:t>Reactive HIV or syphilis serology; evidence of TB</w:t>
            </w:r>
          </w:p>
        </w:tc>
        <w:tc>
          <w:tcPr>
            <w:tcW w:type="dxa" w:w="1036"/>
            <w:vAlign w:val="top"/>
          </w:tcPr>
          <w:p>
            <w:pPr>
              <w:spacing w:after="40" w:before="0" w:line="259" w:lineRule="auto"/>
            </w:pPr>
            <w:r>
              <w:rPr>
                <w:rFonts w:ascii="Calibri" w:hAnsi="Calibri"/>
                <w:b w:val="0"/>
                <w:i w:val="0"/>
                <w:color w:val="212121"/>
                <w:sz w:val="16"/>
              </w:rPr>
              <w:t>Identifies infective and immunosuppressive causes of secondary, off-midline, non-healing fissures — important in the Indian setting</w:t>
            </w:r>
          </w:p>
        </w:tc>
        <w:tc>
          <w:tcPr>
            <w:tcW w:type="dxa" w:w="1036"/>
            <w:vAlign w:val="top"/>
          </w:tcPr>
          <w:p>
            <w:pPr>
              <w:spacing w:after="40" w:before="0" w:line="259" w:lineRule="auto"/>
            </w:pPr>
            <w:r>
              <w:rPr>
                <w:rFonts w:ascii="Calibri" w:hAnsi="Calibri"/>
                <w:b w:val="0"/>
                <w:i w:val="0"/>
                <w:color w:val="212121"/>
                <w:sz w:val="16"/>
              </w:rPr>
              <w:t>Atypical fissure, immunosuppressed, high-risk history</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Directs specific therapy rather than routine fissure treatment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Metabolic screen</w:t>
            </w:r>
          </w:p>
        </w:tc>
        <w:tc>
          <w:tcPr>
            <w:tcW w:type="dxa" w:w="1036"/>
            <w:vAlign w:val="top"/>
          </w:tcPr>
          <w:p>
            <w:pPr>
              <w:spacing w:after="40" w:before="0" w:line="259" w:lineRule="auto"/>
            </w:pPr>
            <w:r>
              <w:rPr>
                <w:rFonts w:ascii="Calibri" w:hAnsi="Calibri"/>
                <w:b w:val="0"/>
                <w:i w:val="0"/>
                <w:color w:val="212121"/>
                <w:sz w:val="16"/>
              </w:rPr>
              <w:t>Thyroid function, calcium, glucose</w:t>
            </w:r>
          </w:p>
        </w:tc>
        <w:tc>
          <w:tcPr>
            <w:tcW w:type="dxa" w:w="892"/>
            <w:vAlign w:val="top"/>
          </w:tcPr>
          <w:p>
            <w:pPr>
              <w:spacing w:after="40" w:before="0" w:line="259" w:lineRule="auto"/>
            </w:pPr>
            <w:r>
              <w:rPr>
                <w:rFonts w:ascii="Calibri" w:hAnsi="Calibri"/>
                <w:b w:val="0"/>
                <w:i w:val="0"/>
                <w:color w:val="212121"/>
                <w:sz w:val="16"/>
              </w:rPr>
              <w:t>Secondary-constipation panel</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Hypothyroidism, hypercalcaemia, uncontrolled diabetes</w:t>
            </w:r>
          </w:p>
        </w:tc>
        <w:tc>
          <w:tcPr>
            <w:tcW w:type="dxa" w:w="1036"/>
            <w:vAlign w:val="top"/>
          </w:tcPr>
          <w:p>
            <w:pPr>
              <w:spacing w:after="40" w:before="0" w:line="259" w:lineRule="auto"/>
            </w:pPr>
            <w:r>
              <w:rPr>
                <w:rFonts w:ascii="Calibri" w:hAnsi="Calibri"/>
                <w:b w:val="0"/>
                <w:i w:val="0"/>
                <w:color w:val="212121"/>
                <w:sz w:val="16"/>
              </w:rPr>
              <w:t>Detects treatable metabolic causes of the underlying chronic constipation that drives recurrence</w:t>
            </w:r>
          </w:p>
        </w:tc>
        <w:tc>
          <w:tcPr>
            <w:tcW w:type="dxa" w:w="1036"/>
            <w:vAlign w:val="top"/>
          </w:tcPr>
          <w:p>
            <w:pPr>
              <w:spacing w:after="40" w:before="0" w:line="259" w:lineRule="auto"/>
            </w:pPr>
            <w:r>
              <w:rPr>
                <w:rFonts w:ascii="Calibri" w:hAnsi="Calibri"/>
                <w:b w:val="0"/>
                <w:i w:val="0"/>
                <w:color w:val="212121"/>
                <w:sz w:val="16"/>
              </w:rPr>
              <w:t>Refractory constipation, recurrent fissure</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Correcting the cause of constipation prevents relapse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Painful defecation with bright-red bleeding</w:t>
            </w:r>
          </w:p>
        </w:tc>
        <w:tc>
          <w:tcPr>
            <w:tcW w:type="dxa" w:w="950"/>
            <w:vAlign w:val="top"/>
          </w:tcPr>
          <w:p>
            <w:pPr>
              <w:spacing w:after="40" w:before="0" w:line="259" w:lineRule="auto"/>
            </w:pPr>
            <w:r>
              <w:rPr>
                <w:rFonts w:ascii="Calibri" w:hAnsi="Calibri"/>
                <w:b w:val="0"/>
                <w:i w:val="0"/>
                <w:color w:val="212121"/>
                <w:sz w:val="16"/>
              </w:rPr>
              <w:t>Painless, non-bloody defecation</w:t>
            </w:r>
          </w:p>
        </w:tc>
        <w:tc>
          <w:tcPr>
            <w:tcW w:type="dxa" w:w="950"/>
            <w:vAlign w:val="top"/>
          </w:tcPr>
          <w:p>
            <w:pPr>
              <w:spacing w:after="40" w:before="0" w:line="259" w:lineRule="auto"/>
            </w:pPr>
            <w:r>
              <w:rPr>
                <w:rFonts w:ascii="Calibri" w:hAnsi="Calibri"/>
                <w:b w:val="0"/>
                <w:i w:val="0"/>
                <w:color w:val="212121"/>
                <w:sz w:val="16"/>
              </w:rPr>
              <w:t>Sharp tearing pain during/after stool with streak bleeding</w:t>
            </w:r>
          </w:p>
        </w:tc>
        <w:tc>
          <w:tcPr>
            <w:tcW w:type="dxa" w:w="1036"/>
            <w:vAlign w:val="top"/>
          </w:tcPr>
          <w:p>
            <w:pPr>
              <w:spacing w:after="40" w:before="0" w:line="259" w:lineRule="auto"/>
            </w:pPr>
            <w:r>
              <w:rPr>
                <w:rFonts w:ascii="Calibri" w:hAnsi="Calibri"/>
                <w:b w:val="0"/>
                <w:i w:val="0"/>
                <w:color w:val="212121"/>
                <w:sz w:val="16"/>
              </w:rPr>
              <w:t>Cardinal, near-diagnostic symptom pattern of anal fissure</w:t>
            </w:r>
          </w:p>
        </w:tc>
        <w:tc>
          <w:tcPr>
            <w:tcW w:type="dxa" w:w="1036"/>
            <w:vAlign w:val="top"/>
          </w:tcPr>
          <w:p>
            <w:pPr>
              <w:spacing w:after="40" w:before="0" w:line="259" w:lineRule="auto"/>
            </w:pPr>
            <w:r>
              <w:rPr>
                <w:rFonts w:ascii="Calibri" w:hAnsi="Calibri"/>
                <w:b w:val="0"/>
                <w:i w:val="0"/>
                <w:color w:val="212121"/>
                <w:sz w:val="16"/>
              </w:rPr>
              <w:t>Patients with painful anal bleeding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Pain persisting for hours after defecation is characteristic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Bowel habit &amp; diet history</w:t>
            </w:r>
          </w:p>
        </w:tc>
        <w:tc>
          <w:tcPr>
            <w:tcW w:type="dxa" w:w="979"/>
            <w:vAlign w:val="top"/>
          </w:tcPr>
          <w:p>
            <w:pPr>
              <w:spacing w:after="40" w:before="0" w:line="259" w:lineRule="auto"/>
            </w:pPr>
            <w:r>
              <w:rPr>
                <w:rFonts w:ascii="Calibri" w:hAnsi="Calibri"/>
                <w:b w:val="0"/>
                <w:i w:val="0"/>
                <w:color w:val="212121"/>
                <w:sz w:val="16"/>
              </w:rPr>
              <w:t>Constipation, hard stool, straining, fibre &amp; fluid intake</w:t>
            </w:r>
          </w:p>
        </w:tc>
        <w:tc>
          <w:tcPr>
            <w:tcW w:type="dxa" w:w="950"/>
            <w:vAlign w:val="top"/>
          </w:tcPr>
          <w:p>
            <w:pPr>
              <w:spacing w:after="40" w:before="0" w:line="259" w:lineRule="auto"/>
            </w:pPr>
            <w:r>
              <w:rPr>
                <w:rFonts w:ascii="Calibri" w:hAnsi="Calibri"/>
                <w:b w:val="0"/>
                <w:i w:val="0"/>
                <w:color w:val="212121"/>
                <w:sz w:val="16"/>
              </w:rPr>
              <w:t>Soft regular stools</w:t>
            </w:r>
          </w:p>
        </w:tc>
        <w:tc>
          <w:tcPr>
            <w:tcW w:type="dxa" w:w="950"/>
            <w:vAlign w:val="top"/>
          </w:tcPr>
          <w:p>
            <w:pPr>
              <w:spacing w:after="40" w:before="0" w:line="259" w:lineRule="auto"/>
            </w:pPr>
            <w:r>
              <w:rPr>
                <w:rFonts w:ascii="Calibri" w:hAnsi="Calibri"/>
                <w:b w:val="0"/>
                <w:i w:val="0"/>
                <w:color w:val="212121"/>
                <w:sz w:val="16"/>
              </w:rPr>
              <w:t>Infrequent hard stools, straining, low fibre/fluid</w:t>
            </w:r>
          </w:p>
        </w:tc>
        <w:tc>
          <w:tcPr>
            <w:tcW w:type="dxa" w:w="1036"/>
            <w:vAlign w:val="top"/>
          </w:tcPr>
          <w:p>
            <w:pPr>
              <w:spacing w:after="40" w:before="0" w:line="259" w:lineRule="auto"/>
            </w:pPr>
            <w:r>
              <w:rPr>
                <w:rFonts w:ascii="Calibri" w:hAnsi="Calibri"/>
                <w:b w:val="0"/>
                <w:i w:val="0"/>
                <w:color w:val="212121"/>
                <w:sz w:val="16"/>
              </w:rPr>
              <w:t>Identifies the driver of the fissure and the target for conservative therapy</w:t>
            </w:r>
          </w:p>
        </w:tc>
        <w:tc>
          <w:tcPr>
            <w:tcW w:type="dxa" w:w="1036"/>
            <w:vAlign w:val="top"/>
          </w:tcPr>
          <w:p>
            <w:pPr>
              <w:spacing w:after="40" w:before="0" w:line="259" w:lineRule="auto"/>
            </w:pPr>
            <w:r>
              <w:rPr>
                <w:rFonts w:ascii="Calibri" w:hAnsi="Calibri"/>
                <w:b w:val="0"/>
                <w:i w:val="0"/>
                <w:color w:val="212121"/>
                <w:sz w:val="16"/>
              </w:rPr>
              <w:t>All fissure patients</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Also ask about diarrhoea, which can cause fissures too</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Perianal inspection (buttock traction)</w:t>
            </w:r>
          </w:p>
        </w:tc>
        <w:tc>
          <w:tcPr>
            <w:tcW w:type="dxa" w:w="979"/>
            <w:vAlign w:val="top"/>
          </w:tcPr>
          <w:p>
            <w:pPr>
              <w:spacing w:after="40" w:before="0" w:line="259" w:lineRule="auto"/>
            </w:pPr>
            <w:r>
              <w:rPr>
                <w:rFonts w:ascii="Calibri" w:hAnsi="Calibri"/>
                <w:b w:val="0"/>
                <w:i w:val="0"/>
                <w:color w:val="212121"/>
                <w:sz w:val="16"/>
              </w:rPr>
              <w:t>Midline anoderm tear +/- sentinel tag/hypertrophied papilla</w:t>
            </w:r>
          </w:p>
        </w:tc>
        <w:tc>
          <w:tcPr>
            <w:tcW w:type="dxa" w:w="950"/>
            <w:vAlign w:val="top"/>
          </w:tcPr>
          <w:p>
            <w:pPr>
              <w:spacing w:after="40" w:before="0" w:line="259" w:lineRule="auto"/>
            </w:pPr>
            <w:r>
              <w:rPr>
                <w:rFonts w:ascii="Calibri" w:hAnsi="Calibri"/>
                <w:b w:val="0"/>
                <w:i w:val="0"/>
                <w:color w:val="212121"/>
                <w:sz w:val="16"/>
              </w:rPr>
              <w:t>Intact anoderm</w:t>
            </w:r>
          </w:p>
        </w:tc>
        <w:tc>
          <w:tcPr>
            <w:tcW w:type="dxa" w:w="950"/>
            <w:vAlign w:val="top"/>
          </w:tcPr>
          <w:p>
            <w:pPr>
              <w:spacing w:after="40" w:before="0" w:line="259" w:lineRule="auto"/>
            </w:pPr>
            <w:r>
              <w:rPr>
                <w:rFonts w:ascii="Calibri" w:hAnsi="Calibri"/>
                <w:b w:val="0"/>
                <w:i w:val="0"/>
                <w:color w:val="212121"/>
                <w:sz w:val="16"/>
              </w:rPr>
              <w:t>Longitudinal posterior (or anterior) midline tear; chronic features</w:t>
            </w:r>
          </w:p>
        </w:tc>
        <w:tc>
          <w:tcPr>
            <w:tcW w:type="dxa" w:w="1036"/>
            <w:vAlign w:val="top"/>
          </w:tcPr>
          <w:p>
            <w:pPr>
              <w:spacing w:after="40" w:before="0" w:line="259" w:lineRule="auto"/>
            </w:pPr>
            <w:r>
              <w:rPr>
                <w:rFonts w:ascii="Calibri" w:hAnsi="Calibri"/>
                <w:b w:val="0"/>
                <w:i w:val="0"/>
                <w:color w:val="212121"/>
                <w:sz w:val="16"/>
              </w:rPr>
              <w:t>Confirms the diagnosis and distinguishes acute from chronic fissure</w:t>
            </w:r>
          </w:p>
        </w:tc>
        <w:tc>
          <w:tcPr>
            <w:tcW w:type="dxa" w:w="1036"/>
            <w:vAlign w:val="top"/>
          </w:tcPr>
          <w:p>
            <w:pPr>
              <w:spacing w:after="40" w:before="0" w:line="259" w:lineRule="auto"/>
            </w:pPr>
            <w:r>
              <w:rPr>
                <w:rFonts w:ascii="Calibri" w:hAnsi="Calibri"/>
                <w:b w:val="0"/>
                <w:i w:val="0"/>
                <w:color w:val="212121"/>
                <w:sz w:val="16"/>
              </w:rPr>
              <w:t>All suspected fissure</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Gentle traction usually suffices; avoid forcing a painful exam</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Digital rectal exam / anoscopy</w:t>
            </w:r>
          </w:p>
        </w:tc>
        <w:tc>
          <w:tcPr>
            <w:tcW w:type="dxa" w:w="979"/>
            <w:vAlign w:val="top"/>
          </w:tcPr>
          <w:p>
            <w:pPr>
              <w:spacing w:after="40" w:before="0" w:line="259" w:lineRule="auto"/>
            </w:pPr>
            <w:r>
              <w:rPr>
                <w:rFonts w:ascii="Calibri" w:hAnsi="Calibri"/>
                <w:b w:val="0"/>
                <w:i w:val="0"/>
                <w:color w:val="212121"/>
                <w:sz w:val="16"/>
              </w:rPr>
              <w:t>Sphincter tone; exclusion of other pathology</w:t>
            </w:r>
          </w:p>
        </w:tc>
        <w:tc>
          <w:tcPr>
            <w:tcW w:type="dxa" w:w="950"/>
            <w:vAlign w:val="top"/>
          </w:tcPr>
          <w:p>
            <w:pPr>
              <w:spacing w:after="40" w:before="0" w:line="259" w:lineRule="auto"/>
            </w:pPr>
            <w:r>
              <w:rPr>
                <w:rFonts w:ascii="Calibri" w:hAnsi="Calibri"/>
                <w:b w:val="0"/>
                <w:i w:val="0"/>
                <w:color w:val="212121"/>
                <w:sz w:val="16"/>
              </w:rPr>
              <w:t>Deferred acutely if too painful</w:t>
            </w:r>
          </w:p>
        </w:tc>
        <w:tc>
          <w:tcPr>
            <w:tcW w:type="dxa" w:w="950"/>
            <w:vAlign w:val="top"/>
          </w:tcPr>
          <w:p>
            <w:pPr>
              <w:spacing w:after="40" w:before="0" w:line="259" w:lineRule="auto"/>
            </w:pPr>
            <w:r>
              <w:rPr>
                <w:rFonts w:ascii="Calibri" w:hAnsi="Calibri"/>
                <w:b w:val="0"/>
                <w:i w:val="0"/>
                <w:color w:val="212121"/>
                <w:sz w:val="16"/>
              </w:rPr>
              <w:t>High sphincter tone; other lesions on later exam</w:t>
            </w:r>
          </w:p>
        </w:tc>
        <w:tc>
          <w:tcPr>
            <w:tcW w:type="dxa" w:w="1036"/>
            <w:vAlign w:val="top"/>
          </w:tcPr>
          <w:p>
            <w:pPr>
              <w:spacing w:after="40" w:before="0" w:line="259" w:lineRule="auto"/>
            </w:pPr>
            <w:r>
              <w:rPr>
                <w:rFonts w:ascii="Calibri" w:hAnsi="Calibri"/>
                <w:b w:val="0"/>
                <w:i w:val="0"/>
                <w:color w:val="212121"/>
                <w:sz w:val="16"/>
              </w:rPr>
              <w:t>Assesses tone and excludes coexisting disease once pain allows or under anaesthetic</w:t>
            </w:r>
          </w:p>
        </w:tc>
        <w:tc>
          <w:tcPr>
            <w:tcW w:type="dxa" w:w="1036"/>
            <w:vAlign w:val="top"/>
          </w:tcPr>
          <w:p>
            <w:pPr>
              <w:spacing w:after="40" w:before="0" w:line="259" w:lineRule="auto"/>
            </w:pPr>
            <w:r>
              <w:rPr>
                <w:rFonts w:ascii="Calibri" w:hAnsi="Calibri"/>
                <w:b w:val="0"/>
                <w:i w:val="0"/>
                <w:color w:val="212121"/>
                <w:sz w:val="16"/>
              </w:rPr>
              <w:t>After initial healing, atypical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Often deferred in the acute phase due to spasm and pain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Location &amp; morphology assessment</w:t>
            </w:r>
          </w:p>
        </w:tc>
        <w:tc>
          <w:tcPr>
            <w:tcW w:type="dxa" w:w="979"/>
            <w:vAlign w:val="top"/>
          </w:tcPr>
          <w:p>
            <w:pPr>
              <w:spacing w:after="40" w:before="0" w:line="259" w:lineRule="auto"/>
            </w:pPr>
            <w:r>
              <w:rPr>
                <w:rFonts w:ascii="Calibri" w:hAnsi="Calibri"/>
                <w:b w:val="0"/>
                <w:i w:val="0"/>
                <w:color w:val="212121"/>
                <w:sz w:val="16"/>
              </w:rPr>
              <w:t>Posterior/anterior midline vs lateral/multiple</w:t>
            </w:r>
          </w:p>
        </w:tc>
        <w:tc>
          <w:tcPr>
            <w:tcW w:type="dxa" w:w="950"/>
            <w:vAlign w:val="top"/>
          </w:tcPr>
          <w:p>
            <w:pPr>
              <w:spacing w:after="40" w:before="0" w:line="259" w:lineRule="auto"/>
            </w:pPr>
            <w:r>
              <w:rPr>
                <w:rFonts w:ascii="Calibri" w:hAnsi="Calibri"/>
                <w:b w:val="0"/>
                <w:i w:val="0"/>
                <w:color w:val="212121"/>
                <w:sz w:val="16"/>
              </w:rPr>
              <w:t>Single midline fissure</w:t>
            </w:r>
          </w:p>
        </w:tc>
        <w:tc>
          <w:tcPr>
            <w:tcW w:type="dxa" w:w="950"/>
            <w:vAlign w:val="top"/>
          </w:tcPr>
          <w:p>
            <w:pPr>
              <w:spacing w:after="40" w:before="0" w:line="259" w:lineRule="auto"/>
            </w:pPr>
            <w:r>
              <w:rPr>
                <w:rFonts w:ascii="Calibri" w:hAnsi="Calibri"/>
                <w:b w:val="0"/>
                <w:i w:val="0"/>
                <w:color w:val="212121"/>
                <w:sz w:val="16"/>
              </w:rPr>
              <w:t>Lateral, multiple, undermined or painless fissures</w:t>
            </w:r>
          </w:p>
        </w:tc>
        <w:tc>
          <w:tcPr>
            <w:tcW w:type="dxa" w:w="1036"/>
            <w:vAlign w:val="top"/>
          </w:tcPr>
          <w:p>
            <w:pPr>
              <w:spacing w:after="40" w:before="0" w:line="259" w:lineRule="auto"/>
            </w:pPr>
            <w:r>
              <w:rPr>
                <w:rFonts w:ascii="Calibri" w:hAnsi="Calibri"/>
                <w:b w:val="0"/>
                <w:i w:val="0"/>
                <w:color w:val="212121"/>
                <w:sz w:val="16"/>
              </w:rPr>
              <w:t>Atypical morphology flags a secondary cause needing further work-up</w:t>
            </w:r>
          </w:p>
        </w:tc>
        <w:tc>
          <w:tcPr>
            <w:tcW w:type="dxa" w:w="1036"/>
            <w:vAlign w:val="top"/>
          </w:tcPr>
          <w:p>
            <w:pPr>
              <w:spacing w:after="40" w:before="0" w:line="259" w:lineRule="auto"/>
            </w:pPr>
            <w:r>
              <w:rPr>
                <w:rFonts w:ascii="Calibri" w:hAnsi="Calibri"/>
                <w:b w:val="0"/>
                <w:i w:val="0"/>
                <w:color w:val="212121"/>
                <w:sz w:val="16"/>
              </w:rPr>
              <w:t>Atypical or non-healing fissure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Off-midline/multiple fissures suggest Crohn's, TB, HIV or malignancy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Obstetric &amp; surgical history</w:t>
            </w:r>
          </w:p>
        </w:tc>
        <w:tc>
          <w:tcPr>
            <w:tcW w:type="dxa" w:w="979"/>
            <w:vAlign w:val="top"/>
          </w:tcPr>
          <w:p>
            <w:pPr>
              <w:spacing w:after="40" w:before="0" w:line="259" w:lineRule="auto"/>
            </w:pPr>
            <w:r>
              <w:rPr>
                <w:rFonts w:ascii="Calibri" w:hAnsi="Calibri"/>
                <w:b w:val="0"/>
                <w:i w:val="0"/>
                <w:color w:val="212121"/>
                <w:sz w:val="16"/>
              </w:rPr>
              <w:t>Vaginal deliveries, prior anal surgery</w:t>
            </w:r>
          </w:p>
        </w:tc>
        <w:tc>
          <w:tcPr>
            <w:tcW w:type="dxa" w:w="950"/>
            <w:vAlign w:val="top"/>
          </w:tcPr>
          <w:p>
            <w:pPr>
              <w:spacing w:after="40" w:before="0" w:line="259" w:lineRule="auto"/>
            </w:pPr>
            <w:r>
              <w:rPr>
                <w:rFonts w:ascii="Calibri" w:hAnsi="Calibri"/>
                <w:b w:val="0"/>
                <w:i w:val="0"/>
                <w:color w:val="212121"/>
                <w:sz w:val="16"/>
              </w:rPr>
              <w:t>No relevant history</w:t>
            </w:r>
          </w:p>
        </w:tc>
        <w:tc>
          <w:tcPr>
            <w:tcW w:type="dxa" w:w="950"/>
            <w:vAlign w:val="top"/>
          </w:tcPr>
          <w:p>
            <w:pPr>
              <w:spacing w:after="40" w:before="0" w:line="259" w:lineRule="auto"/>
            </w:pPr>
            <w:r>
              <w:rPr>
                <w:rFonts w:ascii="Calibri" w:hAnsi="Calibri"/>
                <w:b w:val="0"/>
                <w:i w:val="0"/>
                <w:color w:val="212121"/>
                <w:sz w:val="16"/>
              </w:rPr>
              <w:t>Recent delivery or previous sphincter surgery</w:t>
            </w:r>
          </w:p>
        </w:tc>
        <w:tc>
          <w:tcPr>
            <w:tcW w:type="dxa" w:w="1036"/>
            <w:vAlign w:val="top"/>
          </w:tcPr>
          <w:p>
            <w:pPr>
              <w:spacing w:after="40" w:before="0" w:line="259" w:lineRule="auto"/>
            </w:pPr>
            <w:r>
              <w:rPr>
                <w:rFonts w:ascii="Calibri" w:hAnsi="Calibri"/>
                <w:b w:val="0"/>
                <w:i w:val="0"/>
                <w:color w:val="212121"/>
                <w:sz w:val="16"/>
              </w:rPr>
              <w:t>Explains anterior/low-pressure postpartum fissures and flags incontinence risk before surgery</w:t>
            </w:r>
          </w:p>
        </w:tc>
        <w:tc>
          <w:tcPr>
            <w:tcW w:type="dxa" w:w="1036"/>
            <w:vAlign w:val="top"/>
          </w:tcPr>
          <w:p>
            <w:pPr>
              <w:spacing w:after="40" w:before="0" w:line="259" w:lineRule="auto"/>
            </w:pPr>
            <w:r>
              <w:rPr>
                <w:rFonts w:ascii="Calibri" w:hAnsi="Calibri"/>
                <w:b w:val="0"/>
                <w:i w:val="0"/>
                <w:color w:val="212121"/>
                <w:sz w:val="16"/>
              </w:rPr>
              <w:t>Postpartum women, prior anal surgery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Low-pressure fissures respond poorly to sphincter-lowering treatment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Systemic &amp; risk history</w:t>
            </w:r>
          </w:p>
        </w:tc>
        <w:tc>
          <w:tcPr>
            <w:tcW w:type="dxa" w:w="979"/>
            <w:vAlign w:val="top"/>
          </w:tcPr>
          <w:p>
            <w:pPr>
              <w:spacing w:after="40" w:before="0" w:line="259" w:lineRule="auto"/>
            </w:pPr>
            <w:r>
              <w:rPr>
                <w:rFonts w:ascii="Calibri" w:hAnsi="Calibri"/>
                <w:b w:val="0"/>
                <w:i w:val="0"/>
                <w:color w:val="212121"/>
                <w:sz w:val="16"/>
              </w:rPr>
              <w:t>IBD symptoms, TB exposure, HIV risk, anoreceptive intercourse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Diarrhoea/weight loss, TB/HIV risk, receptive anal intercourse</w:t>
            </w:r>
          </w:p>
        </w:tc>
        <w:tc>
          <w:tcPr>
            <w:tcW w:type="dxa" w:w="1036"/>
            <w:vAlign w:val="top"/>
          </w:tcPr>
          <w:p>
            <w:pPr>
              <w:spacing w:after="40" w:before="0" w:line="259" w:lineRule="auto"/>
            </w:pPr>
            <w:r>
              <w:rPr>
                <w:rFonts w:ascii="Calibri" w:hAnsi="Calibri"/>
                <w:b w:val="0"/>
                <w:i w:val="0"/>
                <w:color w:val="212121"/>
                <w:sz w:val="16"/>
              </w:rPr>
              <w:t>Screens for secondary causes that change management fundamentally</w:t>
            </w:r>
          </w:p>
        </w:tc>
        <w:tc>
          <w:tcPr>
            <w:tcW w:type="dxa" w:w="1036"/>
            <w:vAlign w:val="top"/>
          </w:tcPr>
          <w:p>
            <w:pPr>
              <w:spacing w:after="40" w:before="0" w:line="259" w:lineRule="auto"/>
            </w:pPr>
            <w:r>
              <w:rPr>
                <w:rFonts w:ascii="Calibri" w:hAnsi="Calibri"/>
                <w:b w:val="0"/>
                <w:i w:val="0"/>
                <w:color w:val="212121"/>
                <w:sz w:val="16"/>
              </w:rPr>
              <w:t>Atypical/secondary fissure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Positive findings prompt biopsy and targeted testing</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Severe anal pain during defecation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Sharp, tearing or knife-like pain as the stool passes, often described as passing glass.</w:t>
            </w:r>
          </w:p>
        </w:tc>
      </w:tr>
      <w:tr>
        <w:trPr>
          <w:cantSplit/>
        </w:trPr>
        <w:tc>
          <w:tcPr>
            <w:tcW w:type="dxa" w:w="2304"/>
            <w:vAlign w:val="top"/>
          </w:tcPr>
          <w:p>
            <w:pPr>
              <w:spacing w:after="40" w:before="0" w:line="259" w:lineRule="auto"/>
            </w:pPr>
            <w:r>
              <w:rPr>
                <w:rFonts w:ascii="Calibri" w:hAnsi="Calibri"/>
                <w:b/>
                <w:i w:val="0"/>
                <w:color w:val="212121"/>
                <w:sz w:val="19"/>
              </w:rPr>
              <w:t>Prolonged post-defecation pain / burning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Deep burning or throbbing that persists for minutes to hours after stool, from sphincter spasm.</w:t>
            </w:r>
          </w:p>
        </w:tc>
      </w:tr>
      <w:tr>
        <w:trPr>
          <w:cantSplit/>
        </w:trPr>
        <w:tc>
          <w:tcPr>
            <w:tcW w:type="dxa" w:w="2304"/>
            <w:vAlign w:val="top"/>
          </w:tcPr>
          <w:p>
            <w:pPr>
              <w:spacing w:after="40" w:before="0" w:line="259" w:lineRule="auto"/>
            </w:pPr>
            <w:r>
              <w:rPr>
                <w:rFonts w:ascii="Calibri" w:hAnsi="Calibri"/>
                <w:b/>
                <w:i w:val="0"/>
                <w:color w:val="212121"/>
                <w:sz w:val="19"/>
              </w:rPr>
              <w:t>Bright-red rectal bleeding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Small-volume fresh blood streaking the stool or on the toilet paper, not mixed through the stool.</w:t>
            </w:r>
          </w:p>
        </w:tc>
      </w:tr>
      <w:tr>
        <w:trPr>
          <w:cantSplit/>
        </w:trPr>
        <w:tc>
          <w:tcPr>
            <w:tcW w:type="dxa" w:w="2304"/>
            <w:vAlign w:val="top"/>
          </w:tcPr>
          <w:p>
            <w:pPr>
              <w:spacing w:after="40" w:before="0" w:line="259" w:lineRule="auto"/>
            </w:pPr>
            <w:r>
              <w:rPr>
                <w:rFonts w:ascii="Calibri" w:hAnsi="Calibri"/>
                <w:b/>
                <w:i w:val="0"/>
                <w:color w:val="212121"/>
                <w:sz w:val="19"/>
              </w:rPr>
              <w:t>Fear / avoidance of defecation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Anticipatory pain leads to stool-withholding, worsening constipation and perpetuating the fissure.</w:t>
            </w:r>
          </w:p>
        </w:tc>
      </w:tr>
      <w:tr>
        <w:trPr>
          <w:cantSplit/>
        </w:trPr>
        <w:tc>
          <w:tcPr>
            <w:tcW w:type="dxa" w:w="2304"/>
            <w:vAlign w:val="top"/>
          </w:tcPr>
          <w:p>
            <w:pPr>
              <w:spacing w:after="40" w:before="0" w:line="259" w:lineRule="auto"/>
            </w:pPr>
            <w:r>
              <w:rPr>
                <w:rFonts w:ascii="Calibri" w:hAnsi="Calibri"/>
                <w:b/>
                <w:i w:val="0"/>
                <w:color w:val="212121"/>
                <w:sz w:val="19"/>
              </w:rPr>
              <w:t>Anal spasm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Painful tightening of the anal sphincter, reflecting the internal-sphincter hypertonia that drives the fissure.</w:t>
            </w:r>
          </w:p>
        </w:tc>
      </w:tr>
      <w:tr>
        <w:trPr>
          <w:cantSplit/>
        </w:trPr>
        <w:tc>
          <w:tcPr>
            <w:tcW w:type="dxa" w:w="2304"/>
            <w:vAlign w:val="top"/>
          </w:tcPr>
          <w:p>
            <w:pPr>
              <w:spacing w:after="40" w:before="0" w:line="259" w:lineRule="auto"/>
            </w:pPr>
            <w:r>
              <w:rPr>
                <w:rFonts w:ascii="Calibri" w:hAnsi="Calibri"/>
                <w:b/>
                <w:i w:val="0"/>
                <w:color w:val="212121"/>
                <w:sz w:val="19"/>
              </w:rPr>
              <w:t>Constipation with hard stools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Both a cause and a consequence of the fissure through the pain-withholding cycle.</w:t>
            </w:r>
          </w:p>
        </w:tc>
      </w:tr>
      <w:tr>
        <w:trPr>
          <w:cantSplit/>
        </w:trPr>
        <w:tc>
          <w:tcPr>
            <w:tcW w:type="dxa" w:w="2304"/>
            <w:vAlign w:val="top"/>
          </w:tcPr>
          <w:p>
            <w:pPr>
              <w:spacing w:after="40" w:before="0" w:line="259" w:lineRule="auto"/>
            </w:pPr>
            <w:r>
              <w:rPr>
                <w:rFonts w:ascii="Calibri" w:hAnsi="Calibri"/>
                <w:b/>
                <w:i w:val="0"/>
                <w:color w:val="212121"/>
                <w:sz w:val="19"/>
              </w:rPr>
              <w:t>Perianal itching or irritation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Pruritus and moisture from a chronic fissure or associated discharge.</w:t>
            </w:r>
          </w:p>
        </w:tc>
      </w:tr>
      <w:tr>
        <w:trPr>
          <w:cantSplit/>
        </w:trPr>
        <w:tc>
          <w:tcPr>
            <w:tcW w:type="dxa" w:w="2304"/>
            <w:vAlign w:val="top"/>
          </w:tcPr>
          <w:p>
            <w:pPr>
              <w:spacing w:after="40" w:before="0" w:line="259" w:lineRule="auto"/>
            </w:pPr>
            <w:r>
              <w:rPr>
                <w:rFonts w:ascii="Calibri" w:hAnsi="Calibri"/>
                <w:b/>
                <w:i w:val="0"/>
                <w:color w:val="212121"/>
                <w:sz w:val="19"/>
              </w:rPr>
              <w:t>Palpable skin tag noticed by patient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sentinel tag at the outer end of a chronic fissure, sometimes mistaken for a haemorrhoid.</w:t>
            </w:r>
          </w:p>
        </w:tc>
      </w:tr>
      <w:tr>
        <w:trPr>
          <w:cantSplit/>
        </w:trPr>
        <w:tc>
          <w:tcPr>
            <w:tcW w:type="dxa" w:w="2304"/>
            <w:vAlign w:val="top"/>
          </w:tcPr>
          <w:p>
            <w:pPr>
              <w:spacing w:after="40" w:before="0" w:line="259" w:lineRule="auto"/>
            </w:pPr>
            <w:r>
              <w:rPr>
                <w:rFonts w:ascii="Calibri" w:hAnsi="Calibri"/>
                <w:b/>
                <w:i w:val="0"/>
                <w:color w:val="212121"/>
                <w:sz w:val="19"/>
              </w:rPr>
              <w:t>Mucus or slight discharge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Small amounts of mucus or serous discharge from a chronic, indurated fissure.</w:t>
            </w:r>
          </w:p>
        </w:tc>
      </w:tr>
      <w:tr>
        <w:trPr>
          <w:cantSplit/>
        </w:trPr>
        <w:tc>
          <w:tcPr>
            <w:tcW w:type="dxa" w:w="2304"/>
            <w:vAlign w:val="top"/>
          </w:tcPr>
          <w:p>
            <w:pPr>
              <w:spacing w:after="40" w:before="0" w:line="259" w:lineRule="auto"/>
            </w:pPr>
            <w:r>
              <w:rPr>
                <w:rFonts w:ascii="Calibri" w:hAnsi="Calibri"/>
                <w:b/>
                <w:i w:val="0"/>
                <w:color w:val="212121"/>
                <w:sz w:val="19"/>
              </w:rPr>
              <w:t>Painless fissure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 relatively painless or atypical fissure suggests a secondary cause such as Crohn's disease or HIV.</w:t>
            </w:r>
          </w:p>
        </w:tc>
      </w:tr>
      <w:tr>
        <w:trPr>
          <w:cantSplit/>
        </w:trPr>
        <w:tc>
          <w:tcPr>
            <w:tcW w:type="dxa" w:w="2304"/>
            <w:vAlign w:val="top"/>
          </w:tcPr>
          <w:p>
            <w:pPr>
              <w:spacing w:after="40" w:before="0" w:line="259" w:lineRule="auto"/>
            </w:pPr>
            <w:r>
              <w:rPr>
                <w:rFonts w:ascii="Calibri" w:hAnsi="Calibri"/>
                <w:b/>
                <w:i w:val="0"/>
                <w:color w:val="212121"/>
                <w:sz w:val="19"/>
              </w:rPr>
              <w:t>Persistent or heavy bleeding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More than minor streak bleeding should prompt evaluation for other anorectal pathology.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Visible longitudinal anoderm tear at the midline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diagnostic finding on gentle buttock traction, usually posterior (or anterior in women).</w:t>
            </w:r>
          </w:p>
        </w:tc>
      </w:tr>
      <w:tr>
        <w:trPr>
          <w:cantSplit/>
        </w:trPr>
        <w:tc>
          <w:tcPr>
            <w:tcW w:type="dxa" w:w="3456"/>
            <w:vAlign w:val="top"/>
          </w:tcPr>
          <w:p>
            <w:pPr>
              <w:spacing w:after="40" w:before="0" w:line="259" w:lineRule="auto"/>
            </w:pPr>
            <w:r>
              <w:rPr>
                <w:rFonts w:ascii="Calibri" w:hAnsi="Calibri"/>
                <w:b/>
                <w:i w:val="0"/>
                <w:color w:val="212121"/>
                <w:sz w:val="19"/>
              </w:rPr>
              <w:t>Increased anal sphincter tone / spasm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tight, guarding sphincter on attempted examination, reflecting internal-sphincter hypertonia.</w:t>
            </w:r>
          </w:p>
        </w:tc>
      </w:tr>
      <w:tr>
        <w:trPr>
          <w:cantSplit/>
        </w:trPr>
        <w:tc>
          <w:tcPr>
            <w:tcW w:type="dxa" w:w="3456"/>
            <w:vAlign w:val="top"/>
          </w:tcPr>
          <w:p>
            <w:pPr>
              <w:spacing w:after="40" w:before="0" w:line="259" w:lineRule="auto"/>
            </w:pPr>
            <w:r>
              <w:rPr>
                <w:rFonts w:ascii="Calibri" w:hAnsi="Calibri"/>
                <w:b/>
                <w:i w:val="0"/>
                <w:color w:val="212121"/>
                <w:sz w:val="19"/>
              </w:rPr>
              <w:t>Sentinel skin tag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skin tag at the distal (outer) end of a chronic fissure — a hallmark of chronicity.</w:t>
            </w:r>
          </w:p>
        </w:tc>
      </w:tr>
      <w:tr>
        <w:trPr>
          <w:cantSplit/>
        </w:trPr>
        <w:tc>
          <w:tcPr>
            <w:tcW w:type="dxa" w:w="3456"/>
            <w:vAlign w:val="top"/>
          </w:tcPr>
          <w:p>
            <w:pPr>
              <w:spacing w:after="40" w:before="0" w:line="259" w:lineRule="auto"/>
            </w:pPr>
            <w:r>
              <w:rPr>
                <w:rFonts w:ascii="Calibri" w:hAnsi="Calibri"/>
                <w:b/>
                <w:i w:val="0"/>
                <w:color w:val="212121"/>
                <w:sz w:val="19"/>
              </w:rPr>
              <w:t>Hypertrophied anal papilla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firm papilla at the proximal (inner) end of a chronic fissure at the dentate line.</w:t>
            </w:r>
          </w:p>
        </w:tc>
      </w:tr>
      <w:tr>
        <w:trPr>
          <w:cantSplit/>
        </w:trPr>
        <w:tc>
          <w:tcPr>
            <w:tcW w:type="dxa" w:w="3456"/>
            <w:vAlign w:val="top"/>
          </w:tcPr>
          <w:p>
            <w:pPr>
              <w:spacing w:after="40" w:before="0" w:line="259" w:lineRule="auto"/>
            </w:pPr>
            <w:r>
              <w:rPr>
                <w:rFonts w:ascii="Calibri" w:hAnsi="Calibri"/>
                <w:b/>
                <w:i w:val="0"/>
                <w:color w:val="212121"/>
                <w:sz w:val="19"/>
              </w:rPr>
              <w:t>Exposed transverse internal-sphincter fibres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Whitish horizontal muscle fibres visible at the base of a deep chronic fissure.</w:t>
            </w:r>
          </w:p>
        </w:tc>
      </w:tr>
      <w:tr>
        <w:trPr>
          <w:cantSplit/>
        </w:trPr>
        <w:tc>
          <w:tcPr>
            <w:tcW w:type="dxa" w:w="3456"/>
            <w:vAlign w:val="top"/>
          </w:tcPr>
          <w:p>
            <w:pPr>
              <w:spacing w:after="40" w:before="0" w:line="259" w:lineRule="auto"/>
            </w:pPr>
            <w:r>
              <w:rPr>
                <w:rFonts w:ascii="Calibri" w:hAnsi="Calibri"/>
                <w:b/>
                <w:i w:val="0"/>
                <w:color w:val="212121"/>
                <w:sz w:val="19"/>
              </w:rPr>
              <w:t>Indurated fissure margins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Firm, rolled edges indicating a longstanding, chronic fissure.</w:t>
            </w:r>
          </w:p>
        </w:tc>
      </w:tr>
      <w:tr>
        <w:trPr>
          <w:cantSplit/>
        </w:trPr>
        <w:tc>
          <w:tcPr>
            <w:tcW w:type="dxa" w:w="3456"/>
            <w:vAlign w:val="top"/>
          </w:tcPr>
          <w:p>
            <w:pPr>
              <w:spacing w:after="40" w:before="0" w:line="259" w:lineRule="auto"/>
            </w:pPr>
            <w:r>
              <w:rPr>
                <w:rFonts w:ascii="Calibri" w:hAnsi="Calibri"/>
                <w:b/>
                <w:i w:val="0"/>
                <w:color w:val="212121"/>
                <w:sz w:val="19"/>
              </w:rPr>
              <w:t>Fresh blood on the glove or paper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Small amount of bright-red blood confirming recent bleeding from the tear.</w:t>
            </w:r>
          </w:p>
        </w:tc>
      </w:tr>
      <w:tr>
        <w:trPr>
          <w:cantSplit/>
        </w:trPr>
        <w:tc>
          <w:tcPr>
            <w:tcW w:type="dxa" w:w="3456"/>
            <w:vAlign w:val="top"/>
          </w:tcPr>
          <w:p>
            <w:pPr>
              <w:spacing w:after="40" w:before="0" w:line="259" w:lineRule="auto"/>
            </w:pPr>
            <w:r>
              <w:rPr>
                <w:rFonts w:ascii="Calibri" w:hAnsi="Calibri"/>
                <w:b/>
                <w:i w:val="0"/>
                <w:color w:val="212121"/>
                <w:sz w:val="19"/>
              </w:rPr>
              <w:t>Perianal excoriation / dermatitis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Skin irritation from moisture, discharge or repeated wiping around a chronic fissure.</w:t>
            </w:r>
          </w:p>
        </w:tc>
      </w:tr>
      <w:tr>
        <w:trPr>
          <w:cantSplit/>
        </w:trPr>
        <w:tc>
          <w:tcPr>
            <w:tcW w:type="dxa" w:w="3456"/>
            <w:vAlign w:val="top"/>
          </w:tcPr>
          <w:p>
            <w:pPr>
              <w:spacing w:after="40" w:before="0" w:line="259" w:lineRule="auto"/>
            </w:pPr>
            <w:r>
              <w:rPr>
                <w:rFonts w:ascii="Calibri" w:hAnsi="Calibri"/>
                <w:b/>
                <w:i w:val="0"/>
                <w:color w:val="212121"/>
                <w:sz w:val="19"/>
              </w:rPr>
              <w:t>Lateral or multiple fissures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Off-midline or multiple fissures are atypical and point to a secondary cause.</w:t>
            </w:r>
          </w:p>
        </w:tc>
      </w:tr>
      <w:tr>
        <w:trPr>
          <w:cantSplit/>
        </w:trPr>
        <w:tc>
          <w:tcPr>
            <w:tcW w:type="dxa" w:w="3456"/>
            <w:vAlign w:val="top"/>
          </w:tcPr>
          <w:p>
            <w:pPr>
              <w:spacing w:after="40" w:before="0" w:line="259" w:lineRule="auto"/>
            </w:pPr>
            <w:r>
              <w:rPr>
                <w:rFonts w:ascii="Calibri" w:hAnsi="Calibri"/>
                <w:b/>
                <w:i w:val="0"/>
                <w:color w:val="212121"/>
                <w:sz w:val="19"/>
              </w:rPr>
              <w:t>Undermined, irregular edges with granulation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Ragged, undermined ulceration suggests Crohn's disease, tuberculosis or malignancy and warrants biopsy.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non-healing fissure persisting beyond six weeks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intractable anal pain limiting defecation and daily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bright-red bleeding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Pain-withholding cycle with worsening constipation and faecal impaction</w:t>
            </w:r>
          </w:p>
        </w:tc>
        <w:tc>
          <w:tcPr>
            <w:tcW w:type="dxa" w:w="2980"/>
            <w:vAlign w:val="top"/>
          </w:tcPr>
          <w:p>
            <w:pPr>
              <w:spacing w:after="40" w:before="0" w:line="259" w:lineRule="auto"/>
            </w:pPr>
            <w:r>
              <w:rPr>
                <w:rFonts w:ascii="Calibri" w:hAnsi="Calibri"/>
                <w:b w:val="0"/>
                <w:i w:val="0"/>
                <w:color w:val="212121"/>
                <w:sz w:val="19"/>
              </w:rPr>
              <w:t>Direct consequences of the persistent tear and internal-sphincter spasm</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Sentinel skin tag and hypertrophied anal papilla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Perianal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Fissure-associated fistula-in-ano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local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Anal stenosis from chronic fibrosis</w:t>
            </w:r>
          </w:p>
        </w:tc>
        <w:tc>
          <w:tcPr>
            <w:tcW w:type="dxa" w:w="2980"/>
            <w:vAlign w:val="top"/>
          </w:tcPr>
          <w:p>
            <w:pPr>
              <w:spacing w:after="40" w:before="0" w:line="259" w:lineRule="auto"/>
            </w:pPr>
            <w:r>
              <w:rPr>
                <w:rFonts w:ascii="Calibri" w:hAnsi="Calibri"/>
                <w:b w:val="0"/>
                <w:i w:val="0"/>
                <w:color w:val="212121"/>
                <w:sz w:val="19"/>
              </w:rPr>
              <w:t>Local structural and infective sequelae of a chronic, poorly healing fissure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Faecal incontinence, particularly after lateral internal sphincterotomy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or refractory fissure requiring repeat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Keyhole deformity of the anal canal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pain with anxiety and impaired quality of life</w:t>
            </w:r>
          </w:p>
        </w:tc>
        <w:tc>
          <w:tcPr>
            <w:tcW w:type="dxa" w:w="2980"/>
            <w:vAlign w:val="top"/>
          </w:tcPr>
          <w:p>
            <w:pPr>
              <w:spacing w:after="40" w:before="0" w:line="259" w:lineRule="auto"/>
            </w:pPr>
            <w:r>
              <w:rPr>
                <w:rFonts w:ascii="Calibri" w:hAnsi="Calibri"/>
                <w:b w:val="0"/>
                <w:i w:val="0"/>
                <w:color w:val="212121"/>
                <w:sz w:val="19"/>
              </w:rPr>
              <w:t>Irreversible or treatment-related outcomes of longstanding disease and its surgery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Chronic / functional constipation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The strongest bidirectional association: hard stools and straining initiate fissures, while fissure pain drives stool-withholding that worsens constipation.</w:t>
            </w:r>
          </w:p>
          <w:p>
            <w:pPr>
              <w:spacing w:after="40" w:before="0" w:line="259" w:lineRule="auto"/>
            </w:pPr>
            <w:r>
              <w:rPr>
                <w:rFonts w:ascii="Calibri" w:hAnsi="Calibri"/>
                <w:b/>
                <w:i w:val="0"/>
                <w:color w:val="212121"/>
                <w:sz w:val="19"/>
              </w:rPr>
              <w:t>~18.1% (functional constipation, Kerala survey)</w:t>
            </w:r>
          </w:p>
        </w:tc>
      </w:tr>
      <w:tr>
        <w:trPr>
          <w:cantSplit/>
        </w:trPr>
        <w:tc>
          <w:tcPr>
            <w:tcW w:type="dxa" w:w="2232"/>
            <w:vAlign w:val="top"/>
          </w:tcPr>
          <w:p>
            <w:pPr>
              <w:spacing w:after="40" w:before="0" w:line="259" w:lineRule="auto"/>
            </w:pPr>
            <w:r>
              <w:rPr>
                <w:rFonts w:ascii="Calibri" w:hAnsi="Calibri"/>
                <w:b/>
                <w:i w:val="0"/>
                <w:color w:val="212121"/>
                <w:sz w:val="19"/>
              </w:rPr>
              <w:t>Haemorrhoids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Share the same constipation/straining mechanism and frequently coexist; both are managed with fibre and stool softening.</w:t>
            </w:r>
          </w:p>
        </w:tc>
      </w:tr>
      <w:tr>
        <w:trPr>
          <w:cantSplit/>
        </w:trPr>
        <w:tc>
          <w:tcPr>
            <w:tcW w:type="dxa" w:w="2232"/>
            <w:vAlign w:val="top"/>
          </w:tcPr>
          <w:p>
            <w:pPr>
              <w:spacing w:after="40" w:before="0" w:line="259" w:lineRule="auto"/>
            </w:pPr>
            <w:r>
              <w:rPr>
                <w:rFonts w:ascii="Calibri" w:hAnsi="Calibri"/>
                <w:b/>
                <w:i w:val="0"/>
                <w:color w:val="212121"/>
                <w:sz w:val="19"/>
              </w:rPr>
              <w:t>Crohn's disease / inflammatory bowel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Causes secondary atypical (lateral, multiple, deep) fissures; its presence contraindicates routine sphincterotomy and mandates conservative, disease-directed care.</w:t>
            </w:r>
          </w:p>
          <w:p>
            <w:pPr>
              <w:spacing w:after="40" w:before="0" w:line="259" w:lineRule="auto"/>
            </w:pPr>
            <w:r>
              <w:rPr>
                <w:rFonts w:ascii="Calibri" w:hAnsi="Calibri"/>
                <w:b/>
                <w:i w:val="0"/>
                <w:color w:val="212121"/>
                <w:sz w:val="19"/>
              </w:rPr>
              <w:t>Anal lesions in ~52% of Crohn's colitis</w:t>
            </w:r>
          </w:p>
        </w:tc>
      </w:tr>
      <w:tr>
        <w:trPr>
          <w:cantSplit/>
        </w:trPr>
        <w:tc>
          <w:tcPr>
            <w:tcW w:type="dxa" w:w="2232"/>
            <w:vAlign w:val="top"/>
          </w:tcPr>
          <w:p>
            <w:pPr>
              <w:spacing w:after="40" w:before="0" w:line="259" w:lineRule="auto"/>
            </w:pPr>
            <w:r>
              <w:rPr>
                <w:rFonts w:ascii="Calibri" w:hAnsi="Calibri"/>
                <w:b/>
                <w:i w:val="0"/>
                <w:color w:val="212121"/>
                <w:sz w:val="19"/>
              </w:rPr>
              <w:t>Fistula-in-ano</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 chronic fissure with an associated abscess can evolve into an anal fistula, changing operative planning.</w:t>
            </w:r>
          </w:p>
        </w:tc>
      </w:tr>
      <w:tr>
        <w:trPr>
          <w:cantSplit/>
        </w:trPr>
        <w:tc>
          <w:tcPr>
            <w:tcW w:type="dxa" w:w="2232"/>
            <w:vAlign w:val="top"/>
          </w:tcPr>
          <w:p>
            <w:pPr>
              <w:spacing w:after="40" w:before="0" w:line="259" w:lineRule="auto"/>
            </w:pPr>
            <w:r>
              <w:rPr>
                <w:rFonts w:ascii="Calibri" w:hAnsi="Calibri"/>
                <w:b/>
                <w:i w:val="0"/>
                <w:color w:val="212121"/>
                <w:sz w:val="19"/>
              </w:rPr>
              <w:t>Perianal abscess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 deep chronic fissure can become secondarily infected and form an abscess.</w:t>
            </w:r>
          </w:p>
        </w:tc>
      </w:tr>
      <w:tr>
        <w:trPr>
          <w:cantSplit/>
        </w:trPr>
        <w:tc>
          <w:tcPr>
            <w:tcW w:type="dxa" w:w="2232"/>
            <w:vAlign w:val="top"/>
          </w:tcPr>
          <w:p>
            <w:pPr>
              <w:spacing w:after="40" w:before="0" w:line="259" w:lineRule="auto"/>
            </w:pPr>
            <w:r>
              <w:rPr>
                <w:rFonts w:ascii="Calibri" w:hAnsi="Calibri"/>
                <w:b/>
                <w:i w:val="0"/>
                <w:color w:val="212121"/>
                <w:sz w:val="19"/>
              </w:rPr>
              <w:t>Anal stenosis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Chronic fibrosis of the fissure or over-aggressive surgery can narrow the anal canal.</w:t>
            </w:r>
          </w:p>
        </w:tc>
      </w:tr>
      <w:tr>
        <w:trPr>
          <w:cantSplit/>
        </w:trPr>
        <w:tc>
          <w:tcPr>
            <w:tcW w:type="dxa" w:w="2232"/>
            <w:vAlign w:val="top"/>
          </w:tcPr>
          <w:p>
            <w:pPr>
              <w:spacing w:after="40" w:before="0" w:line="259" w:lineRule="auto"/>
            </w:pPr>
            <w:r>
              <w:rPr>
                <w:rFonts w:ascii="Calibri" w:hAnsi="Calibri"/>
                <w:b/>
                <w:i w:val="0"/>
                <w:color w:val="212121"/>
                <w:sz w:val="19"/>
              </w:rPr>
              <w:t>Faecal incontinence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Chiefly a risk of lateral internal sphincterotomy, especially in low-pressure, postpartum or elderly patients; drives the shift to chemical sphincterotomy first.</w:t>
            </w:r>
          </w:p>
        </w:tc>
      </w:tr>
      <w:tr>
        <w:trPr>
          <w:cantSplit/>
        </w:trPr>
        <w:tc>
          <w:tcPr>
            <w:tcW w:type="dxa" w:w="2232"/>
            <w:vAlign w:val="top"/>
          </w:tcPr>
          <w:p>
            <w:pPr>
              <w:spacing w:after="40" w:before="0" w:line="259" w:lineRule="auto"/>
            </w:pPr>
            <w:r>
              <w:rPr>
                <w:rFonts w:ascii="Calibri" w:hAnsi="Calibri"/>
                <w:b/>
                <w:i w:val="0"/>
                <w:color w:val="212121"/>
                <w:sz w:val="19"/>
              </w:rPr>
              <w:t>Pregnancy and postpartum state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Predisposes to anterior, low-pressure fissures through constipation, straining and perineal trauma; treatment must be pregnancy-safe.</w:t>
            </w:r>
          </w:p>
          <w:p>
            <w:pPr>
              <w:spacing w:after="40" w:before="0" w:line="259" w:lineRule="auto"/>
            </w:pPr>
            <w:r>
              <w:rPr>
                <w:rFonts w:ascii="Calibri" w:hAnsi="Calibri"/>
                <w:b/>
                <w:i w:val="0"/>
                <w:color w:val="212121"/>
                <w:sz w:val="19"/>
              </w:rPr>
              <w:t>Anal lesion in ~35.2% postpartum</w:t>
            </w:r>
          </w:p>
        </w:tc>
      </w:tr>
      <w:tr>
        <w:trPr>
          <w:cantSplit/>
        </w:trPr>
        <w:tc>
          <w:tcPr>
            <w:tcW w:type="dxa" w:w="2232"/>
            <w:vAlign w:val="top"/>
          </w:tcPr>
          <w:p>
            <w:pPr>
              <w:spacing w:after="40" w:before="0" w:line="259" w:lineRule="auto"/>
            </w:pPr>
            <w:r>
              <w:rPr>
                <w:rFonts w:ascii="Calibri" w:hAnsi="Calibri"/>
                <w:b/>
                <w:i w:val="0"/>
                <w:color w:val="212121"/>
                <w:sz w:val="19"/>
              </w:rPr>
              <w:t>Secondary-constipation disorders (hypothyroidism, IBS-C, diabetes)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Underlying metabolic or functional disorders that sustain constipation and cause recurrent fissures unless corrected.</w:t>
            </w:r>
          </w:p>
        </w:tc>
      </w:tr>
      <w:tr>
        <w:trPr>
          <w:cantSplit/>
        </w:trPr>
        <w:tc>
          <w:tcPr>
            <w:tcW w:type="dxa" w:w="2232"/>
            <w:vAlign w:val="top"/>
          </w:tcPr>
          <w:p>
            <w:pPr>
              <w:spacing w:after="40" w:before="0" w:line="259" w:lineRule="auto"/>
            </w:pPr>
            <w:r>
              <w:rPr>
                <w:rFonts w:ascii="Calibri" w:hAnsi="Calibri"/>
                <w:b/>
                <w:i w:val="0"/>
                <w:color w:val="212121"/>
                <w:sz w:val="19"/>
              </w:rPr>
              <w:t>Immunosuppression / anorectal tuberculosis / HIV</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Cause atypical, non-healing, off-midline fissures needing biopsy and specific therapy — an important Indian differential.</w:t>
            </w:r>
          </w:p>
        </w:tc>
      </w:tr>
      <w:tr>
        <w:trPr>
          <w:cantSplit/>
        </w:trPr>
        <w:tc>
          <w:tcPr>
            <w:tcW w:type="dxa" w:w="2232"/>
            <w:vAlign w:val="top"/>
          </w:tcPr>
          <w:p>
            <w:pPr>
              <w:spacing w:after="40" w:before="0" w:line="259" w:lineRule="auto"/>
            </w:pPr>
            <w:r>
              <w:rPr>
                <w:rFonts w:ascii="Calibri" w:hAnsi="Calibri"/>
                <w:b/>
                <w:i w:val="0"/>
                <w:color w:val="212121"/>
                <w:sz w:val="19"/>
              </w:rPr>
              <w:t>Anxiety and depression around defecation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Fear of painful defecation and chronic pain feed a bidirectional gut-brain loop; reassurance and pain relief improve adherence and outcomes.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most acute fissures heal with simple measures — a high-fibre diet, plenty of fluids, warm sitz baths and avoiding straining — and that consistency matters more than any single remedy.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suppress the urge to defecate and avoid prolonged sitting or straining on the toilet (limit phone use); respond promptly when the urge 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pain-withholding trap: holding stool to avoid pain makes stools harder and the fissure worse, so keeping stools soft is the priority.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medical review for pain or bleeding lasting beyond a few weeks, for recurrent fissures, or for any lateral, multiple, painless or non-healing lesion, which may need further evaluation.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course of any prescribed topical treatment (e.g., calcium-channel-blocker or nitrate ointment) and maintenance fibre even after the pain settles, to prevent recurrence.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children with fissure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Postpartum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Recurrent-fissure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Constipation-prone adults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regular moderate activity such as brisk walking for at least 150 minutes a week to promote regular, soft bowel movements.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long unbroken periods of sitting; stand and move periodically through the day.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an unhurried, well-supported toilet posture (feet raised on a low stool, no straining) to reduce anal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gentle pelvic-floor relaxation rather than straining, which lowers resting anal tone.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Office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Constipation-prone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fissure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high-fibre diet of 25-35 g/day using whole grains and millets (ragi, jowar, bajra), pulses, fruit and vegetables in place of refined rice and wheat.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a soluble-fibre supplement such as psyllium (isabgol) if dietary fibre is hard to achieve, and continue it after healing to prevent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Drink adequate fluids (about 2-2.5 litres/day) to keep stools soft.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very spicy and heavily processed low-fibre foods, which can aggravate pain and worsen constipation.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Introduce fibre gradually to avoid bloating, and pair it with increased water intake.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Low-fibre eaters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Constipation-prone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office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Postpartum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stools soft during healing with fibre and, if needed, an osmotic stool softener so defecation does not re-tear the fissure.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warm sitz baths for 10-15 minutes two to three times a day and after bowel movements to relax the sphincter and relieve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prescribed topical therapy (calcium-channel blocker such as diltiazem, or a nitrate) as directed to lower sphincter pressure and improve healing; nitrates commonly cause headache.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gentle perianal hygiene — pat dry, avoid harsh soaps and vigorous wiping.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Return for review if the fissure has not healed within about six weeks, as botulinum toxin or lateral internal sphincterotomy may be needed.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Acute-fissure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Chronic-fissure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Post-treatment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topical therapy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and meal schedule, which supports a predictable, unhurried morning bowel routine.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pain-related sleep disturbance during an acute flare with adequate analgesia and sitz baths before bed.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an acute flare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quit smoking, since it impairs small-vessel blood flow and wound healing that the ischaemic fissure depends 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evidence-based cessation support if needed.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fissure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slow-healing fissures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moderate limits, as excess promotes dehydration and altered bowel habit.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fluid intake when drinking to avoid hardening the stool.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Constipation-prone adults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fear of painful defecation with reassurance and effective pain relief, so the withholding cycle is broken; this is especially important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relaxation and breathing techniques to reduce anal sphincter 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coexisting anxiety or low mood, which worsen bowel symptoms and adherence, and seek support for persistent chronic anal pain.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defecation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stool-withholding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Chronic-pain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26063/" TargetMode="External"/><Relationship Id="rId10" Type="http://schemas.openxmlformats.org/officeDocument/2006/relationships/hyperlink" Target="https://pubmed.ncbi.nlm.nih.gov/12004215/" TargetMode="External"/><Relationship Id="rId11" Type="http://schemas.openxmlformats.org/officeDocument/2006/relationships/hyperlink" Target="https://pubmed.ncbi.nlm.nih.gov/41624679/" TargetMode="External"/><Relationship Id="rId12" Type="http://schemas.openxmlformats.org/officeDocument/2006/relationships/hyperlink" Target="https://pubmed.ncbi.nlm.nih.gov/27262283/" TargetMode="External"/><Relationship Id="rId13" Type="http://schemas.openxmlformats.org/officeDocument/2006/relationships/hyperlink" Target="https://pubmed.ncbi.nlm.nih.gov/39256270/" TargetMode="External"/><Relationship Id="rId14" Type="http://schemas.openxmlformats.org/officeDocument/2006/relationships/hyperlink" Target="https://pubmed.ncbi.nlm.nih.gov/7472097/" TargetMode="External"/><Relationship Id="rId15" Type="http://schemas.openxmlformats.org/officeDocument/2006/relationships/hyperlink" Target="https://pubmed.ncbi.nlm.nih.gov/307074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