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Perianal Fistula / Abscess</w:t>
      </w:r>
    </w:p>
    <w:p>
      <w:pPr>
        <w:spacing w:before="0" w:after="160"/>
      </w:pPr>
      <w:r>
        <w:rPr>
          <w:rFonts w:ascii="Calibri" w:hAnsi="Calibri"/>
          <w:b/>
          <w:i w:val="0"/>
          <w:color w:val="212121"/>
          <w:sz w:val="22"/>
        </w:rPr>
        <w:t xml:space="preserve">AKA </w:t>
      </w:r>
      <w:r>
        <w:rPr>
          <w:rFonts w:ascii="Calibri" w:hAnsi="Calibri"/>
          <w:b w:val="0"/>
          <w:i w:val="0"/>
          <w:color w:val="212121"/>
          <w:sz w:val="22"/>
        </w:rPr>
        <w:t>i.e., Fistula-in-ano, Anal fistula, Anorectal/perianal abscess, Fistula-in-ano; in Ayurveda “Bhagandara”; perianal/anorectal sepsis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perianal (anorectal) abscess is an acute, localised collection of pus in the tissue spaces around the anus and rectum, most often arising from infection and obstruction of the anal glands (the cryptoglandular mechanism). An anal fistula (fistula-in-ano) is the chronic sequel of that abscess — an abnormal epithelialised tract connecting an internal opening in the anal canal, usually at the dentate line, to one or more external openings on the perianal skin. The two conditions represent the acute and chronic phases of the same disease process: roughly one-third of drained anorectal abscesses go on to form a persistent fistula. About 90% are cryptoglandular; the remainder are secondary to Crohn's disease, tuberculosis, trauma, malignancy or immunosuppression, distinctions that are especially important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Perianal abscess and its chronic sequel, anal fistula (fistula-in-ano), are among the commonest anorectal problems presenting to Indian surgical, proctology and Ayurvedic clinics, yet true population figures are underestimated because many patients present late or try traditional remedies first. Anal fistula has a reported incidence of up to about 21 per 100,000 people, with a two- to six-fold male predominance and a peak in the third to fifth decades (mean age around 40 years). Approximately 90% arise from the cryptoglandular route — infection of the anal glands — and roughly one-third of drained anorectal abscesses progress to a fistula. India carries an additional, distinctive burden: in a large Punjab cohort of 776 fistula patients, 122 (15.7%) had tuberculosis of the tract, echoing an older Indian series in which 15.6% of fistulae were tubercular — so anorectal tuberculosis must always be considered before a fistula is labelled simply ‘cryptoglandular’. India is also the historical home of Kshara Sutra, an Ayurvedic sphincter-preserving medicated-seton technique that remains widely practised and studied for fistula-in-ano.</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blood test; the diagnosis is clinical — confirmed and then mapped by examination and imaging — and, in India, considered complete only after tuberculosis and Crohn's disease have been weighed as underlying causes.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perianal inspection identifying one or more external openings discharging pus or serosanguineous fluid, often with a palpable indurated (cord-like) subcutaneous tract;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digital rectal examination and anoscopy/proctoscopy to locate the internal opening at the dentate line, feel the tract and assess resting and squeeze sphincter tone (baseline continence);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application of Goodsall's rule to predict the likely course and site of the internal opening from the position of the external opening relative to the transverse anal line;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examination under anaesthesia (EUA) — the practical gold standard — allowing gentle probing, dye or dilute hydrogen-peroxide instillation and definition of the tract's relationship to the internal and external sphincters;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of the pelvis (fistula protocol), the imaging gold standard for complex, recurrent or high fistulae and for suspected Crohn's or tuberculosis, mapping the primary tract, secondary extensions and any residual abscess (St James's University Hospital grades 1–5);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endoanal ultrasound, with peroxide enhancement where available, as an adjunct to delineate the tract and sphincter integrity;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when an abscess is present: recognition of a tender, warm, fluctuant erythematous perianal or ischioanal swelling, frequently with fever and malaise, that requires urgent incision and drainage;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work-up for the underlying cause — histopathology and TB-PCR/GeneXpert of tract tissue or pus (essential in India), colonoscopy when Crohn's disease is suspected, HIV testing, and fasting glucose/HbA1c to detect diabetes.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Perianal sepsis is described first by the acute abscess and the space it occupies, and then, in its chronic form, by the Parks classification of the fistula tract's relationship to the anal sphincters, which governs whether the tract can be safely divided:</w:t>
      </w:r>
    </w:p>
    <w:p>
      <w:pPr>
        <w:spacing w:before="0" w:after="80"/>
      </w:pPr>
      <w:r>
        <w:rPr>
          <w:rFonts w:ascii="Calibri" w:hAnsi="Calibri"/>
          <w:b w:val="0"/>
          <w:i w:val="0"/>
          <w:color w:val="212121"/>
          <w:sz w:val="21"/>
        </w:rPr>
        <w:t>(1) Anorectal abscess by space — perianal (the commonest, superficial, pointing to the perianal skin), ischioanal/ischiorectal (deeper, in the fat lateral to the sphincters, and able to cross behind the anus to the opposite side as a ‘horseshoe’), intersphincteric (between the sphincters), and supralevator (deep, above the levator ani and often related to pelvic or Crohn's disease);</w:t>
      </w:r>
    </w:p>
    <w:p>
      <w:pPr>
        <w:spacing w:before="0" w:after="80"/>
      </w:pPr>
      <w:r>
        <w:rPr>
          <w:rFonts w:ascii="Calibri" w:hAnsi="Calibri"/>
          <w:b w:val="0"/>
          <w:i w:val="0"/>
          <w:color w:val="212121"/>
          <w:sz w:val="21"/>
        </w:rPr>
        <w:t>(2) Parks Type 1 – Intersphincteric (about 45%): the tract stays between the internal and external sphincters and is usually a ‘low’, simple fistula suitable for fistulotomy;</w:t>
      </w:r>
    </w:p>
    <w:p>
      <w:pPr>
        <w:spacing w:before="0" w:after="80"/>
      </w:pPr>
      <w:r>
        <w:rPr>
          <w:rFonts w:ascii="Calibri" w:hAnsi="Calibri"/>
          <w:b w:val="0"/>
          <w:i w:val="0"/>
          <w:color w:val="212121"/>
          <w:sz w:val="21"/>
        </w:rPr>
        <w:t>(3) Parks Type 2 – Transsphincteric (about 30%): the tract crosses both the internal and external sphincters into the ischioanal fossa; high variants are ‘complex’;</w:t>
      </w:r>
    </w:p>
    <w:p>
      <w:pPr>
        <w:spacing w:before="0" w:after="80"/>
      </w:pPr>
      <w:r>
        <w:rPr>
          <w:rFonts w:ascii="Calibri" w:hAnsi="Calibri"/>
          <w:b w:val="0"/>
          <w:i w:val="0"/>
          <w:color w:val="212121"/>
          <w:sz w:val="21"/>
        </w:rPr>
        <w:t>(4) Parks Type 3 – Suprasphincteric (about 20%): the tract loops upward over the puborectalis before descending to the skin — a high, complex fistula that threatens continence if divided;</w:t>
      </w:r>
    </w:p>
    <w:p>
      <w:pPr>
        <w:spacing w:before="0" w:after="80"/>
      </w:pPr>
      <w:r>
        <w:rPr>
          <w:rFonts w:ascii="Calibri" w:hAnsi="Calibri"/>
          <w:b w:val="0"/>
          <w:i w:val="0"/>
          <w:color w:val="212121"/>
          <w:sz w:val="21"/>
        </w:rPr>
        <w:t>(5) Parks Type 4 – Extrasphincteric (about 5%): the tract runs outside the sphincter complex from the rectum to the perineal skin, usually secondary to Crohn's disease, trauma, foreign body or pelvic sepsis rather than cryptoglandular infection;</w:t>
      </w:r>
    </w:p>
    <w:p>
      <w:pPr>
        <w:spacing w:before="0" w:after="80"/>
      </w:pPr>
      <w:r>
        <w:rPr>
          <w:rFonts w:ascii="Calibri" w:hAnsi="Calibri"/>
          <w:b w:val="0"/>
          <w:i w:val="0"/>
          <w:color w:val="212121"/>
          <w:sz w:val="21"/>
        </w:rPr>
        <w:t>(6) Simple versus complex — a fistula is ‘complex’ when it is high transsphincteric, suprasphincteric or extrasphincteric, has multiple tracts or a horseshoe, is recurrent, is anterior in a woman, or is associated with Crohn's disease, tuberculosis, incontinence or radiation; complex fistulae carry the highest recurrence and incontinence risk and usually require sphincter-preserving surgery.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Cryptoglandular infection (most common, ~90%): obstruction and infection of the anal glands in the intersphincteric plane forms an abscess that tracks to the skin, leaving an epithelialised fistula once the acute infection settles.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Anorectal abscess: an inadequately drained, incompletely healed or recurrent abscess is the direct precursor of most fistulae, with roughly one-third of abscesses going on to fistulate.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Crohn's disease: transmural bowel inflammation produces complex, often multiple, recurrent and non-healing perianal fistulae, and perianal disease may be the presenting feature of Crohn's.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Tuberculosis: in TB-endemic India a substantial minority of fistulae are tubercular — typically multiple, recurrent and unresponsive to surgery alone until anti-tubercular therapy is given.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Trauma, obstetric and iatrogenic injury: anal trauma, an impacted foreign body, previous anorectal surgery or obstetric perineal injury can initiate a tract.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Other specific causes: hidradenitis suppurativa, actinomycosis, pelvic sepsis (e.g., diverticulitis), radiation proctitis and, rarely, anorectal malignancy.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and lifestyle risk factors: diabetes mellitus, smoking, obesity and immunosuppression (HIV, corticosteroids) impair healing and predispose to abscess formation and recurrence.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(peak 30–50 years)</w:t>
            </w:r>
          </w:p>
        </w:tc>
        <w:tc>
          <w:tcPr>
            <w:tcW w:type="dxa" w:w="4276"/>
            <w:vAlign w:val="top"/>
          </w:tcPr>
          <w:p>
            <w:pPr>
              <w:spacing w:after="60" w:line="259" w:lineRule="auto"/>
            </w:pPr>
            <w:r>
              <w:rPr>
                <w:rFonts w:ascii="Calibri" w:hAnsi="Calibri"/>
                <w:b w:val="0"/>
                <w:i w:val="0"/>
                <w:color w:val="212121"/>
                <w:sz w:val="19"/>
              </w:rPr>
              <w:t>Anal glands are most active and cryptoglandular abscesses commonest in young and middle-aged adults, when work, diet and toilet habits combine with peak glandular activity.</w:t>
            </w:r>
          </w:p>
          <w:p>
            <w:pPr>
              <w:spacing w:after="40" w:before="60" w:line="259" w:lineRule="auto"/>
            </w:pPr>
            <w:r>
              <w:rPr>
                <w:rFonts w:ascii="Calibri" w:hAnsi="Calibri"/>
                <w:b w:val="0"/>
                <w:i w:val="0"/>
                <w:color w:val="212121"/>
                <w:sz w:val="19"/>
              </w:rPr>
              <w:t>The mean age at presentation of a perianal abscess is about 40 years.</w:t>
            </w:r>
          </w:p>
          <w:p>
            <w:pPr>
              <w:spacing w:after="40" w:line="252" w:lineRule="auto"/>
            </w:pPr>
            <w:hyperlink r:id="rId9">
              <w:r>
                <w:rPr>
                  <w:rFonts w:ascii="Calibri" w:hAnsi="Calibri" w:cs="Calibri"/>
                  <w:sz w:val="18"/>
                  <w:color w:val="1155CC"/>
                  <w:u w:val="single"/>
                </w:rPr>
                <w:t xml:space="preserve">ncbi.nlm.nih.gov/books/NBK459167 — StatPearls: Perianal Abscess</w:t>
              </w:r>
            </w:hyperlink>
          </w:p>
          <w:p>
            <w:pPr>
              <w:spacing w:before="60" w:after="40"/>
            </w:pPr>
            <w:r>
              <w:rPr>
                <w:rFonts w:ascii="Calibri" w:hAnsi="Calibri"/>
                <w:b w:val="0"/>
                <w:i w:val="0"/>
                <w:color w:val="5A5A5A"/>
                <w:sz w:val="18"/>
              </w:rPr>
              <w:t>#workingage  #cryptoglandular  #peak30to50  #analglands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 (&lt; 2 years)</w:t>
            </w:r>
          </w:p>
        </w:tc>
        <w:tc>
          <w:tcPr>
            <w:tcW w:type="dxa" w:w="4276"/>
            <w:vAlign w:val="top"/>
          </w:tcPr>
          <w:p>
            <w:pPr>
              <w:spacing w:after="60" w:line="259" w:lineRule="auto"/>
            </w:pPr>
            <w:r>
              <w:rPr>
                <w:rFonts w:ascii="Calibri" w:hAnsi="Calibri"/>
                <w:b w:val="0"/>
                <w:i w:val="0"/>
                <w:color w:val="212121"/>
                <w:sz w:val="19"/>
              </w:rPr>
              <w:t>Perianal abscess and fistula also occur in infancy, almost always in boys, thought to reflect abnormally deep or immature anal crypts; most such fistulae are simple and low and many resolve with conservative care.</w:t>
            </w:r>
          </w:p>
          <w:p>
            <w:pPr>
              <w:spacing w:after="40" w:before="60" w:line="259" w:lineRule="auto"/>
            </w:pPr>
            <w:r>
              <w:rPr>
                <w:rFonts w:ascii="Calibri" w:hAnsi="Calibri"/>
                <w:b w:val="0"/>
                <w:i w:val="0"/>
                <w:color w:val="212121"/>
                <w:sz w:val="19"/>
              </w:rPr>
              <w:t>Congenital perianal fistulas in infants are more common in boys.</w:t>
            </w:r>
          </w:p>
          <w:p>
            <w:pPr>
              <w:spacing w:after="40" w:line="252" w:lineRule="auto"/>
            </w:pPr>
            <w:hyperlink r:id="rId10">
              <w:r>
                <w:rPr>
                  <w:rFonts w:ascii="Calibri" w:hAnsi="Calibri" w:cs="Calibri"/>
                  <w:sz w:val="18"/>
                  <w:color w:val="1155CC"/>
                  <w:u w:val="single"/>
                </w:rPr>
                <w:t xml:space="preserve">msdmanuals.com — Anorectal fistula (professional)</w:t>
              </w:r>
            </w:hyperlink>
          </w:p>
          <w:p>
            <w:pPr>
              <w:spacing w:before="60" w:after="40"/>
            </w:pPr>
            <w:r>
              <w:rPr>
                <w:rFonts w:ascii="Calibri" w:hAnsi="Calibri"/>
                <w:b w:val="0"/>
                <w:i w:val="0"/>
                <w:color w:val="5A5A5A"/>
                <w:sz w:val="18"/>
              </w:rPr>
              <w:t>#infants  #boys  #congenital  #simplefistula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w:t>
            </w:r>
          </w:p>
        </w:tc>
        <w:tc>
          <w:tcPr>
            <w:tcW w:type="dxa" w:w="4276"/>
            <w:vAlign w:val="top"/>
          </w:tcPr>
          <w:p>
            <w:pPr>
              <w:spacing w:after="60" w:line="259" w:lineRule="auto"/>
            </w:pPr>
            <w:r>
              <w:rPr>
                <w:rFonts w:ascii="Calibri" w:hAnsi="Calibri"/>
                <w:b w:val="0"/>
                <w:i w:val="0"/>
                <w:color w:val="212121"/>
                <w:sz w:val="19"/>
              </w:rPr>
              <w:t>Males predominate strongly, attributed to androgen-driven anal-gland activity and anatomical differences; men present earlier and with more cryptoglandular disease.</w:t>
            </w:r>
          </w:p>
          <w:p>
            <w:pPr>
              <w:spacing w:after="40" w:before="60" w:line="259" w:lineRule="auto"/>
            </w:pPr>
            <w:r>
              <w:rPr>
                <w:rFonts w:ascii="Calibri" w:hAnsi="Calibri"/>
                <w:b w:val="0"/>
                <w:i w:val="0"/>
                <w:color w:val="212121"/>
                <w:sz w:val="19"/>
              </w:rPr>
              <w:t>Adult males are about twice as likely as females to develop an anorectal abscess (anal fistula is reported to be 2–6 times commoner in males).</w:t>
            </w:r>
          </w:p>
          <w:p>
            <w:pPr>
              <w:spacing w:after="40" w:line="252" w:lineRule="auto"/>
            </w:pPr>
            <w:hyperlink r:id="rId9">
              <w:r>
                <w:rPr>
                  <w:rFonts w:ascii="Calibri" w:hAnsi="Calibri" w:cs="Calibri"/>
                  <w:sz w:val="18"/>
                  <w:color w:val="1155CC"/>
                  <w:u w:val="single"/>
                </w:rPr>
                <w:t xml:space="preserve">ncbi.nlm.nih.gov/books/NBK459167 — StatPearls: Perianal Abscess</w:t>
              </w:r>
            </w:hyperlink>
          </w:p>
          <w:p>
            <w:pPr>
              <w:spacing w:before="60" w:after="40"/>
            </w:pPr>
            <w:r>
              <w:rPr>
                <w:rFonts w:ascii="Calibri" w:hAnsi="Calibri"/>
                <w:b w:val="0"/>
                <w:i w:val="0"/>
                <w:color w:val="5A5A5A"/>
                <w:sz w:val="18"/>
              </w:rPr>
              <w:t>#malepredominance  #androgen  #analgland  #2to6fold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groups, manual labourers, poor toilet access</w:t>
            </w:r>
          </w:p>
        </w:tc>
        <w:tc>
          <w:tcPr>
            <w:tcW w:type="dxa" w:w="4276"/>
            <w:vAlign w:val="top"/>
          </w:tcPr>
          <w:p>
            <w:pPr>
              <w:spacing w:after="60" w:line="259" w:lineRule="auto"/>
            </w:pPr>
            <w:r>
              <w:rPr>
                <w:rFonts w:ascii="Calibri" w:hAnsi="Calibri"/>
                <w:b w:val="0"/>
                <w:i w:val="0"/>
                <w:color w:val="212121"/>
                <w:sz w:val="19"/>
              </w:rPr>
              <w:t>Limited access to timely surgical care, heavy manual work, prolonged squatting and reliance on traditional remedies lead to delayed presentation, chronic discharging fistulae and complex, recurrent disease.</w:t>
            </w:r>
          </w:p>
          <w:p>
            <w:pPr>
              <w:spacing w:before="60" w:after="40"/>
            </w:pPr>
            <w:r>
              <w:rPr>
                <w:rFonts w:ascii="Calibri" w:hAnsi="Calibri"/>
                <w:b w:val="0"/>
                <w:i w:val="0"/>
                <w:color w:val="5A5A5A"/>
                <w:sz w:val="18"/>
              </w:rPr>
              <w:t>#lowSES  #delayedcare  #manuallabour  #chronicfistula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TB-endemic India</w:t>
            </w:r>
          </w:p>
        </w:tc>
        <w:tc>
          <w:tcPr>
            <w:tcW w:type="dxa" w:w="4276"/>
            <w:vAlign w:val="top"/>
          </w:tcPr>
          <w:p>
            <w:pPr>
              <w:spacing w:after="60" w:line="259" w:lineRule="auto"/>
            </w:pPr>
            <w:r>
              <w:rPr>
                <w:rFonts w:ascii="Calibri" w:hAnsi="Calibri"/>
                <w:b w:val="0"/>
                <w:i w:val="0"/>
                <w:color w:val="212121"/>
                <w:sz w:val="19"/>
              </w:rPr>
              <w:t>India's high tuberculosis burden means a significant proportion of ‘idiopathic’ anal fistulae are in fact tubercular; these are multiple, recurrent and heal only with anti-tubercular therapy, so anorectal TB must be actively excluded in every complex or recurrent Indian fistula.</w:t>
            </w:r>
          </w:p>
          <w:p>
            <w:pPr>
              <w:spacing w:after="40" w:before="60" w:line="259" w:lineRule="auto"/>
            </w:pPr>
            <w:r>
              <w:rPr>
                <w:rFonts w:ascii="Calibri" w:hAnsi="Calibri"/>
                <w:b w:val="0"/>
                <w:i w:val="0"/>
                <w:color w:val="212121"/>
                <w:sz w:val="19"/>
              </w:rPr>
              <w:t>In a Punjab cohort of 776 anal-fistula patients, 122 (15.7%) had tuberculosis detected in the tract, most sensitively by PCR of pus.</w:t>
            </w:r>
          </w:p>
          <w:p>
            <w:pPr>
              <w:spacing w:after="40" w:line="252" w:lineRule="auto"/>
            </w:pPr>
            <w:hyperlink r:id="rId11">
              <w:r>
                <w:rPr>
                  <w:rFonts w:ascii="Calibri" w:hAnsi="Calibri" w:cs="Calibri"/>
                  <w:sz w:val="18"/>
                  <w:color w:val="1155CC"/>
                  <w:u w:val="single"/>
                </w:rPr>
                <w:t xml:space="preserve">pubmed.ncbi.nlm.nih.gov/33968302 — anorectal TB in 776 fistula patients (India)</w:t>
              </w:r>
            </w:hyperlink>
          </w:p>
          <w:p>
            <w:pPr>
              <w:spacing w:before="60" w:after="40"/>
            </w:pPr>
            <w:r>
              <w:rPr>
                <w:rFonts w:ascii="Calibri" w:hAnsi="Calibri"/>
                <w:b w:val="0"/>
                <w:i w:val="0"/>
                <w:color w:val="5A5A5A"/>
                <w:sz w:val="18"/>
              </w:rPr>
              <w:t>#tuberculosis  #TBendemic  #recurrentfistula  #GeneXpert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&amp; occupation</w:t>
            </w:r>
          </w:p>
        </w:tc>
        <w:tc>
          <w:tcPr>
            <w:tcW w:type="dxa" w:w="2160"/>
            <w:vAlign w:val="top"/>
          </w:tcPr>
          <w:p>
            <w:pPr>
              <w:spacing w:after="40" w:before="0" w:line="259" w:lineRule="auto"/>
            </w:pPr>
            <w:r>
              <w:rPr>
                <w:rFonts w:ascii="Calibri" w:hAnsi="Calibri"/>
                <w:b w:val="0"/>
                <w:i w:val="0"/>
                <w:color w:val="212121"/>
                <w:sz w:val="19"/>
              </w:rPr>
              <w:t>Hot-humid regions; drivers &amp; prolonged sitters</w:t>
            </w:r>
          </w:p>
        </w:tc>
        <w:tc>
          <w:tcPr>
            <w:tcW w:type="dxa" w:w="4276"/>
            <w:vAlign w:val="top"/>
          </w:tcPr>
          <w:p>
            <w:pPr>
              <w:spacing w:after="60" w:line="259" w:lineRule="auto"/>
            </w:pPr>
            <w:r>
              <w:rPr>
                <w:rFonts w:ascii="Calibri" w:hAnsi="Calibri"/>
                <w:b w:val="0"/>
                <w:i w:val="0"/>
                <w:color w:val="212121"/>
                <w:sz w:val="19"/>
              </w:rPr>
              <w:t>A hot, humid perineal environment with heavy sweating, prolonged sitting or driving and friction macerates perianal skin and favours gland blockage, sepsis and poor wound healing.</w:t>
            </w:r>
          </w:p>
          <w:p>
            <w:pPr>
              <w:spacing w:before="60" w:after="40"/>
            </w:pPr>
            <w:r>
              <w:rPr>
                <w:rFonts w:ascii="Calibri" w:hAnsi="Calibri"/>
                <w:b w:val="0"/>
                <w:i w:val="0"/>
                <w:color w:val="5A5A5A"/>
                <w:sz w:val="18"/>
              </w:rPr>
              <w:t>#hothumid  #perianalmoisture  #drivers  #prolongedsitting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prolonged sitting</w:t>
            </w:r>
          </w:p>
        </w:tc>
        <w:tc>
          <w:tcPr>
            <w:tcW w:type="dxa" w:w="2160"/>
            <w:vAlign w:val="top"/>
          </w:tcPr>
          <w:p>
            <w:pPr>
              <w:spacing w:after="40" w:before="0" w:line="259" w:lineRule="auto"/>
            </w:pPr>
            <w:r>
              <w:rPr>
                <w:rFonts w:ascii="Calibri" w:hAnsi="Calibri"/>
                <w:b w:val="0"/>
                <w:i w:val="0"/>
                <w:color w:val="212121"/>
                <w:sz w:val="19"/>
              </w:rPr>
              <w:t>Long-distance drivers, desk &amp; IT workers</w:t>
            </w:r>
          </w:p>
        </w:tc>
        <w:tc>
          <w:tcPr>
            <w:tcW w:type="dxa" w:w="4276"/>
            <w:vAlign w:val="top"/>
          </w:tcPr>
          <w:p>
            <w:pPr>
              <w:spacing w:after="60" w:line="259" w:lineRule="auto"/>
            </w:pPr>
            <w:r>
              <w:rPr>
                <w:rFonts w:ascii="Calibri" w:hAnsi="Calibri"/>
                <w:b w:val="0"/>
                <w:i w:val="0"/>
                <w:color w:val="212121"/>
                <w:sz w:val="19"/>
              </w:rPr>
              <w:t>Sustained pressure on the perineum from long hours of sitting or driving impairs local blood flow and hygiene and is a recognised aggravator of anal gland sepsis and fistula recurrence.</w:t>
            </w:r>
          </w:p>
          <w:p>
            <w:pPr>
              <w:spacing w:before="60" w:after="40"/>
            </w:pPr>
            <w:r>
              <w:rPr>
                <w:rFonts w:ascii="Calibri" w:hAnsi="Calibri"/>
                <w:b w:val="0"/>
                <w:i w:val="0"/>
                <w:color w:val="5A5A5A"/>
                <w:sz w:val="18"/>
              </w:rPr>
              <w:t>#sedentary  #perinealpressure  #deskwork  #hygiene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cigarette smokers</w:t>
            </w:r>
          </w:p>
        </w:tc>
        <w:tc>
          <w:tcPr>
            <w:tcW w:type="dxa" w:w="4276"/>
            <w:vAlign w:val="top"/>
          </w:tcPr>
          <w:p>
            <w:pPr>
              <w:spacing w:after="60" w:line="259" w:lineRule="auto"/>
            </w:pPr>
            <w:r>
              <w:rPr>
                <w:rFonts w:ascii="Calibri" w:hAnsi="Calibri"/>
                <w:b w:val="0"/>
                <w:i w:val="0"/>
                <w:color w:val="212121"/>
                <w:sz w:val="19"/>
              </w:rPr>
              <w:t>Smoking impairs microvascular perfusion and wound healing and is a recognised risk factor for anorectal abscess and for delayed healing and recurrence after fistula surgery.</w:t>
            </w:r>
          </w:p>
          <w:p>
            <w:pPr>
              <w:spacing w:after="40" w:before="60" w:line="259" w:lineRule="auto"/>
            </w:pPr>
            <w:r>
              <w:rPr>
                <w:rFonts w:ascii="Calibri" w:hAnsi="Calibri"/>
                <w:b w:val="0"/>
                <w:i w:val="0"/>
                <w:color w:val="212121"/>
                <w:sz w:val="19"/>
              </w:rPr>
              <w:t>Smoking is listed among the principal risk factors for developing a perianal abscess.</w:t>
            </w:r>
          </w:p>
          <w:p>
            <w:pPr>
              <w:spacing w:after="40" w:line="252" w:lineRule="auto"/>
            </w:pPr>
            <w:hyperlink r:id="rId9">
              <w:r>
                <w:rPr>
                  <w:rFonts w:ascii="Calibri" w:hAnsi="Calibri" w:cs="Calibri"/>
                  <w:sz w:val="18"/>
                  <w:color w:val="1155CC"/>
                  <w:u w:val="single"/>
                </w:rPr>
                <w:t xml:space="preserve">ncbi.nlm.nih.gov/books/NBK459167 — StatPearls: Perianal Abscess</w:t>
              </w:r>
            </w:hyperlink>
          </w:p>
          <w:p>
            <w:pPr>
              <w:spacing w:before="60" w:after="40"/>
            </w:pPr>
            <w:r>
              <w:rPr>
                <w:rFonts w:ascii="Calibri" w:hAnsi="Calibri"/>
                <w:b w:val="0"/>
                <w:i w:val="0"/>
                <w:color w:val="5A5A5A"/>
                <w:sz w:val="18"/>
              </w:rPr>
              <w:t>#smoking  #poorhealing  #recurrence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obesity</w:t>
            </w:r>
          </w:p>
        </w:tc>
        <w:tc>
          <w:tcPr>
            <w:tcW w:type="dxa" w:w="2160"/>
            <w:vAlign w:val="top"/>
          </w:tcPr>
          <w:p>
            <w:pPr>
              <w:spacing w:after="40" w:before="0" w:line="259" w:lineRule="auto"/>
            </w:pPr>
            <w:r>
              <w:rPr>
                <w:rFonts w:ascii="Calibri" w:hAnsi="Calibri"/>
                <w:b w:val="0"/>
                <w:i w:val="0"/>
                <w:color w:val="212121"/>
                <w:sz w:val="19"/>
              </w:rPr>
              <w:t>Overweight and obese adults</w:t>
            </w:r>
          </w:p>
        </w:tc>
        <w:tc>
          <w:tcPr>
            <w:tcW w:type="dxa" w:w="4276"/>
            <w:vAlign w:val="top"/>
          </w:tcPr>
          <w:p>
            <w:pPr>
              <w:spacing w:after="60" w:line="259" w:lineRule="auto"/>
            </w:pPr>
            <w:r>
              <w:rPr>
                <w:rFonts w:ascii="Calibri" w:hAnsi="Calibri"/>
                <w:b w:val="0"/>
                <w:i w:val="0"/>
                <w:color w:val="212121"/>
                <w:sz w:val="19"/>
              </w:rPr>
              <w:t>Obesity deepens the perianal fat spaces, hampers perianal hygiene and wound care, and is associated with larger, deeper abscesses and higher recurrence and healing difficulty.</w:t>
            </w:r>
          </w:p>
          <w:p>
            <w:pPr>
              <w:spacing w:before="60" w:after="40"/>
            </w:pPr>
            <w:r>
              <w:rPr>
                <w:rFonts w:ascii="Calibri" w:hAnsi="Calibri"/>
                <w:b w:val="0"/>
                <w:i w:val="0"/>
                <w:color w:val="5A5A5A"/>
                <w:sz w:val="18"/>
              </w:rPr>
              <w:t>#obesity  #deepabscess  #hygiene  #delayedhealing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Perianal hygiene</w:t>
            </w:r>
          </w:p>
        </w:tc>
        <w:tc>
          <w:tcPr>
            <w:tcW w:type="dxa" w:w="2160"/>
            <w:vAlign w:val="top"/>
          </w:tcPr>
          <w:p>
            <w:pPr>
              <w:spacing w:after="40" w:before="0" w:line="259" w:lineRule="auto"/>
            </w:pPr>
            <w:r>
              <w:rPr>
                <w:rFonts w:ascii="Calibri" w:hAnsi="Calibri"/>
                <w:b w:val="0"/>
                <w:i w:val="0"/>
                <w:color w:val="212121"/>
                <w:sz w:val="19"/>
              </w:rPr>
              <w:t>Poor perianal hygiene; chronic diarrhoea/soiling</w:t>
            </w:r>
          </w:p>
        </w:tc>
        <w:tc>
          <w:tcPr>
            <w:tcW w:type="dxa" w:w="4276"/>
            <w:vAlign w:val="top"/>
          </w:tcPr>
          <w:p>
            <w:pPr>
              <w:spacing w:after="60" w:line="259" w:lineRule="auto"/>
            </w:pPr>
            <w:r>
              <w:rPr>
                <w:rFonts w:ascii="Calibri" w:hAnsi="Calibri"/>
                <w:b w:val="0"/>
                <w:i w:val="0"/>
                <w:color w:val="212121"/>
                <w:sz w:val="19"/>
              </w:rPr>
              <w:t>Faecal soiling, chronic moisture and inadequate cleaning promote bacterial entry into the anal crypts and repeated infection, while good hygiene and dryness aid healing and prevent recurrent sepsis.</w:t>
            </w:r>
          </w:p>
          <w:p>
            <w:pPr>
              <w:spacing w:before="60" w:after="40"/>
            </w:pPr>
            <w:r>
              <w:rPr>
                <w:rFonts w:ascii="Calibri" w:hAnsi="Calibri"/>
                <w:b w:val="0"/>
                <w:i w:val="0"/>
                <w:color w:val="5A5A5A"/>
                <w:sz w:val="18"/>
              </w:rPr>
              <w:t>#hygiene  #soiling  #moisture  #recurrentsepsis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Low-fibre diet &amp; constipation</w:t>
            </w:r>
          </w:p>
        </w:tc>
        <w:tc>
          <w:tcPr>
            <w:tcW w:type="dxa" w:w="2160"/>
            <w:vAlign w:val="top"/>
          </w:tcPr>
          <w:p>
            <w:pPr>
              <w:spacing w:after="40" w:before="0" w:line="259" w:lineRule="auto"/>
            </w:pPr>
            <w:r>
              <w:rPr>
                <w:rFonts w:ascii="Calibri" w:hAnsi="Calibri"/>
                <w:b w:val="0"/>
                <w:i w:val="0"/>
                <w:color w:val="212121"/>
                <w:sz w:val="19"/>
              </w:rPr>
              <w:t>Refined ‘polished-rice/maida’, low-fibre eaters</w:t>
            </w:r>
          </w:p>
        </w:tc>
        <w:tc>
          <w:tcPr>
            <w:tcW w:type="dxa" w:w="4276"/>
            <w:vAlign w:val="top"/>
          </w:tcPr>
          <w:p>
            <w:pPr>
              <w:spacing w:after="60" w:line="259" w:lineRule="auto"/>
            </w:pPr>
            <w:r>
              <w:rPr>
                <w:rFonts w:ascii="Calibri" w:hAnsi="Calibri"/>
                <w:b w:val="0"/>
                <w:i w:val="0"/>
                <w:color w:val="212121"/>
                <w:sz w:val="19"/>
              </w:rPr>
              <w:t>Low-fibre refined diets cause hard stool and straining, which traumatise the anal crypts and canal and predispose to gland obstruction, fissures and cryptoglandular sepsis.</w:t>
            </w:r>
          </w:p>
          <w:p>
            <w:pPr>
              <w:spacing w:before="60" w:after="40"/>
            </w:pPr>
            <w:r>
              <w:rPr>
                <w:rFonts w:ascii="Calibri" w:hAnsi="Calibri"/>
                <w:b w:val="0"/>
                <w:i w:val="0"/>
                <w:color w:val="5A5A5A"/>
                <w:sz w:val="18"/>
              </w:rPr>
              <w:t>#lowfibre  #constipation  #straining  #refineddiet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fluid &amp; high spicy intake</w:t>
            </w:r>
          </w:p>
        </w:tc>
        <w:tc>
          <w:tcPr>
            <w:tcW w:type="dxa" w:w="2160"/>
            <w:vAlign w:val="top"/>
          </w:tcPr>
          <w:p>
            <w:pPr>
              <w:spacing w:after="40" w:before="0" w:line="259" w:lineRule="auto"/>
            </w:pPr>
            <w:r>
              <w:rPr>
                <w:rFonts w:ascii="Calibri" w:hAnsi="Calibri"/>
                <w:b w:val="0"/>
                <w:i w:val="0"/>
                <w:color w:val="212121"/>
                <w:sz w:val="19"/>
              </w:rPr>
              <w:t>Low-water, heavily spiced diets</w:t>
            </w:r>
          </w:p>
        </w:tc>
        <w:tc>
          <w:tcPr>
            <w:tcW w:type="dxa" w:w="4276"/>
            <w:vAlign w:val="top"/>
          </w:tcPr>
          <w:p>
            <w:pPr>
              <w:spacing w:after="60" w:line="259" w:lineRule="auto"/>
            </w:pPr>
            <w:r>
              <w:rPr>
                <w:rFonts w:ascii="Calibri" w:hAnsi="Calibri"/>
                <w:b w:val="0"/>
                <w:i w:val="0"/>
                <w:color w:val="212121"/>
                <w:sz w:val="19"/>
              </w:rPr>
              <w:t>Inadequate fluid hardens stool and worsens constipation, while very spicy food can aggravate anal irritation and burning during defecation, adding to perianal trauma.</w:t>
            </w:r>
          </w:p>
          <w:p>
            <w:pPr>
              <w:spacing w:before="60" w:after="40"/>
            </w:pPr>
            <w:r>
              <w:rPr>
                <w:rFonts w:ascii="Calibri" w:hAnsi="Calibri"/>
                <w:b w:val="0"/>
                <w:i w:val="0"/>
                <w:color w:val="5A5A5A"/>
                <w:sz w:val="18"/>
              </w:rPr>
              <w:t>#dehydration  #hardstool  #spicyfood  #analirritation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predisposition</w:t>
            </w:r>
          </w:p>
        </w:tc>
        <w:tc>
          <w:tcPr>
            <w:tcW w:type="dxa" w:w="2160"/>
            <w:vAlign w:val="top"/>
          </w:tcPr>
          <w:p>
            <w:pPr>
              <w:spacing w:after="40" w:before="0" w:line="259" w:lineRule="auto"/>
            </w:pPr>
            <w:r>
              <w:rPr>
                <w:rFonts w:ascii="Calibri" w:hAnsi="Calibri"/>
                <w:b w:val="0"/>
                <w:i w:val="0"/>
                <w:color w:val="212121"/>
                <w:sz w:val="19"/>
              </w:rPr>
              <w:t>Family history of Crohn's or hidradenitis suppurativa</w:t>
            </w:r>
          </w:p>
        </w:tc>
        <w:tc>
          <w:tcPr>
            <w:tcW w:type="dxa" w:w="4276"/>
            <w:vAlign w:val="top"/>
          </w:tcPr>
          <w:p>
            <w:pPr>
              <w:spacing w:after="60" w:line="259" w:lineRule="auto"/>
            </w:pPr>
            <w:r>
              <w:rPr>
                <w:rFonts w:ascii="Calibri" w:hAnsi="Calibri"/>
                <w:b w:val="0"/>
                <w:i w:val="0"/>
                <w:color w:val="212121"/>
                <w:sz w:val="19"/>
              </w:rPr>
              <w:t>A familial predisposition to inflammatory bowel disease or to hidradenitis suppurativa raises the risk of complex, recurrent perianal fistulising disease over a lifetime.</w:t>
            </w:r>
          </w:p>
          <w:p>
            <w:pPr>
              <w:spacing w:before="60" w:after="40"/>
            </w:pPr>
            <w:r>
              <w:rPr>
                <w:rFonts w:ascii="Calibri" w:hAnsi="Calibri"/>
                <w:b w:val="0"/>
                <w:i w:val="0"/>
                <w:color w:val="5A5A5A"/>
                <w:sz w:val="18"/>
              </w:rPr>
              <w:t>#familyhistory  #Crohns  #hidradenitis  #complexfistula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Crohn's disease</w:t>
            </w:r>
          </w:p>
        </w:tc>
        <w:tc>
          <w:tcPr>
            <w:tcW w:type="dxa" w:w="2160"/>
            <w:vAlign w:val="top"/>
          </w:tcPr>
          <w:p>
            <w:pPr>
              <w:spacing w:after="40" w:before="0" w:line="259" w:lineRule="auto"/>
            </w:pPr>
            <w:r>
              <w:rPr>
                <w:rFonts w:ascii="Calibri" w:hAnsi="Calibri"/>
                <w:b w:val="0"/>
                <w:i w:val="0"/>
                <w:color w:val="212121"/>
                <w:sz w:val="19"/>
              </w:rPr>
              <w:t>Patients with Crohn's disease</w:t>
            </w:r>
          </w:p>
        </w:tc>
        <w:tc>
          <w:tcPr>
            <w:tcW w:type="dxa" w:w="4276"/>
            <w:vAlign w:val="top"/>
          </w:tcPr>
          <w:p>
            <w:pPr>
              <w:spacing w:after="60" w:line="259" w:lineRule="auto"/>
            </w:pPr>
            <w:r>
              <w:rPr>
                <w:rFonts w:ascii="Calibri" w:hAnsi="Calibri"/>
                <w:b w:val="0"/>
                <w:i w:val="0"/>
                <w:color w:val="212121"/>
                <w:sz w:val="19"/>
              </w:rPr>
              <w:t>Transmural inflammation makes perianal fistulae a hallmark of Crohn's disease — often multiple, complex, recurrent and slow to heal — and they may precede the intestinal diagnosis, requiring combined medical (including biologics) and sphincter-preserving surgical care.</w:t>
            </w:r>
          </w:p>
          <w:p>
            <w:pPr>
              <w:spacing w:after="40" w:before="60" w:line="259" w:lineRule="auto"/>
            </w:pPr>
            <w:r>
              <w:rPr>
                <w:rFonts w:ascii="Calibri" w:hAnsi="Calibri"/>
                <w:b w:val="0"/>
                <w:i w:val="0"/>
                <w:color w:val="212121"/>
                <w:sz w:val="19"/>
              </w:rPr>
              <w:t>Crohn's disease is a well-recognised cause of complex, recurrent perianal fistula and abscess.</w:t>
            </w:r>
          </w:p>
          <w:p>
            <w:pPr>
              <w:spacing w:after="40" w:line="252" w:lineRule="auto"/>
            </w:pPr>
            <w:hyperlink r:id="rId12">
              <w:r>
                <w:rPr>
                  <w:rFonts w:ascii="Calibri" w:hAnsi="Calibri" w:cs="Calibri"/>
                  <w:sz w:val="18"/>
                  <w:color w:val="1155CC"/>
                  <w:u w:val="single"/>
                </w:rPr>
                <w:t xml:space="preserve">nhs.uk — Anal fistula (causes)</w:t>
              </w:r>
            </w:hyperlink>
          </w:p>
          <w:p>
            <w:pPr>
              <w:spacing w:before="60" w:after="40"/>
            </w:pPr>
            <w:r>
              <w:rPr>
                <w:rFonts w:ascii="Calibri" w:hAnsi="Calibri"/>
                <w:b w:val="0"/>
                <w:i w:val="0"/>
                <w:color w:val="5A5A5A"/>
                <w:sz w:val="18"/>
              </w:rPr>
              <w:t>#Crohns  #complexfistula  #biologics  #perianalCrohns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Poorly controlled diabetics</w:t>
            </w:r>
          </w:p>
        </w:tc>
        <w:tc>
          <w:tcPr>
            <w:tcW w:type="dxa" w:w="4276"/>
            <w:vAlign w:val="top"/>
          </w:tcPr>
          <w:p>
            <w:pPr>
              <w:spacing w:after="60" w:line="259" w:lineRule="auto"/>
            </w:pPr>
            <w:r>
              <w:rPr>
                <w:rFonts w:ascii="Calibri" w:hAnsi="Calibri"/>
                <w:b w:val="0"/>
                <w:i w:val="0"/>
                <w:color w:val="212121"/>
                <w:sz w:val="19"/>
              </w:rPr>
              <w:t>Hyperglycaemia impairs neutrophil function, perfusion and wound healing, increasing the risk of perianal abscess, larger/necrotising infection and post-operative recurrence; the risk rises with worsening glycaemic control.</w:t>
            </w:r>
          </w:p>
          <w:p>
            <w:pPr>
              <w:spacing w:after="40" w:before="60" w:line="259" w:lineRule="auto"/>
            </w:pPr>
            <w:r>
              <w:rPr>
                <w:rFonts w:ascii="Calibri" w:hAnsi="Calibri"/>
                <w:b w:val="0"/>
                <w:i w:val="0"/>
                <w:color w:val="212121"/>
                <w:sz w:val="19"/>
              </w:rPr>
              <w:t>Perianal-abscess incidence rises with higher HbA1c and is markedly elevated in diabetics with ketoacidosis/coma (OR 2.63) and polyneuropathy (OR 1.81).</w:t>
            </w:r>
          </w:p>
          <w:p>
            <w:pPr>
              <w:spacing w:after="40" w:line="252" w:lineRule="auto"/>
            </w:pPr>
            <w:hyperlink r:id="rId13">
              <w:r>
                <w:rPr>
                  <w:rFonts w:ascii="Calibri" w:hAnsi="Calibri" w:cs="Calibri"/>
                  <w:sz w:val="18"/>
                  <w:color w:val="1155CC"/>
                  <w:u w:val="single"/>
                </w:rPr>
                <w:t xml:space="preserve">pubmed.ncbi.nlm.nih.gov/33336291 — diabetes, glycaemic control &amp; perianal abscess</w:t>
              </w:r>
            </w:hyperlink>
          </w:p>
          <w:p>
            <w:pPr>
              <w:spacing w:before="60" w:after="40"/>
            </w:pPr>
            <w:r>
              <w:rPr>
                <w:rFonts w:ascii="Calibri" w:hAnsi="Calibri"/>
                <w:b w:val="0"/>
                <w:i w:val="0"/>
                <w:color w:val="5A5A5A"/>
                <w:sz w:val="18"/>
              </w:rPr>
              <w:t>#diabetes  #hyperglycaemia  #poorhealing  #Fourniersrisk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HIV-positive &amp; immunosuppressed patients</w:t>
            </w:r>
          </w:p>
        </w:tc>
        <w:tc>
          <w:tcPr>
            <w:tcW w:type="dxa" w:w="4276"/>
            <w:vAlign w:val="top"/>
          </w:tcPr>
          <w:p>
            <w:pPr>
              <w:spacing w:after="60" w:line="259" w:lineRule="auto"/>
            </w:pPr>
            <w:r>
              <w:rPr>
                <w:rFonts w:ascii="Calibri" w:hAnsi="Calibri"/>
                <w:b w:val="0"/>
                <w:i w:val="0"/>
                <w:color w:val="212121"/>
                <w:sz w:val="19"/>
              </w:rPr>
              <w:t>HIV infection, immunosuppressive drugs and long-term corticosteroids blunt the immune response, predisposing to recurrent, atypical and complex perianal sepsis and impairing healing.</w:t>
            </w:r>
          </w:p>
          <w:p>
            <w:pPr>
              <w:spacing w:after="40" w:before="60" w:line="259" w:lineRule="auto"/>
            </w:pPr>
            <w:r>
              <w:rPr>
                <w:rFonts w:ascii="Calibri" w:hAnsi="Calibri"/>
                <w:b w:val="0"/>
                <w:i w:val="0"/>
                <w:color w:val="212121"/>
                <w:sz w:val="19"/>
              </w:rPr>
              <w:t>HIV and immunosuppressive drugs are listed among the key risk factors for perianal abscess.</w:t>
            </w:r>
          </w:p>
          <w:p>
            <w:pPr>
              <w:spacing w:after="40" w:line="252" w:lineRule="auto"/>
            </w:pPr>
            <w:hyperlink r:id="rId9">
              <w:r>
                <w:rPr>
                  <w:rFonts w:ascii="Calibri" w:hAnsi="Calibri" w:cs="Calibri"/>
                  <w:sz w:val="18"/>
                  <w:color w:val="1155CC"/>
                  <w:u w:val="single"/>
                </w:rPr>
                <w:t xml:space="preserve">ncbi.nlm.nih.gov/books/NBK459167 — StatPearls: Perianal Abscess</w:t>
              </w:r>
            </w:hyperlink>
          </w:p>
          <w:p>
            <w:pPr>
              <w:spacing w:before="60" w:after="40"/>
            </w:pPr>
            <w:r>
              <w:rPr>
                <w:rFonts w:ascii="Calibri" w:hAnsi="Calibri"/>
                <w:b w:val="0"/>
                <w:i w:val="0"/>
                <w:color w:val="5A5A5A"/>
                <w:sz w:val="18"/>
              </w:rPr>
              <w:t>#HIV  #immunosuppression  #steroids  #atypicalsepsis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Anorectal tuberculosis</w:t>
            </w:r>
          </w:p>
        </w:tc>
        <w:tc>
          <w:tcPr>
            <w:tcW w:type="dxa" w:w="2160"/>
            <w:vAlign w:val="top"/>
          </w:tcPr>
          <w:p>
            <w:pPr>
              <w:spacing w:after="40" w:before="0" w:line="259" w:lineRule="auto"/>
            </w:pPr>
            <w:r>
              <w:rPr>
                <w:rFonts w:ascii="Calibri" w:hAnsi="Calibri"/>
                <w:b w:val="0"/>
                <w:i w:val="0"/>
                <w:color w:val="212121"/>
                <w:sz w:val="19"/>
              </w:rPr>
              <w:t>Patients with (or from areas of) intestinal/anorectal TB</w:t>
            </w:r>
          </w:p>
        </w:tc>
        <w:tc>
          <w:tcPr>
            <w:tcW w:type="dxa" w:w="4276"/>
            <w:vAlign w:val="top"/>
          </w:tcPr>
          <w:p>
            <w:pPr>
              <w:spacing w:after="60" w:line="259" w:lineRule="auto"/>
            </w:pPr>
            <w:r>
              <w:rPr>
                <w:rFonts w:ascii="Calibri" w:hAnsi="Calibri"/>
                <w:b w:val="0"/>
                <w:i w:val="0"/>
                <w:color w:val="212121"/>
                <w:sz w:val="19"/>
              </w:rPr>
              <w:t>Tuberculous fistulae mimic ordinary cryptoglandular disease but are typically multiple, indolent and recurrent, with watery discharge and undermined edges; they persist until anti-tubercular therapy is added to surgery.</w:t>
            </w:r>
          </w:p>
          <w:p>
            <w:pPr>
              <w:spacing w:after="40" w:before="60" w:line="259" w:lineRule="auto"/>
            </w:pPr>
            <w:r>
              <w:rPr>
                <w:rFonts w:ascii="Calibri" w:hAnsi="Calibri"/>
                <w:b w:val="0"/>
                <w:i w:val="0"/>
                <w:color w:val="212121"/>
                <w:sz w:val="19"/>
              </w:rPr>
              <w:t>In an Indian series, 19 of 122 fistula-in-ano patients (15.6%) had tubercular fistulae on histopathology.</w:t>
            </w:r>
          </w:p>
          <w:p>
            <w:pPr>
              <w:spacing w:after="40" w:line="252" w:lineRule="auto"/>
            </w:pPr>
            <w:hyperlink r:id="rId14">
              <w:r>
                <w:rPr>
                  <w:rFonts w:ascii="Calibri" w:hAnsi="Calibri" w:cs="Calibri"/>
                  <w:sz w:val="18"/>
                  <w:color w:val="1155CC"/>
                  <w:u w:val="single"/>
                </w:rPr>
                <w:t xml:space="preserve">pubmed.ncbi.nlm.nih.gov/3337948 — tubercular fistula-in-ano</w:t>
              </w:r>
            </w:hyperlink>
          </w:p>
          <w:p>
            <w:pPr>
              <w:spacing w:before="60" w:after="40"/>
            </w:pPr>
            <w:r>
              <w:rPr>
                <w:rFonts w:ascii="Calibri" w:hAnsi="Calibri"/>
                <w:b w:val="0"/>
                <w:i w:val="0"/>
                <w:color w:val="5A5A5A"/>
                <w:sz w:val="18"/>
              </w:rPr>
              <w:t>#tuberculosis  #multiplefistulae  #ATT  #Indiaburden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Hidradenitis suppurativa</w:t>
            </w:r>
          </w:p>
        </w:tc>
        <w:tc>
          <w:tcPr>
            <w:tcW w:type="dxa" w:w="2160"/>
            <w:vAlign w:val="top"/>
          </w:tcPr>
          <w:p>
            <w:pPr>
              <w:spacing w:after="40" w:before="0" w:line="259" w:lineRule="auto"/>
            </w:pPr>
            <w:r>
              <w:rPr>
                <w:rFonts w:ascii="Calibri" w:hAnsi="Calibri"/>
                <w:b w:val="0"/>
                <w:i w:val="0"/>
                <w:color w:val="212121"/>
                <w:sz w:val="19"/>
              </w:rPr>
              <w:t>Patients with perianal hidradenitis suppurativa</w:t>
            </w:r>
          </w:p>
        </w:tc>
        <w:tc>
          <w:tcPr>
            <w:tcW w:type="dxa" w:w="4276"/>
            <w:vAlign w:val="top"/>
          </w:tcPr>
          <w:p>
            <w:pPr>
              <w:spacing w:after="60" w:line="259" w:lineRule="auto"/>
            </w:pPr>
            <w:r>
              <w:rPr>
                <w:rFonts w:ascii="Calibri" w:hAnsi="Calibri"/>
                <w:b w:val="0"/>
                <w:i w:val="0"/>
                <w:color w:val="212121"/>
                <w:sz w:val="19"/>
              </w:rPr>
              <w:t>Chronic apocrine-gland inflammation of the perianal and gluteal skin produces interconnecting sinuses and abscesses that overlap with and complicate fistula-in-ano.</w:t>
            </w:r>
          </w:p>
          <w:p>
            <w:pPr>
              <w:spacing w:after="40" w:before="60" w:line="259" w:lineRule="auto"/>
            </w:pPr>
            <w:r>
              <w:rPr>
                <w:rFonts w:ascii="Calibri" w:hAnsi="Calibri"/>
                <w:b w:val="0"/>
                <w:i w:val="0"/>
                <w:color w:val="212121"/>
                <w:sz w:val="19"/>
              </w:rPr>
              <w:t>Hidradenitis suppurativa is a recognised cause of anal fistula.</w:t>
            </w:r>
          </w:p>
          <w:p>
            <w:pPr>
              <w:spacing w:after="40" w:line="252" w:lineRule="auto"/>
            </w:pPr>
            <w:hyperlink r:id="rId12">
              <w:r>
                <w:rPr>
                  <w:rFonts w:ascii="Calibri" w:hAnsi="Calibri" w:cs="Calibri"/>
                  <w:sz w:val="18"/>
                  <w:color w:val="1155CC"/>
                  <w:u w:val="single"/>
                </w:rPr>
                <w:t xml:space="preserve">nhs.uk — Anal fistula (causes)</w:t>
              </w:r>
            </w:hyperlink>
          </w:p>
          <w:p>
            <w:pPr>
              <w:spacing w:before="60" w:after="40"/>
            </w:pPr>
            <w:r>
              <w:rPr>
                <w:rFonts w:ascii="Calibri" w:hAnsi="Calibri"/>
                <w:b w:val="0"/>
                <w:i w:val="0"/>
                <w:color w:val="5A5A5A"/>
                <w:sz w:val="18"/>
              </w:rPr>
              <w:t>#hidradenitis  #sinuses  #chronicabscess  #perianalskin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uninterrupted sitting or driving raises perineal pressure and impairs local circulation and hygiene, aggravating anal-gland sepsis; obesity and inactivity worsen healing, while regular activity supports bowel regularity and weight control.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Low-fibre refined diets cause hard stool and straining that traumatise the anal crypts and predispose to cryptoglandular abscess and fissuring; adequate fibre softens stool and eases defecation, and good nutrition (protein, iron) supports wound healing.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direct causal role, but pain and discharge from an abscess or fistula fragment sleep, and poor sleep and chronic sepsis together impair immune function and healing.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microvascular perfusion and wound healing and is a recognised risk factor for anorectal abscess and for delayed healing and recurrence after fistula surgery.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an established cause, but heavy intake worsens nutrition and diarrhoea/constipation and interacts with post-operative analgesia and antibiotics.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perianal pain, malodorous discharge and soiling cause embarrassment, anxiety and depression and reduce quality of life in a bidirectional relationship; stress can worsen bowel symptoms that provoke flares.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keeps stool soft and prevents the constipation and straining that traumatise the anal canal; dehydration hardens stool and aggravates fissuring and gland obstruction.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causal role but, in excess, can loosen stool and increase defecation frequency, adding to perianal irritation in susceptible people.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Perianal hygiene is central: faecal soiling, chronic moisture and poor cleaning promote bacterial entry into the anal crypts and recurrent infection, whereas gentle cleaning, drying and sitz baths aid healing and reduce recurrence.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 anorectal abscess is the direct precursor of most fistulae; constipation/straining, diarrhoea, anal trauma or foreign body, a Crohn's flare and tuberculosis all provoke onset or recurrence of perianal sepsis.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sitting, squatting and straining at stool raise intra-anal and perineal pressure; correcting toilet posture and avoiding prolonged straining reduce anal-canal trauma.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Uninterrupted sitting time (hours/day)</w:t>
            </w:r>
          </w:p>
        </w:tc>
        <w:tc>
          <w:tcPr>
            <w:tcW w:type="dxa" w:w="1655"/>
            <w:vAlign w:val="top"/>
          </w:tcPr>
          <w:p>
            <w:pPr>
              <w:spacing w:after="40" w:before="0" w:line="259" w:lineRule="auto"/>
            </w:pPr>
            <w:r>
              <w:rPr>
                <w:rFonts w:ascii="Calibri" w:hAnsi="Calibri"/>
                <w:b w:val="0"/>
                <w:i w:val="0"/>
                <w:color w:val="212121"/>
                <w:sz w:val="19"/>
              </w:rPr>
              <w:t>Drivers, desk &amp; IT workers</w:t>
            </w:r>
          </w:p>
        </w:tc>
        <w:tc>
          <w:tcPr>
            <w:tcW w:type="dxa" w:w="1512"/>
            <w:vAlign w:val="top"/>
          </w:tcPr>
          <w:p>
            <w:pPr>
              <w:spacing w:after="40" w:before="0" w:line="259" w:lineRule="auto"/>
            </w:pPr>
            <w:r>
              <w:rPr>
                <w:rFonts w:ascii="Calibri" w:hAnsi="Calibri"/>
                <w:b w:val="0"/>
                <w:i w:val="0"/>
                <w:color w:val="212121"/>
                <w:sz w:val="19"/>
              </w:rPr>
              <w:t>Break every 30–60 min; &lt; 6 h total</w:t>
            </w:r>
          </w:p>
        </w:tc>
        <w:tc>
          <w:tcPr>
            <w:tcW w:type="dxa" w:w="1512"/>
            <w:vAlign w:val="top"/>
          </w:tcPr>
          <w:p>
            <w:pPr>
              <w:spacing w:after="40" w:before="0" w:line="259" w:lineRule="auto"/>
            </w:pPr>
            <w:r>
              <w:rPr>
                <w:rFonts w:ascii="Calibri" w:hAnsi="Calibri"/>
                <w:b w:val="0"/>
                <w:i w:val="0"/>
                <w:color w:val="212121"/>
                <w:sz w:val="19"/>
              </w:rPr>
              <w:t>Prolonged uninterrupted sitting/driving</w:t>
            </w:r>
          </w:p>
        </w:tc>
        <w:tc>
          <w:tcPr>
            <w:tcW w:type="dxa" w:w="1468"/>
            <w:vAlign w:val="top"/>
          </w:tcPr>
          <w:p>
            <w:pPr>
              <w:spacing w:after="40" w:before="0" w:line="259" w:lineRule="auto"/>
            </w:pPr>
            <w:r>
              <w:rPr>
                <w:rFonts w:ascii="Calibri" w:hAnsi="Calibri"/>
                <w:b w:val="0"/>
                <w:i w:val="0"/>
                <w:color w:val="212121"/>
                <w:sz w:val="19"/>
              </w:rPr>
              <w:t>Sustained perineal pressure and poor hygiene aggravate anal-gland sepsis and recurrence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(Asian-Indian cut-offs)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Obesity deepens perianal spaces, hampers hygiene and delays wound healing</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25–40 g/day</w:t>
            </w:r>
          </w:p>
        </w:tc>
        <w:tc>
          <w:tcPr>
            <w:tcW w:type="dxa" w:w="1512"/>
            <w:vAlign w:val="top"/>
          </w:tcPr>
          <w:p>
            <w:pPr>
              <w:spacing w:after="40" w:before="0" w:line="259" w:lineRule="auto"/>
            </w:pPr>
            <w:r>
              <w:rPr>
                <w:rFonts w:ascii="Calibri" w:hAnsi="Calibri"/>
                <w:b w:val="0"/>
                <w:i w:val="0"/>
                <w:color w:val="212121"/>
                <w:sz w:val="19"/>
              </w:rPr>
              <w:t>&lt; 20 g/day</w:t>
            </w:r>
          </w:p>
        </w:tc>
        <w:tc>
          <w:tcPr>
            <w:tcW w:type="dxa" w:w="1468"/>
            <w:vAlign w:val="top"/>
          </w:tcPr>
          <w:p>
            <w:pPr>
              <w:spacing w:after="40" w:before="0" w:line="259" w:lineRule="auto"/>
            </w:pPr>
            <w:r>
              <w:rPr>
                <w:rFonts w:ascii="Calibri" w:hAnsi="Calibri"/>
                <w:b w:val="0"/>
                <w:i w:val="0"/>
                <w:color w:val="212121"/>
                <w:sz w:val="19"/>
              </w:rPr>
              <w:t>Low fibre causes hard stool and straining that traumatise the anal crypts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(litres/day)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2–3 L/day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Dehydration hardens stool and worsens constipation and fissuring</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Stool form &amp; frequency (Bristol scale)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Type 3–4, soft, daily–alternate day</w:t>
            </w:r>
          </w:p>
        </w:tc>
        <w:tc>
          <w:tcPr>
            <w:tcW w:type="dxa" w:w="1512"/>
            <w:vAlign w:val="top"/>
          </w:tcPr>
          <w:p>
            <w:pPr>
              <w:spacing w:after="40" w:before="0" w:line="259" w:lineRule="auto"/>
            </w:pPr>
            <w:r>
              <w:rPr>
                <w:rFonts w:ascii="Calibri" w:hAnsi="Calibri"/>
                <w:b w:val="0"/>
                <w:i w:val="0"/>
                <w:color w:val="212121"/>
                <w:sz w:val="19"/>
              </w:rPr>
              <w:t>Hard Type 1–2 or frequent loose stools</w:t>
            </w:r>
          </w:p>
        </w:tc>
        <w:tc>
          <w:tcPr>
            <w:tcW w:type="dxa" w:w="1468"/>
            <w:vAlign w:val="top"/>
          </w:tcPr>
          <w:p>
            <w:pPr>
              <w:spacing w:after="40" w:before="0" w:line="259" w:lineRule="auto"/>
            </w:pPr>
            <w:r>
              <w:rPr>
                <w:rFonts w:ascii="Calibri" w:hAnsi="Calibri"/>
                <w:b w:val="0"/>
                <w:i w:val="0"/>
                <w:color w:val="212121"/>
                <w:sz w:val="19"/>
              </w:rPr>
              <w:t>Both hard stool/straining and chronic diarrhoea injure anal crypts and skin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impairs wound healing and raises abscess and recurrence risk</w:t>
            </w:r>
          </w:p>
          <w:p>
            <w:pPr>
              <w:spacing w:after="40" w:line="252" w:lineRule="auto"/>
            </w:pPr>
            <w:hyperlink r:id="rId9">
              <w:r>
                <w:rPr>
                  <w:rFonts w:ascii="Calibri" w:hAnsi="Calibri" w:cs="Calibri"/>
                  <w:sz w:val="18"/>
                  <w:color w:val="1155CC"/>
                  <w:u w:val="single"/>
                </w:rPr>
                <w:t xml:space="preserve">https://www.ncbi.nlm.nih.gov/books/NBK459167/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Perianal hygiene &amp; sitz baths</w:t>
            </w:r>
          </w:p>
        </w:tc>
        <w:tc>
          <w:tcPr>
            <w:tcW w:type="dxa" w:w="1655"/>
            <w:vAlign w:val="top"/>
          </w:tcPr>
          <w:p>
            <w:pPr>
              <w:spacing w:after="40" w:before="0" w:line="259" w:lineRule="auto"/>
            </w:pPr>
            <w:r>
              <w:rPr>
                <w:rFonts w:ascii="Calibri" w:hAnsi="Calibri"/>
                <w:b w:val="0"/>
                <w:i w:val="0"/>
                <w:color w:val="212121"/>
                <w:sz w:val="19"/>
              </w:rPr>
              <w:t>All patients, post-drainage/post-op</w:t>
            </w:r>
          </w:p>
        </w:tc>
        <w:tc>
          <w:tcPr>
            <w:tcW w:type="dxa" w:w="1512"/>
            <w:vAlign w:val="top"/>
          </w:tcPr>
          <w:p>
            <w:pPr>
              <w:spacing w:after="40" w:before="0" w:line="259" w:lineRule="auto"/>
            </w:pPr>
            <w:r>
              <w:rPr>
                <w:rFonts w:ascii="Calibri" w:hAnsi="Calibri"/>
                <w:b w:val="0"/>
                <w:i w:val="0"/>
                <w:color w:val="212121"/>
                <w:sz w:val="19"/>
              </w:rPr>
              <w:t>Clean, dry perineum; warm sitz baths 2–3×/day</w:t>
            </w:r>
          </w:p>
        </w:tc>
        <w:tc>
          <w:tcPr>
            <w:tcW w:type="dxa" w:w="1512"/>
            <w:vAlign w:val="top"/>
          </w:tcPr>
          <w:p>
            <w:pPr>
              <w:spacing w:after="40" w:before="0" w:line="259" w:lineRule="auto"/>
            </w:pPr>
            <w:r>
              <w:rPr>
                <w:rFonts w:ascii="Calibri" w:hAnsi="Calibri"/>
                <w:b w:val="0"/>
                <w:i w:val="0"/>
                <w:color w:val="212121"/>
                <w:sz w:val="19"/>
              </w:rPr>
              <w:t>Persistent soiling, moisture, discharge</w:t>
            </w:r>
          </w:p>
        </w:tc>
        <w:tc>
          <w:tcPr>
            <w:tcW w:type="dxa" w:w="1468"/>
            <w:vAlign w:val="top"/>
          </w:tcPr>
          <w:p>
            <w:pPr>
              <w:spacing w:after="40" w:before="0" w:line="259" w:lineRule="auto"/>
            </w:pPr>
            <w:r>
              <w:rPr>
                <w:rFonts w:ascii="Calibri" w:hAnsi="Calibri"/>
                <w:b w:val="0"/>
                <w:i w:val="0"/>
                <w:color w:val="212121"/>
                <w:sz w:val="19"/>
              </w:rPr>
              <w:t>Good hygiene and sitz baths speed healing and reduce recurrent sepsis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Glycaemic control (HbA1c, %)</w:t>
            </w:r>
          </w:p>
        </w:tc>
        <w:tc>
          <w:tcPr>
            <w:tcW w:type="dxa" w:w="1655"/>
            <w:vAlign w:val="top"/>
          </w:tcPr>
          <w:p>
            <w:pPr>
              <w:spacing w:after="40" w:before="0" w:line="259" w:lineRule="auto"/>
            </w:pPr>
            <w:r>
              <w:rPr>
                <w:rFonts w:ascii="Calibri" w:hAnsi="Calibri"/>
                <w:b w:val="0"/>
                <w:i w:val="0"/>
                <w:color w:val="212121"/>
                <w:sz w:val="19"/>
              </w:rPr>
              <w:t>Diabetic patients</w:t>
            </w:r>
          </w:p>
        </w:tc>
        <w:tc>
          <w:tcPr>
            <w:tcW w:type="dxa" w:w="1512"/>
            <w:vAlign w:val="top"/>
          </w:tcPr>
          <w:p>
            <w:pPr>
              <w:spacing w:after="40" w:before="0" w:line="259" w:lineRule="auto"/>
            </w:pPr>
            <w:r>
              <w:rPr>
                <w:rFonts w:ascii="Calibri" w:hAnsi="Calibri"/>
                <w:b w:val="0"/>
                <w:i w:val="0"/>
                <w:color w:val="212121"/>
                <w:sz w:val="19"/>
              </w:rPr>
              <w:t>&lt; 7%</w:t>
            </w:r>
          </w:p>
        </w:tc>
        <w:tc>
          <w:tcPr>
            <w:tcW w:type="dxa" w:w="1512"/>
            <w:vAlign w:val="top"/>
          </w:tcPr>
          <w:p>
            <w:pPr>
              <w:spacing w:after="40" w:before="0" w:line="259" w:lineRule="auto"/>
            </w:pPr>
            <w:r>
              <w:rPr>
                <w:rFonts w:ascii="Calibri" w:hAnsi="Calibri"/>
                <w:b w:val="0"/>
                <w:i w:val="0"/>
                <w:color w:val="212121"/>
                <w:sz w:val="19"/>
              </w:rPr>
              <w:t>≥ 8% (poor control)</w:t>
            </w:r>
          </w:p>
        </w:tc>
        <w:tc>
          <w:tcPr>
            <w:tcW w:type="dxa" w:w="1468"/>
            <w:vAlign w:val="top"/>
          </w:tcPr>
          <w:p>
            <w:pPr>
              <w:spacing w:after="60" w:line="259" w:lineRule="auto"/>
            </w:pPr>
            <w:r>
              <w:rPr>
                <w:rFonts w:ascii="Calibri" w:hAnsi="Calibri"/>
                <w:b w:val="0"/>
                <w:i w:val="0"/>
                <w:color w:val="212121"/>
                <w:sz w:val="19"/>
              </w:rPr>
              <w:t>Perianal-abscess incidence and recurrence rise with worsening glycaemic control</w:t>
            </w:r>
          </w:p>
          <w:p>
            <w:pPr>
              <w:spacing w:after="40" w:line="252" w:lineRule="auto"/>
            </w:pPr>
            <w:hyperlink r:id="rId13">
              <w:r>
                <w:rPr>
                  <w:rFonts w:ascii="Calibri" w:hAnsi="Calibri" w:cs="Calibri"/>
                  <w:sz w:val="18"/>
                  <w:color w:val="1155CC"/>
                  <w:u w:val="single"/>
                </w:rPr>
                <w:t xml:space="preserve">https://pubmed.ncbi.nlm.nih.gov/33336291/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Adults with abscess/recurrent fistula</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40" w:before="0" w:line="259" w:lineRule="auto"/>
            </w:pPr>
            <w:r>
              <w:rPr>
                <w:rFonts w:ascii="Calibri" w:hAnsi="Calibri"/>
                <w:b w:val="0"/>
                <w:i w:val="0"/>
                <w:color w:val="212121"/>
                <w:sz w:val="19"/>
              </w:rPr>
              <w:t>Undiagnosed diabetes is common in perianal-sepsis patients and must be screened</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Chronic/complex or tubercular fistula</w:t>
            </w:r>
          </w:p>
        </w:tc>
        <w:tc>
          <w:tcPr>
            <w:tcW w:type="dxa" w:w="1512"/>
            <w:vAlign w:val="top"/>
          </w:tcPr>
          <w:p>
            <w:pPr>
              <w:spacing w:after="40" w:before="0" w:line="259" w:lineRule="auto"/>
            </w:pPr>
            <w:r>
              <w:rPr>
                <w:rFonts w:ascii="Calibri" w:hAnsi="Calibri"/>
                <w:b w:val="0"/>
                <w:i w:val="0"/>
                <w:color w:val="212121"/>
                <w:sz w:val="19"/>
              </w:rPr>
              <w:t>M ≥ 13, F ≥ 12 g/dL</w:t>
            </w:r>
          </w:p>
        </w:tc>
        <w:tc>
          <w:tcPr>
            <w:tcW w:type="dxa" w:w="1512"/>
            <w:vAlign w:val="top"/>
          </w:tcPr>
          <w:p>
            <w:pPr>
              <w:spacing w:after="40" w:before="0" w:line="259" w:lineRule="auto"/>
            </w:pPr>
            <w:r>
              <w:rPr>
                <w:rFonts w:ascii="Calibri" w:hAnsi="Calibri"/>
                <w:b w:val="0"/>
                <w:i w:val="0"/>
                <w:color w:val="212121"/>
                <w:sz w:val="19"/>
              </w:rPr>
              <w:t>Below age/sex threshold</w:t>
            </w:r>
          </w:p>
        </w:tc>
        <w:tc>
          <w:tcPr>
            <w:tcW w:type="dxa" w:w="1468"/>
            <w:vAlign w:val="top"/>
          </w:tcPr>
          <w:p>
            <w:pPr>
              <w:spacing w:after="40" w:before="0" w:line="259" w:lineRule="auto"/>
            </w:pPr>
            <w:r>
              <w:rPr>
                <w:rFonts w:ascii="Calibri" w:hAnsi="Calibri"/>
                <w:b w:val="0"/>
                <w:i w:val="0"/>
                <w:color w:val="212121"/>
                <w:sz w:val="19"/>
              </w:rPr>
              <w:t>Chronic discharge, sepsis and TB cause anaemia that impairs healing</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Quality-of-life / mood screen</w:t>
            </w:r>
          </w:p>
        </w:tc>
        <w:tc>
          <w:tcPr>
            <w:tcW w:type="dxa" w:w="1655"/>
            <w:vAlign w:val="top"/>
          </w:tcPr>
          <w:p>
            <w:pPr>
              <w:spacing w:after="40" w:before="0" w:line="259" w:lineRule="auto"/>
            </w:pPr>
            <w:r>
              <w:rPr>
                <w:rFonts w:ascii="Calibri" w:hAnsi="Calibri"/>
                <w:b w:val="0"/>
                <w:i w:val="0"/>
                <w:color w:val="212121"/>
                <w:sz w:val="19"/>
              </w:rPr>
              <w:t>Chronic or recurrent fistula</w:t>
            </w:r>
          </w:p>
        </w:tc>
        <w:tc>
          <w:tcPr>
            <w:tcW w:type="dxa" w:w="1512"/>
            <w:vAlign w:val="top"/>
          </w:tcPr>
          <w:p>
            <w:pPr>
              <w:spacing w:after="40" w:before="0" w:line="259" w:lineRule="auto"/>
            </w:pPr>
            <w:r>
              <w:rPr>
                <w:rFonts w:ascii="Calibri" w:hAnsi="Calibri"/>
                <w:b w:val="0"/>
                <w:i w:val="0"/>
                <w:color w:val="212121"/>
                <w:sz w:val="19"/>
              </w:rPr>
              <w:t>Normal score</w:t>
            </w:r>
          </w:p>
        </w:tc>
        <w:tc>
          <w:tcPr>
            <w:tcW w:type="dxa" w:w="1512"/>
            <w:vAlign w:val="top"/>
          </w:tcPr>
          <w:p>
            <w:pPr>
              <w:spacing w:after="40" w:before="0" w:line="259" w:lineRule="auto"/>
            </w:pPr>
            <w:r>
              <w:rPr>
                <w:rFonts w:ascii="Calibri" w:hAnsi="Calibri"/>
                <w:b w:val="0"/>
                <w:i w:val="0"/>
                <w:color w:val="212121"/>
                <w:sz w:val="19"/>
              </w:rPr>
              <w:t>Elevated distress (soiling, pain, odour)</w:t>
            </w:r>
          </w:p>
        </w:tc>
        <w:tc>
          <w:tcPr>
            <w:tcW w:type="dxa" w:w="1468"/>
            <w:vAlign w:val="top"/>
          </w:tcPr>
          <w:p>
            <w:pPr>
              <w:spacing w:after="40" w:before="0" w:line="259" w:lineRule="auto"/>
            </w:pPr>
            <w:r>
              <w:rPr>
                <w:rFonts w:ascii="Calibri" w:hAnsi="Calibri"/>
                <w:b w:val="0"/>
                <w:i w:val="0"/>
                <w:color w:val="212121"/>
                <w:sz w:val="19"/>
              </w:rPr>
              <w:t>Chronic perianal disease markedly reduces quality of life; screen and support</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Primary tract, secondary extensions, abscess, sphincter relation</w:t>
            </w:r>
          </w:p>
        </w:tc>
        <w:tc>
          <w:tcPr>
            <w:tcW w:type="dxa" w:w="892"/>
            <w:vAlign w:val="top"/>
          </w:tcPr>
          <w:p>
            <w:pPr>
              <w:spacing w:after="40" w:before="0" w:line="259" w:lineRule="auto"/>
            </w:pPr>
            <w:r>
              <w:rPr>
                <w:rFonts w:ascii="Calibri" w:hAnsi="Calibri"/>
                <w:b w:val="0"/>
                <w:i w:val="0"/>
                <w:color w:val="212121"/>
                <w:sz w:val="16"/>
              </w:rPr>
              <w:t>MRI pelvis (fistula protocol)</w:t>
            </w:r>
          </w:p>
        </w:tc>
        <w:tc>
          <w:tcPr>
            <w:tcW w:type="dxa" w:w="950"/>
            <w:vAlign w:val="top"/>
          </w:tcPr>
          <w:p>
            <w:pPr>
              <w:spacing w:after="40" w:before="0" w:line="259" w:lineRule="auto"/>
            </w:pPr>
            <w:r>
              <w:rPr>
                <w:rFonts w:ascii="Calibri" w:hAnsi="Calibri"/>
                <w:b w:val="0"/>
                <w:i w:val="0"/>
                <w:color w:val="212121"/>
                <w:sz w:val="16"/>
              </w:rPr>
              <w:t>No tract or collection</w:t>
            </w:r>
          </w:p>
        </w:tc>
        <w:tc>
          <w:tcPr>
            <w:tcW w:type="dxa" w:w="950"/>
            <w:vAlign w:val="top"/>
          </w:tcPr>
          <w:p>
            <w:pPr>
              <w:spacing w:after="40" w:before="0" w:line="259" w:lineRule="auto"/>
            </w:pPr>
            <w:r>
              <w:rPr>
                <w:rFonts w:ascii="Calibri" w:hAnsi="Calibri"/>
                <w:b w:val="0"/>
                <w:i w:val="0"/>
                <w:color w:val="212121"/>
                <w:sz w:val="16"/>
              </w:rPr>
              <w:t>Fistula tract ± secondary extension/abscess; sphincter involvement</w:t>
            </w:r>
          </w:p>
        </w:tc>
        <w:tc>
          <w:tcPr>
            <w:tcW w:type="dxa" w:w="1036"/>
            <w:vAlign w:val="top"/>
          </w:tcPr>
          <w:p>
            <w:pPr>
              <w:spacing w:after="40" w:before="0" w:line="259" w:lineRule="auto"/>
            </w:pPr>
            <w:r>
              <w:rPr>
                <w:rFonts w:ascii="Calibri" w:hAnsi="Calibri"/>
                <w:b w:val="0"/>
                <w:i w:val="0"/>
                <w:color w:val="212121"/>
                <w:sz w:val="16"/>
              </w:rPr>
              <w:t>Imaging gold standard; maps complex/recurrent fistulae and guides sphincter-preserving surgery (St James grades 1–5)</w:t>
            </w:r>
          </w:p>
        </w:tc>
        <w:tc>
          <w:tcPr>
            <w:tcW w:type="dxa" w:w="1036"/>
            <w:vAlign w:val="top"/>
          </w:tcPr>
          <w:p>
            <w:pPr>
              <w:spacing w:after="40" w:before="0" w:line="259" w:lineRule="auto"/>
            </w:pPr>
            <w:r>
              <w:rPr>
                <w:rFonts w:ascii="Calibri" w:hAnsi="Calibri"/>
                <w:b w:val="0"/>
                <w:i w:val="0"/>
                <w:color w:val="212121"/>
                <w:sz w:val="16"/>
              </w:rPr>
              <w:t>Complex, recurrent, high or Crohn's/TB fistulae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(imaging)</w:t>
            </w:r>
          </w:p>
        </w:tc>
        <w:tc>
          <w:tcPr>
            <w:tcW w:type="dxa" w:w="720"/>
            <w:vAlign w:val="top"/>
          </w:tcPr>
          <w:p>
            <w:pPr>
              <w:spacing w:after="40" w:before="0" w:line="259" w:lineRule="auto"/>
            </w:pPr>
            <w:r>
              <w:rPr>
                <w:rFonts w:ascii="Calibri" w:hAnsi="Calibri"/>
                <w:b w:val="0"/>
                <w:i w:val="0"/>
                <w:color w:val="212121"/>
                <w:sz w:val="16"/>
              </w:rPr>
              <w:t>Preferred before redo surgery and in suspected Crohn's/TB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Tract &amp; sphincter integrity</w:t>
            </w:r>
          </w:p>
        </w:tc>
        <w:tc>
          <w:tcPr>
            <w:tcW w:type="dxa" w:w="892"/>
            <w:vAlign w:val="top"/>
          </w:tcPr>
          <w:p>
            <w:pPr>
              <w:spacing w:after="40" w:before="0" w:line="259" w:lineRule="auto"/>
            </w:pPr>
            <w:r>
              <w:rPr>
                <w:rFonts w:ascii="Calibri" w:hAnsi="Calibri"/>
                <w:b w:val="0"/>
                <w:i w:val="0"/>
                <w:color w:val="212121"/>
                <w:sz w:val="16"/>
              </w:rPr>
              <w:t>Endoanal ultrasound (± H₂O₂)</w:t>
            </w:r>
          </w:p>
        </w:tc>
        <w:tc>
          <w:tcPr>
            <w:tcW w:type="dxa" w:w="950"/>
            <w:vAlign w:val="top"/>
          </w:tcPr>
          <w:p>
            <w:pPr>
              <w:spacing w:after="40" w:before="0" w:line="259" w:lineRule="auto"/>
            </w:pPr>
            <w:r>
              <w:rPr>
                <w:rFonts w:ascii="Calibri" w:hAnsi="Calibri"/>
                <w:b w:val="0"/>
                <w:i w:val="0"/>
                <w:color w:val="212121"/>
                <w:sz w:val="16"/>
              </w:rPr>
              <w:t>Intact sphincters, no tract</w:t>
            </w:r>
          </w:p>
        </w:tc>
        <w:tc>
          <w:tcPr>
            <w:tcW w:type="dxa" w:w="950"/>
            <w:vAlign w:val="top"/>
          </w:tcPr>
          <w:p>
            <w:pPr>
              <w:spacing w:after="40" w:before="0" w:line="259" w:lineRule="auto"/>
            </w:pPr>
            <w:r>
              <w:rPr>
                <w:rFonts w:ascii="Calibri" w:hAnsi="Calibri"/>
                <w:b w:val="0"/>
                <w:i w:val="0"/>
                <w:color w:val="212121"/>
                <w:sz w:val="16"/>
              </w:rPr>
              <w:t>Hypoechoic tract; sphincter defect</w:t>
            </w:r>
          </w:p>
        </w:tc>
        <w:tc>
          <w:tcPr>
            <w:tcW w:type="dxa" w:w="1036"/>
            <w:vAlign w:val="top"/>
          </w:tcPr>
          <w:p>
            <w:pPr>
              <w:spacing w:after="40" w:before="0" w:line="259" w:lineRule="auto"/>
            </w:pPr>
            <w:r>
              <w:rPr>
                <w:rFonts w:ascii="Calibri" w:hAnsi="Calibri"/>
                <w:b w:val="0"/>
                <w:i w:val="0"/>
                <w:color w:val="212121"/>
                <w:sz w:val="16"/>
              </w:rPr>
              <w:t>Adjunct to define low tracts and sphincter status at the bedside</w:t>
            </w:r>
          </w:p>
        </w:tc>
        <w:tc>
          <w:tcPr>
            <w:tcW w:type="dxa" w:w="1036"/>
            <w:vAlign w:val="top"/>
          </w:tcPr>
          <w:p>
            <w:pPr>
              <w:spacing w:after="40" w:before="0" w:line="259" w:lineRule="auto"/>
            </w:pPr>
            <w:r>
              <w:rPr>
                <w:rFonts w:ascii="Calibri" w:hAnsi="Calibri"/>
                <w:b w:val="0"/>
                <w:i w:val="0"/>
                <w:color w:val="212121"/>
                <w:sz w:val="16"/>
              </w:rPr>
              <w:t>Simple/low fistulae; continence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Peroxide enhancement improves tract detection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Organisms &amp; sensitivity</w:t>
            </w:r>
          </w:p>
        </w:tc>
        <w:tc>
          <w:tcPr>
            <w:tcW w:type="dxa" w:w="892"/>
            <w:vAlign w:val="top"/>
          </w:tcPr>
          <w:p>
            <w:pPr>
              <w:spacing w:after="40" w:before="0" w:line="259" w:lineRule="auto"/>
            </w:pPr>
            <w:r>
              <w:rPr>
                <w:rFonts w:ascii="Calibri" w:hAnsi="Calibri"/>
                <w:b w:val="0"/>
                <w:i w:val="0"/>
                <w:color w:val="212121"/>
                <w:sz w:val="16"/>
              </w:rPr>
              <w:t>Pus culture &amp; sensitivity</w:t>
            </w:r>
          </w:p>
        </w:tc>
        <w:tc>
          <w:tcPr>
            <w:tcW w:type="dxa" w:w="950"/>
            <w:vAlign w:val="top"/>
          </w:tcPr>
          <w:p>
            <w:pPr>
              <w:spacing w:after="40" w:before="0" w:line="259" w:lineRule="auto"/>
            </w:pPr>
            <w:r>
              <w:rPr>
                <w:rFonts w:ascii="Calibri" w:hAnsi="Calibri"/>
                <w:b w:val="0"/>
                <w:i w:val="0"/>
                <w:color w:val="212121"/>
                <w:sz w:val="16"/>
              </w:rPr>
              <w:t>Skin flora only</w:t>
            </w:r>
          </w:p>
        </w:tc>
        <w:tc>
          <w:tcPr>
            <w:tcW w:type="dxa" w:w="950"/>
            <w:vAlign w:val="top"/>
          </w:tcPr>
          <w:p>
            <w:pPr>
              <w:spacing w:after="40" w:before="0" w:line="259" w:lineRule="auto"/>
            </w:pPr>
            <w:r>
              <w:rPr>
                <w:rFonts w:ascii="Calibri" w:hAnsi="Calibri"/>
                <w:b w:val="0"/>
                <w:i w:val="0"/>
                <w:color w:val="212121"/>
                <w:sz w:val="16"/>
              </w:rPr>
              <w:t>Gut organisms (E. coli, Bacteroides, streptococci)</w:t>
            </w:r>
          </w:p>
        </w:tc>
        <w:tc>
          <w:tcPr>
            <w:tcW w:type="dxa" w:w="1036"/>
            <w:vAlign w:val="top"/>
          </w:tcPr>
          <w:p>
            <w:pPr>
              <w:spacing w:after="40" w:before="0" w:line="259" w:lineRule="auto"/>
            </w:pPr>
            <w:r>
              <w:rPr>
                <w:rFonts w:ascii="Calibri" w:hAnsi="Calibri"/>
                <w:b w:val="0"/>
                <w:i w:val="0"/>
                <w:color w:val="212121"/>
                <w:sz w:val="16"/>
              </w:rPr>
              <w:t>Gut-derived organisms indicate a cryptoglandular source likely to have an underlying fistula; skin organisms suggest a simple skin abscess</w:t>
            </w:r>
          </w:p>
        </w:tc>
        <w:tc>
          <w:tcPr>
            <w:tcW w:type="dxa" w:w="1036"/>
            <w:vAlign w:val="top"/>
          </w:tcPr>
          <w:p>
            <w:pPr>
              <w:spacing w:after="40" w:before="0" w:line="259" w:lineRule="auto"/>
            </w:pPr>
            <w:r>
              <w:rPr>
                <w:rFonts w:ascii="Calibri" w:hAnsi="Calibri"/>
                <w:b w:val="0"/>
                <w:i w:val="0"/>
                <w:color w:val="212121"/>
                <w:sz w:val="16"/>
              </w:rPr>
              <w:t>Drained abscess; recurrent sepsis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antibiotics in fever, diabetes or immunosuppression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(TB)</w:t>
            </w:r>
          </w:p>
        </w:tc>
        <w:tc>
          <w:tcPr>
            <w:tcW w:type="dxa" w:w="1036"/>
            <w:vAlign w:val="top"/>
          </w:tcPr>
          <w:p>
            <w:pPr>
              <w:spacing w:after="40" w:before="0" w:line="259" w:lineRule="auto"/>
            </w:pPr>
            <w:r>
              <w:rPr>
                <w:rFonts w:ascii="Calibri" w:hAnsi="Calibri"/>
                <w:b w:val="0"/>
                <w:i w:val="0"/>
                <w:color w:val="212121"/>
                <w:sz w:val="16"/>
              </w:rPr>
              <w:t>M. tuberculosis by PCR / GeneXpert MTB-RIF</w:t>
            </w:r>
          </w:p>
        </w:tc>
        <w:tc>
          <w:tcPr>
            <w:tcW w:type="dxa" w:w="892"/>
            <w:vAlign w:val="top"/>
          </w:tcPr>
          <w:p>
            <w:pPr>
              <w:spacing w:after="40" w:before="0" w:line="259" w:lineRule="auto"/>
            </w:pPr>
            <w:r>
              <w:rPr>
                <w:rFonts w:ascii="Calibri" w:hAnsi="Calibri"/>
                <w:b w:val="0"/>
                <w:i w:val="0"/>
                <w:color w:val="212121"/>
                <w:sz w:val="16"/>
              </w:rPr>
              <w:t>TB work-up of pus &amp; tract tissue</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MTB DNA detected / rifampicin resistance</w:t>
            </w:r>
          </w:p>
        </w:tc>
        <w:tc>
          <w:tcPr>
            <w:tcW w:type="dxa" w:w="1036"/>
            <w:vAlign w:val="top"/>
          </w:tcPr>
          <w:p>
            <w:pPr>
              <w:spacing w:after="40" w:before="0" w:line="259" w:lineRule="auto"/>
            </w:pPr>
            <w:r>
              <w:rPr>
                <w:rFonts w:ascii="Calibri" w:hAnsi="Calibri"/>
                <w:b w:val="0"/>
                <w:i w:val="0"/>
                <w:color w:val="212121"/>
                <w:sz w:val="16"/>
              </w:rPr>
              <w:t>Confirms anorectal tuberculosis; essential in India before labelling a fistula cryptoglandular</w:t>
            </w:r>
          </w:p>
        </w:tc>
        <w:tc>
          <w:tcPr>
            <w:tcW w:type="dxa" w:w="1036"/>
            <w:vAlign w:val="top"/>
          </w:tcPr>
          <w:p>
            <w:pPr>
              <w:spacing w:after="40" w:before="0" w:line="259" w:lineRule="auto"/>
            </w:pPr>
            <w:r>
              <w:rPr>
                <w:rFonts w:ascii="Calibri" w:hAnsi="Calibri"/>
                <w:b w:val="0"/>
                <w:i w:val="0"/>
                <w:color w:val="212121"/>
                <w:sz w:val="16"/>
              </w:rPr>
              <w:t>Complex, recurrent, multiple or non-healing fistulae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(India)</w:t>
            </w:r>
          </w:p>
        </w:tc>
        <w:tc>
          <w:tcPr>
            <w:tcW w:type="dxa" w:w="720"/>
            <w:vAlign w:val="top"/>
          </w:tcPr>
          <w:p>
            <w:pPr>
              <w:spacing w:after="40" w:before="0" w:line="259" w:lineRule="auto"/>
            </w:pPr>
            <w:r>
              <w:rPr>
                <w:rFonts w:ascii="Calibri" w:hAnsi="Calibri"/>
                <w:b w:val="0"/>
                <w:i w:val="0"/>
                <w:color w:val="212121"/>
                <w:sz w:val="16"/>
              </w:rPr>
              <w:t>PCR of pus outperformed tissue PCR, histopathology and GeneXpert in a large Indian cohort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Granuloma / dysplasia / malignancy</w:t>
            </w:r>
          </w:p>
        </w:tc>
        <w:tc>
          <w:tcPr>
            <w:tcW w:type="dxa" w:w="892"/>
            <w:vAlign w:val="top"/>
          </w:tcPr>
          <w:p>
            <w:pPr>
              <w:spacing w:after="40" w:before="0" w:line="259" w:lineRule="auto"/>
            </w:pPr>
            <w:r>
              <w:rPr>
                <w:rFonts w:ascii="Calibri" w:hAnsi="Calibri"/>
                <w:b w:val="0"/>
                <w:i w:val="0"/>
                <w:color w:val="212121"/>
                <w:sz w:val="16"/>
              </w:rPr>
              <w:t>Biopsy of tract wall / curettings</w:t>
            </w:r>
          </w:p>
        </w:tc>
        <w:tc>
          <w:tcPr>
            <w:tcW w:type="dxa" w:w="950"/>
            <w:vAlign w:val="top"/>
          </w:tcPr>
          <w:p>
            <w:pPr>
              <w:spacing w:after="40" w:before="0" w:line="259" w:lineRule="auto"/>
            </w:pPr>
            <w:r>
              <w:rPr>
                <w:rFonts w:ascii="Calibri" w:hAnsi="Calibri"/>
                <w:b w:val="0"/>
                <w:i w:val="0"/>
                <w:color w:val="212121"/>
                <w:sz w:val="16"/>
              </w:rPr>
              <w:t>Benign granulation tissue</w:t>
            </w:r>
          </w:p>
        </w:tc>
        <w:tc>
          <w:tcPr>
            <w:tcW w:type="dxa" w:w="950"/>
            <w:vAlign w:val="top"/>
          </w:tcPr>
          <w:p>
            <w:pPr>
              <w:spacing w:after="40" w:before="0" w:line="259" w:lineRule="auto"/>
            </w:pPr>
            <w:r>
              <w:rPr>
                <w:rFonts w:ascii="Calibri" w:hAnsi="Calibri"/>
                <w:b w:val="0"/>
                <w:i w:val="0"/>
                <w:color w:val="212121"/>
                <w:sz w:val="16"/>
              </w:rPr>
              <w:t>Caseating granuloma (TB); non-caseating granuloma (Crohn's); carcinoma</w:t>
            </w:r>
          </w:p>
        </w:tc>
        <w:tc>
          <w:tcPr>
            <w:tcW w:type="dxa" w:w="1036"/>
            <w:vAlign w:val="top"/>
          </w:tcPr>
          <w:p>
            <w:pPr>
              <w:spacing w:after="40" w:before="0" w:line="259" w:lineRule="auto"/>
            </w:pPr>
            <w:r>
              <w:rPr>
                <w:rFonts w:ascii="Calibri" w:hAnsi="Calibri"/>
                <w:b w:val="0"/>
                <w:i w:val="0"/>
                <w:color w:val="212121"/>
                <w:sz w:val="16"/>
              </w:rPr>
              <w:t>Identifies TB and Crohn's and excludes rare fistula-associated adenocarcinoma in long-standing tracts</w:t>
            </w:r>
          </w:p>
        </w:tc>
        <w:tc>
          <w:tcPr>
            <w:tcW w:type="dxa" w:w="1036"/>
            <w:vAlign w:val="top"/>
          </w:tcPr>
          <w:p>
            <w:pPr>
              <w:spacing w:after="40" w:before="0" w:line="259" w:lineRule="auto"/>
            </w:pPr>
            <w:r>
              <w:rPr>
                <w:rFonts w:ascii="Calibri" w:hAnsi="Calibri"/>
                <w:b w:val="0"/>
                <w:i w:val="0"/>
                <w:color w:val="212121"/>
                <w:sz w:val="16"/>
              </w:rPr>
              <w:t>Chronic, recurrent or atypical fistulae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send tissue in chronic/recurrent Indian fistulae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Diabetes screen</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Detects diabetes and quantifies control; poor control drives abscess and recurrence</w:t>
            </w:r>
          </w:p>
        </w:tc>
        <w:tc>
          <w:tcPr>
            <w:tcW w:type="dxa" w:w="1036"/>
            <w:vAlign w:val="top"/>
          </w:tcPr>
          <w:p>
            <w:pPr>
              <w:spacing w:after="40" w:before="0" w:line="259" w:lineRule="auto"/>
            </w:pPr>
            <w:r>
              <w:rPr>
                <w:rFonts w:ascii="Calibri" w:hAnsi="Calibri"/>
                <w:b w:val="0"/>
                <w:i w:val="0"/>
                <w:color w:val="212121"/>
                <w:sz w:val="16"/>
              </w:rPr>
              <w:t>All abscess/recurrent-fistula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Optimise glycaemia before and after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Blood count</w:t>
            </w:r>
          </w:p>
        </w:tc>
        <w:tc>
          <w:tcPr>
            <w:tcW w:type="dxa" w:w="950"/>
            <w:vAlign w:val="top"/>
          </w:tcPr>
          <w:p>
            <w:pPr>
              <w:spacing w:after="40" w:before="0" w:line="259" w:lineRule="auto"/>
            </w:pPr>
            <w:r>
              <w:rPr>
                <w:rFonts w:ascii="Calibri" w:hAnsi="Calibri"/>
                <w:b w:val="0"/>
                <w:i w:val="0"/>
                <w:color w:val="212121"/>
                <w:sz w:val="16"/>
              </w:rPr>
              <w:t>Normal WBC &amp; Hb</w:t>
            </w:r>
          </w:p>
        </w:tc>
        <w:tc>
          <w:tcPr>
            <w:tcW w:type="dxa" w:w="950"/>
            <w:vAlign w:val="top"/>
          </w:tcPr>
          <w:p>
            <w:pPr>
              <w:spacing w:after="40" w:before="0" w:line="259" w:lineRule="auto"/>
            </w:pPr>
            <w:r>
              <w:rPr>
                <w:rFonts w:ascii="Calibri" w:hAnsi="Calibri"/>
                <w:b w:val="0"/>
                <w:i w:val="0"/>
                <w:color w:val="212121"/>
                <w:sz w:val="16"/>
              </w:rPr>
              <w:t>Neutrophilic leukocytosis (abscess); anaemia (chronic sepsis/TB)</w:t>
            </w:r>
          </w:p>
        </w:tc>
        <w:tc>
          <w:tcPr>
            <w:tcW w:type="dxa" w:w="1036"/>
            <w:vAlign w:val="top"/>
          </w:tcPr>
          <w:p>
            <w:pPr>
              <w:spacing w:after="40" w:before="0" w:line="259" w:lineRule="auto"/>
            </w:pPr>
            <w:r>
              <w:rPr>
                <w:rFonts w:ascii="Calibri" w:hAnsi="Calibri"/>
                <w:b w:val="0"/>
                <w:i w:val="0"/>
                <w:color w:val="212121"/>
                <w:sz w:val="16"/>
              </w:rPr>
              <w:t>Supports acute infection and detects anaemia of chronic disease</w:t>
            </w:r>
          </w:p>
        </w:tc>
        <w:tc>
          <w:tcPr>
            <w:tcW w:type="dxa" w:w="1036"/>
            <w:vAlign w:val="top"/>
          </w:tcPr>
          <w:p>
            <w:pPr>
              <w:spacing w:after="40" w:before="0" w:line="259" w:lineRule="auto"/>
            </w:pPr>
            <w:r>
              <w:rPr>
                <w:rFonts w:ascii="Calibri" w:hAnsi="Calibri"/>
                <w:b w:val="0"/>
                <w:i w:val="0"/>
                <w:color w:val="212121"/>
                <w:sz w:val="16"/>
              </w:rPr>
              <w:t>Acute abscess; chronic/complex fistula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Marked toxicity should raise concern for necrotising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status</w:t>
            </w:r>
          </w:p>
        </w:tc>
        <w:tc>
          <w:tcPr>
            <w:tcW w:type="dxa" w:w="892"/>
            <w:vAlign w:val="top"/>
          </w:tcPr>
          <w:p>
            <w:pPr>
              <w:spacing w:after="40" w:before="0" w:line="259" w:lineRule="auto"/>
            </w:pPr>
            <w:r>
              <w:rPr>
                <w:rFonts w:ascii="Calibri" w:hAnsi="Calibri"/>
                <w:b w:val="0"/>
                <w:i w:val="0"/>
                <w:color w:val="212121"/>
                <w:sz w:val="16"/>
              </w:rPr>
              <w:t>HIV test</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Immunosuppression predisposes to recurrent, atypical, complex perianal sepsis and alters management</w:t>
            </w:r>
          </w:p>
        </w:tc>
        <w:tc>
          <w:tcPr>
            <w:tcW w:type="dxa" w:w="1036"/>
            <w:vAlign w:val="top"/>
          </w:tcPr>
          <w:p>
            <w:pPr>
              <w:spacing w:after="40" w:before="0" w:line="259" w:lineRule="auto"/>
            </w:pPr>
            <w:r>
              <w:rPr>
                <w:rFonts w:ascii="Calibri" w:hAnsi="Calibri"/>
                <w:b w:val="0"/>
                <w:i w:val="0"/>
                <w:color w:val="212121"/>
                <w:sz w:val="16"/>
              </w:rPr>
              <w:t>Recurrent/atypical fistulae; risk factors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Counselled testing where indicated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Colonic/ileal mucosa</w:t>
            </w:r>
          </w:p>
        </w:tc>
        <w:tc>
          <w:tcPr>
            <w:tcW w:type="dxa" w:w="892"/>
            <w:vAlign w:val="top"/>
          </w:tcPr>
          <w:p>
            <w:pPr>
              <w:spacing w:after="40" w:before="0" w:line="259" w:lineRule="auto"/>
            </w:pPr>
            <w:r>
              <w:rPr>
                <w:rFonts w:ascii="Calibri" w:hAnsi="Calibri"/>
                <w:b w:val="0"/>
                <w:i w:val="0"/>
                <w:color w:val="212121"/>
                <w:sz w:val="16"/>
              </w:rPr>
              <w:t>Colonoscopy with biopsy</w:t>
            </w:r>
          </w:p>
        </w:tc>
        <w:tc>
          <w:tcPr>
            <w:tcW w:type="dxa" w:w="950"/>
            <w:vAlign w:val="top"/>
          </w:tcPr>
          <w:p>
            <w:pPr>
              <w:spacing w:after="40" w:before="0" w:line="259" w:lineRule="auto"/>
            </w:pPr>
            <w:r>
              <w:rPr>
                <w:rFonts w:ascii="Calibri" w:hAnsi="Calibri"/>
                <w:b w:val="0"/>
                <w:i w:val="0"/>
                <w:color w:val="212121"/>
                <w:sz w:val="16"/>
              </w:rPr>
              <w:t>Normal mucosa</w:t>
            </w:r>
          </w:p>
        </w:tc>
        <w:tc>
          <w:tcPr>
            <w:tcW w:type="dxa" w:w="950"/>
            <w:vAlign w:val="top"/>
          </w:tcPr>
          <w:p>
            <w:pPr>
              <w:spacing w:after="40" w:before="0" w:line="259" w:lineRule="auto"/>
            </w:pPr>
            <w:r>
              <w:rPr>
                <w:rFonts w:ascii="Calibri" w:hAnsi="Calibri"/>
                <w:b w:val="0"/>
                <w:i w:val="0"/>
                <w:color w:val="212121"/>
                <w:sz w:val="16"/>
              </w:rPr>
              <w:t>Skip lesions, ulcers, granulomas → Crohn's</w:t>
            </w:r>
          </w:p>
        </w:tc>
        <w:tc>
          <w:tcPr>
            <w:tcW w:type="dxa" w:w="1036"/>
            <w:vAlign w:val="top"/>
          </w:tcPr>
          <w:p>
            <w:pPr>
              <w:spacing w:after="40" w:before="0" w:line="259" w:lineRule="auto"/>
            </w:pPr>
            <w:r>
              <w:rPr>
                <w:rFonts w:ascii="Calibri" w:hAnsi="Calibri"/>
                <w:b w:val="0"/>
                <w:i w:val="0"/>
                <w:color w:val="212121"/>
                <w:sz w:val="16"/>
              </w:rPr>
              <w:t>Identifies underlying Crohn's disease when perianal fistula is complex, multiple or recurrent</w:t>
            </w:r>
          </w:p>
        </w:tc>
        <w:tc>
          <w:tcPr>
            <w:tcW w:type="dxa" w:w="1036"/>
            <w:vAlign w:val="top"/>
          </w:tcPr>
          <w:p>
            <w:pPr>
              <w:spacing w:after="40" w:before="0" w:line="259" w:lineRule="auto"/>
            </w:pPr>
            <w:r>
              <w:rPr>
                <w:rFonts w:ascii="Calibri" w:hAnsi="Calibri"/>
                <w:b w:val="0"/>
                <w:i w:val="0"/>
                <w:color w:val="212121"/>
                <w:sz w:val="16"/>
              </w:rPr>
              <w:t>Suspected Crohn's; complex fistulae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Perianal disease may precede intestinal Crohn's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Recurrent perianal pain, swelling, purulent/bloody discharge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 often recurrent</w:t>
            </w:r>
          </w:p>
        </w:tc>
        <w:tc>
          <w:tcPr>
            <w:tcW w:type="dxa" w:w="1036"/>
            <w:vAlign w:val="top"/>
          </w:tcPr>
          <w:p>
            <w:pPr>
              <w:spacing w:after="40" w:before="0" w:line="259" w:lineRule="auto"/>
            </w:pPr>
            <w:r>
              <w:rPr>
                <w:rFonts w:ascii="Calibri" w:hAnsi="Calibri"/>
                <w:b w:val="0"/>
                <w:i w:val="0"/>
                <w:color w:val="212121"/>
                <w:sz w:val="16"/>
              </w:rPr>
              <w:t>Cardinal history of anorectal abscess/fistula prompting examination</w:t>
            </w:r>
          </w:p>
        </w:tc>
        <w:tc>
          <w:tcPr>
            <w:tcW w:type="dxa" w:w="1036"/>
            <w:vAlign w:val="top"/>
          </w:tcPr>
          <w:p>
            <w:pPr>
              <w:spacing w:after="40" w:before="0" w:line="259" w:lineRule="auto"/>
            </w:pPr>
            <w:r>
              <w:rPr>
                <w:rFonts w:ascii="Calibri" w:hAnsi="Calibri"/>
                <w:b w:val="0"/>
                <w:i w:val="0"/>
                <w:color w:val="212121"/>
                <w:sz w:val="16"/>
              </w:rPr>
              <w:t>Patients with perianal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cyclical abscess that discharges and recurs suggests an underlying fistula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&amp; IBD symptoms</w:t>
            </w:r>
          </w:p>
        </w:tc>
        <w:tc>
          <w:tcPr>
            <w:tcW w:type="dxa" w:w="979"/>
            <w:vAlign w:val="top"/>
          </w:tcPr>
          <w:p>
            <w:pPr>
              <w:spacing w:after="40" w:before="0" w:line="259" w:lineRule="auto"/>
            </w:pPr>
            <w:r>
              <w:rPr>
                <w:rFonts w:ascii="Calibri" w:hAnsi="Calibri"/>
                <w:b w:val="0"/>
                <w:i w:val="0"/>
                <w:color w:val="212121"/>
                <w:sz w:val="16"/>
              </w:rPr>
              <w:t>Constipation/straining, diarrhoea, blood, weight loss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Chronic diarrhoea, blood, weight loss</w:t>
            </w:r>
          </w:p>
        </w:tc>
        <w:tc>
          <w:tcPr>
            <w:tcW w:type="dxa" w:w="1036"/>
            <w:vAlign w:val="top"/>
          </w:tcPr>
          <w:p>
            <w:pPr>
              <w:spacing w:after="40" w:before="0" w:line="259" w:lineRule="auto"/>
            </w:pPr>
            <w:r>
              <w:rPr>
                <w:rFonts w:ascii="Calibri" w:hAnsi="Calibri"/>
                <w:b w:val="0"/>
                <w:i w:val="0"/>
                <w:color w:val="212121"/>
                <w:sz w:val="16"/>
              </w:rPr>
              <w:t>Points to constipation as a provoker or to Crohn's disease as an underlying cause</w:t>
            </w:r>
          </w:p>
        </w:tc>
        <w:tc>
          <w:tcPr>
            <w:tcW w:type="dxa" w:w="1036"/>
            <w:vAlign w:val="top"/>
          </w:tcPr>
          <w:p>
            <w:pPr>
              <w:spacing w:after="40" w:before="0" w:line="259" w:lineRule="auto"/>
            </w:pPr>
            <w:r>
              <w:rPr>
                <w:rFonts w:ascii="Calibri" w:hAnsi="Calibri"/>
                <w:b w:val="0"/>
                <w:i w:val="0"/>
                <w:color w:val="212121"/>
                <w:sz w:val="16"/>
              </w:rPr>
              <w:t>Complex/recurrent fistulae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Low-fibre diet and straining are common Indian contributors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Tuberculosis history &amp; exposure</w:t>
            </w:r>
          </w:p>
        </w:tc>
        <w:tc>
          <w:tcPr>
            <w:tcW w:type="dxa" w:w="979"/>
            <w:vAlign w:val="top"/>
          </w:tcPr>
          <w:p>
            <w:pPr>
              <w:spacing w:after="40" w:before="0" w:line="259" w:lineRule="auto"/>
            </w:pPr>
            <w:r>
              <w:rPr>
                <w:rFonts w:ascii="Calibri" w:hAnsi="Calibri"/>
                <w:b w:val="0"/>
                <w:i w:val="0"/>
                <w:color w:val="212121"/>
                <w:sz w:val="16"/>
              </w:rPr>
              <w:t>Prior TB, contact, fever, night sweats, watery discharge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history/contact or constitutional symptoms</w:t>
            </w:r>
          </w:p>
        </w:tc>
        <w:tc>
          <w:tcPr>
            <w:tcW w:type="dxa" w:w="1036"/>
            <w:vAlign w:val="top"/>
          </w:tcPr>
          <w:p>
            <w:pPr>
              <w:spacing w:after="40" w:before="0" w:line="259" w:lineRule="auto"/>
            </w:pPr>
            <w:r>
              <w:rPr>
                <w:rFonts w:ascii="Calibri" w:hAnsi="Calibri"/>
                <w:b w:val="0"/>
                <w:i w:val="0"/>
                <w:color w:val="212121"/>
                <w:sz w:val="16"/>
              </w:rPr>
              <w:t>Essential in India to weigh anorectal tuberculosis before surgery</w:t>
            </w:r>
          </w:p>
        </w:tc>
        <w:tc>
          <w:tcPr>
            <w:tcW w:type="dxa" w:w="1036"/>
            <w:vAlign w:val="top"/>
          </w:tcPr>
          <w:p>
            <w:pPr>
              <w:spacing w:after="40" w:before="0" w:line="259" w:lineRule="auto"/>
            </w:pPr>
            <w:r>
              <w:rPr>
                <w:rFonts w:ascii="Calibri" w:hAnsi="Calibri"/>
                <w:b w:val="0"/>
                <w:i w:val="0"/>
                <w:color w:val="212121"/>
                <w:sz w:val="16"/>
              </w:rPr>
              <w:t>All complex/recurrent fistulae in TB-endemic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(India)</w:t>
            </w:r>
          </w:p>
        </w:tc>
        <w:tc>
          <w:tcPr>
            <w:tcW w:type="dxa" w:w="720"/>
            <w:vAlign w:val="top"/>
          </w:tcPr>
          <w:p>
            <w:pPr>
              <w:spacing w:after="40" w:before="0" w:line="259" w:lineRule="auto"/>
            </w:pPr>
            <w:r>
              <w:rPr>
                <w:rFonts w:ascii="Calibri" w:hAnsi="Calibri"/>
                <w:b w:val="0"/>
                <w:i w:val="0"/>
                <w:color w:val="212121"/>
                <w:sz w:val="16"/>
              </w:rPr>
              <w:t>Multiple openings with watery discharge favour TB</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risk factors</w:t>
            </w:r>
          </w:p>
        </w:tc>
        <w:tc>
          <w:tcPr>
            <w:tcW w:type="dxa" w:w="979"/>
            <w:vAlign w:val="top"/>
          </w:tcPr>
          <w:p>
            <w:pPr>
              <w:spacing w:after="40" w:before="0" w:line="259" w:lineRule="auto"/>
            </w:pPr>
            <w:r>
              <w:rPr>
                <w:rFonts w:ascii="Calibri" w:hAnsi="Calibri"/>
                <w:b w:val="0"/>
                <w:i w:val="0"/>
                <w:color w:val="212121"/>
                <w:sz w:val="16"/>
              </w:rPr>
              <w:t>Diabetes, HIV/immunosuppression, smoking, obesity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Identifies healing-impairing factors that raise abscess and recurrence risk</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Optimise diabetes and stop smoking before surgery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Perianal inspection</w:t>
            </w:r>
          </w:p>
        </w:tc>
        <w:tc>
          <w:tcPr>
            <w:tcW w:type="dxa" w:w="979"/>
            <w:vAlign w:val="top"/>
          </w:tcPr>
          <w:p>
            <w:pPr>
              <w:spacing w:after="40" w:before="0" w:line="259" w:lineRule="auto"/>
            </w:pPr>
            <w:r>
              <w:rPr>
                <w:rFonts w:ascii="Calibri" w:hAnsi="Calibri"/>
                <w:b w:val="0"/>
                <w:i w:val="0"/>
                <w:color w:val="212121"/>
                <w:sz w:val="16"/>
              </w:rPr>
              <w:t>External opening, discharge, erythema, fluctuant tender mass</w:t>
            </w:r>
          </w:p>
        </w:tc>
        <w:tc>
          <w:tcPr>
            <w:tcW w:type="dxa" w:w="950"/>
            <w:vAlign w:val="top"/>
          </w:tcPr>
          <w:p>
            <w:pPr>
              <w:spacing w:after="40" w:before="0" w:line="259" w:lineRule="auto"/>
            </w:pPr>
            <w:r>
              <w:rPr>
                <w:rFonts w:ascii="Calibri" w:hAnsi="Calibri"/>
                <w:b w:val="0"/>
                <w:i w:val="0"/>
                <w:color w:val="212121"/>
                <w:sz w:val="16"/>
              </w:rPr>
              <w:t>Normal perineum</w:t>
            </w:r>
          </w:p>
        </w:tc>
        <w:tc>
          <w:tcPr>
            <w:tcW w:type="dxa" w:w="950"/>
            <w:vAlign w:val="top"/>
          </w:tcPr>
          <w:p>
            <w:pPr>
              <w:spacing w:after="40" w:before="0" w:line="259" w:lineRule="auto"/>
            </w:pPr>
            <w:r>
              <w:rPr>
                <w:rFonts w:ascii="Calibri" w:hAnsi="Calibri"/>
                <w:b w:val="0"/>
                <w:i w:val="0"/>
                <w:color w:val="212121"/>
                <w:sz w:val="16"/>
              </w:rPr>
              <w:t>External opening with discharge; tender fluctuant swelling (abscess)</w:t>
            </w:r>
          </w:p>
        </w:tc>
        <w:tc>
          <w:tcPr>
            <w:tcW w:type="dxa" w:w="1036"/>
            <w:vAlign w:val="top"/>
          </w:tcPr>
          <w:p>
            <w:pPr>
              <w:spacing w:after="40" w:before="0" w:line="259" w:lineRule="auto"/>
            </w:pPr>
            <w:r>
              <w:rPr>
                <w:rFonts w:ascii="Calibri" w:hAnsi="Calibri"/>
                <w:b w:val="0"/>
                <w:i w:val="0"/>
                <w:color w:val="212121"/>
                <w:sz w:val="16"/>
              </w:rPr>
              <w:t>Locates the fistula's external opening or an abscess needing urgent drainage</w:t>
            </w:r>
          </w:p>
        </w:tc>
        <w:tc>
          <w:tcPr>
            <w:tcW w:type="dxa" w:w="1036"/>
            <w:vAlign w:val="top"/>
          </w:tcPr>
          <w:p>
            <w:pPr>
              <w:spacing w:after="40" w:before="0" w:line="259" w:lineRule="auto"/>
            </w:pPr>
            <w:r>
              <w:rPr>
                <w:rFonts w:ascii="Calibri" w:hAnsi="Calibri"/>
                <w:b w:val="0"/>
                <w:i w:val="0"/>
                <w:color w:val="212121"/>
                <w:sz w:val="16"/>
              </w:rPr>
              <w:t>Patients with perianal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number/position of openings and any horseshoe induration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Digital rectal examination &amp; continence</w:t>
            </w:r>
          </w:p>
        </w:tc>
        <w:tc>
          <w:tcPr>
            <w:tcW w:type="dxa" w:w="979"/>
            <w:vAlign w:val="top"/>
          </w:tcPr>
          <w:p>
            <w:pPr>
              <w:spacing w:after="40" w:before="0" w:line="259" w:lineRule="auto"/>
            </w:pPr>
            <w:r>
              <w:rPr>
                <w:rFonts w:ascii="Calibri" w:hAnsi="Calibri"/>
                <w:b w:val="0"/>
                <w:i w:val="0"/>
                <w:color w:val="212121"/>
                <w:sz w:val="16"/>
              </w:rPr>
              <w:t>Induration, internal opening, resting/squeeze tone</w:t>
            </w:r>
          </w:p>
        </w:tc>
        <w:tc>
          <w:tcPr>
            <w:tcW w:type="dxa" w:w="950"/>
            <w:vAlign w:val="top"/>
          </w:tcPr>
          <w:p>
            <w:pPr>
              <w:spacing w:after="40" w:before="0" w:line="259" w:lineRule="auto"/>
            </w:pPr>
            <w:r>
              <w:rPr>
                <w:rFonts w:ascii="Calibri" w:hAnsi="Calibri"/>
                <w:b w:val="0"/>
                <w:i w:val="0"/>
                <w:color w:val="212121"/>
                <w:sz w:val="16"/>
              </w:rPr>
              <w:t>Soft, normal tone, no induration</w:t>
            </w:r>
          </w:p>
        </w:tc>
        <w:tc>
          <w:tcPr>
            <w:tcW w:type="dxa" w:w="950"/>
            <w:vAlign w:val="top"/>
          </w:tcPr>
          <w:p>
            <w:pPr>
              <w:spacing w:after="40" w:before="0" w:line="259" w:lineRule="auto"/>
            </w:pPr>
            <w:r>
              <w:rPr>
                <w:rFonts w:ascii="Calibri" w:hAnsi="Calibri"/>
                <w:b w:val="0"/>
                <w:i w:val="0"/>
                <w:color w:val="212121"/>
                <w:sz w:val="16"/>
              </w:rPr>
              <w:t>Palpable tract/internal opening; reduced sphincter tone</w:t>
            </w:r>
          </w:p>
        </w:tc>
        <w:tc>
          <w:tcPr>
            <w:tcW w:type="dxa" w:w="1036"/>
            <w:vAlign w:val="top"/>
          </w:tcPr>
          <w:p>
            <w:pPr>
              <w:spacing w:after="40" w:before="0" w:line="259" w:lineRule="auto"/>
            </w:pPr>
            <w:r>
              <w:rPr>
                <w:rFonts w:ascii="Calibri" w:hAnsi="Calibri"/>
                <w:b w:val="0"/>
                <w:i w:val="0"/>
                <w:color w:val="212121"/>
                <w:sz w:val="16"/>
              </w:rPr>
              <w:t>Assesses tract height and baseline continence, which govern how much sphincter can be safely divided</w:t>
            </w:r>
          </w:p>
        </w:tc>
        <w:tc>
          <w:tcPr>
            <w:tcW w:type="dxa" w:w="1036"/>
            <w:vAlign w:val="top"/>
          </w:tcPr>
          <w:p>
            <w:pPr>
              <w:spacing w:after="40" w:before="0" w:line="259" w:lineRule="auto"/>
            </w:pPr>
            <w:r>
              <w:rPr>
                <w:rFonts w:ascii="Calibri" w:hAnsi="Calibri"/>
                <w:b w:val="0"/>
                <w:i w:val="0"/>
                <w:color w:val="212121"/>
                <w:sz w:val="16"/>
              </w:rPr>
              <w:t>All fistula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Some post-fistulotomy incontinence is reported in up to ~45% of series; document baseline continence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Anoscopy / proctoscopy</w:t>
            </w:r>
          </w:p>
        </w:tc>
        <w:tc>
          <w:tcPr>
            <w:tcW w:type="dxa" w:w="979"/>
            <w:vAlign w:val="top"/>
          </w:tcPr>
          <w:p>
            <w:pPr>
              <w:spacing w:after="40" w:before="0" w:line="259" w:lineRule="auto"/>
            </w:pPr>
            <w:r>
              <w:rPr>
                <w:rFonts w:ascii="Calibri" w:hAnsi="Calibri"/>
                <w:b w:val="0"/>
                <w:i w:val="0"/>
                <w:color w:val="212121"/>
                <w:sz w:val="16"/>
              </w:rPr>
              <w:t>Internal opening at dentate line</w:t>
            </w:r>
          </w:p>
        </w:tc>
        <w:tc>
          <w:tcPr>
            <w:tcW w:type="dxa" w:w="950"/>
            <w:vAlign w:val="top"/>
          </w:tcPr>
          <w:p>
            <w:pPr>
              <w:spacing w:after="40" w:before="0" w:line="259" w:lineRule="auto"/>
            </w:pPr>
            <w:r>
              <w:rPr>
                <w:rFonts w:ascii="Calibri" w:hAnsi="Calibri"/>
                <w:b w:val="0"/>
                <w:i w:val="0"/>
                <w:color w:val="212121"/>
                <w:sz w:val="16"/>
              </w:rPr>
              <w:t>No internal opening</w:t>
            </w:r>
          </w:p>
        </w:tc>
        <w:tc>
          <w:tcPr>
            <w:tcW w:type="dxa" w:w="950"/>
            <w:vAlign w:val="top"/>
          </w:tcPr>
          <w:p>
            <w:pPr>
              <w:spacing w:after="40" w:before="0" w:line="259" w:lineRule="auto"/>
            </w:pPr>
            <w:r>
              <w:rPr>
                <w:rFonts w:ascii="Calibri" w:hAnsi="Calibri"/>
                <w:b w:val="0"/>
                <w:i w:val="0"/>
                <w:color w:val="212121"/>
                <w:sz w:val="16"/>
              </w:rPr>
              <w:t>Internal opening/pit at dentate line ± discharge</w:t>
            </w:r>
          </w:p>
        </w:tc>
        <w:tc>
          <w:tcPr>
            <w:tcW w:type="dxa" w:w="1036"/>
            <w:vAlign w:val="top"/>
          </w:tcPr>
          <w:p>
            <w:pPr>
              <w:spacing w:after="40" w:before="0" w:line="259" w:lineRule="auto"/>
            </w:pPr>
            <w:r>
              <w:rPr>
                <w:rFonts w:ascii="Calibri" w:hAnsi="Calibri"/>
                <w:b w:val="0"/>
                <w:i w:val="0"/>
                <w:color w:val="212121"/>
                <w:sz w:val="16"/>
              </w:rPr>
              <w:t>Confirms the internal opening and screens for coexisting anal pathology</w:t>
            </w:r>
          </w:p>
        </w:tc>
        <w:tc>
          <w:tcPr>
            <w:tcW w:type="dxa" w:w="1036"/>
            <w:vAlign w:val="top"/>
          </w:tcPr>
          <w:p>
            <w:pPr>
              <w:spacing w:after="40" w:before="0" w:line="259" w:lineRule="auto"/>
            </w:pPr>
            <w:r>
              <w:rPr>
                <w:rFonts w:ascii="Calibri" w:hAnsi="Calibri"/>
                <w:b w:val="0"/>
                <w:i w:val="0"/>
                <w:color w:val="212121"/>
                <w:sz w:val="16"/>
              </w:rPr>
              <w:t>Patients with suspected fistula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Coexisting fissure or piles are common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Procedure</w:t>
            </w:r>
          </w:p>
        </w:tc>
        <w:tc>
          <w:tcPr>
            <w:tcW w:type="dxa" w:w="950"/>
            <w:vAlign w:val="top"/>
          </w:tcPr>
          <w:p>
            <w:pPr>
              <w:spacing w:after="40" w:before="0" w:line="259" w:lineRule="auto"/>
            </w:pPr>
            <w:r>
              <w:rPr>
                <w:rFonts w:ascii="Calibri" w:hAnsi="Calibri"/>
                <w:b w:val="0"/>
                <w:i w:val="0"/>
                <w:color w:val="212121"/>
                <w:sz w:val="16"/>
              </w:rPr>
              <w:t>Examination under anaesthesia (EUA) with probing</w:t>
            </w:r>
          </w:p>
        </w:tc>
        <w:tc>
          <w:tcPr>
            <w:tcW w:type="dxa" w:w="979"/>
            <w:vAlign w:val="top"/>
          </w:tcPr>
          <w:p>
            <w:pPr>
              <w:spacing w:after="40" w:before="0" w:line="259" w:lineRule="auto"/>
            </w:pPr>
            <w:r>
              <w:rPr>
                <w:rFonts w:ascii="Calibri" w:hAnsi="Calibri"/>
                <w:b w:val="0"/>
                <w:i w:val="0"/>
                <w:color w:val="212121"/>
                <w:sz w:val="16"/>
              </w:rPr>
              <w:t>Tract course &amp; sphincter relation</w:t>
            </w:r>
          </w:p>
        </w:tc>
        <w:tc>
          <w:tcPr>
            <w:tcW w:type="dxa" w:w="950"/>
            <w:vAlign w:val="top"/>
          </w:tcPr>
          <w:p>
            <w:pPr>
              <w:spacing w:after="40" w:before="0" w:line="259" w:lineRule="auto"/>
            </w:pPr>
            <w:r>
              <w:rPr>
                <w:rFonts w:ascii="Calibri" w:hAnsi="Calibri"/>
                <w:b w:val="0"/>
                <w:i w:val="0"/>
                <w:color w:val="212121"/>
                <w:sz w:val="16"/>
              </w:rPr>
              <w:t>No tract</w:t>
            </w:r>
          </w:p>
        </w:tc>
        <w:tc>
          <w:tcPr>
            <w:tcW w:type="dxa" w:w="950"/>
            <w:vAlign w:val="top"/>
          </w:tcPr>
          <w:p>
            <w:pPr>
              <w:spacing w:after="40" w:before="0" w:line="259" w:lineRule="auto"/>
            </w:pPr>
            <w:r>
              <w:rPr>
                <w:rFonts w:ascii="Calibri" w:hAnsi="Calibri"/>
                <w:b w:val="0"/>
                <w:i w:val="0"/>
                <w:color w:val="212121"/>
                <w:sz w:val="16"/>
              </w:rPr>
              <w:t>Defined tract from external to internal opening</w:t>
            </w:r>
          </w:p>
        </w:tc>
        <w:tc>
          <w:tcPr>
            <w:tcW w:type="dxa" w:w="1036"/>
            <w:vAlign w:val="top"/>
          </w:tcPr>
          <w:p>
            <w:pPr>
              <w:spacing w:after="40" w:before="0" w:line="259" w:lineRule="auto"/>
            </w:pPr>
            <w:r>
              <w:rPr>
                <w:rFonts w:ascii="Calibri" w:hAnsi="Calibri"/>
                <w:b w:val="0"/>
                <w:i w:val="0"/>
                <w:color w:val="212121"/>
                <w:sz w:val="16"/>
              </w:rPr>
              <w:t>Practical gold standard that both maps and often treats the fistula in the same sitting</w:t>
            </w:r>
          </w:p>
        </w:tc>
        <w:tc>
          <w:tcPr>
            <w:tcW w:type="dxa" w:w="1036"/>
            <w:vAlign w:val="top"/>
          </w:tcPr>
          <w:p>
            <w:pPr>
              <w:spacing w:after="40" w:before="0" w:line="259" w:lineRule="auto"/>
            </w:pPr>
            <w:r>
              <w:rPr>
                <w:rFonts w:ascii="Calibri" w:hAnsi="Calibri"/>
                <w:b w:val="0"/>
                <w:i w:val="0"/>
                <w:color w:val="212121"/>
                <w:sz w:val="16"/>
              </w:rPr>
              <w:t>Most operative fistulae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(clinical)</w:t>
            </w:r>
          </w:p>
        </w:tc>
        <w:tc>
          <w:tcPr>
            <w:tcW w:type="dxa" w:w="720"/>
            <w:vAlign w:val="top"/>
          </w:tcPr>
          <w:p>
            <w:pPr>
              <w:spacing w:after="40" w:before="0" w:line="259" w:lineRule="auto"/>
            </w:pPr>
            <w:r>
              <w:rPr>
                <w:rFonts w:ascii="Calibri" w:hAnsi="Calibri"/>
                <w:b w:val="0"/>
                <w:i w:val="0"/>
                <w:color w:val="212121"/>
                <w:sz w:val="16"/>
              </w:rPr>
              <w:t>Gentle probing and dilute hydrogen-peroxide/dye aid tract definition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Throbbing perianal pain (worse on sitting/defecation)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Constant or throbbing pain near the anus, aggravated by sitting, moving, coughing or passing stool.</w:t>
            </w:r>
          </w:p>
        </w:tc>
      </w:tr>
      <w:tr>
        <w:trPr>
          <w:cantSplit/>
        </w:trPr>
        <w:tc>
          <w:tcPr>
            <w:tcW w:type="dxa" w:w="2304"/>
            <w:vAlign w:val="top"/>
          </w:tcPr>
          <w:p>
            <w:pPr>
              <w:spacing w:after="40" w:before="0" w:line="259" w:lineRule="auto"/>
            </w:pPr>
            <w:r>
              <w:rPr>
                <w:rFonts w:ascii="Calibri" w:hAnsi="Calibri"/>
                <w:b/>
                <w:i w:val="0"/>
                <w:color w:val="212121"/>
                <w:sz w:val="19"/>
              </w:rPr>
              <w:t>Perianal swelling or lump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tender lump or fullness beside the anus — an abscess in the acute phase.</w:t>
            </w:r>
          </w:p>
        </w:tc>
      </w:tr>
      <w:tr>
        <w:trPr>
          <w:cantSplit/>
        </w:trPr>
        <w:tc>
          <w:tcPr>
            <w:tcW w:type="dxa" w:w="2304"/>
            <w:vAlign w:val="top"/>
          </w:tcPr>
          <w:p>
            <w:pPr>
              <w:spacing w:after="40" w:before="0" w:line="259" w:lineRule="auto"/>
            </w:pPr>
            <w:r>
              <w:rPr>
                <w:rFonts w:ascii="Calibri" w:hAnsi="Calibri"/>
                <w:b/>
                <w:i w:val="0"/>
                <w:color w:val="212121"/>
                <w:sz w:val="19"/>
              </w:rPr>
              <w:t>Purulent, often malodorous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Pus or serosanguineous fluid draining from an external opening, sometimes staining underwear.</w:t>
            </w:r>
          </w:p>
        </w:tc>
      </w:tr>
      <w:tr>
        <w:trPr>
          <w:cantSplit/>
        </w:trPr>
        <w:tc>
          <w:tcPr>
            <w:tcW w:type="dxa" w:w="2304"/>
            <w:vAlign w:val="top"/>
          </w:tcPr>
          <w:p>
            <w:pPr>
              <w:spacing w:after="40" w:before="0" w:line="259" w:lineRule="auto"/>
            </w:pPr>
            <w:r>
              <w:rPr>
                <w:rFonts w:ascii="Calibri" w:hAnsi="Calibri"/>
                <w:b/>
                <w:i w:val="0"/>
                <w:color w:val="212121"/>
                <w:sz w:val="19"/>
              </w:rPr>
              <w:t>Bleeding or blood/pus in the stool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Passing pus or blood on defecation from the tract or associated anal pathology.</w:t>
            </w:r>
          </w:p>
        </w:tc>
      </w:tr>
      <w:tr>
        <w:trPr>
          <w:cantSplit/>
        </w:trPr>
        <w:tc>
          <w:tcPr>
            <w:tcW w:type="dxa" w:w="2304"/>
            <w:vAlign w:val="top"/>
          </w:tcPr>
          <w:p>
            <w:pPr>
              <w:spacing w:after="40" w:before="0" w:line="259" w:lineRule="auto"/>
            </w:pPr>
            <w:r>
              <w:rPr>
                <w:rFonts w:ascii="Calibri" w:hAnsi="Calibri"/>
                <w:b/>
                <w:i w:val="0"/>
                <w:color w:val="212121"/>
                <w:sz w:val="19"/>
              </w:rPr>
              <w:t>Recurrent perianal abscess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 abscess that repeatedly forms, drains and recurs strongly suggests an underlying fistula.</w:t>
            </w:r>
          </w:p>
        </w:tc>
      </w:tr>
      <w:tr>
        <w:trPr>
          <w:cantSplit/>
        </w:trPr>
        <w:tc>
          <w:tcPr>
            <w:tcW w:type="dxa" w:w="2304"/>
            <w:vAlign w:val="top"/>
          </w:tcPr>
          <w:p>
            <w:pPr>
              <w:spacing w:after="40" w:before="0" w:line="259" w:lineRule="auto"/>
            </w:pPr>
            <w:r>
              <w:rPr>
                <w:rFonts w:ascii="Calibri" w:hAnsi="Calibri"/>
                <w:b/>
                <w:i w:val="0"/>
                <w:color w:val="212121"/>
                <w:sz w:val="19"/>
              </w:rPr>
              <w:t>Perianal skin irritation &amp;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Itching, soreness and excoriation from chronic moisture and discharge.</w:t>
            </w:r>
          </w:p>
        </w:tc>
      </w:tr>
      <w:tr>
        <w:trPr>
          <w:cantSplit/>
        </w:trPr>
        <w:tc>
          <w:tcPr>
            <w:tcW w:type="dxa" w:w="2304"/>
            <w:vAlign w:val="top"/>
          </w:tcPr>
          <w:p>
            <w:pPr>
              <w:spacing w:after="40" w:before="0" w:line="259" w:lineRule="auto"/>
            </w:pPr>
            <w:r>
              <w:rPr>
                <w:rFonts w:ascii="Calibri" w:hAnsi="Calibri"/>
                <w:b/>
                <w:i w:val="0"/>
                <w:color w:val="212121"/>
                <w:sz w:val="19"/>
              </w:rPr>
              <w:t>Fever, chills &amp;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features accompany a deep or undrained abscess (ischioanal/supralevator).</w:t>
            </w:r>
          </w:p>
        </w:tc>
      </w:tr>
      <w:tr>
        <w:trPr>
          <w:cantSplit/>
        </w:trPr>
        <w:tc>
          <w:tcPr>
            <w:tcW w:type="dxa" w:w="2304"/>
            <w:vAlign w:val="top"/>
          </w:tcPr>
          <w:p>
            <w:pPr>
              <w:spacing w:after="40" w:before="0" w:line="259" w:lineRule="auto"/>
            </w:pPr>
            <w:r>
              <w:rPr>
                <w:rFonts w:ascii="Calibri" w:hAnsi="Calibri"/>
                <w:b/>
                <w:i w:val="0"/>
                <w:color w:val="212121"/>
                <w:sz w:val="19"/>
              </w:rPr>
              <w:t>Pain and difficulty passing stool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Painful defecation and reflex constipation from anal spasm and inflammation.</w:t>
            </w:r>
          </w:p>
        </w:tc>
      </w:tr>
      <w:tr>
        <w:trPr>
          <w:cantSplit/>
        </w:trPr>
        <w:tc>
          <w:tcPr>
            <w:tcW w:type="dxa" w:w="2304"/>
            <w:vAlign w:val="top"/>
          </w:tcPr>
          <w:p>
            <w:pPr>
              <w:spacing w:after="40" w:before="0" w:line="259" w:lineRule="auto"/>
            </w:pPr>
            <w:r>
              <w:rPr>
                <w:rFonts w:ascii="Calibri" w:hAnsi="Calibri"/>
                <w:b/>
                <w:i w:val="0"/>
                <w:color w:val="212121"/>
                <w:sz w:val="19"/>
              </w:rPr>
              <w:t>Soiling / leakage of flatus or mucus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Minor incontinence from discharge or from sphincter involvement/prior surgery.</w:t>
            </w:r>
          </w:p>
        </w:tc>
      </w:tr>
      <w:tr>
        <w:trPr>
          <w:cantSplit/>
        </w:trPr>
        <w:tc>
          <w:tcPr>
            <w:tcW w:type="dxa" w:w="2304"/>
            <w:vAlign w:val="top"/>
          </w:tcPr>
          <w:p>
            <w:pPr>
              <w:spacing w:after="40" w:before="0" w:line="259" w:lineRule="auto"/>
            </w:pPr>
            <w:r>
              <w:rPr>
                <w:rFonts w:ascii="Calibri" w:hAnsi="Calibri"/>
                <w:b/>
                <w:i w:val="0"/>
                <w:color w:val="212121"/>
                <w:sz w:val="19"/>
              </w:rPr>
              <w:t>Multiple or recurrent openings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Several external openings or a horseshoe pattern indicate complex or tubercular/Crohn's disease.</w:t>
            </w:r>
          </w:p>
        </w:tc>
      </w:tr>
      <w:tr>
        <w:trPr>
          <w:cantSplit/>
        </w:trPr>
        <w:tc>
          <w:tcPr>
            <w:tcW w:type="dxa" w:w="2304"/>
            <w:vAlign w:val="top"/>
          </w:tcPr>
          <w:p>
            <w:pPr>
              <w:spacing w:after="40" w:before="0" w:line="259" w:lineRule="auto"/>
            </w:pPr>
            <w:r>
              <w:rPr>
                <w:rFonts w:ascii="Calibri" w:hAnsi="Calibri"/>
                <w:b/>
                <w:i w:val="0"/>
                <w:color w:val="212121"/>
                <w:sz w:val="19"/>
              </w:rPr>
              <w:t>Constitutional symptoms (weight loss, night sweats)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Raise suspicion of tuberculosis, Crohn's disease or, rarely, malignancy.</w:t>
            </w:r>
          </w:p>
        </w:tc>
      </w:tr>
      <w:tr>
        <w:trPr>
          <w:cantSplit/>
        </w:trPr>
        <w:tc>
          <w:tcPr>
            <w:tcW w:type="dxa" w:w="2304"/>
            <w:vAlign w:val="top"/>
          </w:tcPr>
          <w:p>
            <w:pPr>
              <w:spacing w:after="40" w:before="0" w:line="259" w:lineRule="auto"/>
            </w:pPr>
            <w:r>
              <w:rPr>
                <w:rFonts w:ascii="Calibri" w:hAnsi="Calibri"/>
                <w:b/>
                <w:i w:val="0"/>
                <w:color w:val="212121"/>
                <w:sz w:val="19"/>
              </w:rPr>
              <w:t>Severe spreading pain with systemic toxicity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Rapidly worsening pain, swelling and sepsis may herald Fournier's gangrene (necrotising fasciitis) — a 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External opening with granulation tissue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small opening on the perianal skin, often with heaped granulation, discharging on pressure.</w:t>
            </w:r>
          </w:p>
        </w:tc>
      </w:tr>
      <w:tr>
        <w:trPr>
          <w:cantSplit/>
        </w:trPr>
        <w:tc>
          <w:tcPr>
            <w:tcW w:type="dxa" w:w="3456"/>
            <w:vAlign w:val="top"/>
          </w:tcPr>
          <w:p>
            <w:pPr>
              <w:spacing w:after="40" w:before="0" w:line="259" w:lineRule="auto"/>
            </w:pPr>
            <w:r>
              <w:rPr>
                <w:rFonts w:ascii="Calibri" w:hAnsi="Calibri"/>
                <w:b/>
                <w:i w:val="0"/>
                <w:color w:val="212121"/>
                <w:sz w:val="19"/>
              </w:rPr>
              <w:t>Discharge on pressure over the tract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Pus or serous fluid expressed from the external opening when the tract is compressed.</w:t>
            </w:r>
          </w:p>
        </w:tc>
      </w:tr>
      <w:tr>
        <w:trPr>
          <w:cantSplit/>
        </w:trPr>
        <w:tc>
          <w:tcPr>
            <w:tcW w:type="dxa" w:w="3456"/>
            <w:vAlign w:val="top"/>
          </w:tcPr>
          <w:p>
            <w:pPr>
              <w:spacing w:after="40" w:before="0" w:line="259" w:lineRule="auto"/>
            </w:pPr>
            <w:r>
              <w:rPr>
                <w:rFonts w:ascii="Calibri" w:hAnsi="Calibri"/>
                <w:b/>
                <w:i w:val="0"/>
                <w:color w:val="212121"/>
                <w:sz w:val="19"/>
              </w:rPr>
              <w:t>Palpable indurated (cord-like) tract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firm subcutaneous cord running from the external opening toward the anal canal.</w:t>
            </w:r>
          </w:p>
        </w:tc>
      </w:tr>
      <w:tr>
        <w:trPr>
          <w:cantSplit/>
        </w:trPr>
        <w:tc>
          <w:tcPr>
            <w:tcW w:type="dxa" w:w="3456"/>
            <w:vAlign w:val="top"/>
          </w:tcPr>
          <w:p>
            <w:pPr>
              <w:spacing w:after="40" w:before="0" w:line="259" w:lineRule="auto"/>
            </w:pPr>
            <w:r>
              <w:rPr>
                <w:rFonts w:ascii="Calibri" w:hAnsi="Calibri"/>
                <w:b/>
                <w:i w:val="0"/>
                <w:color w:val="212121"/>
                <w:sz w:val="19"/>
              </w:rPr>
              <w:t>Tender, warm, fluctuant perianal mass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abscess — red, hot, tender and fluctuant — in the acute phase, needing drainage.</w:t>
            </w:r>
          </w:p>
        </w:tc>
      </w:tr>
      <w:tr>
        <w:trPr>
          <w:cantSplit/>
        </w:trPr>
        <w:tc>
          <w:tcPr>
            <w:tcW w:type="dxa" w:w="3456"/>
            <w:vAlign w:val="top"/>
          </w:tcPr>
          <w:p>
            <w:pPr>
              <w:spacing w:after="40" w:before="0" w:line="259" w:lineRule="auto"/>
            </w:pPr>
            <w:r>
              <w:rPr>
                <w:rFonts w:ascii="Calibri" w:hAnsi="Calibri"/>
                <w:b/>
                <w:i w:val="0"/>
                <w:color w:val="212121"/>
                <w:sz w:val="19"/>
              </w:rPr>
              <w:t>Perianal erythema &amp; warmth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 inflammation of the perianal skin overlying sepsis.</w:t>
            </w:r>
          </w:p>
        </w:tc>
      </w:tr>
      <w:tr>
        <w:trPr>
          <w:cantSplit/>
        </w:trPr>
        <w:tc>
          <w:tcPr>
            <w:tcW w:type="dxa" w:w="3456"/>
            <w:vAlign w:val="top"/>
          </w:tcPr>
          <w:p>
            <w:pPr>
              <w:spacing w:after="40" w:before="0" w:line="259" w:lineRule="auto"/>
            </w:pPr>
            <w:r>
              <w:rPr>
                <w:rFonts w:ascii="Calibri" w:hAnsi="Calibri"/>
                <w:b/>
                <w:i w:val="0"/>
                <w:color w:val="212121"/>
                <w:sz w:val="19"/>
              </w:rPr>
              <w:t>Induration &amp; palpable internal opening on DRE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Firmness along the tract with a palpable pit/internal opening at the dentate line.</w:t>
            </w:r>
          </w:p>
        </w:tc>
      </w:tr>
      <w:tr>
        <w:trPr>
          <w:cantSplit/>
        </w:trPr>
        <w:tc>
          <w:tcPr>
            <w:tcW w:type="dxa" w:w="3456"/>
            <w:vAlign w:val="top"/>
          </w:tcPr>
          <w:p>
            <w:pPr>
              <w:spacing w:after="40" w:before="0" w:line="259" w:lineRule="auto"/>
            </w:pPr>
            <w:r>
              <w:rPr>
                <w:rFonts w:ascii="Calibri" w:hAnsi="Calibri"/>
                <w:b/>
                <w:i w:val="0"/>
                <w:color w:val="212121"/>
                <w:sz w:val="19"/>
              </w:rPr>
              <w:t>Multiple openings / horseshoe induration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Several openings or a curved posterior induration indicate a complex or horseshoe fistula.</w:t>
            </w:r>
          </w:p>
        </w:tc>
      </w:tr>
      <w:tr>
        <w:trPr>
          <w:cantSplit/>
        </w:trPr>
        <w:tc>
          <w:tcPr>
            <w:tcW w:type="dxa" w:w="3456"/>
            <w:vAlign w:val="top"/>
          </w:tcPr>
          <w:p>
            <w:pPr>
              <w:spacing w:after="40" w:before="0" w:line="259" w:lineRule="auto"/>
            </w:pPr>
            <w:r>
              <w:rPr>
                <w:rFonts w:ascii="Calibri" w:hAnsi="Calibri"/>
                <w:b/>
                <w:i w:val="0"/>
                <w:color w:val="212121"/>
                <w:sz w:val="19"/>
              </w:rPr>
              <w:t>Reduced resting/squeeze sphincter tone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Diminished tone suggests sphincter damage from disease or previous surgery — a continence risk.</w:t>
            </w:r>
          </w:p>
        </w:tc>
      </w:tr>
      <w:tr>
        <w:trPr>
          <w:cantSplit/>
        </w:trPr>
        <w:tc>
          <w:tcPr>
            <w:tcW w:type="dxa" w:w="3456"/>
            <w:vAlign w:val="top"/>
          </w:tcPr>
          <w:p>
            <w:pPr>
              <w:spacing w:after="40" w:before="0" w:line="259" w:lineRule="auto"/>
            </w:pPr>
            <w:r>
              <w:rPr>
                <w:rFonts w:ascii="Calibri" w:hAnsi="Calibri"/>
                <w:b/>
                <w:i w:val="0"/>
                <w:color w:val="212121"/>
                <w:sz w:val="19"/>
              </w:rPr>
              <w:t>Perianal skin tags / coexisting fissure or piles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Associated anorectal pathology commonly coexists with fistula.</w:t>
            </w:r>
          </w:p>
        </w:tc>
      </w:tr>
      <w:tr>
        <w:trPr>
          <w:cantSplit/>
        </w:trPr>
        <w:tc>
          <w:tcPr>
            <w:tcW w:type="dxa" w:w="3456"/>
            <w:vAlign w:val="top"/>
          </w:tcPr>
          <w:p>
            <w:pPr>
              <w:spacing w:after="40" w:before="0" w:line="259" w:lineRule="auto"/>
            </w:pPr>
            <w:r>
              <w:rPr>
                <w:rFonts w:ascii="Calibri" w:hAnsi="Calibri"/>
                <w:b/>
                <w:i w:val="0"/>
                <w:color w:val="212121"/>
                <w:sz w:val="19"/>
              </w:rPr>
              <w:t>Watery discharge with undermined bluish edges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a tuberculous fistula, especially with multiple openings.</w:t>
            </w:r>
          </w:p>
        </w:tc>
      </w:tr>
      <w:tr>
        <w:trPr>
          <w:cantSplit/>
        </w:trPr>
        <w:tc>
          <w:tcPr>
            <w:tcW w:type="dxa" w:w="3456"/>
            <w:vAlign w:val="top"/>
          </w:tcPr>
          <w:p>
            <w:pPr>
              <w:spacing w:after="40" w:before="0" w:line="259" w:lineRule="auto"/>
            </w:pPr>
            <w:r>
              <w:rPr>
                <w:rFonts w:ascii="Calibri" w:hAnsi="Calibri"/>
                <w:b/>
                <w:i w:val="0"/>
                <w:color w:val="212121"/>
                <w:sz w:val="19"/>
              </w:rPr>
              <w:t>Necrotic skin, crepitus &amp; systemic toxicity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Fournier's gangrene/necrotising perianal infection — immediate surgical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persistent anorectal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fistula-in-ano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Perianal cellulitis and spreading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Fournier's gangrene / necrotising perianal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perianal pain and discharge</w:t>
            </w:r>
          </w:p>
        </w:tc>
        <w:tc>
          <w:tcPr>
            <w:tcW w:type="dxa" w:w="2980"/>
            <w:vAlign w:val="top"/>
          </w:tcPr>
          <w:p>
            <w:pPr>
              <w:spacing w:after="40" w:before="0" w:line="259" w:lineRule="auto"/>
            </w:pPr>
            <w:r>
              <w:rPr>
                <w:rFonts w:ascii="Calibri" w:hAnsi="Calibri"/>
                <w:b w:val="0"/>
                <w:i w:val="0"/>
                <w:color w:val="212121"/>
                <w:sz w:val="19"/>
              </w:rPr>
              <w:t>Direct consequences of undrained or inadequately treated perianal sepsis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after fistula surgery (reported ~8% and higher in complex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Faecal incontinence from sphincter division/injury (some degree reported in up to ~45% of series)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Complex, multiple or horseshoe tracts and repeated operations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 stenosis and delayed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anaemia and hypoalbuminaemia from ongoing sepsis (and 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impairment of quality of life</w:t>
            </w:r>
          </w:p>
        </w:tc>
        <w:tc>
          <w:tcPr>
            <w:tcW w:type="dxa" w:w="2980"/>
            <w:vAlign w:val="top"/>
          </w:tcPr>
          <w:p>
            <w:pPr>
              <w:spacing w:after="40" w:before="0" w:line="259" w:lineRule="auto"/>
            </w:pPr>
            <w:r>
              <w:rPr>
                <w:rFonts w:ascii="Calibri" w:hAnsi="Calibri"/>
                <w:b w:val="0"/>
                <w:i w:val="0"/>
                <w:color w:val="212121"/>
                <w:sz w:val="19"/>
              </w:rPr>
              <w:t>Consequences of chronicity, sphincter involvement and repeated or difficult surgery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Fistula-associated anorectal adenocarcinoma in long-standing fistulae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incontinence requiring a stoma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and repeated hospitalisation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Disseminated tuberculosis or uncontrolled Crohn's when the underlying cause is missed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and social morbidity</w:t>
            </w:r>
          </w:p>
        </w:tc>
        <w:tc>
          <w:tcPr>
            <w:tcW w:type="dxa" w:w="2980"/>
            <w:vAlign w:val="top"/>
          </w:tcPr>
          <w:p>
            <w:pPr>
              <w:spacing w:after="40" w:before="0" w:line="259" w:lineRule="auto"/>
            </w:pPr>
            <w:r>
              <w:rPr>
                <w:rFonts w:ascii="Calibri" w:hAnsi="Calibri"/>
                <w:b w:val="0"/>
                <w:i w:val="0"/>
                <w:color w:val="212121"/>
                <w:sz w:val="19"/>
              </w:rPr>
              <w:t>Severe, irreversible or life-altering outcomes of longstanding or misdiagnosed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Anorectal abscess (acute precursor)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The acute suppurative phase of the same cryptoglandular process; an inadequately drained or recurrent abscess is the direct precursor of most fistulae.</w:t>
            </w:r>
          </w:p>
          <w:p>
            <w:pPr>
              <w:spacing w:after="40" w:before="0" w:line="259" w:lineRule="auto"/>
            </w:pPr>
            <w:r>
              <w:rPr>
                <w:rFonts w:ascii="Calibri" w:hAnsi="Calibri"/>
                <w:b/>
                <w:i w:val="0"/>
                <w:color w:val="212121"/>
                <w:sz w:val="19"/>
              </w:rPr>
              <w:t>~1 in 3 abscesses fistulate</w:t>
            </w:r>
          </w:p>
        </w:tc>
      </w:tr>
      <w:tr>
        <w:trPr>
          <w:cantSplit/>
        </w:trPr>
        <w:tc>
          <w:tcPr>
            <w:tcW w:type="dxa" w:w="2232"/>
            <w:vAlign w:val="top"/>
          </w:tcPr>
          <w:p>
            <w:pPr>
              <w:spacing w:after="40" w:before="0" w:line="259" w:lineRule="auto"/>
            </w:pPr>
            <w:r>
              <w:rPr>
                <w:rFonts w:ascii="Calibri" w:hAnsi="Calibri"/>
                <w:b/>
                <w:i w:val="0"/>
                <w:color w:val="212121"/>
                <w:sz w:val="19"/>
              </w:rPr>
              <w:t>Crohn's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hallmark cause of complex, multiple, recurrent perianal fistulae that may precede intestinal disease and needs combined medical (biologic) and sphincter-preserving surgical care.</w:t>
            </w:r>
          </w:p>
        </w:tc>
      </w:tr>
      <w:tr>
        <w:trPr>
          <w:cantSplit/>
        </w:trPr>
        <w:tc>
          <w:tcPr>
            <w:tcW w:type="dxa" w:w="2232"/>
            <w:vAlign w:val="top"/>
          </w:tcPr>
          <w:p>
            <w:pPr>
              <w:spacing w:after="40" w:before="0" w:line="259" w:lineRule="auto"/>
            </w:pPr>
            <w:r>
              <w:rPr>
                <w:rFonts w:ascii="Calibri" w:hAnsi="Calibri"/>
                <w:b/>
                <w:i w:val="0"/>
                <w:color w:val="212121"/>
                <w:sz w:val="19"/>
              </w:rPr>
              <w:t>Anorectal / perianal tuberculosis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TB-endemic India a substantial minority of fistulae are tubercular — multiple, indolent and recurrent — and heal only once anti-tubercular therapy is added.</w:t>
            </w:r>
          </w:p>
          <w:p>
            <w:pPr>
              <w:spacing w:after="40" w:before="0" w:line="259" w:lineRule="auto"/>
            </w:pPr>
            <w:r>
              <w:rPr>
                <w:rFonts w:ascii="Calibri" w:hAnsi="Calibri"/>
                <w:b/>
                <w:i w:val="0"/>
                <w:color w:val="212121"/>
                <w:sz w:val="19"/>
              </w:rPr>
              <w:t>~15–16% of Indian fistulae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Poor glycaemic control impairs healing and immunity, raising the risk of abscess, necrotising infection and recurrence; conversely, a perianal abscess has been linked to later diagnosis of diabetes.</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Blunted immunity predisposes to recurrent, atypical and complex perianal sepsis and impairs wound healing.</w:t>
            </w:r>
          </w:p>
        </w:tc>
      </w:tr>
      <w:tr>
        <w:trPr>
          <w:cantSplit/>
        </w:trPr>
        <w:tc>
          <w:tcPr>
            <w:tcW w:type="dxa" w:w="2232"/>
            <w:vAlign w:val="top"/>
          </w:tcPr>
          <w:p>
            <w:pPr>
              <w:spacing w:after="40" w:before="0" w:line="259" w:lineRule="auto"/>
            </w:pPr>
            <w:r>
              <w:rPr>
                <w:rFonts w:ascii="Calibri" w:hAnsi="Calibri"/>
                <w:b/>
                <w:i w:val="0"/>
                <w:color w:val="212121"/>
                <w:sz w:val="19"/>
              </w:rPr>
              <w:t>Hidradenitis suppurativa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Chronic apocrine inflammation of perianal/gluteal skin forms interconnecting sinuses that overlap with and complicate fistula-in-ano.</w:t>
            </w:r>
          </w:p>
        </w:tc>
      </w:tr>
      <w:tr>
        <w:trPr>
          <w:cantSplit/>
        </w:trPr>
        <w:tc>
          <w:tcPr>
            <w:tcW w:type="dxa" w:w="2232"/>
            <w:vAlign w:val="top"/>
          </w:tcPr>
          <w:p>
            <w:pPr>
              <w:spacing w:after="40" w:before="0" w:line="259" w:lineRule="auto"/>
            </w:pPr>
            <w:r>
              <w:rPr>
                <w:rFonts w:ascii="Calibri" w:hAnsi="Calibri"/>
                <w:b/>
                <w:i w:val="0"/>
                <w:color w:val="212121"/>
                <w:sz w:val="19"/>
              </w:rPr>
              <w:t>Anal fissure &amp; haemorrhoids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Coexisting anorectal conditions that share straining/low-fibre risk factors and often accompany fistula disease.</w:t>
            </w:r>
          </w:p>
        </w:tc>
      </w:tr>
      <w:tr>
        <w:trPr>
          <w:cantSplit/>
        </w:trPr>
        <w:tc>
          <w:tcPr>
            <w:tcW w:type="dxa" w:w="2232"/>
            <w:vAlign w:val="top"/>
          </w:tcPr>
          <w:p>
            <w:pPr>
              <w:spacing w:after="40" w:before="0" w:line="259" w:lineRule="auto"/>
            </w:pPr>
            <w:r>
              <w:rPr>
                <w:rFonts w:ascii="Calibri" w:hAnsi="Calibri"/>
                <w:b/>
                <w:i w:val="0"/>
                <w:color w:val="212121"/>
                <w:sz w:val="19"/>
              </w:rPr>
              <w:t>Chronic constipation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Hard stool and straining traumatise the anal crypts and predispose to gland obstruction and sepsis, and worsen post-operative pain and healing.</w:t>
            </w:r>
          </w:p>
        </w:tc>
      </w:tr>
      <w:tr>
        <w:trPr>
          <w:cantSplit/>
        </w:trPr>
        <w:tc>
          <w:tcPr>
            <w:tcW w:type="dxa" w:w="2232"/>
            <w:vAlign w:val="top"/>
          </w:tcPr>
          <w:p>
            <w:pPr>
              <w:spacing w:after="40" w:before="0" w:line="259" w:lineRule="auto"/>
            </w:pPr>
            <w:r>
              <w:rPr>
                <w:rFonts w:ascii="Calibri" w:hAnsi="Calibri"/>
                <w:b/>
                <w:i w:val="0"/>
                <w:color w:val="212121"/>
                <w:sz w:val="19"/>
              </w:rPr>
              <w:t>Faecal incontinence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May result from the disease itself or, importantly, from sphincter division during fistula surgery — the key trade-off guiding sphincter-preserving techniques.</w:t>
            </w:r>
          </w:p>
        </w:tc>
      </w:tr>
      <w:tr>
        <w:trPr>
          <w:cantSplit/>
        </w:trPr>
        <w:tc>
          <w:tcPr>
            <w:tcW w:type="dxa" w:w="2232"/>
            <w:vAlign w:val="top"/>
          </w:tcPr>
          <w:p>
            <w:pPr>
              <w:spacing w:after="40" w:before="0" w:line="259" w:lineRule="auto"/>
            </w:pPr>
            <w:r>
              <w:rPr>
                <w:rFonts w:ascii="Calibri" w:hAnsi="Calibri"/>
                <w:b/>
                <w:i w:val="0"/>
                <w:color w:val="212121"/>
                <w:sz w:val="19"/>
              </w:rPr>
              <w:t>Rectovaginal / anovaginal fistula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complex anterior fistula in women, often Crohn's- or obstetric-related, that is difficult to heal and alters surgical planning.</w:t>
            </w:r>
          </w:p>
        </w:tc>
      </w:tr>
      <w:tr>
        <w:trPr>
          <w:cantSplit/>
        </w:trPr>
        <w:tc>
          <w:tcPr>
            <w:tcW w:type="dxa" w:w="2232"/>
            <w:vAlign w:val="top"/>
          </w:tcPr>
          <w:p>
            <w:pPr>
              <w:spacing w:after="40" w:before="0" w:line="259" w:lineRule="auto"/>
            </w:pPr>
            <w:r>
              <w:rPr>
                <w:rFonts w:ascii="Calibri" w:hAnsi="Calibri"/>
                <w:b/>
                <w:i w:val="0"/>
                <w:color w:val="212121"/>
                <w:sz w:val="19"/>
              </w:rPr>
              <w:t>Fistula-associated anorectal adenocarcinoma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rare but serious malignant transformation of a long-standing chronic fistula, mandating biopsy of chronic/atypical tracts.</w:t>
            </w:r>
          </w:p>
        </w:tc>
      </w:tr>
      <w:tr>
        <w:trPr>
          <w:cantSplit/>
        </w:trPr>
        <w:tc>
          <w:tcPr>
            <w:tcW w:type="dxa" w:w="2232"/>
            <w:vAlign w:val="top"/>
          </w:tcPr>
          <w:p>
            <w:pPr>
              <w:spacing w:after="40" w:before="0" w:line="259" w:lineRule="auto"/>
            </w:pPr>
            <w:r>
              <w:rPr>
                <w:rFonts w:ascii="Calibri" w:hAnsi="Calibri"/>
                <w:b/>
                <w:i w:val="0"/>
                <w:color w:val="212121"/>
                <w:sz w:val="19"/>
              </w:rPr>
              <w:t>Anaemia of chronic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Ongoing discharge, sepsis and tuberculosis cause chronic anaemia that further impairs wound healing.</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malodorous discharge and soiling cause embarrassment and low mood in a bidirectional relationship that reduces quality of life.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medical care for a painful, swelling perianal lump rather than waiting — early incision and drainage of an abscess prevents spreading sepsis and reduces fistula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recurrent abscess that keeps discharging and recurring usually means an underlying fistula that needs definitive surgery; fistulae rarely heal on their 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India, insist on evaluation for tuberculosis and Crohn's disease in any complex, multiple or recurrent fistula before accepting a 'simple' label, as treating the wrong cause leads to repeated failed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traditional sphincter-preserving options such as Kshara Sutra (Ayurvedic medicated seton) are recognised for suitable fistulae, but should be undertaken by trained practitioners after proper assessment and TB/Crohn's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flags — high fever, rapidly spreading pain and swelling, or skin blackening — which may signal Fournier's gangrene and need emergency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and complete wound care after surgery, as recurrence and incontinence risk depend on correct healing and continence-sparing technique.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TB-endemic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and immunosuppressed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(25–40 g/day) with whole grains, millets, pulses, fruit and vegetables to keep stool soft and avoid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adequate fluids (about 2–3 litres/day) to prevent hard stool and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heavily refined 'polished-rice'/maida foods and very spicy items that harden stool or aggravate anal irritation.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straining and prolonged sitting on the toilet; respond promptly to the urge to defecate.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to ease perianal hygiene and wound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anal problems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stool soft with fibre, fluids and, where advised, a stool softener or osmotic laxative to reduce pain and protect the healing wound after drainage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iron and micronutrients to support wound healing, correcting anaemia where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warm sitz baths 2–3 times a day and after defecation to relieve pain, keep the area clean and promote drainage/healing.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tuberculous or Crohn's-related fistulae, adhere strictly to anti-tubercular therapy or IBD medication alongside optimal nutrition, as surgery alone will not heal these.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blood glucose (diet plus medication) before and after surgery to lower recurrence and 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Post-drainage/post-operative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tubercular/Crohn's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or malnourished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long periods of sitting or driving with regular standing and walking to relieve perineal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maintain a healthy weight to support bowel regularity and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squatting and heavy straining; use good toilet posture and limit time on the toilet.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Long-distance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Desk &amp;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it impairs perfusion and wound healing and raises the risk of abscess and of recurrence and delayed healing after fistula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nicotine-replacement or pharmacotherapy to quit, ideally before elective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reinforce cessation at every visit.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perianal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fistula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as excess worsens nutrition and bowel regularity and can interfere with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around surgery, as it interacts with analgesics and antibiotics and impairs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especially when bowel habit is disturbed.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who drink heavily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disturbed bowel habit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perianal pain and discharge that fragment sleep, using sitz baths, analgesia and appropriate dressings.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as adequate rest supports immune function and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if pain or fever repeatedly disturb sleep, which may indicate an undrained abscess.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discharge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embarrassment and distress of chronic perianal discharge and soiling, and screen for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counselling and, where needed, psychological support, as quality of life is markedly affected.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and bowel symptoms together, given the gut–brain link that can aggravate defecatory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patient-support resources for people with recurrent or Crohn's-related perianal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Crohn's perianal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incontinence/soiling</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59167/" TargetMode="External"/><Relationship Id="rId10" Type="http://schemas.openxmlformats.org/officeDocument/2006/relationships/hyperlink" Target="https://www.msdmanuals.com/professional/gastrointestinal-disorders/anorectal-disorders/anorectal-fistula" TargetMode="External"/><Relationship Id="rId11" Type="http://schemas.openxmlformats.org/officeDocument/2006/relationships/hyperlink" Target="https://pubmed.ncbi.nlm.nih.gov/33968302/" TargetMode="External"/><Relationship Id="rId12" Type="http://schemas.openxmlformats.org/officeDocument/2006/relationships/hyperlink" Target="https://www.nhs.uk/conditions/anal-fistula/" TargetMode="External"/><Relationship Id="rId13" Type="http://schemas.openxmlformats.org/officeDocument/2006/relationships/hyperlink" Target="https://pubmed.ncbi.nlm.nih.gov/33336291/" TargetMode="External"/><Relationship Id="rId14" Type="http://schemas.openxmlformats.org/officeDocument/2006/relationships/hyperlink" Target="https://pubmed.ncbi.nlm.nih.gov/33379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