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Pilonidal Sinus</w:t>
      </w:r>
    </w:p>
    <w:p>
      <w:pPr>
        <w:spacing w:before="0" w:after="160"/>
      </w:pPr>
      <w:r>
        <w:rPr>
          <w:rFonts w:ascii="Calibri" w:hAnsi="Calibri"/>
          <w:b/>
          <w:i w:val="0"/>
          <w:color w:val="212121"/>
          <w:sz w:val="22"/>
        </w:rPr>
        <w:t xml:space="preserve">AKA </w:t>
      </w:r>
      <w:r>
        <w:rPr>
          <w:rFonts w:ascii="Calibri" w:hAnsi="Calibri"/>
          <w:b w:val="0"/>
          <w:i w:val="0"/>
          <w:color w:val="212121"/>
          <w:sz w:val="22"/>
        </w:rPr>
        <w:t>i.e., Pilonidal disease, Pilonidal cyst, Pilonidal abscess, Sacrococcygeal sinus/fistula, 'Jeep disease' or 'jeep-bottom', 'hair-nest sinus'; the interdigital occupational form is called 'barber's sinus'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Pilonidal sinus is a chronic subcutaneous sinus tract or cavity in the skin of the natal (gluteal) cleft over the sacrococcygeal region, typically containing tufts of hair, keratin and debris and lined by inflammatory granulation tissue. The name derives from the Latin pilus ('hair') and nidus ('nest'). It is now regarded chiefly as an acquired disorder in which loose, shed or cut hairs are driven point-first into the skin of the deep, moist, friction-prone cleft, triggering a foreign-body granulomatous reaction that forms one or more midline 'pits' communicating with a subcutaneous cavity. The disease ranges from asymptomatic pits, through an acutely infected pilonidal abscess, to a chronically discharging sinus liable to recur; less commonly it arises interdigitally (in barbers and hairdressers), at the umbilicus, or in other hair-bearing sites.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Pilonidal sinus is a common benign acquired condition of the natal cleft that presents predominantly to general-surgery and proctology outpatient departments across India, chiefly in young adult men. Globally it occurs about twice as often in men as in women and typically presents between 15 and 30 years of age, and reported incidence has been rising — for example a roughly one-third increase in inpatient cases over 13 years in Germany, with population studies showing the steepest rises in early adolescence. The condition has classically been distinctly less frequent in East-Asian than in Western populations, but India's large young, increasingly sedentary and desk-bound population has generated a steady surgical caseload, reflected in numerous Indian institutional series (commonly 40–80 operated patients each) evaluating excision and flap techniques. A precise community prevalence figure for India is not established.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Pilonidal sinus is largely a clinical diagnosis made from a focused history and inspection of the natal cleft; investigations are reserved for acute abscess, complex, recurrent or atypical disease and for excluding mimics such as fistula-in-ano, hidradenitis suppurativa and, rarely, malignancy. The diagnosis rests on a combination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one or more characteristic midline 'pits' (small epithelialised openings) in the natal cleft, usually 4–5 cm above the anal verge, often with a protruding tuft of hair;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history of intermittent, sometimes malodorous serous, purulent or blood-stained discharge, with cyclical pain, swelling and discomfort aggravated by prolonged sitting;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acute pilonidal abscess presenting as a tender, warm, fluctuant, erythematous swelling — typically just off the midline — that may discharge spontaneously;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gentle probing of a sinus opening, or injection of methylene blue, to delineate the tract and any secondary/lateral openings in chronic or recurrent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cross-sectional imaging (soft-tissue ultrasound or, for complex/recurrent disease, MRI of the pelvis/perineum) to map tracts and distinguish pilonidal disease from perianal fistula, hidradenitis suppurativa or a presacral lesion;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histopathological examination of excised tissue in long-standing, atypical or non-healing lesions to exclude squamous-cell carcinoma arising within a chronic sinus.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Pilonidal sinus has no single universally adopted staging system; in practice it is described by clinical presentation, chronicity and anatomical extent, which together guide management:</w:t>
      </w:r>
    </w:p>
    <w:p>
      <w:pPr>
        <w:spacing w:before="0" w:after="80"/>
      </w:pPr>
      <w:r>
        <w:rPr>
          <w:rFonts w:ascii="Calibri" w:hAnsi="Calibri"/>
          <w:b w:val="0"/>
          <w:i w:val="0"/>
          <w:color w:val="212121"/>
          <w:sz w:val="21"/>
        </w:rPr>
        <w:t>(1) Asymptomatic (silent) pilonidal disease — one or more midline pits noted incidentally, without pain, discharge or infection, often needing only hygiene and hair control.</w:t>
      </w:r>
    </w:p>
    <w:p>
      <w:pPr>
        <w:spacing w:before="0" w:after="80"/>
      </w:pPr>
      <w:r>
        <w:rPr>
          <w:rFonts w:ascii="Calibri" w:hAnsi="Calibri"/>
          <w:b w:val="0"/>
          <w:i w:val="0"/>
          <w:color w:val="212121"/>
          <w:sz w:val="21"/>
        </w:rPr>
        <w:t>(2) Acute pilonidal abscess — a sudden painful, tender, fluctuant swelling from secondary infection of the cavity, frequently pointing just off the midline and requiring incision and drainage.</w:t>
      </w:r>
    </w:p>
    <w:p>
      <w:pPr>
        <w:spacing w:before="0" w:after="80"/>
      </w:pPr>
      <w:r>
        <w:rPr>
          <w:rFonts w:ascii="Calibri" w:hAnsi="Calibri"/>
          <w:b w:val="0"/>
          <w:i w:val="0"/>
          <w:color w:val="212121"/>
          <w:sz w:val="21"/>
        </w:rPr>
        <w:t>(3) Chronic (discharging) pilonidal sinus — persistent or recurrent seropurulent discharge from one or more sinus openings with granulation tissue, the commonest indication for elective surgery.</w:t>
      </w:r>
    </w:p>
    <w:p>
      <w:pPr>
        <w:spacing w:before="0" w:after="80"/>
      </w:pPr>
      <w:r>
        <w:rPr>
          <w:rFonts w:ascii="Calibri" w:hAnsi="Calibri"/>
          <w:b w:val="0"/>
          <w:i w:val="0"/>
          <w:color w:val="212121"/>
          <w:sz w:val="21"/>
        </w:rPr>
        <w:t>(4) Recurrent or complex disease — persistence or recurrence after previous drainage/surgery, or multiple, laterally extending or bridged secondary tracts, often needing flap-based reconstruction (Limberg/rhomboid, Karydakis or cleft-lift procedures).</w:t>
      </w:r>
    </w:p>
    <w:p>
      <w:pPr>
        <w:spacing w:before="0" w:after="80"/>
      </w:pPr>
      <w:r>
        <w:rPr>
          <w:rFonts w:ascii="Calibri" w:hAnsi="Calibri"/>
          <w:b w:val="0"/>
          <w:i w:val="0"/>
          <w:color w:val="212121"/>
          <w:sz w:val="21"/>
        </w:rPr>
        <w:t>By anatomical site the great majority are sacrococcygeal (natal-cleft); less common variants are interdigital ('barber's') sinuses of the finger web-spaces in hairdressers, umbilical pilonidal sinus, and rare occurrences at the axilla, groin or amputation stumps.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Acquired hair insertion (foreign-body reaction): The dominant modern theory — loose, cut or shed hairs are driven point-first into the skin of the deep natal cleft, provoking a chronic foreign-body granulomatous reaction and a subcutaneous cavity that epithelialises into a sinus.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Deep, hairy natal cleft with friction and suction: A deep gluteal cleft creates a warm, moist, poorly ventilated space where the shearing/suction effect of walking and sitting draws hair and debris into macerated midline skin.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Prolonged sitting and sedentary occupation: Sustained pressure on the natal cleft (drivers, soldiers, office/IT workers, students) — the basis of the wartime nickname 'jeep disease' — is a well-recognised precipitant.</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Hirsutism and coarse body hair: Dense, stiff, dark body hair increases the load of shed hair available to penetrate the skin, raising risk especially in young men.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Obesity and central adiposity: A deeper cleft, more skin-fold friction, sweating and impaired local hygiene increase risk and worsen post-operative wound healing and recurrence.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Poor local hygiene, sweating and local trauma: Infrequent washing, excess sweat, tight clothing and repeated minor trauma to the cleft promote hair impaction and secondary infection.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Genetic/familial predisposition and follicular occlusion: A positive family history is common, and pilonidal sinus is a component of the 'follicular occlusion tetrad' with hidradenitis suppurativa, acne conglobata and dissecting cellulitis of the scalp, pointing to a shared tendency to follicular blockage.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adults (15–30 years)</w:t>
            </w:r>
          </w:p>
        </w:tc>
        <w:tc>
          <w:tcPr>
            <w:tcW w:type="dxa" w:w="4276"/>
            <w:vAlign w:val="top"/>
          </w:tcPr>
          <w:p>
            <w:pPr>
              <w:spacing w:after="60" w:line="259" w:lineRule="auto"/>
            </w:pPr>
            <w:r>
              <w:rPr>
                <w:rFonts w:ascii="Calibri" w:hAnsi="Calibri"/>
                <w:b w:val="0"/>
                <w:i w:val="0"/>
                <w:color w:val="212121"/>
                <w:sz w:val="19"/>
              </w:rPr>
              <w:t>Pilonidal sinus overwhelmingly affects post-pubertal young adults, when sex-hormone-driven activity of hair follicles and sebaceous glands, coarse body hair and an active lifestyle combine to drive hair into the natal-cleft skin.</w:t>
            </w:r>
          </w:p>
          <w:p>
            <w:pPr>
              <w:spacing w:after="40" w:before="60" w:line="259" w:lineRule="auto"/>
            </w:pPr>
            <w:r>
              <w:rPr>
                <w:rFonts w:ascii="Calibri" w:hAnsi="Calibri"/>
                <w:b w:val="0"/>
                <w:i w:val="0"/>
                <w:color w:val="212121"/>
                <w:sz w:val="19"/>
              </w:rPr>
              <w:t>The disease occurs typically between the ages of 15 and 30 years.</w:t>
            </w:r>
          </w:p>
          <w:p>
            <w:pPr>
              <w:spacing w:after="40" w:line="252" w:lineRule="auto"/>
            </w:pPr>
            <w:hyperlink r:id="rId9">
              <w:r>
                <w:rPr>
                  <w:rFonts w:ascii="Calibri" w:hAnsi="Calibri" w:cs="Calibri"/>
                  <w:sz w:val="18"/>
                  <w:color w:val="1155CC"/>
                  <w:u w:val="single"/>
                </w:rPr>
                <w:t xml:space="preserve">pubmed.ncbi.nlm.nih.gov/23911903 — Pilonidal sinus disease (J Visc Surg)</w:t>
              </w:r>
            </w:hyperlink>
          </w:p>
          <w:p>
            <w:pPr>
              <w:spacing w:before="60" w:after="40"/>
            </w:pPr>
            <w:r>
              <w:rPr>
                <w:rFonts w:ascii="Calibri" w:hAnsi="Calibri"/>
                <w:b w:val="0"/>
                <w:i w:val="0"/>
                <w:color w:val="5A5A5A"/>
                <w:sz w:val="18"/>
              </w:rPr>
              <w:t>#pilonidalsinus  #youngadults  #natalcleft  #hair</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&amp; teenagers</w:t>
            </w:r>
          </w:p>
        </w:tc>
        <w:tc>
          <w:tcPr>
            <w:tcW w:type="dxa" w:w="4276"/>
            <w:vAlign w:val="top"/>
          </w:tcPr>
          <w:p>
            <w:pPr>
              <w:spacing w:after="60" w:line="259" w:lineRule="auto"/>
            </w:pPr>
            <w:r>
              <w:rPr>
                <w:rFonts w:ascii="Calibri" w:hAnsi="Calibri"/>
                <w:b w:val="0"/>
                <w:i w:val="0"/>
                <w:color w:val="212121"/>
                <w:sz w:val="19"/>
              </w:rPr>
              <w:t>Onset increasingly clusters in the teenage years soon after puberty; adolescents with coarse hair, rising obesity and long hours of sitting for study or gaming are presenting earlier.</w:t>
            </w:r>
          </w:p>
          <w:p>
            <w:pPr>
              <w:spacing w:after="40" w:before="60" w:line="259" w:lineRule="auto"/>
            </w:pPr>
            <w:r>
              <w:rPr>
                <w:rFonts w:ascii="Calibri" w:hAnsi="Calibri"/>
                <w:b w:val="0"/>
                <w:i w:val="0"/>
                <w:color w:val="212121"/>
                <w:sz w:val="19"/>
              </w:rPr>
              <w:t>Population-based studies report the steepest rises in incidence occurring in early adolescence.</w:t>
            </w:r>
          </w:p>
          <w:p>
            <w:pPr>
              <w:spacing w:after="40" w:line="252" w:lineRule="auto"/>
            </w:pPr>
            <w:hyperlink r:id="rId10">
              <w:r>
                <w:rPr>
                  <w:rFonts w:ascii="Calibri" w:hAnsi="Calibri" w:cs="Calibri"/>
                  <w:sz w:val="18"/>
                  <w:color w:val="1155CC"/>
                  <w:u w:val="single"/>
                </w:rPr>
                <w:t xml:space="preserve">pubmed.ncbi.nlm.nih.gov/39491471 — time trends in incidence (Colorectal Dis)</w:t>
              </w:r>
            </w:hyperlink>
          </w:p>
          <w:p>
            <w:pPr>
              <w:spacing w:before="60" w:after="40"/>
            </w:pPr>
            <w:r>
              <w:rPr>
                <w:rFonts w:ascii="Calibri" w:hAnsi="Calibri"/>
                <w:b w:val="0"/>
                <w:i w:val="0"/>
                <w:color w:val="5A5A5A"/>
                <w:sz w:val="18"/>
              </w:rPr>
              <w:t>#adolescents  #teenagers  #risingincidence  #sitting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are affected far more often than women because of greater body-hair density, coarser hair, more sebum and a deeper natal cleft; male sex is the single strongest demographic risk factor.</w:t>
            </w:r>
          </w:p>
          <w:p>
            <w:pPr>
              <w:spacing w:after="40" w:before="60" w:line="259" w:lineRule="auto"/>
            </w:pPr>
            <w:r>
              <w:rPr>
                <w:rFonts w:ascii="Calibri" w:hAnsi="Calibri"/>
                <w:b w:val="0"/>
                <w:i w:val="0"/>
                <w:color w:val="212121"/>
                <w:sz w:val="19"/>
              </w:rPr>
              <w:t>Pilonidal sinus occurs about twice as often in men as in women.</w:t>
            </w:r>
          </w:p>
          <w:p>
            <w:pPr>
              <w:spacing w:after="40" w:line="252" w:lineRule="auto"/>
            </w:pPr>
            <w:hyperlink r:id="rId9">
              <w:r>
                <w:rPr>
                  <w:rFonts w:ascii="Calibri" w:hAnsi="Calibri" w:cs="Calibri"/>
                  <w:sz w:val="18"/>
                  <w:color w:val="1155CC"/>
                  <w:u w:val="single"/>
                </w:rPr>
                <w:t xml:space="preserve">pubmed.ncbi.nlm.nih.gov/23911903 — Pilonidal sinus disease (J Visc Surg)</w:t>
              </w:r>
            </w:hyperlink>
          </w:p>
          <w:p>
            <w:pPr>
              <w:spacing w:before="60" w:after="40"/>
            </w:pPr>
            <w:r>
              <w:rPr>
                <w:rFonts w:ascii="Calibri" w:hAnsi="Calibri"/>
                <w:b w:val="0"/>
                <w:i w:val="0"/>
                <w:color w:val="5A5A5A"/>
                <w:sz w:val="18"/>
              </w:rPr>
              <w:t>#male  #bodyhair  #sexratio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 occupation</w:t>
            </w:r>
          </w:p>
        </w:tc>
        <w:tc>
          <w:tcPr>
            <w:tcW w:type="dxa" w:w="2160"/>
            <w:vAlign w:val="top"/>
          </w:tcPr>
          <w:p>
            <w:pPr>
              <w:spacing w:after="40" w:before="0" w:line="259" w:lineRule="auto"/>
            </w:pPr>
            <w:r>
              <w:rPr>
                <w:rFonts w:ascii="Calibri" w:hAnsi="Calibri"/>
                <w:b w:val="0"/>
                <w:i w:val="0"/>
                <w:color w:val="212121"/>
                <w:sz w:val="19"/>
              </w:rPr>
              <w:t>Drivers, soldiers, desk/IT workers, students</w:t>
            </w:r>
          </w:p>
        </w:tc>
        <w:tc>
          <w:tcPr>
            <w:tcW w:type="dxa" w:w="4276"/>
            <w:vAlign w:val="top"/>
          </w:tcPr>
          <w:p>
            <w:pPr>
              <w:spacing w:after="60" w:line="259" w:lineRule="auto"/>
            </w:pPr>
            <w:r>
              <w:rPr>
                <w:rFonts w:ascii="Calibri" w:hAnsi="Calibri"/>
                <w:b w:val="0"/>
                <w:i w:val="0"/>
                <w:color w:val="212121"/>
                <w:sz w:val="19"/>
              </w:rPr>
              <w:t>Occupations and lifestyles involving prolonged, uninterrupted sitting keep sustained pressure and friction on the natal cleft, driving hair inward — the reason the condition was nicknamed 'jeep disease' among Second World War vehicle crews.</w:t>
            </w:r>
          </w:p>
          <w:p>
            <w:pPr>
              <w:spacing w:after="40" w:before="60" w:line="259" w:lineRule="auto"/>
            </w:pPr>
            <w:r>
              <w:rPr>
                <w:rFonts w:ascii="Calibri" w:hAnsi="Calibri"/>
                <w:b w:val="0"/>
                <w:i w:val="0"/>
                <w:color w:val="212121"/>
                <w:sz w:val="19"/>
              </w:rPr>
              <w:t>Military cohorts confirm the occupational link; a 10-year review of 3,407 soldiers identified sitting-related occupational risk factors for pilonidal disease.</w:t>
            </w:r>
          </w:p>
          <w:p>
            <w:pPr>
              <w:spacing w:after="40" w:line="252" w:lineRule="auto"/>
            </w:pPr>
            <w:hyperlink r:id="rId11">
              <w:r>
                <w:rPr>
                  <w:rFonts w:ascii="Calibri" w:hAnsi="Calibri" w:cs="Calibri"/>
                  <w:sz w:val="18"/>
                  <w:color w:val="1155CC"/>
                  <w:u w:val="single"/>
                </w:rPr>
                <w:t xml:space="preserve">pubmed.ncbi.nlm.nih.gov/27046187 — occupational risk factors, 3,407 soldiers (Mil Med)</w:t>
              </w:r>
            </w:hyperlink>
          </w:p>
          <w:p>
            <w:pPr>
              <w:spacing w:before="60" w:after="40"/>
            </w:pPr>
            <w:r>
              <w:rPr>
                <w:rFonts w:ascii="Calibri" w:hAnsi="Calibri"/>
                <w:b w:val="0"/>
                <w:i w:val="0"/>
                <w:color w:val="5A5A5A"/>
                <w:sz w:val="18"/>
              </w:rPr>
              <w:t>#jeepdisease  #drivers  #deskjob  #sedentary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Hairy Caucasian/Mediterranean; classically lower in East-Asians</w:t>
            </w:r>
          </w:p>
        </w:tc>
        <w:tc>
          <w:tcPr>
            <w:tcW w:type="dxa" w:w="4276"/>
            <w:vAlign w:val="top"/>
          </w:tcPr>
          <w:p>
            <w:pPr>
              <w:spacing w:after="60" w:line="259" w:lineRule="auto"/>
            </w:pPr>
            <w:r>
              <w:rPr>
                <w:rFonts w:ascii="Calibri" w:hAnsi="Calibri"/>
                <w:b w:val="0"/>
                <w:i w:val="0"/>
                <w:color w:val="212121"/>
                <w:sz w:val="19"/>
              </w:rPr>
              <w:t>Risk tracks body-hair characteristics: people of Mediterranean, Middle-Eastern and Caucasian descent with dense, coarse, dark hair are at higher risk, whereas the disease has classically been distinctly uncommon in East-Asian populations.</w:t>
            </w:r>
          </w:p>
          <w:p>
            <w:pPr>
              <w:spacing w:after="40" w:before="60" w:line="259" w:lineRule="auto"/>
            </w:pPr>
            <w:r>
              <w:rPr>
                <w:rFonts w:ascii="Calibri" w:hAnsi="Calibri"/>
                <w:b w:val="0"/>
                <w:i w:val="0"/>
                <w:color w:val="212121"/>
                <w:sz w:val="19"/>
              </w:rPr>
              <w:t>Pilonidal sinus is common among soldiers but has been reported as uncommon among Asian individuals.</w:t>
            </w:r>
          </w:p>
          <w:p>
            <w:pPr>
              <w:spacing w:after="40" w:line="252" w:lineRule="auto"/>
            </w:pPr>
            <w:hyperlink r:id="rId12">
              <w:r>
                <w:rPr>
                  <w:rFonts w:ascii="Calibri" w:hAnsi="Calibri" w:cs="Calibri"/>
                  <w:sz w:val="18"/>
                  <w:color w:val="1155CC"/>
                  <w:u w:val="single"/>
                </w:rPr>
                <w:t xml:space="preserve">pubmed.ncbi.nlm.nih.gov/16895134 — pilonidal sinus in Asian individuals (Mil Med)</w:t>
              </w:r>
            </w:hyperlink>
          </w:p>
          <w:p>
            <w:pPr>
              <w:spacing w:before="60" w:after="40"/>
            </w:pPr>
            <w:r>
              <w:rPr>
                <w:rFonts w:ascii="Calibri" w:hAnsi="Calibri"/>
                <w:b w:val="0"/>
                <w:i w:val="0"/>
                <w:color w:val="5A5A5A"/>
                <w:sz w:val="18"/>
              </w:rPr>
              <w:t>#ethnicity  #hairtype  #asians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&amp; urbanisation</w:t>
            </w:r>
          </w:p>
        </w:tc>
        <w:tc>
          <w:tcPr>
            <w:tcW w:type="dxa" w:w="2160"/>
            <w:vAlign w:val="top"/>
          </w:tcPr>
          <w:p>
            <w:pPr>
              <w:spacing w:after="40" w:before="0" w:line="259" w:lineRule="auto"/>
            </w:pPr>
            <w:r>
              <w:rPr>
                <w:rFonts w:ascii="Calibri" w:hAnsi="Calibri"/>
                <w:b w:val="0"/>
                <w:i w:val="0"/>
                <w:color w:val="212121"/>
                <w:sz w:val="19"/>
              </w:rPr>
              <w:t>Urban, sedentary Indian young adults</w:t>
            </w:r>
          </w:p>
        </w:tc>
        <w:tc>
          <w:tcPr>
            <w:tcW w:type="dxa" w:w="4276"/>
            <w:vAlign w:val="top"/>
          </w:tcPr>
          <w:p>
            <w:pPr>
              <w:spacing w:after="60" w:line="259" w:lineRule="auto"/>
            </w:pPr>
            <w:r>
              <w:rPr>
                <w:rFonts w:ascii="Calibri" w:hAnsi="Calibri"/>
                <w:b w:val="0"/>
                <w:i w:val="0"/>
                <w:color w:val="212121"/>
                <w:sz w:val="19"/>
              </w:rPr>
              <w:t>Although historically less frequent in South Asians, India's large young population, rising obesity and increasingly desk-bound, screen-based urban lifestyles are generating a steady surgical caseload of natal-cleft pilonidal disease.</w:t>
            </w:r>
          </w:p>
          <w:p>
            <w:pPr>
              <w:spacing w:after="40" w:before="60" w:line="259" w:lineRule="auto"/>
            </w:pPr>
            <w:r>
              <w:rPr>
                <w:rFonts w:ascii="Calibri" w:hAnsi="Calibri"/>
                <w:b w:val="0"/>
                <w:i w:val="0"/>
                <w:color w:val="212121"/>
                <w:sz w:val="19"/>
              </w:rPr>
              <w:t>Numerous Indian institutional series (commonly 40–80 operated patients each) evaluate excision and flap repairs, reflecting a consistent hospital burden.</w:t>
            </w:r>
          </w:p>
          <w:p>
            <w:pPr>
              <w:spacing w:after="40" w:line="252" w:lineRule="auto"/>
            </w:pPr>
            <w:hyperlink r:id="rId13">
              <w:r>
                <w:rPr>
                  <w:rFonts w:ascii="Calibri" w:hAnsi="Calibri" w:cs="Calibri"/>
                  <w:sz w:val="18"/>
                  <w:color w:val="1155CC"/>
                  <w:u w:val="single"/>
                </w:rPr>
                <w:t xml:space="preserve">pubmed.ncbi.nlm.nih.gov/35915671 — Indian tertiary-care series (Cureus)</w:t>
              </w:r>
            </w:hyperlink>
          </w:p>
          <w:p>
            <w:pPr>
              <w:spacing w:before="60" w:after="40"/>
            </w:pPr>
            <w:r>
              <w:rPr>
                <w:rFonts w:ascii="Calibri" w:hAnsi="Calibri"/>
                <w:b w:val="0"/>
                <w:i w:val="0"/>
                <w:color w:val="5A5A5A"/>
                <w:sz w:val="18"/>
              </w:rPr>
              <w:t>#india  #urbanisation  #sedentarylifestyle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(prolonged sitting)</w:t>
            </w:r>
          </w:p>
        </w:tc>
        <w:tc>
          <w:tcPr>
            <w:tcW w:type="dxa" w:w="2160"/>
            <w:vAlign w:val="top"/>
          </w:tcPr>
          <w:p>
            <w:pPr>
              <w:spacing w:after="40" w:before="0" w:line="259" w:lineRule="auto"/>
            </w:pPr>
            <w:r>
              <w:rPr>
                <w:rFonts w:ascii="Calibri" w:hAnsi="Calibri"/>
                <w:b w:val="0"/>
                <w:i w:val="0"/>
                <w:color w:val="212121"/>
                <w:sz w:val="19"/>
              </w:rPr>
              <w:t>Long-haul drivers, IT professionals, students</w:t>
            </w:r>
          </w:p>
        </w:tc>
        <w:tc>
          <w:tcPr>
            <w:tcW w:type="dxa" w:w="4276"/>
            <w:vAlign w:val="top"/>
          </w:tcPr>
          <w:p>
            <w:pPr>
              <w:spacing w:after="60" w:line="259" w:lineRule="auto"/>
            </w:pPr>
            <w:r>
              <w:rPr>
                <w:rFonts w:ascii="Calibri" w:hAnsi="Calibri"/>
                <w:b w:val="0"/>
                <w:i w:val="0"/>
                <w:color w:val="212121"/>
                <w:sz w:val="19"/>
              </w:rPr>
              <w:t>Prolonged sitting compresses and macerates the natal-cleft skin and, through a suction/shearing effect, works loose hair into the midline pits; it is among the most consistently reported modifiable risk factors.</w:t>
            </w:r>
          </w:p>
          <w:p>
            <w:pPr>
              <w:spacing w:after="40" w:before="60" w:line="259" w:lineRule="auto"/>
            </w:pPr>
            <w:r>
              <w:rPr>
                <w:rFonts w:ascii="Calibri" w:hAnsi="Calibri"/>
                <w:b w:val="0"/>
                <w:i w:val="0"/>
                <w:color w:val="212121"/>
                <w:sz w:val="19"/>
              </w:rPr>
              <w:t>Sitting for long periods increases the chance of developing a pilonidal sinus.</w:t>
            </w:r>
          </w:p>
          <w:p>
            <w:pPr>
              <w:spacing w:after="40" w:line="252" w:lineRule="auto"/>
            </w:pPr>
            <w:hyperlink r:id="rId14">
              <w:r>
                <w:rPr>
                  <w:rFonts w:ascii="Calibri" w:hAnsi="Calibri" w:cs="Calibri"/>
                  <w:sz w:val="18"/>
                  <w:color w:val="1155CC"/>
                  <w:u w:val="single"/>
                </w:rPr>
                <w:t xml:space="preserve">nhs.uk — Pilonidal sinus (causes/risk factors)</w:t>
              </w:r>
            </w:hyperlink>
          </w:p>
          <w:p>
            <w:pPr>
              <w:spacing w:before="60" w:after="40"/>
            </w:pPr>
            <w:r>
              <w:rPr>
                <w:rFonts w:ascii="Calibri" w:hAnsi="Calibri"/>
                <w:b w:val="0"/>
                <w:i w:val="0"/>
                <w:color w:val="5A5A5A"/>
                <w:sz w:val="18"/>
              </w:rPr>
              <w:t>#sitting  #sedentary  #screenbound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Personal hygiene</w:t>
            </w:r>
          </w:p>
        </w:tc>
        <w:tc>
          <w:tcPr>
            <w:tcW w:type="dxa" w:w="2160"/>
            <w:vAlign w:val="top"/>
          </w:tcPr>
          <w:p>
            <w:pPr>
              <w:spacing w:after="40" w:before="0" w:line="259" w:lineRule="auto"/>
            </w:pPr>
            <w:r>
              <w:rPr>
                <w:rFonts w:ascii="Calibri" w:hAnsi="Calibri"/>
                <w:b w:val="0"/>
                <w:i w:val="0"/>
                <w:color w:val="212121"/>
                <w:sz w:val="19"/>
              </w:rPr>
              <w:t>Poor natal-cleft hygiene &amp; heavy sweating</w:t>
            </w:r>
          </w:p>
        </w:tc>
        <w:tc>
          <w:tcPr>
            <w:tcW w:type="dxa" w:w="4276"/>
            <w:vAlign w:val="top"/>
          </w:tcPr>
          <w:p>
            <w:pPr>
              <w:spacing w:after="60" w:line="259" w:lineRule="auto"/>
            </w:pPr>
            <w:r>
              <w:rPr>
                <w:rFonts w:ascii="Calibri" w:hAnsi="Calibri"/>
                <w:b w:val="0"/>
                <w:i w:val="0"/>
                <w:color w:val="212121"/>
                <w:sz w:val="19"/>
              </w:rPr>
              <w:t>Infrequent washing, heat and excess sweat leave shed hair and keratin debris in a moist cleft, promoting hair impaction, follicular plugging and secondary bacterial infection.</w:t>
            </w:r>
          </w:p>
          <w:p>
            <w:pPr>
              <w:spacing w:after="40" w:before="60" w:line="259" w:lineRule="auto"/>
            </w:pPr>
            <w:r>
              <w:rPr>
                <w:rFonts w:ascii="Calibri" w:hAnsi="Calibri"/>
                <w:b w:val="0"/>
                <w:i w:val="0"/>
                <w:color w:val="212121"/>
                <w:sz w:val="19"/>
              </w:rPr>
              <w:t>Accumulation of loose hair in the buttock cleft is a recognised contributor; regular cleansing and hair control are advised to reduce flares and recurrence.</w:t>
            </w:r>
          </w:p>
          <w:p>
            <w:pPr>
              <w:spacing w:after="40" w:line="252" w:lineRule="auto"/>
            </w:pPr>
            <w:hyperlink r:id="rId14">
              <w:r>
                <w:rPr>
                  <w:rFonts w:ascii="Calibri" w:hAnsi="Calibri" w:cs="Calibri"/>
                  <w:sz w:val="18"/>
                  <w:color w:val="1155CC"/>
                  <w:u w:val="single"/>
                </w:rPr>
                <w:t xml:space="preserve">nhs.uk — Pilonidal sinus (hair in the cleft)</w:t>
              </w:r>
            </w:hyperlink>
          </w:p>
          <w:p>
            <w:pPr>
              <w:spacing w:before="60" w:after="40"/>
            </w:pPr>
            <w:r>
              <w:rPr>
                <w:rFonts w:ascii="Calibri" w:hAnsi="Calibri"/>
                <w:b w:val="0"/>
                <w:i w:val="0"/>
                <w:color w:val="5A5A5A"/>
                <w:sz w:val="18"/>
              </w:rPr>
              <w:t>#hygiene  #sweat  #hairdebris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Hairiness &amp; grooming</w:t>
            </w:r>
          </w:p>
        </w:tc>
        <w:tc>
          <w:tcPr>
            <w:tcW w:type="dxa" w:w="2160"/>
            <w:vAlign w:val="top"/>
          </w:tcPr>
          <w:p>
            <w:pPr>
              <w:spacing w:after="40" w:before="0" w:line="259" w:lineRule="auto"/>
            </w:pPr>
            <w:r>
              <w:rPr>
                <w:rFonts w:ascii="Calibri" w:hAnsi="Calibri"/>
                <w:b w:val="0"/>
                <w:i w:val="0"/>
                <w:color w:val="212121"/>
                <w:sz w:val="19"/>
              </w:rPr>
              <w:t>Hirsute young men; barbers &amp; hairdressers</w:t>
            </w:r>
          </w:p>
        </w:tc>
        <w:tc>
          <w:tcPr>
            <w:tcW w:type="dxa" w:w="4276"/>
            <w:vAlign w:val="top"/>
          </w:tcPr>
          <w:p>
            <w:pPr>
              <w:spacing w:after="60" w:line="259" w:lineRule="auto"/>
            </w:pPr>
            <w:r>
              <w:rPr>
                <w:rFonts w:ascii="Calibri" w:hAnsi="Calibri"/>
                <w:b w:val="0"/>
                <w:i w:val="0"/>
                <w:color w:val="212121"/>
                <w:sz w:val="19"/>
              </w:rPr>
              <w:t>A heavy load of coarse shed hair is the raw material of the disease; hairdressers and barbers characteristically develop the interdigital 'barber's' variant from cut client hair penetrating the finger web-spaces.</w:t>
            </w:r>
          </w:p>
          <w:p>
            <w:pPr>
              <w:spacing w:after="40" w:before="60" w:line="259" w:lineRule="auto"/>
            </w:pPr>
            <w:r>
              <w:rPr>
                <w:rFonts w:ascii="Calibri" w:hAnsi="Calibri"/>
                <w:b w:val="0"/>
                <w:i w:val="0"/>
                <w:color w:val="212121"/>
                <w:sz w:val="19"/>
              </w:rPr>
              <w:t>Dense body hair increases risk, and the occupational interdigital form in hairdressers illustrates hair penetration as the core mechanism.</w:t>
            </w:r>
          </w:p>
          <w:p>
            <w:pPr>
              <w:spacing w:before="60" w:after="40"/>
            </w:pPr>
            <w:r>
              <w:rPr>
                <w:rFonts w:ascii="Calibri" w:hAnsi="Calibri"/>
                <w:b w:val="0"/>
                <w:i w:val="0"/>
                <w:color w:val="5A5A5A"/>
                <w:sz w:val="18"/>
              </w:rPr>
              <w:t>#hirsutism  #barberssinus  #bodyhair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Local trauma &amp; friction</w:t>
            </w:r>
          </w:p>
        </w:tc>
        <w:tc>
          <w:tcPr>
            <w:tcW w:type="dxa" w:w="2160"/>
            <w:vAlign w:val="top"/>
          </w:tcPr>
          <w:p>
            <w:pPr>
              <w:spacing w:after="40" w:before="0" w:line="259" w:lineRule="auto"/>
            </w:pPr>
            <w:r>
              <w:rPr>
                <w:rFonts w:ascii="Calibri" w:hAnsi="Calibri"/>
                <w:b w:val="0"/>
                <w:i w:val="0"/>
                <w:color w:val="212121"/>
                <w:sz w:val="19"/>
              </w:rPr>
              <w:t>Tight clothing, cycling, repetitive microtrauma</w:t>
            </w:r>
          </w:p>
        </w:tc>
        <w:tc>
          <w:tcPr>
            <w:tcW w:type="dxa" w:w="4276"/>
            <w:vAlign w:val="top"/>
          </w:tcPr>
          <w:p>
            <w:pPr>
              <w:spacing w:after="60" w:line="259" w:lineRule="auto"/>
            </w:pPr>
            <w:r>
              <w:rPr>
                <w:rFonts w:ascii="Calibri" w:hAnsi="Calibri"/>
                <w:b w:val="0"/>
                <w:i w:val="0"/>
                <w:color w:val="212121"/>
                <w:sz w:val="19"/>
              </w:rPr>
              <w:t>Repeated friction and minor trauma from tight clothing, cycling or heavy manual work abrade the cleft skin and help drive hair beneath the surface.</w:t>
            </w:r>
          </w:p>
          <w:p>
            <w:pPr>
              <w:spacing w:after="40" w:before="60" w:line="259" w:lineRule="auto"/>
            </w:pPr>
            <w:r>
              <w:rPr>
                <w:rFonts w:ascii="Calibri" w:hAnsi="Calibri"/>
                <w:b w:val="0"/>
                <w:i w:val="0"/>
                <w:color w:val="212121"/>
                <w:sz w:val="19"/>
              </w:rPr>
              <w:t>Local friction, pressure and repeated minor trauma to the natal cleft are established precipitants of pilonidal disease.</w:t>
            </w:r>
          </w:p>
          <w:p>
            <w:pPr>
              <w:spacing w:before="60" w:after="40"/>
            </w:pPr>
            <w:r>
              <w:rPr>
                <w:rFonts w:ascii="Calibri" w:hAnsi="Calibri"/>
                <w:b w:val="0"/>
                <w:i w:val="0"/>
                <w:color w:val="5A5A5A"/>
                <w:sz w:val="18"/>
              </w:rPr>
              <w:t>#friction  #trauma  #tightclothing</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Overweight-promoting diet</w:t>
            </w:r>
          </w:p>
        </w:tc>
        <w:tc>
          <w:tcPr>
            <w:tcW w:type="dxa" w:w="2160"/>
            <w:vAlign w:val="top"/>
          </w:tcPr>
          <w:p>
            <w:pPr>
              <w:spacing w:after="40" w:before="0" w:line="259" w:lineRule="auto"/>
            </w:pPr>
            <w:r>
              <w:rPr>
                <w:rFonts w:ascii="Calibri" w:hAnsi="Calibri"/>
                <w:b w:val="0"/>
                <w:i w:val="0"/>
                <w:color w:val="212121"/>
                <w:sz w:val="19"/>
              </w:rPr>
              <w:t>High-calorie, energy-dense eating patterns</w:t>
            </w:r>
          </w:p>
        </w:tc>
        <w:tc>
          <w:tcPr>
            <w:tcW w:type="dxa" w:w="4276"/>
            <w:vAlign w:val="top"/>
          </w:tcPr>
          <w:p>
            <w:pPr>
              <w:spacing w:after="60" w:line="259" w:lineRule="auto"/>
            </w:pPr>
            <w:r>
              <w:rPr>
                <w:rFonts w:ascii="Calibri" w:hAnsi="Calibri"/>
                <w:b w:val="0"/>
                <w:i w:val="0"/>
                <w:color w:val="212121"/>
                <w:sz w:val="19"/>
              </w:rPr>
              <w:t>Energy-dense, high-calorie diets drive the central obesity that deepens the natal cleft, increases skin-fold friction and sweating, and impairs post-operative wound healing.</w:t>
            </w:r>
          </w:p>
          <w:p>
            <w:pPr>
              <w:spacing w:after="40" w:before="60" w:line="259" w:lineRule="auto"/>
            </w:pPr>
            <w:r>
              <w:rPr>
                <w:rFonts w:ascii="Calibri" w:hAnsi="Calibri"/>
                <w:b w:val="0"/>
                <w:i w:val="0"/>
                <w:color w:val="212121"/>
                <w:sz w:val="19"/>
              </w:rPr>
              <w:t>Obesity is a recognised risk factor for pilonidal disease and for higher post-operative recurrence and wound complications.</w:t>
            </w:r>
          </w:p>
          <w:p>
            <w:pPr>
              <w:spacing w:before="60" w:after="40"/>
            </w:pPr>
            <w:r>
              <w:rPr>
                <w:rFonts w:ascii="Calibri" w:hAnsi="Calibri"/>
                <w:b w:val="0"/>
                <w:i w:val="0"/>
                <w:color w:val="5A5A5A"/>
                <w:sz w:val="18"/>
              </w:rPr>
              <w:t>#diet  #obesity  #caloriedense</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pilonidal or follicular-occlusion disease</w:t>
            </w:r>
          </w:p>
        </w:tc>
        <w:tc>
          <w:tcPr>
            <w:tcW w:type="dxa" w:w="4276"/>
            <w:vAlign w:val="top"/>
          </w:tcPr>
          <w:p>
            <w:pPr>
              <w:spacing w:after="60" w:line="259" w:lineRule="auto"/>
            </w:pPr>
            <w:r>
              <w:rPr>
                <w:rFonts w:ascii="Calibri" w:hAnsi="Calibri"/>
                <w:b w:val="0"/>
                <w:i w:val="0"/>
                <w:color w:val="212121"/>
                <w:sz w:val="19"/>
              </w:rPr>
              <w:t>A positive family history is common, reflecting inherited tendencies to a deep hairy cleft, coarse hair and follicular occlusion; familial cases tend to present earlier and recur more.</w:t>
            </w:r>
          </w:p>
          <w:p>
            <w:pPr>
              <w:spacing w:after="40" w:before="60" w:line="259" w:lineRule="auto"/>
            </w:pPr>
            <w:r>
              <w:rPr>
                <w:rFonts w:ascii="Calibri" w:hAnsi="Calibri"/>
                <w:b w:val="0"/>
                <w:i w:val="0"/>
                <w:color w:val="212121"/>
                <w:sz w:val="19"/>
              </w:rPr>
              <w:t>Pilonidal sinus forms part of the 'follicular occlusion tetrad' (with hidradenitis suppurativa, acne conglobata and dissecting cellulitis of the scalp), indicating a shared, partly heritable follicular-occlusion mechanism.</w:t>
            </w:r>
          </w:p>
          <w:p>
            <w:pPr>
              <w:spacing w:after="40" w:line="252" w:lineRule="auto"/>
            </w:pPr>
            <w:hyperlink r:id="rId15">
              <w:r>
                <w:rPr>
                  <w:rFonts w:ascii="Calibri" w:hAnsi="Calibri" w:cs="Calibri"/>
                  <w:sz w:val="18"/>
                  <w:color w:val="1155CC"/>
                  <w:u w:val="single"/>
                </w:rPr>
                <w:t xml:space="preserve">pubmed.ncbi.nlm.nih.gov/25396138 — Follicular occlusion tetrad (Indian Dermatol Online J)</w:t>
              </w:r>
            </w:hyperlink>
          </w:p>
          <w:p>
            <w:pPr>
              <w:spacing w:before="60" w:after="40"/>
            </w:pPr>
            <w:r>
              <w:rPr>
                <w:rFonts w:ascii="Calibri" w:hAnsi="Calibri"/>
                <w:b w:val="0"/>
                <w:i w:val="0"/>
                <w:color w:val="5A5A5A"/>
                <w:sz w:val="18"/>
              </w:rPr>
              <w:t>#familyhistory  #follicularocclusion  #genetic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Obesity</w:t>
            </w:r>
          </w:p>
        </w:tc>
        <w:tc>
          <w:tcPr>
            <w:tcW w:type="dxa" w:w="2160"/>
            <w:vAlign w:val="top"/>
          </w:tcPr>
          <w:p>
            <w:pPr>
              <w:spacing w:after="40" w:before="0" w:line="259" w:lineRule="auto"/>
            </w:pPr>
            <w:r>
              <w:rPr>
                <w:rFonts w:ascii="Calibri" w:hAnsi="Calibri"/>
                <w:b w:val="0"/>
                <w:i w:val="0"/>
                <w:color w:val="212121"/>
                <w:sz w:val="19"/>
              </w:rPr>
              <w:t>Overweight &amp; obese individuals</w:t>
            </w:r>
          </w:p>
        </w:tc>
        <w:tc>
          <w:tcPr>
            <w:tcW w:type="dxa" w:w="4276"/>
            <w:vAlign w:val="top"/>
          </w:tcPr>
          <w:p>
            <w:pPr>
              <w:spacing w:after="60" w:line="259" w:lineRule="auto"/>
            </w:pPr>
            <w:r>
              <w:rPr>
                <w:rFonts w:ascii="Calibri" w:hAnsi="Calibri"/>
                <w:b w:val="0"/>
                <w:i w:val="0"/>
                <w:color w:val="212121"/>
                <w:sz w:val="19"/>
              </w:rPr>
              <w:t>Obesity deepens the natal cleft and increases friction, sweating and hair retention, and is associated with more surgical-site infection, delayed healing and recurrence after pilonidal surgery.</w:t>
            </w:r>
          </w:p>
          <w:p>
            <w:pPr>
              <w:spacing w:after="40" w:before="60" w:line="259" w:lineRule="auto"/>
            </w:pPr>
            <w:r>
              <w:rPr>
                <w:rFonts w:ascii="Calibri" w:hAnsi="Calibri"/>
                <w:b w:val="0"/>
                <w:i w:val="0"/>
                <w:color w:val="212121"/>
                <w:sz w:val="19"/>
              </w:rPr>
              <w:t>Obesity is consistently linked with pilonidal disease and with poorer surgical outcomes.</w:t>
            </w:r>
          </w:p>
          <w:p>
            <w:pPr>
              <w:spacing w:before="60" w:after="40"/>
            </w:pPr>
            <w:r>
              <w:rPr>
                <w:rFonts w:ascii="Calibri" w:hAnsi="Calibri"/>
                <w:b w:val="0"/>
                <w:i w:val="0"/>
                <w:color w:val="5A5A5A"/>
                <w:sz w:val="18"/>
              </w:rPr>
              <w:t>#obesity  #woundhealing  #recurrence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Hidradenitis suppurativa</w:t>
            </w:r>
          </w:p>
        </w:tc>
        <w:tc>
          <w:tcPr>
            <w:tcW w:type="dxa" w:w="2160"/>
            <w:vAlign w:val="top"/>
          </w:tcPr>
          <w:p>
            <w:pPr>
              <w:spacing w:after="40" w:before="0" w:line="259" w:lineRule="auto"/>
            </w:pPr>
            <w:r>
              <w:rPr>
                <w:rFonts w:ascii="Calibri" w:hAnsi="Calibri"/>
                <w:b w:val="0"/>
                <w:i w:val="0"/>
                <w:color w:val="212121"/>
                <w:sz w:val="19"/>
              </w:rPr>
              <w:t>Follicular-occlusion spectrum patients</w:t>
            </w:r>
          </w:p>
        </w:tc>
        <w:tc>
          <w:tcPr>
            <w:tcW w:type="dxa" w:w="4276"/>
            <w:vAlign w:val="top"/>
          </w:tcPr>
          <w:p>
            <w:pPr>
              <w:spacing w:after="60" w:line="259" w:lineRule="auto"/>
            </w:pPr>
            <w:r>
              <w:rPr>
                <w:rFonts w:ascii="Calibri" w:hAnsi="Calibri"/>
                <w:b w:val="0"/>
                <w:i w:val="0"/>
                <w:color w:val="212121"/>
                <w:sz w:val="19"/>
              </w:rPr>
              <w:t>Pilonidal sinus co-segregates with hidradenitis suppurativa as part of the follicular occlusion tetrad; the two share follicular hyperkeratosis, occlusion and chronic suppuration and frequently coexist.</w:t>
            </w:r>
          </w:p>
          <w:p>
            <w:pPr>
              <w:spacing w:after="40" w:before="60" w:line="259" w:lineRule="auto"/>
            </w:pPr>
            <w:r>
              <w:rPr>
                <w:rFonts w:ascii="Calibri" w:hAnsi="Calibri"/>
                <w:b w:val="0"/>
                <w:i w:val="0"/>
                <w:color w:val="212121"/>
                <w:sz w:val="19"/>
              </w:rPr>
              <w:t>Pilonidal sinus is a defining component of the follicular occlusion tetrad alongside hidradenitis suppurativa, acne conglobata and dissecting cellulitis of the scalp.</w:t>
            </w:r>
          </w:p>
          <w:p>
            <w:pPr>
              <w:spacing w:after="40" w:line="252" w:lineRule="auto"/>
            </w:pPr>
            <w:hyperlink r:id="rId15">
              <w:r>
                <w:rPr>
                  <w:rFonts w:ascii="Calibri" w:hAnsi="Calibri" w:cs="Calibri"/>
                  <w:sz w:val="18"/>
                  <w:color w:val="1155CC"/>
                  <w:u w:val="single"/>
                </w:rPr>
                <w:t xml:space="preserve">pubmed.ncbi.nlm.nih.gov/25396138 — Follicular occlusion tetrad</w:t>
              </w:r>
            </w:hyperlink>
          </w:p>
          <w:p>
            <w:pPr>
              <w:spacing w:before="60" w:after="40"/>
            </w:pPr>
            <w:r>
              <w:rPr>
                <w:rFonts w:ascii="Calibri" w:hAnsi="Calibri"/>
                <w:b w:val="0"/>
                <w:i w:val="0"/>
                <w:color w:val="5A5A5A"/>
                <w:sz w:val="18"/>
              </w:rPr>
              <w:t>#hidradenitis  #follicularocclusion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Diabetic &amp; poorly-controlled patients</w:t>
            </w:r>
          </w:p>
        </w:tc>
        <w:tc>
          <w:tcPr>
            <w:tcW w:type="dxa" w:w="4276"/>
            <w:vAlign w:val="top"/>
          </w:tcPr>
          <w:p>
            <w:pPr>
              <w:spacing w:after="60" w:line="259" w:lineRule="auto"/>
            </w:pPr>
            <w:r>
              <w:rPr>
                <w:rFonts w:ascii="Calibri" w:hAnsi="Calibri"/>
                <w:b w:val="0"/>
                <w:i w:val="0"/>
                <w:color w:val="212121"/>
                <w:sz w:val="19"/>
              </w:rPr>
              <w:t>Diabetes impairs neutrophil function, microcirculation and wound healing, predisposing to more severe abscesses, surgical-site infection and higher recurrence after excision.</w:t>
            </w:r>
          </w:p>
          <w:p>
            <w:pPr>
              <w:spacing w:after="40" w:before="60" w:line="259" w:lineRule="auto"/>
            </w:pPr>
            <w:r>
              <w:rPr>
                <w:rFonts w:ascii="Calibri" w:hAnsi="Calibri"/>
                <w:b w:val="0"/>
                <w:i w:val="0"/>
                <w:color w:val="212121"/>
                <w:sz w:val="19"/>
              </w:rPr>
              <w:t>Hyperglycaemia impairs wound healing and increases post-operative infection risk, adversely affecting pilonidal surgical outcomes.</w:t>
            </w:r>
          </w:p>
          <w:p>
            <w:pPr>
              <w:spacing w:before="60" w:after="40"/>
            </w:pPr>
            <w:r>
              <w:rPr>
                <w:rFonts w:ascii="Calibri" w:hAnsi="Calibri"/>
                <w:b w:val="0"/>
                <w:i w:val="0"/>
                <w:color w:val="5A5A5A"/>
                <w:sz w:val="18"/>
              </w:rPr>
              <w:t>#diabetes  #woundhealing  #infection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Squamous-cell carcinoma</w:t>
            </w:r>
          </w:p>
        </w:tc>
        <w:tc>
          <w:tcPr>
            <w:tcW w:type="dxa" w:w="2160"/>
            <w:vAlign w:val="top"/>
          </w:tcPr>
          <w:p>
            <w:pPr>
              <w:spacing w:after="40" w:before="0" w:line="259" w:lineRule="auto"/>
            </w:pPr>
            <w:r>
              <w:rPr>
                <w:rFonts w:ascii="Calibri" w:hAnsi="Calibri"/>
                <w:b w:val="0"/>
                <w:i w:val="0"/>
                <w:color w:val="212121"/>
                <w:sz w:val="19"/>
              </w:rPr>
              <w:t>Long-standing, neglected chronic sinus</w:t>
            </w:r>
          </w:p>
        </w:tc>
        <w:tc>
          <w:tcPr>
            <w:tcW w:type="dxa" w:w="4276"/>
            <w:vAlign w:val="top"/>
          </w:tcPr>
          <w:p>
            <w:pPr>
              <w:spacing w:after="60" w:line="259" w:lineRule="auto"/>
            </w:pPr>
            <w:r>
              <w:rPr>
                <w:rFonts w:ascii="Calibri" w:hAnsi="Calibri"/>
                <w:b w:val="0"/>
                <w:i w:val="0"/>
                <w:color w:val="212121"/>
                <w:sz w:val="19"/>
              </w:rPr>
              <w:t>Very rarely, a neglected chronic pilonidal sinus of many years' duration undergoes malignant (squamous-cell) transformation, presenting as an indurated, foul, non-healing ulcer with everted margins.</w:t>
            </w:r>
          </w:p>
          <w:p>
            <w:pPr>
              <w:spacing w:after="40" w:before="60" w:line="259" w:lineRule="auto"/>
            </w:pPr>
            <w:r>
              <w:rPr>
                <w:rFonts w:ascii="Calibri" w:hAnsi="Calibri"/>
                <w:b w:val="0"/>
                <w:i w:val="0"/>
                <w:color w:val="212121"/>
                <w:sz w:val="19"/>
              </w:rPr>
              <w:t>Malignant transformation is rare, with a calculated worldwide incidence of about 0.17% (reported range 0.03–5.56%).</w:t>
            </w:r>
          </w:p>
          <w:p>
            <w:pPr>
              <w:spacing w:after="40" w:line="252" w:lineRule="auto"/>
            </w:pPr>
            <w:hyperlink r:id="rId16">
              <w:r>
                <w:rPr>
                  <w:rFonts w:ascii="Calibri" w:hAnsi="Calibri" w:cs="Calibri"/>
                  <w:sz w:val="18"/>
                  <w:color w:val="1155CC"/>
                  <w:u w:val="single"/>
                </w:rPr>
                <w:t xml:space="preserve">pubmed.ncbi.nlm.nih.gov/36849571 — pilonidal sinus carcinoma demographics (Int J Colorectal Dis)</w:t>
              </w:r>
            </w:hyperlink>
          </w:p>
          <w:p>
            <w:pPr>
              <w:spacing w:before="60" w:after="40"/>
            </w:pPr>
            <w:r>
              <w:rPr>
                <w:rFonts w:ascii="Calibri" w:hAnsi="Calibri"/>
                <w:b w:val="0"/>
                <w:i w:val="0"/>
                <w:color w:val="5A5A5A"/>
                <w:sz w:val="18"/>
              </w:rPr>
              <w:t>#squamouscellcarcinoma  #malignanttransformation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Prolonged sitting and a sedentary lifestyle are core precipitants — sustained pressure and friction on the natal cleft drive hair inward, the basis of the 'jeep disease' label — and inactivity-related obesity deepens the cleft and worsens surgical healing and recurrence.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dietary cause is established; the influence is indirect, through high-calorie, energy-dense diets promoting central obesity and a deeper, more friction-prone cleft, and through protein/micronutrient status affecting wound healing.</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link to onset; adequate sleep supports immune competence and post-operative wound healing, so poor sleep may modestly impair recovery.</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impairs cutaneous microcirculation and wound healing and is associated with follicular-occlusion disease; smokers tend to have more wound complications and recurrence after pilonidal surgery.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causal role; heavy use may impair nutrition, immunity and post-operative recovery.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causal, but a chronically discharging, malodorous, recurrent wound in a young person impairs quality of life, body image and social/occupational functioning.</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established relationship between fluid intake and pilonidal sinus.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known relationship with pilonidal sinus.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Local hygiene is central: infrequent washing, sweat and retained loose hair promote hair impaction and infection, whereas regular cleansing and hair removal/control reduce flares and post-operative recurrence.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Prolonged sitting, local trauma/friction, tight clothing, heat, sweating and accumulation of cut or shed hair in the cleft provoke acute abscess formation and disease flares.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 sustained seated posture concentrates pressure on the sacrococcygeal skin and natal cleft; frequent position change and cushioning reduce continuous loading.</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25 (overweight); ≥ 30 (obesity)</w:t>
            </w:r>
          </w:p>
        </w:tc>
        <w:tc>
          <w:tcPr>
            <w:tcW w:type="dxa" w:w="1468"/>
            <w:vAlign w:val="top"/>
          </w:tcPr>
          <w:p>
            <w:pPr>
              <w:spacing w:after="40" w:before="0" w:line="259" w:lineRule="auto"/>
            </w:pPr>
            <w:r>
              <w:rPr>
                <w:rFonts w:ascii="Calibri" w:hAnsi="Calibri"/>
                <w:b w:val="0"/>
                <w:i w:val="0"/>
                <w:color w:val="212121"/>
                <w:sz w:val="19"/>
              </w:rPr>
              <w:t>Obesity deepens the natal cleft and worsens healing and recurrence.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Sedentary sitting time (hours/day)</w:t>
            </w:r>
          </w:p>
        </w:tc>
        <w:tc>
          <w:tcPr>
            <w:tcW w:type="dxa" w:w="1655"/>
            <w:vAlign w:val="top"/>
          </w:tcPr>
          <w:p>
            <w:pPr>
              <w:spacing w:after="40" w:before="0" w:line="259" w:lineRule="auto"/>
            </w:pPr>
            <w:r>
              <w:rPr>
                <w:rFonts w:ascii="Calibri" w:hAnsi="Calibri"/>
                <w:b w:val="0"/>
                <w:i w:val="0"/>
                <w:color w:val="212121"/>
                <w:sz w:val="19"/>
              </w:rPr>
              <w:t>Drivers, IT workers, students</w:t>
            </w:r>
          </w:p>
        </w:tc>
        <w:tc>
          <w:tcPr>
            <w:tcW w:type="dxa" w:w="1512"/>
            <w:vAlign w:val="top"/>
          </w:tcPr>
          <w:p>
            <w:pPr>
              <w:spacing w:after="40" w:before="0" w:line="259" w:lineRule="auto"/>
            </w:pPr>
            <w:r>
              <w:rPr>
                <w:rFonts w:ascii="Calibri" w:hAnsi="Calibri"/>
                <w:b w:val="0"/>
                <w:i w:val="0"/>
                <w:color w:val="212121"/>
                <w:sz w:val="19"/>
              </w:rPr>
              <w:t>&lt; 6 h with hourly breaks</w:t>
            </w:r>
          </w:p>
        </w:tc>
        <w:tc>
          <w:tcPr>
            <w:tcW w:type="dxa" w:w="1512"/>
            <w:vAlign w:val="top"/>
          </w:tcPr>
          <w:p>
            <w:pPr>
              <w:spacing w:after="40" w:before="0" w:line="259" w:lineRule="auto"/>
            </w:pPr>
            <w:r>
              <w:rPr>
                <w:rFonts w:ascii="Calibri" w:hAnsi="Calibri"/>
                <w:b w:val="0"/>
                <w:i w:val="0"/>
                <w:color w:val="212121"/>
                <w:sz w:val="19"/>
              </w:rPr>
              <w:t>Prolonged, uninterrupted sitting</w:t>
            </w:r>
          </w:p>
        </w:tc>
        <w:tc>
          <w:tcPr>
            <w:tcW w:type="dxa" w:w="1468"/>
            <w:vAlign w:val="top"/>
          </w:tcPr>
          <w:p>
            <w:pPr>
              <w:spacing w:after="60" w:line="259" w:lineRule="auto"/>
            </w:pPr>
            <w:r>
              <w:rPr>
                <w:rFonts w:ascii="Calibri" w:hAnsi="Calibri"/>
                <w:b w:val="0"/>
                <w:i w:val="0"/>
                <w:color w:val="212121"/>
                <w:sz w:val="19"/>
              </w:rPr>
              <w:t>Sustained cleft pressure drives hair inward.</w:t>
            </w:r>
          </w:p>
          <w:p>
            <w:pPr>
              <w:spacing w:after="40" w:line="252" w:lineRule="auto"/>
            </w:pPr>
            <w:hyperlink r:id="rId14">
              <w:r>
                <w:rPr>
                  <w:rFonts w:ascii="Calibri" w:hAnsi="Calibri" w:cs="Calibri"/>
                  <w:sz w:val="18"/>
                  <w:color w:val="1155CC"/>
                  <w:u w:val="single"/>
                </w:rPr>
                <w:t xml:space="preserve">https://www.nhs.uk/conditions/pilonidal-sinus/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Inactivity promotes obesity and prolonged natal-cleft loading.</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Natal-cleft washing frequency</w:t>
            </w:r>
          </w:p>
        </w:tc>
        <w:tc>
          <w:tcPr>
            <w:tcW w:type="dxa" w:w="1655"/>
            <w:vAlign w:val="top"/>
          </w:tcPr>
          <w:p>
            <w:pPr>
              <w:spacing w:after="40" w:before="0" w:line="259" w:lineRule="auto"/>
            </w:pPr>
            <w:r>
              <w:rPr>
                <w:rFonts w:ascii="Calibri" w:hAnsi="Calibri"/>
                <w:b w:val="0"/>
                <w:i w:val="0"/>
                <w:color w:val="212121"/>
                <w:sz w:val="19"/>
              </w:rPr>
              <w:t>All at-risk individuals</w:t>
            </w:r>
          </w:p>
        </w:tc>
        <w:tc>
          <w:tcPr>
            <w:tcW w:type="dxa" w:w="1512"/>
            <w:vAlign w:val="top"/>
          </w:tcPr>
          <w:p>
            <w:pPr>
              <w:spacing w:after="40" w:before="0" w:line="259" w:lineRule="auto"/>
            </w:pPr>
            <w:r>
              <w:rPr>
                <w:rFonts w:ascii="Calibri" w:hAnsi="Calibri"/>
                <w:b w:val="0"/>
                <w:i w:val="0"/>
                <w:color w:val="212121"/>
                <w:sz w:val="19"/>
              </w:rPr>
              <w:t>Daily cleansing and thorough drying</w:t>
            </w:r>
          </w:p>
        </w:tc>
        <w:tc>
          <w:tcPr>
            <w:tcW w:type="dxa" w:w="1512"/>
            <w:vAlign w:val="top"/>
          </w:tcPr>
          <w:p>
            <w:pPr>
              <w:spacing w:after="40" w:before="0" w:line="259" w:lineRule="auto"/>
            </w:pPr>
            <w:r>
              <w:rPr>
                <w:rFonts w:ascii="Calibri" w:hAnsi="Calibri"/>
                <w:b w:val="0"/>
                <w:i w:val="0"/>
                <w:color w:val="212121"/>
                <w:sz w:val="19"/>
              </w:rPr>
              <w:t>Infrequent washing; retained sweat/hair</w:t>
            </w:r>
          </w:p>
        </w:tc>
        <w:tc>
          <w:tcPr>
            <w:tcW w:type="dxa" w:w="1468"/>
            <w:vAlign w:val="top"/>
          </w:tcPr>
          <w:p>
            <w:pPr>
              <w:spacing w:after="60" w:line="259" w:lineRule="auto"/>
            </w:pPr>
            <w:r>
              <w:rPr>
                <w:rFonts w:ascii="Calibri" w:hAnsi="Calibri"/>
                <w:b w:val="0"/>
                <w:i w:val="0"/>
                <w:color w:val="212121"/>
                <w:sz w:val="19"/>
              </w:rPr>
              <w:t>Removes shed hair and reduces secondary infection.</w:t>
            </w:r>
          </w:p>
          <w:p>
            <w:pPr>
              <w:spacing w:after="40" w:line="252" w:lineRule="auto"/>
            </w:pPr>
            <w:hyperlink r:id="rId14">
              <w:r>
                <w:rPr>
                  <w:rFonts w:ascii="Calibri" w:hAnsi="Calibri" w:cs="Calibri"/>
                  <w:sz w:val="18"/>
                  <w:color w:val="1155CC"/>
                  <w:u w:val="single"/>
                </w:rPr>
                <w:t xml:space="preserve">https://www.nhs.uk/conditions/pilonidal-sinus/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Local hair control (cleft)</w:t>
            </w:r>
          </w:p>
        </w:tc>
        <w:tc>
          <w:tcPr>
            <w:tcW w:type="dxa" w:w="1655"/>
            <w:vAlign w:val="top"/>
          </w:tcPr>
          <w:p>
            <w:pPr>
              <w:spacing w:after="40" w:before="0" w:line="259" w:lineRule="auto"/>
            </w:pPr>
            <w:r>
              <w:rPr>
                <w:rFonts w:ascii="Calibri" w:hAnsi="Calibri"/>
                <w:b w:val="0"/>
                <w:i w:val="0"/>
                <w:color w:val="212121"/>
                <w:sz w:val="19"/>
              </w:rPr>
              <w:t>Hirsute young men</w:t>
            </w:r>
          </w:p>
        </w:tc>
        <w:tc>
          <w:tcPr>
            <w:tcW w:type="dxa" w:w="1512"/>
            <w:vAlign w:val="top"/>
          </w:tcPr>
          <w:p>
            <w:pPr>
              <w:spacing w:after="40" w:before="0" w:line="259" w:lineRule="auto"/>
            </w:pPr>
            <w:r>
              <w:rPr>
                <w:rFonts w:ascii="Calibri" w:hAnsi="Calibri"/>
                <w:b w:val="0"/>
                <w:i w:val="0"/>
                <w:color w:val="212121"/>
                <w:sz w:val="19"/>
              </w:rPr>
              <w:t>Regular clipping/shaving or laser depilation</w:t>
            </w:r>
          </w:p>
        </w:tc>
        <w:tc>
          <w:tcPr>
            <w:tcW w:type="dxa" w:w="1512"/>
            <w:vAlign w:val="top"/>
          </w:tcPr>
          <w:p>
            <w:pPr>
              <w:spacing w:after="40" w:before="0" w:line="259" w:lineRule="auto"/>
            </w:pPr>
            <w:r>
              <w:rPr>
                <w:rFonts w:ascii="Calibri" w:hAnsi="Calibri"/>
                <w:b w:val="0"/>
                <w:i w:val="0"/>
                <w:color w:val="212121"/>
                <w:sz w:val="19"/>
              </w:rPr>
              <w:t>Dense, uncontrolled cleft hair</w:t>
            </w:r>
          </w:p>
        </w:tc>
        <w:tc>
          <w:tcPr>
            <w:tcW w:type="dxa" w:w="1468"/>
            <w:vAlign w:val="top"/>
          </w:tcPr>
          <w:p>
            <w:pPr>
              <w:spacing w:after="40" w:before="0" w:line="259" w:lineRule="auto"/>
            </w:pPr>
            <w:r>
              <w:rPr>
                <w:rFonts w:ascii="Calibri" w:hAnsi="Calibri"/>
                <w:b w:val="0"/>
                <w:i w:val="0"/>
                <w:color w:val="212121"/>
                <w:sz w:val="19"/>
              </w:rPr>
              <w:t>Reduces the hair load that drives and perpetuates the sinus.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Teenagers, 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Impairs wound healing and raises recurrence/complications.</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Continuous sitting bout (minutes)</w:t>
            </w:r>
          </w:p>
        </w:tc>
        <w:tc>
          <w:tcPr>
            <w:tcW w:type="dxa" w:w="1655"/>
            <w:vAlign w:val="top"/>
          </w:tcPr>
          <w:p>
            <w:pPr>
              <w:spacing w:after="40" w:before="0" w:line="259" w:lineRule="auto"/>
            </w:pPr>
            <w:r>
              <w:rPr>
                <w:rFonts w:ascii="Calibri" w:hAnsi="Calibri"/>
                <w:b w:val="0"/>
                <w:i w:val="0"/>
                <w:color w:val="212121"/>
                <w:sz w:val="19"/>
              </w:rPr>
              <w:t>Desk &amp; vehicle workers</w:t>
            </w:r>
          </w:p>
        </w:tc>
        <w:tc>
          <w:tcPr>
            <w:tcW w:type="dxa" w:w="1512"/>
            <w:vAlign w:val="top"/>
          </w:tcPr>
          <w:p>
            <w:pPr>
              <w:spacing w:after="40" w:before="0" w:line="259" w:lineRule="auto"/>
            </w:pPr>
            <w:r>
              <w:rPr>
                <w:rFonts w:ascii="Calibri" w:hAnsi="Calibri"/>
                <w:b w:val="0"/>
                <w:i w:val="0"/>
                <w:color w:val="212121"/>
                <w:sz w:val="19"/>
              </w:rPr>
              <w:t>Break to stand/walk every 30–60 min</w:t>
            </w:r>
          </w:p>
        </w:tc>
        <w:tc>
          <w:tcPr>
            <w:tcW w:type="dxa" w:w="1512"/>
            <w:vAlign w:val="top"/>
          </w:tcPr>
          <w:p>
            <w:pPr>
              <w:spacing w:after="40" w:before="0" w:line="259" w:lineRule="auto"/>
            </w:pPr>
            <w:r>
              <w:rPr>
                <w:rFonts w:ascii="Calibri" w:hAnsi="Calibri"/>
                <w:b w:val="0"/>
                <w:i w:val="0"/>
                <w:color w:val="212121"/>
                <w:sz w:val="19"/>
              </w:rPr>
              <w:t>Hours without moving</w:t>
            </w:r>
          </w:p>
        </w:tc>
        <w:tc>
          <w:tcPr>
            <w:tcW w:type="dxa" w:w="1468"/>
            <w:vAlign w:val="top"/>
          </w:tcPr>
          <w:p>
            <w:pPr>
              <w:spacing w:after="40" w:before="0" w:line="259" w:lineRule="auto"/>
            </w:pPr>
            <w:r>
              <w:rPr>
                <w:rFonts w:ascii="Calibri" w:hAnsi="Calibri"/>
                <w:b w:val="0"/>
                <w:i w:val="0"/>
                <w:color w:val="212121"/>
                <w:sz w:val="19"/>
              </w:rPr>
              <w:t>Reduces continuous natal-cleft pressure and friction.</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Fasting blood glucose (mg/dL)</w:t>
            </w:r>
          </w:p>
        </w:tc>
        <w:tc>
          <w:tcPr>
            <w:tcW w:type="dxa" w:w="1655"/>
            <w:vAlign w:val="top"/>
          </w:tcPr>
          <w:p>
            <w:pPr>
              <w:spacing w:after="40" w:before="0" w:line="259" w:lineRule="auto"/>
            </w:pPr>
            <w:r>
              <w:rPr>
                <w:rFonts w:ascii="Calibri" w:hAnsi="Calibri"/>
                <w:b w:val="0"/>
                <w:i w:val="0"/>
                <w:color w:val="212121"/>
                <w:sz w:val="19"/>
              </w:rPr>
              <w:t>Diabetic/at-risk, peri-operative</w:t>
            </w:r>
          </w:p>
        </w:tc>
        <w:tc>
          <w:tcPr>
            <w:tcW w:type="dxa" w:w="1512"/>
            <w:vAlign w:val="top"/>
          </w:tcPr>
          <w:p>
            <w:pPr>
              <w:spacing w:after="40" w:before="0" w:line="259" w:lineRule="auto"/>
            </w:pPr>
            <w:r>
              <w:rPr>
                <w:rFonts w:ascii="Calibri" w:hAnsi="Calibri"/>
                <w:b w:val="0"/>
                <w:i w:val="0"/>
                <w:color w:val="212121"/>
                <w:sz w:val="19"/>
              </w:rPr>
              <w:t>70–99 mg/dL</w:t>
            </w:r>
          </w:p>
        </w:tc>
        <w:tc>
          <w:tcPr>
            <w:tcW w:type="dxa" w:w="1512"/>
            <w:vAlign w:val="top"/>
          </w:tcPr>
          <w:p>
            <w:pPr>
              <w:spacing w:after="40" w:before="0" w:line="259" w:lineRule="auto"/>
            </w:pPr>
            <w:r>
              <w:rPr>
                <w:rFonts w:ascii="Calibri" w:hAnsi="Calibri"/>
                <w:b w:val="0"/>
                <w:i w:val="0"/>
                <w:color w:val="212121"/>
                <w:sz w:val="19"/>
              </w:rPr>
              <w:t>≥ 126 mg/dL</w:t>
            </w:r>
          </w:p>
        </w:tc>
        <w:tc>
          <w:tcPr>
            <w:tcW w:type="dxa" w:w="1468"/>
            <w:vAlign w:val="top"/>
          </w:tcPr>
          <w:p>
            <w:pPr>
              <w:spacing w:after="40" w:before="0" w:line="259" w:lineRule="auto"/>
            </w:pPr>
            <w:r>
              <w:rPr>
                <w:rFonts w:ascii="Calibri" w:hAnsi="Calibri"/>
                <w:b w:val="0"/>
                <w:i w:val="0"/>
                <w:color w:val="212121"/>
                <w:sz w:val="19"/>
              </w:rPr>
              <w:t>Hyperglycaemia impairs healing; optimise before elective surgery.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HbA1c (%)</w:t>
            </w:r>
          </w:p>
        </w:tc>
        <w:tc>
          <w:tcPr>
            <w:tcW w:type="dxa" w:w="1655"/>
            <w:vAlign w:val="top"/>
          </w:tcPr>
          <w:p>
            <w:pPr>
              <w:spacing w:after="40" w:before="0" w:line="259" w:lineRule="auto"/>
            </w:pPr>
            <w:r>
              <w:rPr>
                <w:rFonts w:ascii="Calibri" w:hAnsi="Calibri"/>
                <w:b w:val="0"/>
                <w:i w:val="0"/>
                <w:color w:val="212121"/>
                <w:sz w:val="19"/>
              </w:rPr>
              <w:t>Diabetic/at-risk, peri-operative</w:t>
            </w:r>
          </w:p>
        </w:tc>
        <w:tc>
          <w:tcPr>
            <w:tcW w:type="dxa" w:w="1512"/>
            <w:vAlign w:val="top"/>
          </w:tcPr>
          <w:p>
            <w:pPr>
              <w:spacing w:after="40" w:before="0" w:line="259" w:lineRule="auto"/>
            </w:pPr>
            <w:r>
              <w:rPr>
                <w:rFonts w:ascii="Calibri" w:hAnsi="Calibri"/>
                <w:b w:val="0"/>
                <w:i w:val="0"/>
                <w:color w:val="212121"/>
                <w:sz w:val="19"/>
              </w:rPr>
              <w:t>&lt; 5.7 %</w:t>
            </w:r>
          </w:p>
        </w:tc>
        <w:tc>
          <w:tcPr>
            <w:tcW w:type="dxa" w:w="1512"/>
            <w:vAlign w:val="top"/>
          </w:tcPr>
          <w:p>
            <w:pPr>
              <w:spacing w:after="40" w:before="0" w:line="259" w:lineRule="auto"/>
            </w:pPr>
            <w:r>
              <w:rPr>
                <w:rFonts w:ascii="Calibri" w:hAnsi="Calibri"/>
                <w:b w:val="0"/>
                <w:i w:val="0"/>
                <w:color w:val="212121"/>
                <w:sz w:val="19"/>
              </w:rPr>
              <w:t>≥ 6.5 %</w:t>
            </w:r>
          </w:p>
        </w:tc>
        <w:tc>
          <w:tcPr>
            <w:tcW w:type="dxa" w:w="1468"/>
            <w:vAlign w:val="top"/>
          </w:tcPr>
          <w:p>
            <w:pPr>
              <w:spacing w:after="40" w:before="0" w:line="259" w:lineRule="auto"/>
            </w:pPr>
            <w:r>
              <w:rPr>
                <w:rFonts w:ascii="Calibri" w:hAnsi="Calibri"/>
                <w:b w:val="0"/>
                <w:i w:val="0"/>
                <w:color w:val="212121"/>
                <w:sz w:val="19"/>
              </w:rPr>
              <w:t>Chronic glycaemic control influences surgical-site infection and recurrence.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Pus/wound swab culture &amp; sensitivity</w:t>
            </w:r>
          </w:p>
        </w:tc>
        <w:tc>
          <w:tcPr>
            <w:tcW w:type="dxa" w:w="892"/>
            <w:vAlign w:val="top"/>
          </w:tcPr>
          <w:p>
            <w:pPr>
              <w:spacing w:after="40" w:before="0" w:line="259" w:lineRule="auto"/>
            </w:pPr>
            <w:r>
              <w:rPr>
                <w:rFonts w:ascii="Calibri" w:hAnsi="Calibri"/>
                <w:b w:val="0"/>
                <w:i w:val="0"/>
                <w:color w:val="212121"/>
                <w:sz w:val="16"/>
              </w:rPr>
              <w:t>Abscess culture</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Mixed skin &amp; anaerobic flora (Staphylococcus, anaerobes, coliforms)</w:t>
            </w:r>
          </w:p>
        </w:tc>
        <w:tc>
          <w:tcPr>
            <w:tcW w:type="dxa" w:w="1036"/>
            <w:vAlign w:val="top"/>
          </w:tcPr>
          <w:p>
            <w:pPr>
              <w:spacing w:after="40" w:before="0" w:line="259" w:lineRule="auto"/>
            </w:pPr>
            <w:r>
              <w:rPr>
                <w:rFonts w:ascii="Calibri" w:hAnsi="Calibri"/>
                <w:b w:val="0"/>
                <w:i w:val="0"/>
                <w:color w:val="212121"/>
                <w:sz w:val="16"/>
              </w:rPr>
              <w:t>Identifies organisms in an infected abscess; guides antibiotics where cellulitis or immunocompromise coexists</w:t>
            </w:r>
          </w:p>
        </w:tc>
        <w:tc>
          <w:tcPr>
            <w:tcW w:type="dxa" w:w="1036"/>
            <w:vAlign w:val="top"/>
          </w:tcPr>
          <w:p>
            <w:pPr>
              <w:spacing w:after="40" w:before="0" w:line="259" w:lineRule="auto"/>
            </w:pPr>
            <w:r>
              <w:rPr>
                <w:rFonts w:ascii="Calibri" w:hAnsi="Calibri"/>
                <w:b w:val="0"/>
                <w:i w:val="0"/>
                <w:color w:val="212121"/>
                <w:sz w:val="16"/>
              </w:rPr>
              <w:t>Acute abscess, recurrent infection, diabetics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Adjunctive</w:t>
            </w:r>
          </w:p>
        </w:tc>
        <w:tc>
          <w:tcPr>
            <w:tcW w:type="dxa" w:w="720"/>
            <w:vAlign w:val="top"/>
          </w:tcPr>
          <w:p>
            <w:pPr>
              <w:spacing w:after="40" w:before="0" w:line="259" w:lineRule="auto"/>
            </w:pPr>
            <w:r>
              <w:rPr>
                <w:rFonts w:ascii="Calibri" w:hAnsi="Calibri"/>
                <w:b w:val="0"/>
                <w:i w:val="0"/>
                <w:color w:val="212121"/>
                <w:sz w:val="16"/>
              </w:rPr>
              <w:t>Most simple drained abscesses need no routine antibiotics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Soft-tissue ultrasound</w:t>
            </w:r>
          </w:p>
        </w:tc>
        <w:tc>
          <w:tcPr>
            <w:tcW w:type="dxa" w:w="892"/>
            <w:vAlign w:val="top"/>
          </w:tcPr>
          <w:p>
            <w:pPr>
              <w:spacing w:after="40" w:before="0" w:line="259" w:lineRule="auto"/>
            </w:pPr>
            <w:r>
              <w:rPr>
                <w:rFonts w:ascii="Calibri" w:hAnsi="Calibri"/>
                <w:b w:val="0"/>
                <w:i w:val="0"/>
                <w:color w:val="212121"/>
                <w:sz w:val="16"/>
              </w:rPr>
              <w:t>Perineal/gluteal USG</w:t>
            </w:r>
          </w:p>
        </w:tc>
        <w:tc>
          <w:tcPr>
            <w:tcW w:type="dxa" w:w="950"/>
            <w:vAlign w:val="top"/>
          </w:tcPr>
          <w:p>
            <w:pPr>
              <w:spacing w:after="40" w:before="0" w:line="259" w:lineRule="auto"/>
            </w:pPr>
            <w:r>
              <w:rPr>
                <w:rFonts w:ascii="Calibri" w:hAnsi="Calibri"/>
                <w:b w:val="0"/>
                <w:i w:val="0"/>
                <w:color w:val="212121"/>
                <w:sz w:val="16"/>
              </w:rPr>
              <w:t>No collection or tract</w:t>
            </w:r>
          </w:p>
        </w:tc>
        <w:tc>
          <w:tcPr>
            <w:tcW w:type="dxa" w:w="950"/>
            <w:vAlign w:val="top"/>
          </w:tcPr>
          <w:p>
            <w:pPr>
              <w:spacing w:after="40" w:before="0" w:line="259" w:lineRule="auto"/>
            </w:pPr>
            <w:r>
              <w:rPr>
                <w:rFonts w:ascii="Calibri" w:hAnsi="Calibri"/>
                <w:b w:val="0"/>
                <w:i w:val="0"/>
                <w:color w:val="212121"/>
                <w:sz w:val="16"/>
              </w:rPr>
              <w:t>Hypoechoic tract, subcutaneous abscess, hair within tract</w:t>
            </w:r>
          </w:p>
        </w:tc>
        <w:tc>
          <w:tcPr>
            <w:tcW w:type="dxa" w:w="1036"/>
            <w:vAlign w:val="top"/>
          </w:tcPr>
          <w:p>
            <w:pPr>
              <w:spacing w:after="40" w:before="0" w:line="259" w:lineRule="auto"/>
            </w:pPr>
            <w:r>
              <w:rPr>
                <w:rFonts w:ascii="Calibri" w:hAnsi="Calibri"/>
                <w:b w:val="0"/>
                <w:i w:val="0"/>
                <w:color w:val="212121"/>
                <w:sz w:val="16"/>
              </w:rPr>
              <w:t>Confirms and locates abscess/tracts and can guide bedside drainage</w:t>
            </w:r>
          </w:p>
        </w:tc>
        <w:tc>
          <w:tcPr>
            <w:tcW w:type="dxa" w:w="1036"/>
            <w:vAlign w:val="top"/>
          </w:tcPr>
          <w:p>
            <w:pPr>
              <w:spacing w:after="40" w:before="0" w:line="259" w:lineRule="auto"/>
            </w:pPr>
            <w:r>
              <w:rPr>
                <w:rFonts w:ascii="Calibri" w:hAnsi="Calibri"/>
                <w:b w:val="0"/>
                <w:i w:val="0"/>
                <w:color w:val="212121"/>
                <w:sz w:val="16"/>
              </w:rPr>
              <w:t>Uncertain swelling, recurrent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Operator-dependent; readily available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MRI pelvis/perineum</w:t>
            </w:r>
          </w:p>
        </w:tc>
        <w:tc>
          <w:tcPr>
            <w:tcW w:type="dxa" w:w="892"/>
            <w:vAlign w:val="top"/>
          </w:tcPr>
          <w:p>
            <w:pPr>
              <w:spacing w:after="40" w:before="0" w:line="259" w:lineRule="auto"/>
            </w:pPr>
            <w:r>
              <w:rPr>
                <w:rFonts w:ascii="Calibri" w:hAnsi="Calibri"/>
                <w:b w:val="0"/>
                <w:i w:val="0"/>
                <w:color w:val="212121"/>
                <w:sz w:val="16"/>
              </w:rPr>
              <w:t>Cross-sectional imaging</w:t>
            </w:r>
          </w:p>
        </w:tc>
        <w:tc>
          <w:tcPr>
            <w:tcW w:type="dxa" w:w="950"/>
            <w:vAlign w:val="top"/>
          </w:tcPr>
          <w:p>
            <w:pPr>
              <w:spacing w:after="40" w:before="0" w:line="259" w:lineRule="auto"/>
            </w:pPr>
            <w:r>
              <w:rPr>
                <w:rFonts w:ascii="Calibri" w:hAnsi="Calibri"/>
                <w:b w:val="0"/>
                <w:i w:val="0"/>
                <w:color w:val="212121"/>
                <w:sz w:val="16"/>
              </w:rPr>
              <w:t>No sinus tract</w:t>
            </w:r>
          </w:p>
        </w:tc>
        <w:tc>
          <w:tcPr>
            <w:tcW w:type="dxa" w:w="950"/>
            <w:vAlign w:val="top"/>
          </w:tcPr>
          <w:p>
            <w:pPr>
              <w:spacing w:after="40" w:before="0" w:line="259" w:lineRule="auto"/>
            </w:pPr>
            <w:r>
              <w:rPr>
                <w:rFonts w:ascii="Calibri" w:hAnsi="Calibri"/>
                <w:b w:val="0"/>
                <w:i w:val="0"/>
                <w:color w:val="212121"/>
                <w:sz w:val="16"/>
              </w:rPr>
              <w:t>Sinus tracts, secondary/lateral extensions, relation to anal sphincter</w:t>
            </w:r>
          </w:p>
        </w:tc>
        <w:tc>
          <w:tcPr>
            <w:tcW w:type="dxa" w:w="1036"/>
            <w:vAlign w:val="top"/>
          </w:tcPr>
          <w:p>
            <w:pPr>
              <w:spacing w:after="40" w:before="0" w:line="259" w:lineRule="auto"/>
            </w:pPr>
            <w:r>
              <w:rPr>
                <w:rFonts w:ascii="Calibri" w:hAnsi="Calibri"/>
                <w:b w:val="0"/>
                <w:i w:val="0"/>
                <w:color w:val="212121"/>
                <w:sz w:val="16"/>
              </w:rPr>
              <w:t>Maps complex/recurrent disease and differentiates from perianal fistula or hidradenitis</w:t>
            </w:r>
          </w:p>
        </w:tc>
        <w:tc>
          <w:tcPr>
            <w:tcW w:type="dxa" w:w="1036"/>
            <w:vAlign w:val="top"/>
          </w:tcPr>
          <w:p>
            <w:pPr>
              <w:spacing w:after="40" w:before="0" w:line="259" w:lineRule="auto"/>
            </w:pPr>
            <w:r>
              <w:rPr>
                <w:rFonts w:ascii="Calibri" w:hAnsi="Calibri"/>
                <w:b w:val="0"/>
                <w:i w:val="0"/>
                <w:color w:val="212121"/>
                <w:sz w:val="16"/>
              </w:rPr>
              <w:t>Complex, recurrent, atypical disease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Problem-solving</w:t>
            </w:r>
          </w:p>
        </w:tc>
        <w:tc>
          <w:tcPr>
            <w:tcW w:type="dxa" w:w="720"/>
            <w:vAlign w:val="top"/>
          </w:tcPr>
          <w:p>
            <w:pPr>
              <w:spacing w:after="40" w:before="0" w:line="259" w:lineRule="auto"/>
            </w:pPr>
            <w:r>
              <w:rPr>
                <w:rFonts w:ascii="Calibri" w:hAnsi="Calibri"/>
                <w:b w:val="0"/>
                <w:i w:val="0"/>
                <w:color w:val="212121"/>
                <w:sz w:val="16"/>
              </w:rPr>
              <w:t>Reserved for complex or recurrent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Procedure</w:t>
            </w:r>
          </w:p>
        </w:tc>
        <w:tc>
          <w:tcPr>
            <w:tcW w:type="dxa" w:w="1036"/>
            <w:vAlign w:val="top"/>
          </w:tcPr>
          <w:p>
            <w:pPr>
              <w:spacing w:after="40" w:before="0" w:line="259" w:lineRule="auto"/>
            </w:pPr>
            <w:r>
              <w:rPr>
                <w:rFonts w:ascii="Calibri" w:hAnsi="Calibri"/>
                <w:b w:val="0"/>
                <w:i w:val="0"/>
                <w:color w:val="212121"/>
                <w:sz w:val="16"/>
              </w:rPr>
              <w:t>Methylene-blue / probe sinography</w:t>
            </w:r>
          </w:p>
        </w:tc>
        <w:tc>
          <w:tcPr>
            <w:tcW w:type="dxa" w:w="892"/>
            <w:vAlign w:val="top"/>
          </w:tcPr>
          <w:p>
            <w:pPr>
              <w:spacing w:after="40" w:before="0" w:line="259" w:lineRule="auto"/>
            </w:pPr>
            <w:r>
              <w:rPr>
                <w:rFonts w:ascii="Calibri" w:hAnsi="Calibri"/>
                <w:b w:val="0"/>
                <w:i w:val="0"/>
                <w:color w:val="212121"/>
                <w:sz w:val="16"/>
              </w:rPr>
              <w:t>Tract delineation</w:t>
            </w:r>
          </w:p>
        </w:tc>
        <w:tc>
          <w:tcPr>
            <w:tcW w:type="dxa" w:w="950"/>
            <w:vAlign w:val="top"/>
          </w:tcPr>
          <w:p>
            <w:pPr>
              <w:spacing w:after="40" w:before="0" w:line="259" w:lineRule="auto"/>
            </w:pPr>
            <w:r>
              <w:rPr>
                <w:rFonts w:ascii="Calibri" w:hAnsi="Calibri"/>
                <w:b w:val="0"/>
                <w:i w:val="0"/>
                <w:color w:val="212121"/>
                <w:sz w:val="16"/>
              </w:rPr>
              <w:t>Single short midline tract</w:t>
            </w:r>
          </w:p>
        </w:tc>
        <w:tc>
          <w:tcPr>
            <w:tcW w:type="dxa" w:w="950"/>
            <w:vAlign w:val="top"/>
          </w:tcPr>
          <w:p>
            <w:pPr>
              <w:spacing w:after="40" w:before="0" w:line="259" w:lineRule="auto"/>
            </w:pPr>
            <w:r>
              <w:rPr>
                <w:rFonts w:ascii="Calibri" w:hAnsi="Calibri"/>
                <w:b w:val="0"/>
                <w:i w:val="0"/>
                <w:color w:val="212121"/>
                <w:sz w:val="16"/>
              </w:rPr>
              <w:t>Multiple, branching or laterally extending tracts</w:t>
            </w:r>
          </w:p>
        </w:tc>
        <w:tc>
          <w:tcPr>
            <w:tcW w:type="dxa" w:w="1036"/>
            <w:vAlign w:val="top"/>
          </w:tcPr>
          <w:p>
            <w:pPr>
              <w:spacing w:after="40" w:before="0" w:line="259" w:lineRule="auto"/>
            </w:pPr>
            <w:r>
              <w:rPr>
                <w:rFonts w:ascii="Calibri" w:hAnsi="Calibri"/>
                <w:b w:val="0"/>
                <w:i w:val="0"/>
                <w:color w:val="212121"/>
                <w:sz w:val="16"/>
              </w:rPr>
              <w:t>Reveals full tract anatomy intra-operatively to ensure complete excision</w:t>
            </w:r>
          </w:p>
        </w:tc>
        <w:tc>
          <w:tcPr>
            <w:tcW w:type="dxa" w:w="1036"/>
            <w:vAlign w:val="top"/>
          </w:tcPr>
          <w:p>
            <w:pPr>
              <w:spacing w:after="40" w:before="0" w:line="259" w:lineRule="auto"/>
            </w:pPr>
            <w:r>
              <w:rPr>
                <w:rFonts w:ascii="Calibri" w:hAnsi="Calibri"/>
                <w:b w:val="0"/>
                <w:i w:val="0"/>
                <w:color w:val="212121"/>
                <w:sz w:val="16"/>
              </w:rPr>
              <w:t>Chronic/recurrent sinus at surgery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Intra-operative</w:t>
            </w:r>
          </w:p>
        </w:tc>
        <w:tc>
          <w:tcPr>
            <w:tcW w:type="dxa" w:w="720"/>
            <w:vAlign w:val="top"/>
          </w:tcPr>
          <w:p>
            <w:pPr>
              <w:spacing w:after="40" w:before="0" w:line="259" w:lineRule="auto"/>
            </w:pPr>
            <w:r>
              <w:rPr>
                <w:rFonts w:ascii="Calibri" w:hAnsi="Calibri"/>
                <w:b w:val="0"/>
                <w:i w:val="0"/>
                <w:color w:val="212121"/>
                <w:sz w:val="16"/>
              </w:rPr>
              <w:t>Improves completeness of excision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blood sugar &amp; HbA1c</w:t>
            </w:r>
          </w:p>
        </w:tc>
        <w:tc>
          <w:tcPr>
            <w:tcW w:type="dxa" w:w="892"/>
            <w:vAlign w:val="top"/>
          </w:tcPr>
          <w:p>
            <w:pPr>
              <w:spacing w:after="40" w:before="0" w:line="259" w:lineRule="auto"/>
            </w:pPr>
            <w:r>
              <w:rPr>
                <w:rFonts w:ascii="Calibri" w:hAnsi="Calibri"/>
                <w:b w:val="0"/>
                <w:i w:val="0"/>
                <w:color w:val="212121"/>
                <w:sz w:val="16"/>
              </w:rPr>
              <w:t>Glycaemic screen</w:t>
            </w:r>
          </w:p>
        </w:tc>
        <w:tc>
          <w:tcPr>
            <w:tcW w:type="dxa" w:w="950"/>
            <w:vAlign w:val="top"/>
          </w:tcPr>
          <w:p>
            <w:pPr>
              <w:spacing w:after="40" w:before="0" w:line="259" w:lineRule="auto"/>
            </w:pPr>
            <w:r>
              <w:rPr>
                <w:rFonts w:ascii="Calibri" w:hAnsi="Calibri"/>
                <w:b w:val="0"/>
                <w:i w:val="0"/>
                <w:color w:val="212121"/>
                <w:sz w:val="16"/>
              </w:rPr>
              <w:t>FBS 70–99 mg/dL; HbA1c &lt; 5.7 %</w:t>
            </w:r>
          </w:p>
        </w:tc>
        <w:tc>
          <w:tcPr>
            <w:tcW w:type="dxa" w:w="950"/>
            <w:vAlign w:val="top"/>
          </w:tcPr>
          <w:p>
            <w:pPr>
              <w:spacing w:after="40" w:before="0" w:line="259" w:lineRule="auto"/>
            </w:pPr>
            <w:r>
              <w:rPr>
                <w:rFonts w:ascii="Calibri" w:hAnsi="Calibri"/>
                <w:b w:val="0"/>
                <w:i w:val="0"/>
                <w:color w:val="212121"/>
                <w:sz w:val="16"/>
              </w:rPr>
              <w:t>FBS ≥ 126 mg/dL; HbA1c ≥ 6.5 %</w:t>
            </w:r>
          </w:p>
        </w:tc>
        <w:tc>
          <w:tcPr>
            <w:tcW w:type="dxa" w:w="1036"/>
            <w:vAlign w:val="top"/>
          </w:tcPr>
          <w:p>
            <w:pPr>
              <w:spacing w:after="40" w:before="0" w:line="259" w:lineRule="auto"/>
            </w:pPr>
            <w:r>
              <w:rPr>
                <w:rFonts w:ascii="Calibri" w:hAnsi="Calibri"/>
                <w:b w:val="0"/>
                <w:i w:val="0"/>
                <w:color w:val="212121"/>
                <w:sz w:val="16"/>
              </w:rPr>
              <w:t>Detects diabetes that impairs healing and raises recurrence/SSI</w:t>
            </w:r>
          </w:p>
        </w:tc>
        <w:tc>
          <w:tcPr>
            <w:tcW w:type="dxa" w:w="1036"/>
            <w:vAlign w:val="top"/>
          </w:tcPr>
          <w:p>
            <w:pPr>
              <w:spacing w:after="40" w:before="0" w:line="259" w:lineRule="auto"/>
            </w:pPr>
            <w:r>
              <w:rPr>
                <w:rFonts w:ascii="Calibri" w:hAnsi="Calibri"/>
                <w:b w:val="0"/>
                <w:i w:val="0"/>
                <w:color w:val="212121"/>
                <w:sz w:val="16"/>
              </w:rPr>
              <w:t>Overweight, adults, poor healers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Peri-operative</w:t>
            </w:r>
          </w:p>
        </w:tc>
        <w:tc>
          <w:tcPr>
            <w:tcW w:type="dxa" w:w="720"/>
            <w:vAlign w:val="top"/>
          </w:tcPr>
          <w:p>
            <w:pPr>
              <w:spacing w:after="40" w:before="0" w:line="259" w:lineRule="auto"/>
            </w:pPr>
            <w:r>
              <w:rPr>
                <w:rFonts w:ascii="Calibri" w:hAnsi="Calibri"/>
                <w:b w:val="0"/>
                <w:i w:val="0"/>
                <w:color w:val="212121"/>
                <w:sz w:val="16"/>
              </w:rPr>
              <w:t>Optimise glycaemia before elective surgery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CBC &amp; CRP</w:t>
            </w:r>
          </w:p>
        </w:tc>
        <w:tc>
          <w:tcPr>
            <w:tcW w:type="dxa" w:w="892"/>
            <w:vAlign w:val="top"/>
          </w:tcPr>
          <w:p>
            <w:pPr>
              <w:spacing w:after="40" w:before="0" w:line="259" w:lineRule="auto"/>
            </w:pPr>
            <w:r>
              <w:rPr>
                <w:rFonts w:ascii="Calibri" w:hAnsi="Calibri"/>
                <w:b w:val="0"/>
                <w:i w:val="0"/>
                <w:color w:val="212121"/>
                <w:sz w:val="16"/>
              </w:rPr>
              <w:t>Inflammatory markers</w:t>
            </w:r>
          </w:p>
        </w:tc>
        <w:tc>
          <w:tcPr>
            <w:tcW w:type="dxa" w:w="950"/>
            <w:vAlign w:val="top"/>
          </w:tcPr>
          <w:p>
            <w:pPr>
              <w:spacing w:after="40" w:before="0" w:line="259" w:lineRule="auto"/>
            </w:pPr>
            <w:r>
              <w:rPr>
                <w:rFonts w:ascii="Calibri" w:hAnsi="Calibri"/>
                <w:b w:val="0"/>
                <w:i w:val="0"/>
                <w:color w:val="212121"/>
                <w:sz w:val="16"/>
              </w:rPr>
              <w:t>Normal WBC and CRP</w:t>
            </w:r>
          </w:p>
        </w:tc>
        <w:tc>
          <w:tcPr>
            <w:tcW w:type="dxa" w:w="950"/>
            <w:vAlign w:val="top"/>
          </w:tcPr>
          <w:p>
            <w:pPr>
              <w:spacing w:after="40" w:before="0" w:line="259" w:lineRule="auto"/>
            </w:pPr>
            <w:r>
              <w:rPr>
                <w:rFonts w:ascii="Calibri" w:hAnsi="Calibri"/>
                <w:b w:val="0"/>
                <w:i w:val="0"/>
                <w:color w:val="212121"/>
                <w:sz w:val="16"/>
              </w:rPr>
              <w:t>Leucocytosis, raised CRP</w:t>
            </w:r>
          </w:p>
        </w:tc>
        <w:tc>
          <w:tcPr>
            <w:tcW w:type="dxa" w:w="1036"/>
            <w:vAlign w:val="top"/>
          </w:tcPr>
          <w:p>
            <w:pPr>
              <w:spacing w:after="40" w:before="0" w:line="259" w:lineRule="auto"/>
            </w:pPr>
            <w:r>
              <w:rPr>
                <w:rFonts w:ascii="Calibri" w:hAnsi="Calibri"/>
                <w:b w:val="0"/>
                <w:i w:val="0"/>
                <w:color w:val="212121"/>
                <w:sz w:val="16"/>
              </w:rPr>
              <w:t>Support systemic infection/abscess and monitor treatment response</w:t>
            </w:r>
          </w:p>
        </w:tc>
        <w:tc>
          <w:tcPr>
            <w:tcW w:type="dxa" w:w="1036"/>
            <w:vAlign w:val="top"/>
          </w:tcPr>
          <w:p>
            <w:pPr>
              <w:spacing w:after="40" w:before="0" w:line="259" w:lineRule="auto"/>
            </w:pPr>
            <w:r>
              <w:rPr>
                <w:rFonts w:ascii="Calibri" w:hAnsi="Calibri"/>
                <w:b w:val="0"/>
                <w:i w:val="0"/>
                <w:color w:val="212121"/>
                <w:sz w:val="16"/>
              </w:rPr>
              <w:t>Acute abscess, systemic symptoms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Adjunctive</w:t>
            </w:r>
          </w:p>
        </w:tc>
        <w:tc>
          <w:tcPr>
            <w:tcW w:type="dxa" w:w="720"/>
            <w:vAlign w:val="top"/>
          </w:tcPr>
          <w:p>
            <w:pPr>
              <w:spacing w:after="40" w:before="0" w:line="259" w:lineRule="auto"/>
            </w:pPr>
            <w:r>
              <w:rPr>
                <w:rFonts w:ascii="Calibri" w:hAnsi="Calibri"/>
                <w:b w:val="0"/>
                <w:i w:val="0"/>
                <w:color w:val="212121"/>
                <w:sz w:val="16"/>
              </w:rPr>
              <w:t>Non-specific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Excision-specimen biopsy</w:t>
            </w:r>
          </w:p>
        </w:tc>
        <w:tc>
          <w:tcPr>
            <w:tcW w:type="dxa" w:w="892"/>
            <w:vAlign w:val="top"/>
          </w:tcPr>
          <w:p>
            <w:pPr>
              <w:spacing w:after="40" w:before="0" w:line="259" w:lineRule="auto"/>
            </w:pPr>
            <w:r>
              <w:rPr>
                <w:rFonts w:ascii="Calibri" w:hAnsi="Calibri"/>
                <w:b w:val="0"/>
                <w:i w:val="0"/>
                <w:color w:val="212121"/>
                <w:sz w:val="16"/>
              </w:rPr>
              <w:t>Histology</w:t>
            </w:r>
          </w:p>
        </w:tc>
        <w:tc>
          <w:tcPr>
            <w:tcW w:type="dxa" w:w="950"/>
            <w:vAlign w:val="top"/>
          </w:tcPr>
          <w:p>
            <w:pPr>
              <w:spacing w:after="40" w:before="0" w:line="259" w:lineRule="auto"/>
            </w:pPr>
            <w:r>
              <w:rPr>
                <w:rFonts w:ascii="Calibri" w:hAnsi="Calibri"/>
                <w:b w:val="0"/>
                <w:i w:val="0"/>
                <w:color w:val="212121"/>
                <w:sz w:val="16"/>
              </w:rPr>
              <w:t>Chronic granulation with foreign-body reaction to hair, no atypia</w:t>
            </w:r>
          </w:p>
        </w:tc>
        <w:tc>
          <w:tcPr>
            <w:tcW w:type="dxa" w:w="950"/>
            <w:vAlign w:val="top"/>
          </w:tcPr>
          <w:p>
            <w:pPr>
              <w:spacing w:after="40" w:before="0" w:line="259" w:lineRule="auto"/>
            </w:pPr>
            <w:r>
              <w:rPr>
                <w:rFonts w:ascii="Calibri" w:hAnsi="Calibri"/>
                <w:b w:val="0"/>
                <w:i w:val="0"/>
                <w:color w:val="212121"/>
                <w:sz w:val="16"/>
              </w:rPr>
              <w:t>Squamous-cell carcinoma</w:t>
            </w:r>
          </w:p>
        </w:tc>
        <w:tc>
          <w:tcPr>
            <w:tcW w:type="dxa" w:w="1036"/>
            <w:vAlign w:val="top"/>
          </w:tcPr>
          <w:p>
            <w:pPr>
              <w:spacing w:after="40" w:before="0" w:line="259" w:lineRule="auto"/>
            </w:pPr>
            <w:r>
              <w:rPr>
                <w:rFonts w:ascii="Calibri" w:hAnsi="Calibri"/>
                <w:b w:val="0"/>
                <w:i w:val="0"/>
                <w:color w:val="212121"/>
                <w:sz w:val="16"/>
              </w:rPr>
              <w:t>Confirms benign disease and excludes rare malignant transformation</w:t>
            </w:r>
          </w:p>
        </w:tc>
        <w:tc>
          <w:tcPr>
            <w:tcW w:type="dxa" w:w="1036"/>
            <w:vAlign w:val="top"/>
          </w:tcPr>
          <w:p>
            <w:pPr>
              <w:spacing w:after="40" w:before="0" w:line="259" w:lineRule="auto"/>
            </w:pPr>
            <w:r>
              <w:rPr>
                <w:rFonts w:ascii="Calibri" w:hAnsi="Calibri"/>
                <w:b w:val="0"/>
                <w:i w:val="0"/>
                <w:color w:val="212121"/>
                <w:sz w:val="16"/>
              </w:rPr>
              <w:t>Long-standing, atypical, non-healing lesions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Send tissue routinely in chronic/atypical cases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Natal-cleft discharge, pain, swelling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Intermittent seropurulent/blood-stained discharge, pain on sitting</w:t>
            </w:r>
          </w:p>
        </w:tc>
        <w:tc>
          <w:tcPr>
            <w:tcW w:type="dxa" w:w="1036"/>
            <w:vAlign w:val="top"/>
          </w:tcPr>
          <w:p>
            <w:pPr>
              <w:spacing w:after="40" w:before="0" w:line="259" w:lineRule="auto"/>
            </w:pPr>
            <w:r>
              <w:rPr>
                <w:rFonts w:ascii="Calibri" w:hAnsi="Calibri"/>
                <w:b w:val="0"/>
                <w:i w:val="0"/>
                <w:color w:val="212121"/>
                <w:sz w:val="16"/>
              </w:rPr>
              <w:t>Hallmark presentation of chronic pilonidal sinus</w:t>
            </w:r>
          </w:p>
        </w:tc>
        <w:tc>
          <w:tcPr>
            <w:tcW w:type="dxa" w:w="1036"/>
            <w:vAlign w:val="top"/>
          </w:tcPr>
          <w:p>
            <w:pPr>
              <w:spacing w:after="40" w:before="0" w:line="259" w:lineRule="auto"/>
            </w:pPr>
            <w:r>
              <w:rPr>
                <w:rFonts w:ascii="Calibri" w:hAnsi="Calibri"/>
                <w:b w:val="0"/>
                <w:i w:val="0"/>
                <w:color w:val="212121"/>
                <w:sz w:val="16"/>
              </w:rPr>
              <w:t>Young adult men, sedentary workers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Cyclical flare-and-settle pattern is typical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 &amp; sitting history</w:t>
            </w:r>
          </w:p>
        </w:tc>
        <w:tc>
          <w:tcPr>
            <w:tcW w:type="dxa" w:w="979"/>
            <w:vAlign w:val="top"/>
          </w:tcPr>
          <w:p>
            <w:pPr>
              <w:spacing w:after="40" w:before="0" w:line="259" w:lineRule="auto"/>
            </w:pPr>
            <w:r>
              <w:rPr>
                <w:rFonts w:ascii="Calibri" w:hAnsi="Calibri"/>
                <w:b w:val="0"/>
                <w:i w:val="0"/>
                <w:color w:val="212121"/>
                <w:sz w:val="16"/>
              </w:rPr>
              <w:t>Hours of daily sitting/driving</w:t>
            </w:r>
          </w:p>
        </w:tc>
        <w:tc>
          <w:tcPr>
            <w:tcW w:type="dxa" w:w="950"/>
            <w:vAlign w:val="top"/>
          </w:tcPr>
          <w:p>
            <w:pPr>
              <w:spacing w:after="40" w:before="0" w:line="259" w:lineRule="auto"/>
            </w:pPr>
            <w:r>
              <w:rPr>
                <w:rFonts w:ascii="Calibri" w:hAnsi="Calibri"/>
                <w:b w:val="0"/>
                <w:i w:val="0"/>
                <w:color w:val="212121"/>
                <w:sz w:val="16"/>
              </w:rPr>
              <w:t>Active, frequent movement</w:t>
            </w:r>
          </w:p>
        </w:tc>
        <w:tc>
          <w:tcPr>
            <w:tcW w:type="dxa" w:w="950"/>
            <w:vAlign w:val="top"/>
          </w:tcPr>
          <w:p>
            <w:pPr>
              <w:spacing w:after="40" w:before="0" w:line="259" w:lineRule="auto"/>
            </w:pPr>
            <w:r>
              <w:rPr>
                <w:rFonts w:ascii="Calibri" w:hAnsi="Calibri"/>
                <w:b w:val="0"/>
                <w:i w:val="0"/>
                <w:color w:val="212121"/>
                <w:sz w:val="16"/>
              </w:rPr>
              <w:t>Prolonged uninterrupted sitting</w:t>
            </w:r>
          </w:p>
        </w:tc>
        <w:tc>
          <w:tcPr>
            <w:tcW w:type="dxa" w:w="1036"/>
            <w:vAlign w:val="top"/>
          </w:tcPr>
          <w:p>
            <w:pPr>
              <w:spacing w:after="40" w:before="0" w:line="259" w:lineRule="auto"/>
            </w:pPr>
            <w:r>
              <w:rPr>
                <w:rFonts w:ascii="Calibri" w:hAnsi="Calibri"/>
                <w:b w:val="0"/>
                <w:i w:val="0"/>
                <w:color w:val="212121"/>
                <w:sz w:val="16"/>
              </w:rPr>
              <w:t>Identifies the key modifiable precipitant ('jeep disease')</w:t>
            </w:r>
          </w:p>
        </w:tc>
        <w:tc>
          <w:tcPr>
            <w:tcW w:type="dxa" w:w="1036"/>
            <w:vAlign w:val="top"/>
          </w:tcPr>
          <w:p>
            <w:pPr>
              <w:spacing w:after="40" w:before="0" w:line="259" w:lineRule="auto"/>
            </w:pPr>
            <w:r>
              <w:rPr>
                <w:rFonts w:ascii="Calibri" w:hAnsi="Calibri"/>
                <w:b w:val="0"/>
                <w:i w:val="0"/>
                <w:color w:val="212121"/>
                <w:sz w:val="16"/>
              </w:rPr>
              <w:t>Drivers, IT staff, students, soldiers</w:t>
            </w:r>
          </w:p>
        </w:tc>
        <w:tc>
          <w:tcPr>
            <w:tcW w:type="dxa" w:w="720"/>
            <w:vAlign w:val="top"/>
          </w:tcPr>
          <w:p>
            <w:pPr>
              <w:spacing w:after="40" w:before="0" w:line="259" w:lineRule="auto"/>
            </w:pPr>
            <w:r>
              <w:rPr>
                <w:rFonts w:ascii="Calibri" w:hAnsi="Calibri"/>
                <w:b w:val="0"/>
                <w:i w:val="0"/>
                <w:color w:val="212121"/>
                <w:sz w:val="16"/>
              </w:rPr>
              <w:t>Physical activity; Posture</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Directs lifestyle advice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Midline pits</w:t>
            </w:r>
          </w:p>
        </w:tc>
        <w:tc>
          <w:tcPr>
            <w:tcW w:type="dxa" w:w="979"/>
            <w:vAlign w:val="top"/>
          </w:tcPr>
          <w:p>
            <w:pPr>
              <w:spacing w:after="40" w:before="0" w:line="259" w:lineRule="auto"/>
            </w:pPr>
            <w:r>
              <w:rPr>
                <w:rFonts w:ascii="Calibri" w:hAnsi="Calibri"/>
                <w:b w:val="0"/>
                <w:i w:val="0"/>
                <w:color w:val="212121"/>
                <w:sz w:val="16"/>
              </w:rPr>
              <w:t>Sacrococcygeal midline openings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pits 4–5 cm above the anus, often with a hair tuft</w:t>
            </w:r>
          </w:p>
        </w:tc>
        <w:tc>
          <w:tcPr>
            <w:tcW w:type="dxa" w:w="1036"/>
            <w:vAlign w:val="top"/>
          </w:tcPr>
          <w:p>
            <w:pPr>
              <w:spacing w:after="40" w:before="0" w:line="259" w:lineRule="auto"/>
            </w:pPr>
            <w:r>
              <w:rPr>
                <w:rFonts w:ascii="Calibri" w:hAnsi="Calibri"/>
                <w:b w:val="0"/>
                <w:i w:val="0"/>
                <w:color w:val="212121"/>
                <w:sz w:val="16"/>
              </w:rPr>
              <w:t>Pathognomonic sign of pilonidal disease</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Part the buttocks in good light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Secondary/lateral openings</w:t>
            </w:r>
          </w:p>
        </w:tc>
        <w:tc>
          <w:tcPr>
            <w:tcW w:type="dxa" w:w="979"/>
            <w:vAlign w:val="top"/>
          </w:tcPr>
          <w:p>
            <w:pPr>
              <w:spacing w:after="40" w:before="0" w:line="259" w:lineRule="auto"/>
            </w:pPr>
            <w:r>
              <w:rPr>
                <w:rFonts w:ascii="Calibri" w:hAnsi="Calibri"/>
                <w:b w:val="0"/>
                <w:i w:val="0"/>
                <w:color w:val="212121"/>
                <w:sz w:val="16"/>
              </w:rPr>
              <w:t>Off-midline sinus openings, scars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Lateral openings, granulation tissue, previous surgical scars</w:t>
            </w:r>
          </w:p>
        </w:tc>
        <w:tc>
          <w:tcPr>
            <w:tcW w:type="dxa" w:w="1036"/>
            <w:vAlign w:val="top"/>
          </w:tcPr>
          <w:p>
            <w:pPr>
              <w:spacing w:after="40" w:before="0" w:line="259" w:lineRule="auto"/>
            </w:pPr>
            <w:r>
              <w:rPr>
                <w:rFonts w:ascii="Calibri" w:hAnsi="Calibri"/>
                <w:b w:val="0"/>
                <w:i w:val="0"/>
                <w:color w:val="212121"/>
                <w:sz w:val="16"/>
              </w:rPr>
              <w:t>Indicates chronic, recurrent or complex disease</w:t>
            </w:r>
          </w:p>
        </w:tc>
        <w:tc>
          <w:tcPr>
            <w:tcW w:type="dxa" w:w="1036"/>
            <w:vAlign w:val="top"/>
          </w:tcPr>
          <w:p>
            <w:pPr>
              <w:spacing w:after="40" w:before="0" w:line="259" w:lineRule="auto"/>
            </w:pPr>
            <w:r>
              <w:rPr>
                <w:rFonts w:ascii="Calibri" w:hAnsi="Calibri"/>
                <w:b w:val="0"/>
                <w:i w:val="0"/>
                <w:color w:val="212121"/>
                <w:sz w:val="16"/>
              </w:rPr>
              <w:t>Recurrent/complex disease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Staging</w:t>
            </w:r>
          </w:p>
        </w:tc>
        <w:tc>
          <w:tcPr>
            <w:tcW w:type="dxa" w:w="720"/>
            <w:vAlign w:val="top"/>
          </w:tcPr>
          <w:p>
            <w:pPr>
              <w:spacing w:after="40" w:before="0" w:line="259" w:lineRule="auto"/>
            </w:pPr>
            <w:r>
              <w:rPr>
                <w:rFonts w:ascii="Calibri" w:hAnsi="Calibri"/>
                <w:b w:val="0"/>
                <w:i w:val="0"/>
                <w:color w:val="212121"/>
                <w:sz w:val="16"/>
              </w:rPr>
              <w:t>Predicts need for flap-based repair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Palpation</w:t>
            </w:r>
          </w:p>
        </w:tc>
        <w:tc>
          <w:tcPr>
            <w:tcW w:type="dxa" w:w="950"/>
            <w:vAlign w:val="top"/>
          </w:tcPr>
          <w:p>
            <w:pPr>
              <w:spacing w:after="40" w:before="0" w:line="259" w:lineRule="auto"/>
            </w:pPr>
            <w:r>
              <w:rPr>
                <w:rFonts w:ascii="Calibri" w:hAnsi="Calibri"/>
                <w:b w:val="0"/>
                <w:i w:val="0"/>
                <w:color w:val="212121"/>
                <w:sz w:val="16"/>
              </w:rPr>
              <w:t>Abscess assessment</w:t>
            </w:r>
          </w:p>
        </w:tc>
        <w:tc>
          <w:tcPr>
            <w:tcW w:type="dxa" w:w="979"/>
            <w:vAlign w:val="top"/>
          </w:tcPr>
          <w:p>
            <w:pPr>
              <w:spacing w:after="40" w:before="0" w:line="259" w:lineRule="auto"/>
            </w:pPr>
            <w:r>
              <w:rPr>
                <w:rFonts w:ascii="Calibri" w:hAnsi="Calibri"/>
                <w:b w:val="0"/>
                <w:i w:val="0"/>
                <w:color w:val="212121"/>
                <w:sz w:val="16"/>
              </w:rPr>
              <w:t>Tender fluctuant erythematous swelling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Warm, tender, fluctuant swelling ± spontaneous discharge</w:t>
            </w:r>
          </w:p>
        </w:tc>
        <w:tc>
          <w:tcPr>
            <w:tcW w:type="dxa" w:w="1036"/>
            <w:vAlign w:val="top"/>
          </w:tcPr>
          <w:p>
            <w:pPr>
              <w:spacing w:after="40" w:before="0" w:line="259" w:lineRule="auto"/>
            </w:pPr>
            <w:r>
              <w:rPr>
                <w:rFonts w:ascii="Calibri" w:hAnsi="Calibri"/>
                <w:b w:val="0"/>
                <w:i w:val="0"/>
                <w:color w:val="212121"/>
                <w:sz w:val="16"/>
              </w:rPr>
              <w:t>Acute pilonidal abscess requiring incision and drainage</w:t>
            </w:r>
          </w:p>
        </w:tc>
        <w:tc>
          <w:tcPr>
            <w:tcW w:type="dxa" w:w="1036"/>
            <w:vAlign w:val="top"/>
          </w:tcPr>
          <w:p>
            <w:pPr>
              <w:spacing w:after="40" w:before="0" w:line="259" w:lineRule="auto"/>
            </w:pPr>
            <w:r>
              <w:rPr>
                <w:rFonts w:ascii="Calibri" w:hAnsi="Calibri"/>
                <w:b w:val="0"/>
                <w:i w:val="0"/>
                <w:color w:val="212121"/>
                <w:sz w:val="16"/>
              </w:rPr>
              <w:t>Acute presentation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Urgent</w:t>
            </w:r>
          </w:p>
        </w:tc>
        <w:tc>
          <w:tcPr>
            <w:tcW w:type="dxa" w:w="720"/>
            <w:vAlign w:val="top"/>
          </w:tcPr>
          <w:p>
            <w:pPr>
              <w:spacing w:after="40" w:before="0" w:line="259" w:lineRule="auto"/>
            </w:pPr>
            <w:r>
              <w:rPr>
                <w:rFonts w:ascii="Calibri" w:hAnsi="Calibri"/>
                <w:b w:val="0"/>
                <w:i w:val="0"/>
                <w:color w:val="212121"/>
                <w:sz w:val="16"/>
              </w:rPr>
              <w:t>Usually points just off the midline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follicular-occlusion history</w:t>
            </w:r>
          </w:p>
        </w:tc>
        <w:tc>
          <w:tcPr>
            <w:tcW w:type="dxa" w:w="979"/>
            <w:vAlign w:val="top"/>
          </w:tcPr>
          <w:p>
            <w:pPr>
              <w:spacing w:after="40" w:before="0" w:line="259" w:lineRule="auto"/>
            </w:pPr>
            <w:r>
              <w:rPr>
                <w:rFonts w:ascii="Calibri" w:hAnsi="Calibri"/>
                <w:b w:val="0"/>
                <w:i w:val="0"/>
                <w:color w:val="212121"/>
                <w:sz w:val="16"/>
              </w:rPr>
              <w:t>Family history; acne conglobata, hidradenitis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Affected relatives or coexisting follicular-occlusion disease</w:t>
            </w:r>
          </w:p>
        </w:tc>
        <w:tc>
          <w:tcPr>
            <w:tcW w:type="dxa" w:w="1036"/>
            <w:vAlign w:val="top"/>
          </w:tcPr>
          <w:p>
            <w:pPr>
              <w:spacing w:after="40" w:before="0" w:line="259" w:lineRule="auto"/>
            </w:pPr>
            <w:r>
              <w:rPr>
                <w:rFonts w:ascii="Calibri" w:hAnsi="Calibri"/>
                <w:b w:val="0"/>
                <w:i w:val="0"/>
                <w:color w:val="212121"/>
                <w:sz w:val="16"/>
              </w:rPr>
              <w:t>Supports a heritable follicular-occlusion tendency</w:t>
            </w:r>
          </w:p>
        </w:tc>
        <w:tc>
          <w:tcPr>
            <w:tcW w:type="dxa" w:w="1036"/>
            <w:vAlign w:val="top"/>
          </w:tcPr>
          <w:p>
            <w:pPr>
              <w:spacing w:after="40" w:before="0" w:line="259" w:lineRule="auto"/>
            </w:pPr>
            <w:r>
              <w:rPr>
                <w:rFonts w:ascii="Calibri" w:hAnsi="Calibri"/>
                <w:b w:val="0"/>
                <w:i w:val="0"/>
                <w:color w:val="212121"/>
                <w:sz w:val="16"/>
              </w:rPr>
              <w:t>Familial, follicular-occlusion spectrum</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Associated with earlier onset and recurrence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Local hair &amp; hygiene assessment</w:t>
            </w:r>
          </w:p>
        </w:tc>
        <w:tc>
          <w:tcPr>
            <w:tcW w:type="dxa" w:w="979"/>
            <w:vAlign w:val="top"/>
          </w:tcPr>
          <w:p>
            <w:pPr>
              <w:spacing w:after="40" w:before="0" w:line="259" w:lineRule="auto"/>
            </w:pPr>
            <w:r>
              <w:rPr>
                <w:rFonts w:ascii="Calibri" w:hAnsi="Calibri"/>
                <w:b w:val="0"/>
                <w:i w:val="0"/>
                <w:color w:val="212121"/>
                <w:sz w:val="16"/>
              </w:rPr>
              <w:t>Cleft hair density, sweat, debris</w:t>
            </w:r>
          </w:p>
        </w:tc>
        <w:tc>
          <w:tcPr>
            <w:tcW w:type="dxa" w:w="950"/>
            <w:vAlign w:val="top"/>
          </w:tcPr>
          <w:p>
            <w:pPr>
              <w:spacing w:after="40" w:before="0" w:line="259" w:lineRule="auto"/>
            </w:pPr>
            <w:r>
              <w:rPr>
                <w:rFonts w:ascii="Calibri" w:hAnsi="Calibri"/>
                <w:b w:val="0"/>
                <w:i w:val="0"/>
                <w:color w:val="212121"/>
                <w:sz w:val="16"/>
              </w:rPr>
              <w:t>Clean, hair-controlled cleft</w:t>
            </w:r>
          </w:p>
        </w:tc>
        <w:tc>
          <w:tcPr>
            <w:tcW w:type="dxa" w:w="950"/>
            <w:vAlign w:val="top"/>
          </w:tcPr>
          <w:p>
            <w:pPr>
              <w:spacing w:after="40" w:before="0" w:line="259" w:lineRule="auto"/>
            </w:pPr>
            <w:r>
              <w:rPr>
                <w:rFonts w:ascii="Calibri" w:hAnsi="Calibri"/>
                <w:b w:val="0"/>
                <w:i w:val="0"/>
                <w:color w:val="212121"/>
                <w:sz w:val="16"/>
              </w:rPr>
              <w:t>Dense cleft hair, retained loose hair, maceration</w:t>
            </w:r>
          </w:p>
        </w:tc>
        <w:tc>
          <w:tcPr>
            <w:tcW w:type="dxa" w:w="1036"/>
            <w:vAlign w:val="top"/>
          </w:tcPr>
          <w:p>
            <w:pPr>
              <w:spacing w:after="40" w:before="0" w:line="259" w:lineRule="auto"/>
            </w:pPr>
            <w:r>
              <w:rPr>
                <w:rFonts w:ascii="Calibri" w:hAnsi="Calibri"/>
                <w:b w:val="0"/>
                <w:i w:val="0"/>
                <w:color w:val="212121"/>
                <w:sz w:val="16"/>
              </w:rPr>
              <w:t>Quantifies the modifiable hair load and hygiene target</w:t>
            </w:r>
          </w:p>
        </w:tc>
        <w:tc>
          <w:tcPr>
            <w:tcW w:type="dxa" w:w="1036"/>
            <w:vAlign w:val="top"/>
          </w:tcPr>
          <w:p>
            <w:pPr>
              <w:spacing w:after="40" w:before="0" w:line="259" w:lineRule="auto"/>
            </w:pPr>
            <w:r>
              <w:rPr>
                <w:rFonts w:ascii="Calibri" w:hAnsi="Calibri"/>
                <w:b w:val="0"/>
                <w:i w:val="0"/>
                <w:color w:val="212121"/>
                <w:sz w:val="16"/>
              </w:rPr>
              <w:t>Hirsute, obese, poor hygiene</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Preventive</w:t>
            </w:r>
          </w:p>
        </w:tc>
        <w:tc>
          <w:tcPr>
            <w:tcW w:type="dxa" w:w="720"/>
            <w:vAlign w:val="top"/>
          </w:tcPr>
          <w:p>
            <w:pPr>
              <w:spacing w:after="40" w:before="0" w:line="259" w:lineRule="auto"/>
            </w:pPr>
            <w:r>
              <w:rPr>
                <w:rFonts w:ascii="Calibri" w:hAnsi="Calibri"/>
                <w:b w:val="0"/>
                <w:i w:val="0"/>
                <w:color w:val="212121"/>
                <w:sz w:val="16"/>
              </w:rPr>
              <w:t>Basis for depilation and hygiene advice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Intermittent discharge from the natal cleft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Serous, purulent or blood-stained, sometimes malodorous discharge from one or more midline openings.</w:t>
            </w:r>
          </w:p>
        </w:tc>
      </w:tr>
      <w:tr>
        <w:trPr>
          <w:cantSplit/>
        </w:trPr>
        <w:tc>
          <w:tcPr>
            <w:tcW w:type="dxa" w:w="2304"/>
            <w:vAlign w:val="top"/>
          </w:tcPr>
          <w:p>
            <w:pPr>
              <w:spacing w:after="40" w:before="0" w:line="259" w:lineRule="auto"/>
            </w:pPr>
            <w:r>
              <w:rPr>
                <w:rFonts w:ascii="Calibri" w:hAnsi="Calibri"/>
                <w:b/>
                <w:i w:val="0"/>
                <w:color w:val="212121"/>
                <w:sz w:val="19"/>
              </w:rPr>
              <w:t>Pain over the tailbone, worse on sitting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Aching or throbbing sacrococcygeal pain aggravated by prolonged sitting, bending or rising.</w:t>
            </w:r>
          </w:p>
        </w:tc>
      </w:tr>
      <w:tr>
        <w:trPr>
          <w:cantSplit/>
        </w:trPr>
        <w:tc>
          <w:tcPr>
            <w:tcW w:type="dxa" w:w="2304"/>
            <w:vAlign w:val="top"/>
          </w:tcPr>
          <w:p>
            <w:pPr>
              <w:spacing w:after="40" w:before="0" w:line="259" w:lineRule="auto"/>
            </w:pPr>
            <w:r>
              <w:rPr>
                <w:rFonts w:ascii="Calibri" w:hAnsi="Calibri"/>
                <w:b/>
                <w:i w:val="0"/>
                <w:color w:val="212121"/>
                <w:sz w:val="19"/>
              </w:rPr>
              <w:t>Swelling or lump in the natal cleft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palpable lump or area of induration over the sacrococcygeal region.</w:t>
            </w:r>
          </w:p>
        </w:tc>
      </w:tr>
      <w:tr>
        <w:trPr>
          <w:cantSplit/>
        </w:trPr>
        <w:tc>
          <w:tcPr>
            <w:tcW w:type="dxa" w:w="2304"/>
            <w:vAlign w:val="top"/>
          </w:tcPr>
          <w:p>
            <w:pPr>
              <w:spacing w:after="40" w:before="0" w:line="259" w:lineRule="auto"/>
            </w:pPr>
            <w:r>
              <w:rPr>
                <w:rFonts w:ascii="Calibri" w:hAnsi="Calibri"/>
                <w:b/>
                <w:i w:val="0"/>
                <w:color w:val="212121"/>
                <w:sz w:val="19"/>
              </w:rPr>
              <w:t>Local skin irritation and itching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Recurrent irritation, moisture and itching of the cleft skin around the pits.</w:t>
            </w:r>
          </w:p>
        </w:tc>
      </w:tr>
      <w:tr>
        <w:trPr>
          <w:cantSplit/>
        </w:trPr>
        <w:tc>
          <w:tcPr>
            <w:tcW w:type="dxa" w:w="2304"/>
            <w:vAlign w:val="top"/>
          </w:tcPr>
          <w:p>
            <w:pPr>
              <w:spacing w:after="40" w:before="0" w:line="259" w:lineRule="auto"/>
            </w:pPr>
            <w:r>
              <w:rPr>
                <w:rFonts w:ascii="Calibri" w:hAnsi="Calibri"/>
                <w:b/>
                <w:i w:val="0"/>
                <w:color w:val="212121"/>
                <w:sz w:val="19"/>
              </w:rPr>
              <w:t>Acute severe pain with a hot, tender lump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Rapidly worsening throbbing pain, redness and a tense swelling when the cavity becomes infected (abscess), making sitting difficult.</w:t>
            </w:r>
          </w:p>
        </w:tc>
      </w:tr>
      <w:tr>
        <w:trPr>
          <w:cantSplit/>
        </w:trPr>
        <w:tc>
          <w:tcPr>
            <w:tcW w:type="dxa" w:w="2304"/>
            <w:vAlign w:val="top"/>
          </w:tcPr>
          <w:p>
            <w:pPr>
              <w:spacing w:after="40" w:before="0" w:line="259" w:lineRule="auto"/>
            </w:pPr>
            <w:r>
              <w:rPr>
                <w:rFonts w:ascii="Calibri" w:hAnsi="Calibri"/>
                <w:b/>
                <w:i w:val="0"/>
                <w:color w:val="212121"/>
                <w:sz w:val="19"/>
              </w:rPr>
              <w:t>Malodour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Foul smell from chronic discharge and retained hair/keratin debris.</w:t>
            </w:r>
          </w:p>
        </w:tc>
      </w:tr>
      <w:tr>
        <w:trPr>
          <w:cantSplit/>
        </w:trPr>
        <w:tc>
          <w:tcPr>
            <w:tcW w:type="dxa" w:w="2304"/>
            <w:vAlign w:val="top"/>
          </w:tcPr>
          <w:p>
            <w:pPr>
              <w:spacing w:after="40" w:before="0" w:line="259" w:lineRule="auto"/>
            </w:pPr>
            <w:r>
              <w:rPr>
                <w:rFonts w:ascii="Calibri" w:hAnsi="Calibri"/>
                <w:b/>
                <w:i w:val="0"/>
                <w:color w:val="212121"/>
                <w:sz w:val="19"/>
              </w:rPr>
              <w:t>Fever and malaise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Systemic upset accompanying a larger or spreading pilonidal abscess or cellulitis.</w:t>
            </w:r>
          </w:p>
        </w:tc>
      </w:tr>
      <w:tr>
        <w:trPr>
          <w:cantSplit/>
        </w:trPr>
        <w:tc>
          <w:tcPr>
            <w:tcW w:type="dxa" w:w="2304"/>
            <w:vAlign w:val="top"/>
          </w:tcPr>
          <w:p>
            <w:pPr>
              <w:spacing w:after="40" w:before="0" w:line="259" w:lineRule="auto"/>
            </w:pPr>
            <w:r>
              <w:rPr>
                <w:rFonts w:ascii="Calibri" w:hAnsi="Calibri"/>
                <w:b/>
                <w:i w:val="0"/>
                <w:color w:val="212121"/>
                <w:sz w:val="19"/>
              </w:rPr>
              <w:t>Recurrent episodes after apparent healing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cyclical pattern of flare, discharge and temporary settling, or recurrence after previous surgery.</w:t>
            </w:r>
          </w:p>
        </w:tc>
      </w:tr>
      <w:tr>
        <w:trPr>
          <w:cantSplit/>
        </w:trPr>
        <w:tc>
          <w:tcPr>
            <w:tcW w:type="dxa" w:w="2304"/>
            <w:vAlign w:val="top"/>
          </w:tcPr>
          <w:p>
            <w:pPr>
              <w:spacing w:after="40" w:before="0" w:line="259" w:lineRule="auto"/>
            </w:pPr>
            <w:r>
              <w:rPr>
                <w:rFonts w:ascii="Calibri" w:hAnsi="Calibri"/>
                <w:b/>
                <w:i w:val="0"/>
                <w:color w:val="212121"/>
                <w:sz w:val="19"/>
              </w:rPr>
              <w:t>Bleeding or spotting from the sinus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Intermittent blood-stained discharge or spotting on clothing.</w:t>
            </w:r>
          </w:p>
        </w:tc>
      </w:tr>
      <w:tr>
        <w:trPr>
          <w:cantSplit/>
        </w:trPr>
        <w:tc>
          <w:tcPr>
            <w:tcW w:type="dxa" w:w="2304"/>
            <w:vAlign w:val="top"/>
          </w:tcPr>
          <w:p>
            <w:pPr>
              <w:spacing w:after="40" w:before="0" w:line="259" w:lineRule="auto"/>
            </w:pPr>
            <w:r>
              <w:rPr>
                <w:rFonts w:ascii="Calibri" w:hAnsi="Calibri"/>
                <w:b/>
                <w:i w:val="0"/>
                <w:color w:val="212121"/>
                <w:sz w:val="19"/>
              </w:rPr>
              <w:t>Non-healing indurated, foul ulcer</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 long-standing sinus that becomes a hard, foul, non-healing ulcer should raise concern for malignant (squamous-cell) transformation.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Midline sacrococcygeal pits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One or more small epithelialised midline openings, typically 4–5 cm above the anus.</w:t>
            </w:r>
          </w:p>
        </w:tc>
      </w:tr>
      <w:tr>
        <w:trPr>
          <w:cantSplit/>
        </w:trPr>
        <w:tc>
          <w:tcPr>
            <w:tcW w:type="dxa" w:w="3456"/>
            <w:vAlign w:val="top"/>
          </w:tcPr>
          <w:p>
            <w:pPr>
              <w:spacing w:after="40" w:before="0" w:line="259" w:lineRule="auto"/>
            </w:pPr>
            <w:r>
              <w:rPr>
                <w:rFonts w:ascii="Calibri" w:hAnsi="Calibri"/>
                <w:b/>
                <w:i w:val="0"/>
                <w:color w:val="212121"/>
                <w:sz w:val="19"/>
              </w:rPr>
              <w:t>Tuft of hair protruding from a pit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Hair emerging from a sinus opening — a characteristic finding.</w:t>
            </w:r>
          </w:p>
        </w:tc>
      </w:tr>
      <w:tr>
        <w:trPr>
          <w:cantSplit/>
        </w:trPr>
        <w:tc>
          <w:tcPr>
            <w:tcW w:type="dxa" w:w="3456"/>
            <w:vAlign w:val="top"/>
          </w:tcPr>
          <w:p>
            <w:pPr>
              <w:spacing w:after="40" w:before="0" w:line="259" w:lineRule="auto"/>
            </w:pPr>
            <w:r>
              <w:rPr>
                <w:rFonts w:ascii="Calibri" w:hAnsi="Calibri"/>
                <w:b/>
                <w:i w:val="0"/>
                <w:color w:val="212121"/>
                <w:sz w:val="19"/>
              </w:rPr>
              <w:t>Seropurulent discharge on pressure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Expression of pus or serous fluid from the sinus on gentle compression.</w:t>
            </w:r>
          </w:p>
        </w:tc>
      </w:tr>
      <w:tr>
        <w:trPr>
          <w:cantSplit/>
        </w:trPr>
        <w:tc>
          <w:tcPr>
            <w:tcW w:type="dxa" w:w="3456"/>
            <w:vAlign w:val="top"/>
          </w:tcPr>
          <w:p>
            <w:pPr>
              <w:spacing w:after="40" w:before="0" w:line="259" w:lineRule="auto"/>
            </w:pPr>
            <w:r>
              <w:rPr>
                <w:rFonts w:ascii="Calibri" w:hAnsi="Calibri"/>
                <w:b/>
                <w:i w:val="0"/>
                <w:color w:val="212121"/>
                <w:sz w:val="19"/>
              </w:rPr>
              <w:t>Tender, fluctuant, erythematous swelling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Signs of an acute pilonidal abscess, usually just off the midline.</w:t>
            </w:r>
          </w:p>
        </w:tc>
      </w:tr>
      <w:tr>
        <w:trPr>
          <w:cantSplit/>
        </w:trPr>
        <w:tc>
          <w:tcPr>
            <w:tcW w:type="dxa" w:w="3456"/>
            <w:vAlign w:val="top"/>
          </w:tcPr>
          <w:p>
            <w:pPr>
              <w:spacing w:after="40" w:before="0" w:line="259" w:lineRule="auto"/>
            </w:pPr>
            <w:r>
              <w:rPr>
                <w:rFonts w:ascii="Calibri" w:hAnsi="Calibri"/>
                <w:b/>
                <w:i w:val="0"/>
                <w:color w:val="212121"/>
                <w:sz w:val="19"/>
              </w:rPr>
              <w:t>Surrounding cellulitis and induration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Warm, indurated, erythematous skin around an infected sinus.</w:t>
            </w:r>
          </w:p>
        </w:tc>
      </w:tr>
      <w:tr>
        <w:trPr>
          <w:cantSplit/>
        </w:trPr>
        <w:tc>
          <w:tcPr>
            <w:tcW w:type="dxa" w:w="3456"/>
            <w:vAlign w:val="top"/>
          </w:tcPr>
          <w:p>
            <w:pPr>
              <w:spacing w:after="40" w:before="0" w:line="259" w:lineRule="auto"/>
            </w:pPr>
            <w:r>
              <w:rPr>
                <w:rFonts w:ascii="Calibri" w:hAnsi="Calibri"/>
                <w:b/>
                <w:i w:val="0"/>
                <w:color w:val="212121"/>
                <w:sz w:val="19"/>
              </w:rPr>
              <w:t>Granulation tissue at the sinus mouth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Fragile red granulation protruding from a chronically discharging opening.</w:t>
            </w:r>
          </w:p>
        </w:tc>
      </w:tr>
      <w:tr>
        <w:trPr>
          <w:cantSplit/>
        </w:trPr>
        <w:tc>
          <w:tcPr>
            <w:tcW w:type="dxa" w:w="3456"/>
            <w:vAlign w:val="top"/>
          </w:tcPr>
          <w:p>
            <w:pPr>
              <w:spacing w:after="40" w:before="0" w:line="259" w:lineRule="auto"/>
            </w:pPr>
            <w:r>
              <w:rPr>
                <w:rFonts w:ascii="Calibri" w:hAnsi="Calibri"/>
                <w:b/>
                <w:i w:val="0"/>
                <w:color w:val="212121"/>
                <w:sz w:val="19"/>
              </w:rPr>
              <w:t>Secondary/lateral sinus openings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Off-midline openings with granulation tissue indicate chronic or complex disease.</w:t>
            </w:r>
          </w:p>
        </w:tc>
      </w:tr>
      <w:tr>
        <w:trPr>
          <w:cantSplit/>
        </w:trPr>
        <w:tc>
          <w:tcPr>
            <w:tcW w:type="dxa" w:w="3456"/>
            <w:vAlign w:val="top"/>
          </w:tcPr>
          <w:p>
            <w:pPr>
              <w:spacing w:after="40" w:before="0" w:line="259" w:lineRule="auto"/>
            </w:pPr>
            <w:r>
              <w:rPr>
                <w:rFonts w:ascii="Calibri" w:hAnsi="Calibri"/>
                <w:b/>
                <w:i w:val="0"/>
                <w:color w:val="212121"/>
                <w:sz w:val="19"/>
              </w:rPr>
              <w:t>Maceration/excoriation of cleft skin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Moist, macerated, excoriated skin from chronic discharge and sweat.</w:t>
            </w:r>
          </w:p>
        </w:tc>
      </w:tr>
      <w:tr>
        <w:trPr>
          <w:cantSplit/>
        </w:trPr>
        <w:tc>
          <w:tcPr>
            <w:tcW w:type="dxa" w:w="3456"/>
            <w:vAlign w:val="top"/>
          </w:tcPr>
          <w:p>
            <w:pPr>
              <w:spacing w:after="40" w:before="0" w:line="259" w:lineRule="auto"/>
            </w:pPr>
            <w:r>
              <w:rPr>
                <w:rFonts w:ascii="Calibri" w:hAnsi="Calibri"/>
                <w:b/>
                <w:i w:val="0"/>
                <w:color w:val="212121"/>
                <w:sz w:val="19"/>
              </w:rPr>
              <w:t>Indurated ulcer with everted margins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An irregular, indurated, foul ulcer in a long-standing sinus suggests squamous-cell carcinoma.</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pilonidal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Surrounding cellulitis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pain limiting sitting and mobility</w:t>
            </w:r>
          </w:p>
        </w:tc>
        <w:tc>
          <w:tcPr>
            <w:tcW w:type="dxa" w:w="2980"/>
            <w:vAlign w:val="top"/>
          </w:tcPr>
          <w:p>
            <w:pPr>
              <w:spacing w:after="40" w:before="0" w:line="259" w:lineRule="auto"/>
            </w:pPr>
            <w:r>
              <w:rPr>
                <w:rFonts w:ascii="Calibri" w:hAnsi="Calibri"/>
                <w:b w:val="0"/>
                <w:i w:val="0"/>
                <w:color w:val="212121"/>
                <w:sz w:val="19"/>
              </w:rPr>
              <w:t>Immediate consequences of secondary infection of the pilonidal cavity.</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discharging sinus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abscesses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Multiple, laterally extending or bridged complex tracts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surgical-site infection, wound dehiscence and delayed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anaemia from chronic discharge/blood loss</w:t>
            </w:r>
          </w:p>
        </w:tc>
        <w:tc>
          <w:tcPr>
            <w:tcW w:type="dxa" w:w="2980"/>
            <w:vAlign w:val="top"/>
          </w:tcPr>
          <w:p>
            <w:pPr>
              <w:spacing w:after="40" w:before="0" w:line="259" w:lineRule="auto"/>
            </w:pPr>
            <w:r>
              <w:rPr>
                <w:rFonts w:ascii="Calibri" w:hAnsi="Calibri"/>
                <w:b w:val="0"/>
                <w:i w:val="0"/>
                <w:color w:val="212121"/>
                <w:sz w:val="19"/>
              </w:rPr>
              <w:t>Result from persistent infection, chronic inflammation and the natural history of an untreated or incompletely treated sinus.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Recurrence after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non-healing wound with prolonged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Malignant (squamous-cell) transformation in long-standing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Systemic sepsis (rare)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quality of life, body-image distress and work/school absenteeism</w:t>
            </w:r>
          </w:p>
        </w:tc>
        <w:tc>
          <w:tcPr>
            <w:tcW w:type="dxa" w:w="2980"/>
            <w:vAlign w:val="top"/>
          </w:tcPr>
          <w:p>
            <w:pPr>
              <w:spacing w:after="40" w:before="0" w:line="259" w:lineRule="auto"/>
            </w:pPr>
            <w:r>
              <w:rPr>
                <w:rFonts w:ascii="Calibri" w:hAnsi="Calibri"/>
                <w:b w:val="0"/>
                <w:i w:val="0"/>
                <w:color w:val="212121"/>
                <w:sz w:val="19"/>
              </w:rPr>
              <w:t>Long-term, disabling or irreversible outcomes of neglected, recurrent or complicated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Central obesity deepens the natal cleft and increases friction, sweating and hair retention, and is linked to more wound infection, delayed healing and recurrence after surgery.</w:t>
            </w:r>
          </w:p>
        </w:tc>
      </w:tr>
      <w:tr>
        <w:trPr>
          <w:cantSplit/>
        </w:trPr>
        <w:tc>
          <w:tcPr>
            <w:tcW w:type="dxa" w:w="2232"/>
            <w:vAlign w:val="top"/>
          </w:tcPr>
          <w:p>
            <w:pPr>
              <w:spacing w:after="40" w:before="0" w:line="259" w:lineRule="auto"/>
            </w:pPr>
            <w:r>
              <w:rPr>
                <w:rFonts w:ascii="Calibri" w:hAnsi="Calibri"/>
                <w:b/>
                <w:i w:val="0"/>
                <w:color w:val="212121"/>
                <w:sz w:val="19"/>
              </w:rPr>
              <w:t>Hidradenitis suppurativa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Co-member of the follicular occlusion tetrad; shares follicular hyperkeratosis, occlusion and chronic suppuration and frequently coexists.</w:t>
            </w:r>
          </w:p>
        </w:tc>
      </w:tr>
      <w:tr>
        <w:trPr>
          <w:cantSplit/>
        </w:trPr>
        <w:tc>
          <w:tcPr>
            <w:tcW w:type="dxa" w:w="2232"/>
            <w:vAlign w:val="top"/>
          </w:tcPr>
          <w:p>
            <w:pPr>
              <w:spacing w:after="40" w:before="0" w:line="259" w:lineRule="auto"/>
            </w:pPr>
            <w:r>
              <w:rPr>
                <w:rFonts w:ascii="Calibri" w:hAnsi="Calibri"/>
                <w:b/>
                <w:i w:val="0"/>
                <w:color w:val="212121"/>
                <w:sz w:val="19"/>
              </w:rPr>
              <w:t>Acne conglobata</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Part of the follicular occlusion tetrad with pilonidal sinus, reflecting a common severe follicular-occlusion diathesis.</w:t>
            </w:r>
          </w:p>
        </w:tc>
      </w:tr>
      <w:tr>
        <w:trPr>
          <w:cantSplit/>
        </w:trPr>
        <w:tc>
          <w:tcPr>
            <w:tcW w:type="dxa" w:w="2232"/>
            <w:vAlign w:val="top"/>
          </w:tcPr>
          <w:p>
            <w:pPr>
              <w:spacing w:after="40" w:before="0" w:line="259" w:lineRule="auto"/>
            </w:pPr>
            <w:r>
              <w:rPr>
                <w:rFonts w:ascii="Calibri" w:hAnsi="Calibri"/>
                <w:b/>
                <w:i w:val="0"/>
                <w:color w:val="212121"/>
                <w:sz w:val="19"/>
              </w:rPr>
              <w:t>Dissecting cellulitis of the scalp</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The fourth component of the follicular occlusion tetrad, sharing chronic follicular occlusion and suppuration.</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Hyperglycaemia impairs neutrophil function, perfusion and wound healing, worsening abscess severity, surgical-site infection and recurrence.</w:t>
            </w:r>
          </w:p>
        </w:tc>
      </w:tr>
      <w:tr>
        <w:trPr>
          <w:cantSplit/>
        </w:trPr>
        <w:tc>
          <w:tcPr>
            <w:tcW w:type="dxa" w:w="2232"/>
            <w:vAlign w:val="top"/>
          </w:tcPr>
          <w:p>
            <w:pPr>
              <w:spacing w:after="40" w:before="0" w:line="259" w:lineRule="auto"/>
            </w:pPr>
            <w:r>
              <w:rPr>
                <w:rFonts w:ascii="Calibri" w:hAnsi="Calibri"/>
                <w:b/>
                <w:i w:val="0"/>
                <w:color w:val="212121"/>
                <w:sz w:val="19"/>
              </w:rPr>
              <w:t>Surgical-site infection / wound dehiscence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after excisional surgery, especially with midline closure, obesity, smoking or diabetes; a major driver of prolonged healing.</w:t>
            </w:r>
          </w:p>
        </w:tc>
      </w:tr>
      <w:tr>
        <w:trPr>
          <w:cantSplit/>
        </w:trPr>
        <w:tc>
          <w:tcPr>
            <w:tcW w:type="dxa" w:w="2232"/>
            <w:vAlign w:val="top"/>
          </w:tcPr>
          <w:p>
            <w:pPr>
              <w:spacing w:after="40" w:before="0" w:line="259" w:lineRule="auto"/>
            </w:pPr>
            <w:r>
              <w:rPr>
                <w:rFonts w:ascii="Calibri" w:hAnsi="Calibri"/>
                <w:b/>
                <w:i w:val="0"/>
                <w:color w:val="212121"/>
                <w:sz w:val="19"/>
              </w:rPr>
              <w:t>Secondary anaemia</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Chronic seropurulent and blood-stained discharge from a long-standing sinus can contribute to anaemia.</w:t>
            </w:r>
          </w:p>
        </w:tc>
      </w:tr>
      <w:tr>
        <w:trPr>
          <w:cantSplit/>
        </w:trPr>
        <w:tc>
          <w:tcPr>
            <w:tcW w:type="dxa" w:w="2232"/>
            <w:vAlign w:val="top"/>
          </w:tcPr>
          <w:p>
            <w:pPr>
              <w:spacing w:after="40" w:before="0" w:line="259" w:lineRule="auto"/>
            </w:pPr>
            <w:r>
              <w:rPr>
                <w:rFonts w:ascii="Calibri" w:hAnsi="Calibri"/>
                <w:b/>
                <w:i w:val="0"/>
                <w:color w:val="212121"/>
                <w:sz w:val="19"/>
              </w:rPr>
              <w:t>Squamous-cell carcinoma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Rare malignant transformation of a neglected chronic sinus (calculated worldwide incidence ~0.17%), altering wide-excision strategy, staging and follow-up.</w:t>
            </w:r>
          </w:p>
          <w:p>
            <w:pPr>
              <w:spacing w:after="40" w:before="0" w:line="259" w:lineRule="auto"/>
            </w:pPr>
            <w:r>
              <w:rPr>
                <w:rFonts w:ascii="Calibri" w:hAnsi="Calibri"/>
                <w:b/>
                <w:i w:val="0"/>
                <w:color w:val="212121"/>
                <w:sz w:val="19"/>
              </w:rPr>
              <w:t>~0.17%</w:t>
            </w:r>
          </w:p>
        </w:tc>
      </w:tr>
      <w:tr>
        <w:trPr>
          <w:cantSplit/>
        </w:trPr>
        <w:tc>
          <w:tcPr>
            <w:tcW w:type="dxa" w:w="2232"/>
            <w:vAlign w:val="top"/>
          </w:tcPr>
          <w:p>
            <w:pPr>
              <w:spacing w:after="40" w:before="0" w:line="259" w:lineRule="auto"/>
            </w:pPr>
            <w:r>
              <w:rPr>
                <w:rFonts w:ascii="Calibri" w:hAnsi="Calibri"/>
                <w:b/>
                <w:i w:val="0"/>
                <w:color w:val="212121"/>
                <w:sz w:val="19"/>
              </w:rPr>
              <w:t>Depression / impaired quality of life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A recurrent, malodorous, discharging wound in young people is bidirectionally linked with low mood, body-image concerns and social withdrawal.</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natal cleft clean and dry — wash daily and dry thoroughly, especially after sweating or exercise.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hair in the cleft by regular gentle clipping/shaving or, ideally, laser depilation, which lowers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uninterrupted sitting; stand and move for a few minutes every 30–60 minutes — particularly drivers, students and desk/IT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as obesity deepens the cleft and worsens healing and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loose, breathable clothing and change out of sweaty garments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of infection — increasing pain, redness, swelling, fever or discharge — and seek timely medical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Drivers/soldiers/IT workers &amp; 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Hirsute individuals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long periods of sitting with regular standing and walking breaks.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at least 150 minutes/week of moderate activity to help control weight and central adiposity.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supportive cushion and change position frequently during long drives or study/work sessions.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weight loss if overweight, targeting abdominal fat.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Long-haul drivers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surgery, mobilise early but avoid direct pressure on the wound and prolonged sitting.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the surgeon's advice on graduated return to sitting, driving and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hair-control and hygiene routines once the wound has healed to prevent recurrence.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disease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calorie-appropriate diet to prevent obesity.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vitamin C and zinc to support wound healing, particularly around the time of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ultra-processed, energy-dense foods and sugar-sweetened beverages.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Peri-operative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young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7–9 hours of good-quality sleep to support immune function and wound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rest during the peri-operative recovery period.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it impairs skin blood flow and wound healing and increases recurrence and surgical-site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cessation support well before any planned excisional surgery.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candidates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disease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safe limits to protect nutrition, immunity and post-operative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candidates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the impact of a chronic, recurrent, malodorous wound on mood, body image and social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reassurance, counselling and, where needed, psychological support during prolonged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realistic expectations about recurrence and the importance of long-term hygiene and hair control.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non-healing wounds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3911903/" TargetMode="External"/><Relationship Id="rId10" Type="http://schemas.openxmlformats.org/officeDocument/2006/relationships/hyperlink" Target="https://pubmed.ncbi.nlm.nih.gov/39491471/" TargetMode="External"/><Relationship Id="rId11" Type="http://schemas.openxmlformats.org/officeDocument/2006/relationships/hyperlink" Target="https://pubmed.ncbi.nlm.nih.gov/27046187/" TargetMode="External"/><Relationship Id="rId12" Type="http://schemas.openxmlformats.org/officeDocument/2006/relationships/hyperlink" Target="https://pubmed.ncbi.nlm.nih.gov/16895134/" TargetMode="External"/><Relationship Id="rId13" Type="http://schemas.openxmlformats.org/officeDocument/2006/relationships/hyperlink" Target="https://pubmed.ncbi.nlm.nih.gov/35915671/" TargetMode="External"/><Relationship Id="rId14" Type="http://schemas.openxmlformats.org/officeDocument/2006/relationships/hyperlink" Target="https://www.nhs.uk/conditions/pilonidal-sinus/" TargetMode="External"/><Relationship Id="rId15" Type="http://schemas.openxmlformats.org/officeDocument/2006/relationships/hyperlink" Target="https://pubmed.ncbi.nlm.nih.gov/25396138/" TargetMode="External"/><Relationship Id="rId16" Type="http://schemas.openxmlformats.org/officeDocument/2006/relationships/hyperlink" Target="https://pubmed.ncbi.nlm.nih.gov/368495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