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Appendicitis</w:t>
      </w:r>
    </w:p>
    <w:p>
      <w:pPr>
        <w:spacing w:before="0" w:after="160"/>
      </w:pPr>
      <w:r>
        <w:rPr>
          <w:rFonts w:ascii="Calibri" w:hAnsi="Calibri"/>
          <w:b/>
          <w:i w:val="0"/>
          <w:color w:val="212121"/>
          <w:sz w:val="22"/>
        </w:rPr>
        <w:t xml:space="preserve">AKA </w:t>
      </w:r>
      <w:r>
        <w:rPr>
          <w:rFonts w:ascii="Calibri" w:hAnsi="Calibri"/>
          <w:b w:val="0"/>
          <w:i w:val="0"/>
          <w:color w:val="212121"/>
          <w:sz w:val="22"/>
        </w:rPr>
        <w:t>i.e., Acute appendicitis, inflammation of the vermiform appendix, 'appendix infection', 'appendix ka dard'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Appendicitis is acute inflammation of the vermiform appendix, most often triggered by obstruction of the appendiceal lumen (by a faecolith, lymphoid hyperplasia, parasites or, rarely, a tumour). Obstruction causes distension, bacterial overgrowth, rising intraluminal pressure, ischaemia and, if untreated, gangrene and perforation. It is the commonest cause of the surgical 'acute abdomen', classically presenting with peri-umbilical pain that migrates to the right iliac fossa. Prompt appendectomy (open or laparoscopic) is the definitive treatment; selected uncomplicated cases may be managed with antibiotics.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lifetime risk of appendicitis is about 7-8% (roughly 8.6% in men and 6.7% in women), and it is the single most common cause of the acute abdomen requiring emergency surgery in India. Historically less common in India because of a traditional high-fibre diet, its incidence is rising as urban populations shift to low-fibre, refined 'Western' diets - a trend seen across newly industrialised countries. Appendicitis accounted for an estimated 11.6 million cases and about 50,100 deaths worldwide in 2015, with peak incidence in the second and third decades of life.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appendicitis is primarily a clinical diagnosis, supported by risk-stratification scores, inflammatory markers and imaging. The following features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Classic history of peri-umbilical pain migrating to the right iliac fossa (RIF) within 12-24 hours, with anorexia, nausea or vomiting and low-grade fever;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Right-lower-quadrant tenderness maximal at McBurney's point, with guarding and rebound tenderness (Blumberg sign), and positive Rovsing, psoas or obturator signs;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Alvarado (MANTRELS) score out of 10: a score &gt;= 7 indicates high probability, while a score &lt; 5 makes appendicitis unlikely (sensitive enough to help exclude it);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Neutrophil-predominant leukocytosis (white cell count typically 12,000-15,000/cu mm) with a raised C-reactive protein (CRP); a normal white count does not exclude appendicitis;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Graded-compression ultrasound as first-line imaging (especially in children, women and pregnancy): a non-compressible, blind-ending tubular structure &gt; 6 mm;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Contrast-enhanced CT of the abdomen when the diagnosis is uncertain (most accurate test): appendiceal diameter &gt; 6 mm, wall thickening, peri-appendiceal fat stranding or an appendicolith;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of the abdomen preferred in pregnancy to avoid ionising radiation when ultrasound is inconclusive;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women of childbearing age, a urine/serum beta-hCG and pelvic assessment to exclude ectopic pregnancy and gynaecological mimics.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Appendicitis is classified by clinical course and by operative/pathological severity, which together guide urgency and choice of treatment:</w:t>
      </w:r>
    </w:p>
    <w:p>
      <w:pPr>
        <w:spacing w:before="0" w:after="80"/>
      </w:pPr>
      <w:r>
        <w:rPr>
          <w:rFonts w:ascii="Calibri" w:hAnsi="Calibri"/>
          <w:b w:val="0"/>
          <w:i w:val="0"/>
          <w:color w:val="212121"/>
          <w:sz w:val="21"/>
        </w:rPr>
        <w:t>(1) Acute uncomplicated (simple) appendicitis - an inflamed but intact appendix without gangrene, perforation, abscess or phlegmon; amenable to early appendectomy or, in selected patients, an antibiotic-first approach.</w:t>
      </w:r>
    </w:p>
    <w:p>
      <w:pPr>
        <w:spacing w:before="0" w:after="80"/>
      </w:pPr>
      <w:r>
        <w:rPr>
          <w:rFonts w:ascii="Calibri" w:hAnsi="Calibri"/>
          <w:b w:val="0"/>
          <w:i w:val="0"/>
          <w:color w:val="212121"/>
          <w:sz w:val="21"/>
        </w:rPr>
        <w:t>(2) Acute complicated appendicitis - gangrenous or perforated appendicitis, or disease associated with a peri-appendiceal abscess, phlegmon or generalised peritonitis; carries higher morbidity and requires urgent surgery with or without drainage.</w:t>
      </w:r>
    </w:p>
    <w:p>
      <w:pPr>
        <w:spacing w:before="0" w:after="80"/>
      </w:pPr>
      <w:r>
        <w:rPr>
          <w:rFonts w:ascii="Calibri" w:hAnsi="Calibri"/>
          <w:b w:val="0"/>
          <w:i w:val="0"/>
          <w:color w:val="212121"/>
          <w:sz w:val="21"/>
        </w:rPr>
        <w:t>(3) Recurrent appendicitis - repeated discrete episodes of right-iliac-fossa pain with symptom-free intervals, each resolving spontaneously or with antibiotics before eventual appendectomy.</w:t>
      </w:r>
    </w:p>
    <w:p>
      <w:pPr>
        <w:spacing w:before="0" w:after="80"/>
      </w:pPr>
      <w:r>
        <w:rPr>
          <w:rFonts w:ascii="Calibri" w:hAnsi="Calibri"/>
          <w:b w:val="0"/>
          <w:i w:val="0"/>
          <w:color w:val="212121"/>
          <w:sz w:val="21"/>
        </w:rPr>
        <w:t>(4) Chronic appendicitis - longstanding or intermittent low-grade RIF pain over weeks to months from partial luminal obstruction and fibrosis; reported in roughly 1% of cases and largely a diagnosis of exclusion.</w:t>
      </w:r>
    </w:p>
    <w:p>
      <w:pPr>
        <w:spacing w:before="0" w:after="80"/>
      </w:pPr>
      <w:r>
        <w:rPr>
          <w:rFonts w:ascii="Calibri" w:hAnsi="Calibri"/>
          <w:b w:val="0"/>
          <w:i w:val="0"/>
          <w:color w:val="212121"/>
          <w:sz w:val="21"/>
        </w:rPr>
        <w:t>(Special forms) Appendicular mass/lump - a walled-off inflammatory phlegmon presenting after 3-5 days; and appendicitis in pregnancy, where the gravid uterus displaces the appendix upward and alters the site of pain.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Luminal obstruction: The final common pathway - obstruction traps mucus, raises intraluminal pressure and causes distension, ischaemia and bacterial invasion of the wall.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Faecolith (appendicolith): An inspissated faecal concretion is the commonest obstructive cause in adults and is strongly associated with complicated, perforated disease.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Lymphoid hyperplasia: Reactive swelling of submucosal lymphoid tissue, often after viral or gastrointestinal infection, is the commonest obstructive cause in children and young adults.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Low dietary fibre: Fibre-poor, refined diets slow colonic transit and favour faecolith formation (the Burkitt hypothesis), and are implicated in rising incidence with dietary Westernisation.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Infections and parasites: Enteric infections and intestinal worms (Enterobius vermicularis/pinworm, Ascaris) can obstruct or inflame the lumen - a relevant cause in Indian settings.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Tumours and foreign bodies: Caecal or appendiceal neoplasms (particularly over age 40), seeds or ingested foreign bodies can occlude the lumen.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Familial predisposition: A positive family history is a recognised risk factor, suggesting heritable anatomical and immune influences on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and young adults (10-30 years)</w:t>
            </w:r>
          </w:p>
        </w:tc>
        <w:tc>
          <w:tcPr>
            <w:tcW w:type="dxa" w:w="4276"/>
            <w:vAlign w:val="top"/>
          </w:tcPr>
          <w:p>
            <w:pPr>
              <w:spacing w:after="60" w:line="259" w:lineRule="auto"/>
            </w:pPr>
            <w:r>
              <w:rPr>
                <w:rFonts w:ascii="Calibri" w:hAnsi="Calibri"/>
                <w:b w:val="0"/>
                <w:i w:val="0"/>
                <w:color w:val="212121"/>
                <w:sz w:val="19"/>
              </w:rPr>
              <w:t>Peak incidence occurs in the second and third decades, when appendiceal lymphoid tissue is most abundant and prone to reactive hyperplasia that obstructs the lumen.</w:t>
            </w:r>
          </w:p>
          <w:p>
            <w:pPr>
              <w:spacing w:after="40" w:before="60" w:line="259" w:lineRule="auto"/>
            </w:pPr>
            <w:r>
              <w:rPr>
                <w:rFonts w:ascii="Calibri" w:hAnsi="Calibri"/>
                <w:b w:val="0"/>
                <w:i w:val="0"/>
                <w:color w:val="212121"/>
                <w:sz w:val="19"/>
              </w:rPr>
              <w:t>Acute appendicitis is most common between about 5 and 45 years (mean presentation age ~28 years), with peak incidence at 10-30 years.</w:t>
            </w:r>
          </w:p>
          <w:p>
            <w:pPr>
              <w:spacing w:after="40" w:line="252" w:lineRule="auto"/>
            </w:pPr>
            <w:hyperlink r:id="rId9">
              <w:r>
                <w:rPr>
                  <w:rFonts w:ascii="Calibri" w:hAnsi="Calibri" w:cs="Calibri"/>
                  <w:sz w:val="18"/>
                  <w:color w:val="1155CC"/>
                  <w:u w:val="single"/>
                </w:rPr>
                <w:t xml:space="preserve">link.springer.com - WSES 2020 acute appendicitis guidelines</w:t>
              </w:r>
            </w:hyperlink>
          </w:p>
          <w:p>
            <w:pPr>
              <w:spacing w:before="60" w:after="40"/>
            </w:pPr>
            <w:r>
              <w:rPr>
                <w:rFonts w:ascii="Calibri" w:hAnsi="Calibri"/>
                <w:b w:val="0"/>
                <w:i w:val="0"/>
                <w:color w:val="5A5A5A"/>
                <w:sz w:val="18"/>
              </w:rPr>
              <w:t>#appendicitis  #lymphoidhyperplasia  #youngadults  #acuteabdomen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(over 50 years)</w:t>
            </w:r>
          </w:p>
        </w:tc>
        <w:tc>
          <w:tcPr>
            <w:tcW w:type="dxa" w:w="4276"/>
            <w:vAlign w:val="top"/>
          </w:tcPr>
          <w:p>
            <w:pPr>
              <w:spacing w:after="60" w:line="259" w:lineRule="auto"/>
            </w:pPr>
            <w:r>
              <w:rPr>
                <w:rFonts w:ascii="Calibri" w:hAnsi="Calibri"/>
                <w:b w:val="0"/>
                <w:i w:val="0"/>
                <w:color w:val="212121"/>
                <w:sz w:val="19"/>
              </w:rPr>
              <w:t>Blunted inflammatory response, atypical or vague symptoms and comorbidity delay diagnosis, so the elderly present later with gangrene or perforation.</w:t>
            </w:r>
          </w:p>
          <w:p>
            <w:pPr>
              <w:spacing w:after="40" w:before="60" w:line="259" w:lineRule="auto"/>
            </w:pPr>
            <w:r>
              <w:rPr>
                <w:rFonts w:ascii="Calibri" w:hAnsi="Calibri"/>
                <w:b w:val="0"/>
                <w:i w:val="0"/>
                <w:color w:val="212121"/>
                <w:sz w:val="19"/>
              </w:rPr>
              <w:t>Perforation is found in roughly 55-70% of appendicitis patients aged over 50, versus 16-40% overall.</w:t>
            </w:r>
          </w:p>
          <w:p>
            <w:pPr>
              <w:spacing w:after="40" w:line="252" w:lineRule="auto"/>
            </w:pPr>
            <w:hyperlink r:id="rId9">
              <w:r>
                <w:rPr>
                  <w:rFonts w:ascii="Calibri" w:hAnsi="Calibri" w:cs="Calibri"/>
                  <w:sz w:val="18"/>
                  <w:color w:val="1155CC"/>
                  <w:u w:val="single"/>
                </w:rPr>
                <w:t xml:space="preserve">link.springer.com - WSES perforation rates by age</w:t>
              </w:r>
            </w:hyperlink>
          </w:p>
          <w:p>
            <w:pPr>
              <w:spacing w:before="60" w:after="40"/>
            </w:pPr>
            <w:r>
              <w:rPr>
                <w:rFonts w:ascii="Calibri" w:hAnsi="Calibri"/>
                <w:b w:val="0"/>
                <w:i w:val="0"/>
                <w:color w:val="5A5A5A"/>
                <w:sz w:val="18"/>
              </w:rPr>
              <w:t>#elderly  #perforation  #delayeddiagnosis  #atypical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 children (under 5 years)</w:t>
            </w:r>
          </w:p>
        </w:tc>
        <w:tc>
          <w:tcPr>
            <w:tcW w:type="dxa" w:w="4276"/>
            <w:vAlign w:val="top"/>
          </w:tcPr>
          <w:p>
            <w:pPr>
              <w:spacing w:after="60" w:line="259" w:lineRule="auto"/>
            </w:pPr>
            <w:r>
              <w:rPr>
                <w:rFonts w:ascii="Calibri" w:hAnsi="Calibri"/>
                <w:b w:val="0"/>
                <w:i w:val="0"/>
                <w:color w:val="212121"/>
                <w:sz w:val="19"/>
              </w:rPr>
              <w:t>Inability to localise pain, a thin appendiceal wall and an underdeveloped omentum mean children decompensate quickly, with high perforation and peritonitis rates.</w:t>
            </w:r>
          </w:p>
          <w:p>
            <w:pPr>
              <w:spacing w:after="40" w:before="60" w:line="259" w:lineRule="auto"/>
            </w:pPr>
            <w:r>
              <w:rPr>
                <w:rFonts w:ascii="Calibri" w:hAnsi="Calibri"/>
                <w:b w:val="0"/>
                <w:i w:val="0"/>
                <w:color w:val="212121"/>
                <w:sz w:val="19"/>
              </w:rPr>
              <w:t>Appendicitis can occur at any age but is rare in infants under 12 months; young children have disproportionately high perforation rates.</w:t>
            </w:r>
          </w:p>
          <w:p>
            <w:pPr>
              <w:spacing w:after="40" w:line="252" w:lineRule="auto"/>
            </w:pPr>
            <w:hyperlink r:id="rId10">
              <w:r>
                <w:rPr>
                  <w:rFonts w:ascii="Calibri" w:hAnsi="Calibri" w:cs="Calibri"/>
                  <w:sz w:val="18"/>
                  <w:color w:val="1155CC"/>
                  <w:u w:val="single"/>
                </w:rPr>
                <w:t xml:space="preserve">nhs.uk - appendicitis (who it affects)</w:t>
              </w:r>
            </w:hyperlink>
          </w:p>
          <w:p>
            <w:pPr>
              <w:spacing w:before="60" w:after="40"/>
            </w:pPr>
            <w:r>
              <w:rPr>
                <w:rFonts w:ascii="Calibri" w:hAnsi="Calibri"/>
                <w:b w:val="0"/>
                <w:i w:val="0"/>
                <w:color w:val="5A5A5A"/>
                <w:sz w:val="18"/>
              </w:rPr>
              <w:t>#paediatric  #perforation  #peritonitis  #atypicalpresentation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have a modestly higher true incidence of appendicitis, reflected in a higher lifetime risk than females.</w:t>
            </w:r>
          </w:p>
          <w:p>
            <w:pPr>
              <w:spacing w:after="40" w:before="60" w:line="259" w:lineRule="auto"/>
            </w:pPr>
            <w:r>
              <w:rPr>
                <w:rFonts w:ascii="Calibri" w:hAnsi="Calibri"/>
                <w:b w:val="0"/>
                <w:i w:val="0"/>
                <w:color w:val="212121"/>
                <w:sz w:val="19"/>
              </w:rPr>
              <w:t>Lifetime incidence of acute appendicitis is about 8.6% in males versus 6.7% in females, with a slight male preponderance.</w:t>
            </w:r>
          </w:p>
          <w:p>
            <w:pPr>
              <w:spacing w:after="40" w:line="252" w:lineRule="auto"/>
            </w:pPr>
            <w:hyperlink r:id="rId11">
              <w:r>
                <w:rPr>
                  <w:rFonts w:ascii="Calibri" w:hAnsi="Calibri" w:cs="Calibri"/>
                  <w:sz w:val="18"/>
                  <w:color w:val="1155CC"/>
                  <w:u w:val="single"/>
                </w:rPr>
                <w:t xml:space="preserve">ncbi.nlm.nih.gov - StatPearls Appendicitis</w:t>
              </w:r>
            </w:hyperlink>
          </w:p>
          <w:p>
            <w:pPr>
              <w:spacing w:before="60" w:after="40"/>
            </w:pPr>
            <w:r>
              <w:rPr>
                <w:rFonts w:ascii="Calibri" w:hAnsi="Calibri"/>
                <w:b w:val="0"/>
                <w:i w:val="0"/>
                <w:color w:val="5A5A5A"/>
                <w:sz w:val="18"/>
              </w:rPr>
              <w:t>#male  #lifetimerisk  #incidence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Females of reproductive age</w:t>
            </w:r>
          </w:p>
        </w:tc>
        <w:tc>
          <w:tcPr>
            <w:tcW w:type="dxa" w:w="4276"/>
            <w:vAlign w:val="top"/>
          </w:tcPr>
          <w:p>
            <w:pPr>
              <w:spacing w:after="60" w:line="259" w:lineRule="auto"/>
            </w:pPr>
            <w:r>
              <w:rPr>
                <w:rFonts w:ascii="Calibri" w:hAnsi="Calibri"/>
                <w:b w:val="0"/>
                <w:i w:val="0"/>
                <w:color w:val="212121"/>
                <w:sz w:val="19"/>
              </w:rPr>
              <w:t>Gynaecological mimics (ovarian cyst/torsion, pelvic inflammatory disease, ectopic pregnancy, mittelschmerz) overlap with RIF pain, making diagnosis harder and raising the negative-appendectomy rate.</w:t>
            </w:r>
          </w:p>
          <w:p>
            <w:pPr>
              <w:spacing w:after="40" w:before="60" w:line="259" w:lineRule="auto"/>
            </w:pPr>
            <w:r>
              <w:rPr>
                <w:rFonts w:ascii="Calibri" w:hAnsi="Calibri"/>
                <w:b w:val="0"/>
                <w:i w:val="0"/>
                <w:color w:val="212121"/>
                <w:sz w:val="19"/>
              </w:rPr>
              <w:t>Risk-stratification and imaging (AIR/Adult Appendicitis Score, ultrasound/CT) are advised in women to reduce unnecessary (negative) appendectomies.</w:t>
            </w:r>
          </w:p>
          <w:p>
            <w:pPr>
              <w:spacing w:after="40" w:line="252" w:lineRule="auto"/>
            </w:pPr>
            <w:hyperlink r:id="rId9">
              <w:r>
                <w:rPr>
                  <w:rFonts w:ascii="Calibri" w:hAnsi="Calibri" w:cs="Calibri"/>
                  <w:sz w:val="18"/>
                  <w:color w:val="1155CC"/>
                  <w:u w:val="single"/>
                </w:rPr>
                <w:t xml:space="preserve">link.springer.com - WSES scores reduce negative appendectomy</w:t>
              </w:r>
            </w:hyperlink>
          </w:p>
          <w:p>
            <w:pPr>
              <w:spacing w:before="60" w:after="40"/>
            </w:pPr>
            <w:r>
              <w:rPr>
                <w:rFonts w:ascii="Calibri" w:hAnsi="Calibri"/>
                <w:b w:val="0"/>
                <w:i w:val="0"/>
                <w:color w:val="5A5A5A"/>
                <w:sz w:val="18"/>
              </w:rPr>
              <w:t>#female  #gynaemimics  #negativeappendectomy  #ectopic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groups with limited healthcare access</w:t>
            </w:r>
          </w:p>
        </w:tc>
        <w:tc>
          <w:tcPr>
            <w:tcW w:type="dxa" w:w="4276"/>
            <w:vAlign w:val="top"/>
          </w:tcPr>
          <w:p>
            <w:pPr>
              <w:spacing w:after="60" w:line="259" w:lineRule="auto"/>
            </w:pPr>
            <w:r>
              <w:rPr>
                <w:rFonts w:ascii="Calibri" w:hAnsi="Calibri"/>
                <w:b w:val="0"/>
                <w:i w:val="0"/>
                <w:color w:val="212121"/>
                <w:sz w:val="19"/>
              </w:rPr>
              <w:t>Delayed presentation from cost, distance or low awareness allows a simple appendicitis to progress to perforation before surgery.</w:t>
            </w:r>
          </w:p>
          <w:p>
            <w:pPr>
              <w:spacing w:after="40" w:before="60" w:line="259" w:lineRule="auto"/>
            </w:pPr>
            <w:r>
              <w:rPr>
                <w:rFonts w:ascii="Calibri" w:hAnsi="Calibri"/>
                <w:b w:val="0"/>
                <w:i w:val="0"/>
                <w:color w:val="212121"/>
                <w:sz w:val="19"/>
              </w:rPr>
              <w:t>The risk of perforation rises with delay - by roughly 5% for every additional 12 hours from symptom onset without treatment.</w:t>
            </w:r>
          </w:p>
          <w:p>
            <w:pPr>
              <w:spacing w:after="40" w:line="252" w:lineRule="auto"/>
            </w:pPr>
            <w:hyperlink r:id="rId11">
              <w:r>
                <w:rPr>
                  <w:rFonts w:ascii="Calibri" w:hAnsi="Calibri" w:cs="Calibri"/>
                  <w:sz w:val="18"/>
                  <w:color w:val="1155CC"/>
                  <w:u w:val="single"/>
                </w:rPr>
                <w:t xml:space="preserve">ncbi.nlm.nih.gov - StatPearls (perforation and delay)</w:t>
              </w:r>
            </w:hyperlink>
          </w:p>
          <w:p>
            <w:pPr>
              <w:spacing w:before="60" w:after="40"/>
            </w:pPr>
            <w:r>
              <w:rPr>
                <w:rFonts w:ascii="Calibri" w:hAnsi="Calibri"/>
                <w:b w:val="0"/>
                <w:i w:val="0"/>
                <w:color w:val="5A5A5A"/>
                <w:sz w:val="18"/>
              </w:rPr>
              <w:t>#lowSES  #delayedcare  #perforation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Urban Indians and newly industrialised populations</w:t>
            </w:r>
          </w:p>
        </w:tc>
        <w:tc>
          <w:tcPr>
            <w:tcW w:type="dxa" w:w="4276"/>
            <w:vAlign w:val="top"/>
          </w:tcPr>
          <w:p>
            <w:pPr>
              <w:spacing w:after="60" w:line="259" w:lineRule="auto"/>
            </w:pPr>
            <w:r>
              <w:rPr>
                <w:rFonts w:ascii="Calibri" w:hAnsi="Calibri"/>
                <w:b w:val="0"/>
                <w:i w:val="0"/>
                <w:color w:val="212121"/>
                <w:sz w:val="19"/>
              </w:rPr>
              <w:t>Migration from traditional high-fibre diets to low-fibre, refined, energy-dense 'Western' diets increases faecolith formation and appendicitis incidence.</w:t>
            </w:r>
          </w:p>
          <w:p>
            <w:pPr>
              <w:spacing w:after="40" w:before="60" w:line="259" w:lineRule="auto"/>
            </w:pPr>
            <w:r>
              <w:rPr>
                <w:rFonts w:ascii="Calibri" w:hAnsi="Calibri"/>
                <w:b w:val="0"/>
                <w:i w:val="0"/>
                <w:color w:val="212121"/>
                <w:sz w:val="19"/>
              </w:rPr>
              <w:t>Appendicitis incidence is rising in newly industrialised countries (e.g. ~206 per 100,000 in South Korea) as diets Westernise, unlike the stable/declining rates in the West.</w:t>
            </w:r>
          </w:p>
          <w:p>
            <w:pPr>
              <w:spacing w:after="40" w:line="252" w:lineRule="auto"/>
            </w:pPr>
            <w:hyperlink r:id="rId12">
              <w:r>
                <w:rPr>
                  <w:rFonts w:ascii="Calibri" w:hAnsi="Calibri" w:cs="Calibri"/>
                  <w:sz w:val="18"/>
                  <w:color w:val="1155CC"/>
                  <w:u w:val="single"/>
                </w:rPr>
                <w:t xml:space="preserve">pubmed.ncbi.nlm.nih.gov/28288060 - global incidence of appendicitis</w:t>
              </w:r>
            </w:hyperlink>
          </w:p>
          <w:p>
            <w:pPr>
              <w:spacing w:before="60" w:after="40"/>
            </w:pPr>
            <w:r>
              <w:rPr>
                <w:rFonts w:ascii="Calibri" w:hAnsi="Calibri"/>
                <w:b w:val="0"/>
                <w:i w:val="0"/>
                <w:color w:val="5A5A5A"/>
                <w:sz w:val="18"/>
              </w:rPr>
              <w:t>#urbanindia  #dietarytransition  #lowfibre  #westernisation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 remote communities</w:t>
            </w:r>
          </w:p>
        </w:tc>
        <w:tc>
          <w:tcPr>
            <w:tcW w:type="dxa" w:w="4276"/>
            <w:vAlign w:val="top"/>
          </w:tcPr>
          <w:p>
            <w:pPr>
              <w:spacing w:after="60" w:line="259" w:lineRule="auto"/>
            </w:pPr>
            <w:r>
              <w:rPr>
                <w:rFonts w:ascii="Calibri" w:hAnsi="Calibri"/>
                <w:b w:val="0"/>
                <w:i w:val="0"/>
                <w:color w:val="212121"/>
                <w:sz w:val="19"/>
              </w:rPr>
              <w:t>Longer travel times and fewer surgical facilities delay definitive care, shifting the presentation toward complicated, perforated disease and appendicular mass.</w:t>
            </w:r>
          </w:p>
          <w:p>
            <w:pPr>
              <w:spacing w:after="40" w:before="60" w:line="259" w:lineRule="auto"/>
            </w:pPr>
            <w:r>
              <w:rPr>
                <w:rFonts w:ascii="Calibri" w:hAnsi="Calibri"/>
                <w:b w:val="0"/>
                <w:i w:val="0"/>
                <w:color w:val="212121"/>
                <w:sz w:val="19"/>
              </w:rPr>
              <w:t>Communities adopting a lower-fibre Western diet show rising appendicitis frequency alongside diverticular disease and colonic polyps.</w:t>
            </w:r>
          </w:p>
          <w:p>
            <w:pPr>
              <w:spacing w:after="40" w:line="252" w:lineRule="auto"/>
            </w:pPr>
            <w:hyperlink r:id="rId13">
              <w:r>
                <w:rPr>
                  <w:rFonts w:ascii="Calibri" w:hAnsi="Calibri" w:cs="Calibri"/>
                  <w:sz w:val="18"/>
                  <w:color w:val="1155CC"/>
                  <w:u w:val="single"/>
                </w:rPr>
                <w:t xml:space="preserve">en.wikipedia.org - Appendicitis (diet and epidemiology)</w:t>
              </w:r>
            </w:hyperlink>
          </w:p>
          <w:p>
            <w:pPr>
              <w:spacing w:before="60" w:after="40"/>
            </w:pPr>
            <w:r>
              <w:rPr>
                <w:rFonts w:ascii="Calibri" w:hAnsi="Calibri"/>
                <w:b w:val="0"/>
                <w:i w:val="0"/>
                <w:color w:val="5A5A5A"/>
                <w:sz w:val="18"/>
              </w:rPr>
              <w:t>#rural  #delayedcare  #complicated  #appendicularmass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adults with chronic constipation</w:t>
            </w:r>
          </w:p>
        </w:tc>
        <w:tc>
          <w:tcPr>
            <w:tcW w:type="dxa" w:w="4276"/>
            <w:vAlign w:val="top"/>
          </w:tcPr>
          <w:p>
            <w:pPr>
              <w:spacing w:after="60" w:line="259" w:lineRule="auto"/>
            </w:pPr>
            <w:r>
              <w:rPr>
                <w:rFonts w:ascii="Calibri" w:hAnsi="Calibri"/>
                <w:b w:val="0"/>
                <w:i w:val="0"/>
                <w:color w:val="212121"/>
                <w:sz w:val="19"/>
              </w:rPr>
              <w:t>Physical inactivity and constipation slow colonic transit and promote inspissated stool, favouring faecolith formation and luminal obstruction.</w:t>
            </w:r>
          </w:p>
          <w:p>
            <w:pPr>
              <w:spacing w:after="40" w:before="60" w:line="259" w:lineRule="auto"/>
            </w:pPr>
            <w:r>
              <w:rPr>
                <w:rFonts w:ascii="Calibri" w:hAnsi="Calibri"/>
                <w:b w:val="0"/>
                <w:i w:val="0"/>
                <w:color w:val="212121"/>
                <w:sz w:val="19"/>
              </w:rPr>
              <w:t>Faecoliths, more common with slow transit and low-fibre intake, are strongly associated with complicated appendicitis.</w:t>
            </w:r>
          </w:p>
          <w:p>
            <w:pPr>
              <w:spacing w:after="40" w:line="252" w:lineRule="auto"/>
            </w:pPr>
            <w:hyperlink r:id="rId13">
              <w:r>
                <w:rPr>
                  <w:rFonts w:ascii="Calibri" w:hAnsi="Calibri" w:cs="Calibri"/>
                  <w:sz w:val="18"/>
                  <w:color w:val="1155CC"/>
                  <w:u w:val="single"/>
                </w:rPr>
                <w:t xml:space="preserve">en.wikipedia.org - Appendicitis (fecalith and fibre)</w:t>
              </w:r>
            </w:hyperlink>
          </w:p>
          <w:p>
            <w:pPr>
              <w:spacing w:before="60" w:after="40"/>
            </w:pPr>
            <w:r>
              <w:rPr>
                <w:rFonts w:ascii="Calibri" w:hAnsi="Calibri"/>
                <w:b w:val="0"/>
                <w:i w:val="0"/>
                <w:color w:val="5A5A5A"/>
                <w:sz w:val="18"/>
              </w:rPr>
              <w:t>#sedentary  #constipation  #faecolith  #slowtransit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w:t>
            </w:r>
          </w:p>
        </w:tc>
        <w:tc>
          <w:tcPr>
            <w:tcW w:type="dxa" w:w="4276"/>
            <w:vAlign w:val="top"/>
          </w:tcPr>
          <w:p>
            <w:pPr>
              <w:spacing w:after="60" w:line="259" w:lineRule="auto"/>
            </w:pPr>
            <w:r>
              <w:rPr>
                <w:rFonts w:ascii="Calibri" w:hAnsi="Calibri"/>
                <w:b w:val="0"/>
                <w:i w:val="0"/>
                <w:color w:val="212121"/>
                <w:sz w:val="19"/>
              </w:rPr>
              <w:t>Smoking promotes systemic inflammation and impairs mucosal and immune function; some cohorts link it to a higher risk of acute appendicitis and it worsens post-operative wound healing.</w:t>
            </w:r>
          </w:p>
          <w:p>
            <w:pPr>
              <w:spacing w:after="40" w:before="60" w:line="259" w:lineRule="auto"/>
            </w:pPr>
            <w:r>
              <w:rPr>
                <w:rFonts w:ascii="Calibri" w:hAnsi="Calibri"/>
                <w:b w:val="0"/>
                <w:i w:val="0"/>
                <w:color w:val="212121"/>
                <w:sz w:val="19"/>
              </w:rPr>
              <w:t>Evidence is mixed, but smoking is associated with poorer surgical wound healing and higher perioperative complication risk.</w:t>
            </w:r>
          </w:p>
          <w:p>
            <w:pPr>
              <w:spacing w:before="60" w:after="40"/>
            </w:pPr>
            <w:r>
              <w:rPr>
                <w:rFonts w:ascii="Calibri" w:hAnsi="Calibri"/>
                <w:b w:val="0"/>
                <w:i w:val="0"/>
                <w:color w:val="5A5A5A"/>
                <w:sz w:val="18"/>
              </w:rPr>
              <w:t>#smoking  #inflammation  #woundhealing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Alcohol is not an established cause of appendicitis, but heavy use produces acute-abdomen mimics (pancreatitis, gastritis, hepatitis) and can blunt or obscure symptoms, delaying diagnosis.</w:t>
            </w:r>
          </w:p>
          <w:p>
            <w:pPr>
              <w:spacing w:after="40" w:before="60" w:line="259" w:lineRule="auto"/>
            </w:pPr>
            <w:r>
              <w:rPr>
                <w:rFonts w:ascii="Calibri" w:hAnsi="Calibri"/>
                <w:b w:val="0"/>
                <w:i w:val="0"/>
                <w:color w:val="212121"/>
                <w:sz w:val="19"/>
              </w:rPr>
              <w:t>No consistent causal link to appendicitis; the main relevance is diagnostic confusion and delayed presentation.</w:t>
            </w:r>
          </w:p>
          <w:p>
            <w:pPr>
              <w:spacing w:before="60" w:after="40"/>
            </w:pPr>
            <w:r>
              <w:rPr>
                <w:rFonts w:ascii="Calibri" w:hAnsi="Calibri"/>
                <w:b w:val="0"/>
                <w:i w:val="0"/>
                <w:color w:val="5A5A5A"/>
                <w:sz w:val="18"/>
              </w:rPr>
              <w:t>#alcohol  #acuteabdomen  #mimics  #diagnosticdelay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Low-fibre, refined-carbohydrate diet</w:t>
            </w:r>
          </w:p>
        </w:tc>
        <w:tc>
          <w:tcPr>
            <w:tcW w:type="dxa" w:w="4276"/>
            <w:vAlign w:val="top"/>
          </w:tcPr>
          <w:p>
            <w:pPr>
              <w:spacing w:after="60" w:line="259" w:lineRule="auto"/>
            </w:pPr>
            <w:r>
              <w:rPr>
                <w:rFonts w:ascii="Calibri" w:hAnsi="Calibri"/>
                <w:b w:val="0"/>
                <w:i w:val="0"/>
                <w:color w:val="212121"/>
                <w:sz w:val="19"/>
              </w:rPr>
              <w:t>Fibre-poor diets slow transit and harden stool, promoting faecolith formation - the classic Burkitt dietary-fibre hypothesis for appendicitis.</w:t>
            </w:r>
          </w:p>
          <w:p>
            <w:pPr>
              <w:spacing w:after="40" w:before="60" w:line="259" w:lineRule="auto"/>
            </w:pPr>
            <w:r>
              <w:rPr>
                <w:rFonts w:ascii="Calibri" w:hAnsi="Calibri"/>
                <w:b w:val="0"/>
                <w:i w:val="0"/>
                <w:color w:val="212121"/>
                <w:sz w:val="19"/>
              </w:rPr>
              <w:t>Low fibre intake is repeatedly implicated in appendicitis; a shift to a lower-fibre Western diet accompanies rising incidence.</w:t>
            </w:r>
          </w:p>
          <w:p>
            <w:pPr>
              <w:spacing w:after="40" w:line="252" w:lineRule="auto"/>
            </w:pPr>
            <w:hyperlink r:id="rId13">
              <w:r>
                <w:rPr>
                  <w:rFonts w:ascii="Calibri" w:hAnsi="Calibri" w:cs="Calibri"/>
                  <w:sz w:val="18"/>
                  <w:color w:val="1155CC"/>
                  <w:u w:val="single"/>
                </w:rPr>
                <w:t xml:space="preserve">en.wikipedia.org - Appendicitis (dietary fibre hypothesis)</w:t>
              </w:r>
            </w:hyperlink>
          </w:p>
          <w:p>
            <w:pPr>
              <w:spacing w:before="60" w:after="40"/>
            </w:pPr>
            <w:r>
              <w:rPr>
                <w:rFonts w:ascii="Calibri" w:hAnsi="Calibri"/>
                <w:b w:val="0"/>
                <w:i w:val="0"/>
                <w:color w:val="5A5A5A"/>
                <w:sz w:val="18"/>
              </w:rPr>
              <w:t>#lowfibre  #refinedcarbs  #burkitthypothesis  #faecolith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Fruit and vegetable intake</w:t>
            </w:r>
          </w:p>
        </w:tc>
        <w:tc>
          <w:tcPr>
            <w:tcW w:type="dxa" w:w="2160"/>
            <w:vAlign w:val="top"/>
          </w:tcPr>
          <w:p>
            <w:pPr>
              <w:spacing w:after="40" w:before="0" w:line="259" w:lineRule="auto"/>
            </w:pPr>
            <w:r>
              <w:rPr>
                <w:rFonts w:ascii="Calibri" w:hAnsi="Calibri"/>
                <w:b w:val="0"/>
                <w:i w:val="0"/>
                <w:color w:val="212121"/>
                <w:sz w:val="19"/>
              </w:rPr>
              <w:t>People eating few fruits and vegetables</w:t>
            </w:r>
          </w:p>
        </w:tc>
        <w:tc>
          <w:tcPr>
            <w:tcW w:type="dxa" w:w="4276"/>
            <w:vAlign w:val="top"/>
          </w:tcPr>
          <w:p>
            <w:pPr>
              <w:spacing w:after="60" w:line="259" w:lineRule="auto"/>
            </w:pPr>
            <w:r>
              <w:rPr>
                <w:rFonts w:ascii="Calibri" w:hAnsi="Calibri"/>
                <w:b w:val="0"/>
                <w:i w:val="0"/>
                <w:color w:val="212121"/>
                <w:sz w:val="19"/>
              </w:rPr>
              <w:t>Low intake of fruits, vegetables and whole grains reduces the protective bulking and transit effect of fibre, favouring luminal stasis and obstruction.</w:t>
            </w:r>
          </w:p>
          <w:p>
            <w:pPr>
              <w:spacing w:after="40" w:before="60" w:line="259" w:lineRule="auto"/>
            </w:pPr>
            <w:r>
              <w:rPr>
                <w:rFonts w:ascii="Calibri" w:hAnsi="Calibri"/>
                <w:b w:val="0"/>
                <w:i w:val="0"/>
                <w:color w:val="212121"/>
                <w:sz w:val="19"/>
              </w:rPr>
              <w:t>Adequate dietary fibre (whole grains, pulses, fruit and vegetables) is protective against faecolith-related obstruction.</w:t>
            </w:r>
          </w:p>
          <w:p>
            <w:pPr>
              <w:spacing w:before="60" w:after="40"/>
            </w:pPr>
            <w:r>
              <w:rPr>
                <w:rFonts w:ascii="Calibri" w:hAnsi="Calibri"/>
                <w:b w:val="0"/>
                <w:i w:val="0"/>
                <w:color w:val="5A5A5A"/>
                <w:sz w:val="18"/>
              </w:rPr>
              <w:t>#lowveg  #fibre  #transit  #prevention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appendicitis</w:t>
            </w:r>
          </w:p>
        </w:tc>
        <w:tc>
          <w:tcPr>
            <w:tcW w:type="dxa" w:w="4276"/>
            <w:vAlign w:val="top"/>
          </w:tcPr>
          <w:p>
            <w:pPr>
              <w:spacing w:after="60" w:line="259" w:lineRule="auto"/>
            </w:pPr>
            <w:r>
              <w:rPr>
                <w:rFonts w:ascii="Calibri" w:hAnsi="Calibri"/>
                <w:b w:val="0"/>
                <w:i w:val="0"/>
                <w:color w:val="212121"/>
                <w:sz w:val="19"/>
              </w:rPr>
              <w:t>A positive family history increases risk, indicating heritable anatomical features (appendiceal shape/lumen) and immune responses that predispose to obstruction and inflammation.</w:t>
            </w:r>
          </w:p>
          <w:p>
            <w:pPr>
              <w:spacing w:after="40" w:before="60" w:line="259" w:lineRule="auto"/>
            </w:pPr>
            <w:r>
              <w:rPr>
                <w:rFonts w:ascii="Calibri" w:hAnsi="Calibri"/>
                <w:b w:val="0"/>
                <w:i w:val="0"/>
                <w:color w:val="212121"/>
                <w:sz w:val="19"/>
              </w:rPr>
              <w:t>Family history of appendicitis is a recognised, independent risk factor for the condition.</w:t>
            </w:r>
          </w:p>
          <w:p>
            <w:pPr>
              <w:spacing w:before="60" w:after="40"/>
            </w:pPr>
            <w:r>
              <w:rPr>
                <w:rFonts w:ascii="Calibri" w:hAnsi="Calibri"/>
                <w:b w:val="0"/>
                <w:i w:val="0"/>
                <w:color w:val="5A5A5A"/>
                <w:sz w:val="18"/>
              </w:rPr>
              <w:t>#familyhistory  #heritable  #anatomy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Faecolith / appendicolith</w:t>
            </w:r>
          </w:p>
        </w:tc>
        <w:tc>
          <w:tcPr>
            <w:tcW w:type="dxa" w:w="2160"/>
            <w:vAlign w:val="top"/>
          </w:tcPr>
          <w:p>
            <w:pPr>
              <w:spacing w:after="40" w:before="0" w:line="259" w:lineRule="auto"/>
            </w:pPr>
            <w:r>
              <w:rPr>
                <w:rFonts w:ascii="Calibri" w:hAnsi="Calibri"/>
                <w:b w:val="0"/>
                <w:i w:val="0"/>
                <w:color w:val="212121"/>
                <w:sz w:val="19"/>
              </w:rPr>
              <w:t>Patients with an obstructing appendicolith</w:t>
            </w:r>
          </w:p>
        </w:tc>
        <w:tc>
          <w:tcPr>
            <w:tcW w:type="dxa" w:w="4276"/>
            <w:vAlign w:val="top"/>
          </w:tcPr>
          <w:p>
            <w:pPr>
              <w:spacing w:after="60" w:line="259" w:lineRule="auto"/>
            </w:pPr>
            <w:r>
              <w:rPr>
                <w:rFonts w:ascii="Calibri" w:hAnsi="Calibri"/>
                <w:b w:val="0"/>
                <w:i w:val="0"/>
                <w:color w:val="212121"/>
                <w:sz w:val="19"/>
              </w:rPr>
              <w:t>A calcified faecal concretion mechanically obstructs the lumen, raising the likelihood of progression to gangrene and perforation.</w:t>
            </w:r>
          </w:p>
          <w:p>
            <w:pPr>
              <w:spacing w:after="40" w:before="60" w:line="259" w:lineRule="auto"/>
            </w:pPr>
            <w:r>
              <w:rPr>
                <w:rFonts w:ascii="Calibri" w:hAnsi="Calibri"/>
                <w:b w:val="0"/>
                <w:i w:val="0"/>
                <w:color w:val="212121"/>
                <w:sz w:val="19"/>
              </w:rPr>
              <w:t>Appendiceal fecaliths are commonly associated with complicated (gangrenous/perforated) appendicitis.</w:t>
            </w:r>
          </w:p>
          <w:p>
            <w:pPr>
              <w:spacing w:after="40" w:line="252" w:lineRule="auto"/>
            </w:pPr>
            <w:hyperlink r:id="rId13">
              <w:r>
                <w:rPr>
                  <w:rFonts w:ascii="Calibri" w:hAnsi="Calibri" w:cs="Calibri"/>
                  <w:sz w:val="18"/>
                  <w:color w:val="1155CC"/>
                  <w:u w:val="single"/>
                </w:rPr>
                <w:t xml:space="preserve">en.wikipedia.org - Appendicitis (fecalith)</w:t>
              </w:r>
            </w:hyperlink>
          </w:p>
          <w:p>
            <w:pPr>
              <w:spacing w:before="60" w:after="40"/>
            </w:pPr>
            <w:r>
              <w:rPr>
                <w:rFonts w:ascii="Calibri" w:hAnsi="Calibri"/>
                <w:b w:val="0"/>
                <w:i w:val="0"/>
                <w:color w:val="5A5A5A"/>
                <w:sz w:val="18"/>
              </w:rPr>
              <w:t>#appendicolith  #faecolith  #obstruction  #complicated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Intestinal parasitic infestation</w:t>
            </w:r>
          </w:p>
        </w:tc>
        <w:tc>
          <w:tcPr>
            <w:tcW w:type="dxa" w:w="2160"/>
            <w:vAlign w:val="top"/>
          </w:tcPr>
          <w:p>
            <w:pPr>
              <w:spacing w:after="40" w:before="0" w:line="259" w:lineRule="auto"/>
            </w:pPr>
            <w:r>
              <w:rPr>
                <w:rFonts w:ascii="Calibri" w:hAnsi="Calibri"/>
                <w:b w:val="0"/>
                <w:i w:val="0"/>
                <w:color w:val="212121"/>
                <w:sz w:val="19"/>
              </w:rPr>
              <w:t>Children/adults with pinworm (Enterobius) or Ascaris</w:t>
            </w:r>
          </w:p>
        </w:tc>
        <w:tc>
          <w:tcPr>
            <w:tcW w:type="dxa" w:w="4276"/>
            <w:vAlign w:val="top"/>
          </w:tcPr>
          <w:p>
            <w:pPr>
              <w:spacing w:after="60" w:line="259" w:lineRule="auto"/>
            </w:pPr>
            <w:r>
              <w:rPr>
                <w:rFonts w:ascii="Calibri" w:hAnsi="Calibri"/>
                <w:b w:val="0"/>
                <w:i w:val="0"/>
                <w:color w:val="212121"/>
                <w:sz w:val="19"/>
              </w:rPr>
              <w:t>Worms can physically obstruct the appendiceal lumen or provoke lymphoid hyperplasia and inflammation - a locally important cause where helminth infection is common.</w:t>
            </w:r>
          </w:p>
          <w:p>
            <w:pPr>
              <w:spacing w:after="40" w:before="60" w:line="259" w:lineRule="auto"/>
            </w:pPr>
            <w:r>
              <w:rPr>
                <w:rFonts w:ascii="Calibri" w:hAnsi="Calibri"/>
                <w:b w:val="0"/>
                <w:i w:val="0"/>
                <w:color w:val="212121"/>
                <w:sz w:val="19"/>
              </w:rPr>
              <w:t>Parasites including Enterobius vermicularis (pinworm) and Ascaris are recognised causes of luminal obstruction and appendicitis.</w:t>
            </w:r>
          </w:p>
          <w:p>
            <w:pPr>
              <w:spacing w:after="40" w:line="252" w:lineRule="auto"/>
            </w:pPr>
            <w:hyperlink r:id="rId14">
              <w:r>
                <w:rPr>
                  <w:rFonts w:ascii="Calibri" w:hAnsi="Calibri" w:cs="Calibri"/>
                  <w:sz w:val="18"/>
                  <w:color w:val="1155CC"/>
                  <w:u w:val="single"/>
                </w:rPr>
                <w:t xml:space="preserve">merckmanuals.com - Appendicitis (causes incl. worms)</w:t>
              </w:r>
            </w:hyperlink>
          </w:p>
          <w:p>
            <w:pPr>
              <w:spacing w:before="60" w:after="40"/>
            </w:pPr>
            <w:r>
              <w:rPr>
                <w:rFonts w:ascii="Calibri" w:hAnsi="Calibri"/>
                <w:b w:val="0"/>
                <w:i w:val="0"/>
                <w:color w:val="5A5A5A"/>
                <w:sz w:val="18"/>
              </w:rPr>
              <w:t>#pinworm  #enterobius  #ascaris  #helminths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Cystic fibrosis</w:t>
            </w:r>
          </w:p>
        </w:tc>
        <w:tc>
          <w:tcPr>
            <w:tcW w:type="dxa" w:w="2160"/>
            <w:vAlign w:val="top"/>
          </w:tcPr>
          <w:p>
            <w:pPr>
              <w:spacing w:after="40" w:before="0" w:line="259" w:lineRule="auto"/>
            </w:pPr>
            <w:r>
              <w:rPr>
                <w:rFonts w:ascii="Calibri" w:hAnsi="Calibri"/>
                <w:b w:val="0"/>
                <w:i w:val="0"/>
                <w:color w:val="212121"/>
                <w:sz w:val="19"/>
              </w:rPr>
              <w:t>Patients with cystic fibrosis</w:t>
            </w:r>
          </w:p>
        </w:tc>
        <w:tc>
          <w:tcPr>
            <w:tcW w:type="dxa" w:w="4276"/>
            <w:vAlign w:val="top"/>
          </w:tcPr>
          <w:p>
            <w:pPr>
              <w:spacing w:after="60" w:line="259" w:lineRule="auto"/>
            </w:pPr>
            <w:r>
              <w:rPr>
                <w:rFonts w:ascii="Calibri" w:hAnsi="Calibri"/>
                <w:b w:val="0"/>
                <w:i w:val="0"/>
                <w:color w:val="212121"/>
                <w:sz w:val="19"/>
              </w:rPr>
              <w:t>Thick, inspissated intestinal secretions and altered mucus predispose to appendiceal luminal obstruction and appendiceal disease.</w:t>
            </w:r>
          </w:p>
          <w:p>
            <w:pPr>
              <w:spacing w:after="40" w:before="60" w:line="259" w:lineRule="auto"/>
            </w:pPr>
            <w:r>
              <w:rPr>
                <w:rFonts w:ascii="Calibri" w:hAnsi="Calibri"/>
                <w:b w:val="0"/>
                <w:i w:val="0"/>
                <w:color w:val="212121"/>
                <w:sz w:val="19"/>
              </w:rPr>
              <w:t>Cystic fibrosis is a listed predisposing condition for appendicitis and appendiceal mucous distension.</w:t>
            </w:r>
          </w:p>
          <w:p>
            <w:pPr>
              <w:spacing w:after="40" w:line="252" w:lineRule="auto"/>
            </w:pPr>
            <w:hyperlink r:id="rId15">
              <w:r>
                <w:rPr>
                  <w:rFonts w:ascii="Calibri" w:hAnsi="Calibri" w:cs="Calibri"/>
                  <w:sz w:val="18"/>
                  <w:color w:val="1155CC"/>
                  <w:u w:val="single"/>
                </w:rPr>
                <w:t xml:space="preserve">my.clevelandclinic.org - Appendicitis (causes incl. CF)</w:t>
              </w:r>
            </w:hyperlink>
          </w:p>
          <w:p>
            <w:pPr>
              <w:spacing w:before="60" w:after="40"/>
            </w:pPr>
            <w:r>
              <w:rPr>
                <w:rFonts w:ascii="Calibri" w:hAnsi="Calibri"/>
                <w:b w:val="0"/>
                <w:i w:val="0"/>
                <w:color w:val="5A5A5A"/>
                <w:sz w:val="18"/>
              </w:rPr>
              <w:t>#cysticfibrosis  #inspissation  #mucus  #obstruction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Appendiceal / caecal neoplasm</w:t>
            </w:r>
          </w:p>
        </w:tc>
        <w:tc>
          <w:tcPr>
            <w:tcW w:type="dxa" w:w="2160"/>
            <w:vAlign w:val="top"/>
          </w:tcPr>
          <w:p>
            <w:pPr>
              <w:spacing w:after="40" w:before="0" w:line="259" w:lineRule="auto"/>
            </w:pPr>
            <w:r>
              <w:rPr>
                <w:rFonts w:ascii="Calibri" w:hAnsi="Calibri"/>
                <w:b w:val="0"/>
                <w:i w:val="0"/>
                <w:color w:val="212121"/>
                <w:sz w:val="19"/>
              </w:rPr>
              <w:t>Adults over 40 with new-onset appendicitis</w:t>
            </w:r>
          </w:p>
        </w:tc>
        <w:tc>
          <w:tcPr>
            <w:tcW w:type="dxa" w:w="4276"/>
            <w:vAlign w:val="top"/>
          </w:tcPr>
          <w:p>
            <w:pPr>
              <w:spacing w:after="60" w:line="259" w:lineRule="auto"/>
            </w:pPr>
            <w:r>
              <w:rPr>
                <w:rFonts w:ascii="Calibri" w:hAnsi="Calibri"/>
                <w:b w:val="0"/>
                <w:i w:val="0"/>
                <w:color w:val="212121"/>
                <w:sz w:val="19"/>
              </w:rPr>
              <w:t>In older adults a tumour (appendiceal, caecal or a mucocele) can be the obstructing lesion, so new appendicitis over age 40 warrants exclusion of neoplasia.</w:t>
            </w:r>
          </w:p>
          <w:p>
            <w:pPr>
              <w:spacing w:after="40" w:before="60" w:line="259" w:lineRule="auto"/>
            </w:pPr>
            <w:r>
              <w:rPr>
                <w:rFonts w:ascii="Calibri" w:hAnsi="Calibri"/>
                <w:b w:val="0"/>
                <w:i w:val="0"/>
                <w:color w:val="212121"/>
                <w:sz w:val="19"/>
              </w:rPr>
              <w:t>Tumours are an uncommon but important cause of luminal obstruction, particularly in patients over 40 years.</w:t>
            </w:r>
          </w:p>
          <w:p>
            <w:pPr>
              <w:spacing w:after="40" w:line="252" w:lineRule="auto"/>
            </w:pPr>
            <w:hyperlink r:id="rId14">
              <w:r>
                <w:rPr>
                  <w:rFonts w:ascii="Calibri" w:hAnsi="Calibri" w:cs="Calibri"/>
                  <w:sz w:val="18"/>
                  <w:color w:val="1155CC"/>
                  <w:u w:val="single"/>
                </w:rPr>
                <w:t xml:space="preserve">merckmanuals.com - Appendicitis (tumour as cause)</w:t>
              </w:r>
            </w:hyperlink>
          </w:p>
          <w:p>
            <w:pPr>
              <w:spacing w:before="60" w:after="40"/>
            </w:pPr>
            <w:r>
              <w:rPr>
                <w:rFonts w:ascii="Calibri" w:hAnsi="Calibri"/>
                <w:b w:val="0"/>
                <w:i w:val="0"/>
                <w:color w:val="5A5A5A"/>
                <w:sz w:val="18"/>
              </w:rPr>
              <w:t>#neoplasm  #mucocele  #over40  #redflag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inactivity and associated constipation slow colonic transit and may favour faecolith formation, but direct evidence linking activity to appendicitis is weak; activity mainly aids bowel regularity and post-operative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Low dietary fibre is the best-established dietary influence (Burkitt hypothesis): fibre-poor, refined diets promote faecolith formation, and Westernisation of diet accompanies rising incidence in newly industrialised populations including urban India.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between sleep and appendicitis; sleep matters mainly for post-operative recovery and immune function.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Associations between smoking and acute appendicitis are inconsistent, but smoking clearly impairs wound healing and raises perioperative complication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recognised cause of appendicitis; its relevance is producing acute-abdomen mimics (pancreatitis, gastritis) and obscuring the clinical picture.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causally linked; however health anxiety or fear of hospitals can delay presentation and thereby increase perforation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fluid intake helps prevent constipation and hard stool that can contribute to faecolith formation, but the direct link to appendicitis is indirect and modest.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appendicitis risk.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sanitation and hygiene increase enteric and parasitic (pinworm/Ascaris) infections that cause lymphoid hyperplasia or luminal obstruction, a relevant pathway in Indian settings.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acute episode is provoked by luminal obstruction - a faecolith, post-infective lymphoid hyperplasia, intestinal worms, seeds or foreign bodies, or (rarely) a tumour - triggering distension, ischaemia and inflammation.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 (g/day)</w:t>
            </w:r>
          </w:p>
        </w:tc>
        <w:tc>
          <w:tcPr>
            <w:tcW w:type="dxa" w:w="1655"/>
            <w:vAlign w:val="top"/>
          </w:tcPr>
          <w:p>
            <w:pPr>
              <w:spacing w:after="40" w:before="0" w:line="259" w:lineRule="auto"/>
            </w:pPr>
            <w:r>
              <w:rPr>
                <w:rFonts w:ascii="Calibri" w:hAnsi="Calibri"/>
                <w:b w:val="0"/>
                <w:i w:val="0"/>
                <w:color w:val="212121"/>
                <w:sz w:val="19"/>
              </w:rPr>
              <w:t>Adults, children, low-fibre eaters</w:t>
            </w:r>
          </w:p>
        </w:tc>
        <w:tc>
          <w:tcPr>
            <w:tcW w:type="dxa" w:w="1512"/>
            <w:vAlign w:val="top"/>
          </w:tcPr>
          <w:p>
            <w:pPr>
              <w:spacing w:after="40" w:before="0" w:line="259" w:lineRule="auto"/>
            </w:pPr>
            <w:r>
              <w:rPr>
                <w:rFonts w:ascii="Calibri" w:hAnsi="Calibri"/>
                <w:b w:val="0"/>
                <w:i w:val="0"/>
                <w:color w:val="212121"/>
                <w:sz w:val="19"/>
              </w:rPr>
              <w:t>&gt;= 25-30 g/day</w:t>
            </w:r>
          </w:p>
        </w:tc>
        <w:tc>
          <w:tcPr>
            <w:tcW w:type="dxa" w:w="1512"/>
            <w:vAlign w:val="top"/>
          </w:tcPr>
          <w:p>
            <w:pPr>
              <w:spacing w:after="40" w:before="0" w:line="259" w:lineRule="auto"/>
            </w:pPr>
            <w:r>
              <w:rPr>
                <w:rFonts w:ascii="Calibri" w:hAnsi="Calibri"/>
                <w:b w:val="0"/>
                <w:i w:val="0"/>
                <w:color w:val="212121"/>
                <w:sz w:val="19"/>
              </w:rPr>
              <w:t>&lt; 15 g/day</w:t>
            </w:r>
          </w:p>
        </w:tc>
        <w:tc>
          <w:tcPr>
            <w:tcW w:type="dxa" w:w="1468"/>
            <w:vAlign w:val="top"/>
          </w:tcPr>
          <w:p>
            <w:pPr>
              <w:spacing w:after="40" w:before="0" w:line="259" w:lineRule="auto"/>
            </w:pPr>
            <w:r>
              <w:rPr>
                <w:rFonts w:ascii="Calibri" w:hAnsi="Calibri"/>
                <w:b w:val="0"/>
                <w:i w:val="0"/>
                <w:color w:val="212121"/>
                <w:sz w:val="19"/>
              </w:rPr>
              <w:t>Low fibre slows transit and promotes faecolith formation (Burkitt hypothesis)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and vegetable servings/day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&gt;= 5 servings/day</w:t>
            </w:r>
          </w:p>
        </w:tc>
        <w:tc>
          <w:tcPr>
            <w:tcW w:type="dxa" w:w="1512"/>
            <w:vAlign w:val="top"/>
          </w:tcPr>
          <w:p>
            <w:pPr>
              <w:spacing w:after="40" w:before="0" w:line="259" w:lineRule="auto"/>
            </w:pPr>
            <w:r>
              <w:rPr>
                <w:rFonts w:ascii="Calibri" w:hAnsi="Calibri"/>
                <w:b w:val="0"/>
                <w:i w:val="0"/>
                <w:color w:val="212121"/>
                <w:sz w:val="19"/>
              </w:rPr>
              <w:t>&lt;= 2 servings/day</w:t>
            </w:r>
          </w:p>
        </w:tc>
        <w:tc>
          <w:tcPr>
            <w:tcW w:type="dxa" w:w="1468"/>
            <w:vAlign w:val="top"/>
          </w:tcPr>
          <w:p>
            <w:pPr>
              <w:spacing w:after="40" w:before="0" w:line="259" w:lineRule="auto"/>
            </w:pPr>
            <w:r>
              <w:rPr>
                <w:rFonts w:ascii="Calibri" w:hAnsi="Calibri"/>
                <w:b w:val="0"/>
                <w:i w:val="0"/>
                <w:color w:val="212121"/>
                <w:sz w:val="19"/>
              </w:rPr>
              <w:t>Higher intake supports fibre-rich, protective bowel transit</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 (litres/day)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~2-3 L/day (adjusted for climate/activity)</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Adequate hydration prevents hard stool and constipation-related faecolith</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60 min/week (sedentary)</w:t>
            </w:r>
          </w:p>
        </w:tc>
        <w:tc>
          <w:tcPr>
            <w:tcW w:type="dxa" w:w="1468"/>
            <w:vAlign w:val="top"/>
          </w:tcPr>
          <w:p>
            <w:pPr>
              <w:spacing w:after="40" w:before="0" w:line="259" w:lineRule="auto"/>
            </w:pPr>
            <w:r>
              <w:rPr>
                <w:rFonts w:ascii="Calibri" w:hAnsi="Calibri"/>
                <w:b w:val="0"/>
                <w:i w:val="0"/>
                <w:color w:val="212121"/>
                <w:sz w:val="19"/>
              </w:rPr>
              <w:t>Activity supports regular bowel habit and faster post-operative recovery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25 kg/m2 (obese)</w:t>
            </w:r>
          </w:p>
        </w:tc>
        <w:tc>
          <w:tcPr>
            <w:tcW w:type="dxa" w:w="1468"/>
            <w:vAlign w:val="top"/>
          </w:tcPr>
          <w:p>
            <w:pPr>
              <w:spacing w:after="40" w:before="0" w:line="259" w:lineRule="auto"/>
            </w:pPr>
            <w:r>
              <w:rPr>
                <w:rFonts w:ascii="Calibri" w:hAnsi="Calibri"/>
                <w:b w:val="0"/>
                <w:i w:val="0"/>
                <w:color w:val="212121"/>
                <w:sz w:val="19"/>
              </w:rPr>
              <w:t>Obesity makes clinical examination and imaging harder and complicates laparoscopic surgery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Smoking impairs wound healing and raises perioperative complication risk</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Bowel habit / constipation</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Soft, regular stool (daily to alternate-day)</w:t>
            </w:r>
          </w:p>
        </w:tc>
        <w:tc>
          <w:tcPr>
            <w:tcW w:type="dxa" w:w="1512"/>
            <w:vAlign w:val="top"/>
          </w:tcPr>
          <w:p>
            <w:pPr>
              <w:spacing w:after="40" w:before="0" w:line="259" w:lineRule="auto"/>
            </w:pPr>
            <w:r>
              <w:rPr>
                <w:rFonts w:ascii="Calibri" w:hAnsi="Calibri"/>
                <w:b w:val="0"/>
                <w:i w:val="0"/>
                <w:color w:val="212121"/>
                <w:sz w:val="19"/>
              </w:rPr>
              <w:t>Chronic constipation with straining</w:t>
            </w:r>
          </w:p>
        </w:tc>
        <w:tc>
          <w:tcPr>
            <w:tcW w:type="dxa" w:w="1468"/>
            <w:vAlign w:val="top"/>
          </w:tcPr>
          <w:p>
            <w:pPr>
              <w:spacing w:after="40" w:before="0" w:line="259" w:lineRule="auto"/>
            </w:pPr>
            <w:r>
              <w:rPr>
                <w:rFonts w:ascii="Calibri" w:hAnsi="Calibri"/>
                <w:b w:val="0"/>
                <w:i w:val="0"/>
                <w:color w:val="212121"/>
                <w:sz w:val="19"/>
              </w:rPr>
              <w:t>Constipation and inspissated stool favour faecolith and luminal obstruction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Periodic deworming (endemic areas)</w:t>
            </w:r>
          </w:p>
        </w:tc>
        <w:tc>
          <w:tcPr>
            <w:tcW w:type="dxa" w:w="1655"/>
            <w:vAlign w:val="top"/>
          </w:tcPr>
          <w:p>
            <w:pPr>
              <w:spacing w:after="40" w:before="0" w:line="259" w:lineRule="auto"/>
            </w:pPr>
            <w:r>
              <w:rPr>
                <w:rFonts w:ascii="Calibri" w:hAnsi="Calibri"/>
                <w:b w:val="0"/>
                <w:i w:val="0"/>
                <w:color w:val="212121"/>
                <w:sz w:val="19"/>
              </w:rPr>
              <w:t>Children and adults in helminth-endemic areas</w:t>
            </w:r>
          </w:p>
        </w:tc>
        <w:tc>
          <w:tcPr>
            <w:tcW w:type="dxa" w:w="1512"/>
            <w:vAlign w:val="top"/>
          </w:tcPr>
          <w:p>
            <w:pPr>
              <w:spacing w:after="40" w:before="0" w:line="259" w:lineRule="auto"/>
            </w:pPr>
            <w:r>
              <w:rPr>
                <w:rFonts w:ascii="Calibri" w:hAnsi="Calibri"/>
                <w:b w:val="0"/>
                <w:i w:val="0"/>
                <w:color w:val="212121"/>
                <w:sz w:val="19"/>
              </w:rPr>
              <w:t>Deworming per national/public-health schedule</w:t>
            </w:r>
          </w:p>
        </w:tc>
        <w:tc>
          <w:tcPr>
            <w:tcW w:type="dxa" w:w="1512"/>
            <w:vAlign w:val="top"/>
          </w:tcPr>
          <w:p>
            <w:pPr>
              <w:spacing w:after="40" w:before="0" w:line="259" w:lineRule="auto"/>
            </w:pPr>
            <w:r>
              <w:rPr>
                <w:rFonts w:ascii="Calibri" w:hAnsi="Calibri"/>
                <w:b w:val="0"/>
                <w:i w:val="0"/>
                <w:color w:val="212121"/>
                <w:sz w:val="19"/>
              </w:rPr>
              <w:t>No deworming in endemic setting</w:t>
            </w:r>
          </w:p>
        </w:tc>
        <w:tc>
          <w:tcPr>
            <w:tcW w:type="dxa" w:w="1468"/>
            <w:vAlign w:val="top"/>
          </w:tcPr>
          <w:p>
            <w:pPr>
              <w:spacing w:after="40" w:before="0" w:line="259" w:lineRule="auto"/>
            </w:pPr>
            <w:r>
              <w:rPr>
                <w:rFonts w:ascii="Calibri" w:hAnsi="Calibri"/>
                <w:b w:val="0"/>
                <w:i w:val="0"/>
                <w:color w:val="212121"/>
                <w:sz w:val="19"/>
              </w:rPr>
              <w:t>Reduces pinworm/Ascaris burden that can obstruct the appendiceal lumen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 leukocyte count (WBC)</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4,000-11,000 /cu mm</w:t>
            </w:r>
          </w:p>
        </w:tc>
        <w:tc>
          <w:tcPr>
            <w:tcW w:type="dxa" w:w="950"/>
            <w:vAlign w:val="top"/>
          </w:tcPr>
          <w:p>
            <w:pPr>
              <w:spacing w:after="40" w:before="0" w:line="259" w:lineRule="auto"/>
            </w:pPr>
            <w:r>
              <w:rPr>
                <w:rFonts w:ascii="Calibri" w:hAnsi="Calibri"/>
                <w:b w:val="0"/>
                <w:i w:val="0"/>
                <w:color w:val="212121"/>
                <w:sz w:val="16"/>
              </w:rPr>
              <w:t>&gt; 11,000 /cu mm (often 12,000-15,000)</w:t>
            </w:r>
          </w:p>
        </w:tc>
        <w:tc>
          <w:tcPr>
            <w:tcW w:type="dxa" w:w="1036"/>
            <w:vAlign w:val="top"/>
          </w:tcPr>
          <w:p>
            <w:pPr>
              <w:spacing w:after="40" w:before="0" w:line="259" w:lineRule="auto"/>
            </w:pPr>
            <w:r>
              <w:rPr>
                <w:rFonts w:ascii="Calibri" w:hAnsi="Calibri"/>
                <w:b w:val="0"/>
                <w:i w:val="0"/>
                <w:color w:val="212121"/>
                <w:sz w:val="16"/>
              </w:rPr>
              <w:t>Neutrophil-predominant leukocytosis supports acute inflammation; a normal count does not exclude appendicitis</w:t>
            </w:r>
          </w:p>
        </w:tc>
        <w:tc>
          <w:tcPr>
            <w:tcW w:type="dxa" w:w="1036"/>
            <w:vAlign w:val="top"/>
          </w:tcPr>
          <w:p>
            <w:pPr>
              <w:spacing w:after="40" w:before="0" w:line="259" w:lineRule="auto"/>
            </w:pPr>
            <w:r>
              <w:rPr>
                <w:rFonts w:ascii="Calibri" w:hAnsi="Calibri"/>
                <w:b w:val="0"/>
                <w:i w:val="0"/>
                <w:color w:val="212121"/>
                <w:sz w:val="16"/>
              </w:rPr>
              <w:t>All suspected appendicitis, children, young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supportive</w:t>
            </w:r>
          </w:p>
        </w:tc>
        <w:tc>
          <w:tcPr>
            <w:tcW w:type="dxa" w:w="720"/>
            <w:vAlign w:val="top"/>
          </w:tcPr>
          <w:p>
            <w:pPr>
              <w:spacing w:after="40" w:before="0" w:line="259" w:lineRule="auto"/>
            </w:pPr>
            <w:r>
              <w:rPr>
                <w:rFonts w:ascii="Calibri" w:hAnsi="Calibri"/>
                <w:b w:val="0"/>
                <w:i w:val="0"/>
                <w:color w:val="212121"/>
                <w:sz w:val="16"/>
              </w:rPr>
              <w:t>Combine with CRP and clinical score; serial counts if diagnosis unclear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Neutrophil percentage / left shift</w:t>
            </w:r>
          </w:p>
        </w:tc>
        <w:tc>
          <w:tcPr>
            <w:tcW w:type="dxa" w:w="892"/>
            <w:vAlign w:val="top"/>
          </w:tcPr>
          <w:p>
            <w:pPr>
              <w:spacing w:after="40" w:before="0" w:line="259" w:lineRule="auto"/>
            </w:pPr>
            <w:r>
              <w:rPr>
                <w:rFonts w:ascii="Calibri" w:hAnsi="Calibri"/>
                <w:b w:val="0"/>
                <w:i w:val="0"/>
                <w:color w:val="212121"/>
                <w:sz w:val="16"/>
              </w:rPr>
              <w:t>CBC differential</w:t>
            </w:r>
          </w:p>
        </w:tc>
        <w:tc>
          <w:tcPr>
            <w:tcW w:type="dxa" w:w="950"/>
            <w:vAlign w:val="top"/>
          </w:tcPr>
          <w:p>
            <w:pPr>
              <w:spacing w:after="40" w:before="0" w:line="259" w:lineRule="auto"/>
            </w:pPr>
            <w:r>
              <w:rPr>
                <w:rFonts w:ascii="Calibri" w:hAnsi="Calibri"/>
                <w:b w:val="0"/>
                <w:i w:val="0"/>
                <w:color w:val="212121"/>
                <w:sz w:val="16"/>
              </w:rPr>
              <w:t>~40-70%</w:t>
            </w:r>
          </w:p>
        </w:tc>
        <w:tc>
          <w:tcPr>
            <w:tcW w:type="dxa" w:w="950"/>
            <w:vAlign w:val="top"/>
          </w:tcPr>
          <w:p>
            <w:pPr>
              <w:spacing w:after="40" w:before="0" w:line="259" w:lineRule="auto"/>
            </w:pPr>
            <w:r>
              <w:rPr>
                <w:rFonts w:ascii="Calibri" w:hAnsi="Calibri"/>
                <w:b w:val="0"/>
                <w:i w:val="0"/>
                <w:color w:val="212121"/>
                <w:sz w:val="16"/>
              </w:rPr>
              <w:t>&gt; 75% with band forms</w:t>
            </w:r>
          </w:p>
        </w:tc>
        <w:tc>
          <w:tcPr>
            <w:tcW w:type="dxa" w:w="1036"/>
            <w:vAlign w:val="top"/>
          </w:tcPr>
          <w:p>
            <w:pPr>
              <w:spacing w:after="40" w:before="0" w:line="259" w:lineRule="auto"/>
            </w:pPr>
            <w:r>
              <w:rPr>
                <w:rFonts w:ascii="Calibri" w:hAnsi="Calibri"/>
                <w:b w:val="0"/>
                <w:i w:val="0"/>
                <w:color w:val="212121"/>
                <w:sz w:val="16"/>
              </w:rPr>
              <w:t>Neutrophilia and left shift raise probability of appendicitis and of perforation</w:t>
            </w:r>
          </w:p>
        </w:tc>
        <w:tc>
          <w:tcPr>
            <w:tcW w:type="dxa" w:w="1036"/>
            <w:vAlign w:val="top"/>
          </w:tcPr>
          <w:p>
            <w:pPr>
              <w:spacing w:after="40" w:before="0" w:line="259" w:lineRule="auto"/>
            </w:pPr>
            <w:r>
              <w:rPr>
                <w:rFonts w:ascii="Calibri" w:hAnsi="Calibri"/>
                <w:b w:val="0"/>
                <w:i w:val="0"/>
                <w:color w:val="212121"/>
                <w:sz w:val="16"/>
              </w:rPr>
              <w:t>Suspected appendicitis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Part of the Alvarado/AIR scores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10 mg/L</w:t>
            </w:r>
          </w:p>
        </w:tc>
        <w:tc>
          <w:tcPr>
            <w:tcW w:type="dxa" w:w="950"/>
            <w:vAlign w:val="top"/>
          </w:tcPr>
          <w:p>
            <w:pPr>
              <w:spacing w:after="40" w:before="0" w:line="259" w:lineRule="auto"/>
            </w:pPr>
            <w:r>
              <w:rPr>
                <w:rFonts w:ascii="Calibri" w:hAnsi="Calibri"/>
                <w:b w:val="0"/>
                <w:i w:val="0"/>
                <w:color w:val="212121"/>
                <w:sz w:val="16"/>
              </w:rPr>
              <w:t>Raised, often &gt; 10-50 mg/L</w:t>
            </w:r>
          </w:p>
        </w:tc>
        <w:tc>
          <w:tcPr>
            <w:tcW w:type="dxa" w:w="1036"/>
            <w:vAlign w:val="top"/>
          </w:tcPr>
          <w:p>
            <w:pPr>
              <w:spacing w:after="40" w:before="0" w:line="259" w:lineRule="auto"/>
            </w:pPr>
            <w:r>
              <w:rPr>
                <w:rFonts w:ascii="Calibri" w:hAnsi="Calibri"/>
                <w:b w:val="0"/>
                <w:i w:val="0"/>
                <w:color w:val="212121"/>
                <w:sz w:val="16"/>
              </w:rPr>
              <w:t>Rising CRP with leukocytosis increases diagnostic accuracy; very high CRP suggests complicated disease</w:t>
            </w:r>
          </w:p>
        </w:tc>
        <w:tc>
          <w:tcPr>
            <w:tcW w:type="dxa" w:w="1036"/>
            <w:vAlign w:val="top"/>
          </w:tcPr>
          <w:p>
            <w:pPr>
              <w:spacing w:after="40" w:before="0" w:line="259" w:lineRule="auto"/>
            </w:pPr>
            <w:r>
              <w:rPr>
                <w:rFonts w:ascii="Calibri" w:hAnsi="Calibri"/>
                <w:b w:val="0"/>
                <w:i w:val="0"/>
                <w:color w:val="212121"/>
                <w:sz w:val="16"/>
              </w:rPr>
              <w:t>Suspected appendicitis, equivocal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Normal CRP + normal WBC lowers probability but does not fully exclude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 serology</w:t>
            </w:r>
          </w:p>
        </w:tc>
        <w:tc>
          <w:tcPr>
            <w:tcW w:type="dxa" w:w="1036"/>
            <w:vAlign w:val="top"/>
          </w:tcPr>
          <w:p>
            <w:pPr>
              <w:spacing w:after="40" w:before="0" w:line="259" w:lineRule="auto"/>
            </w:pPr>
            <w:r>
              <w:rPr>
                <w:rFonts w:ascii="Calibri" w:hAnsi="Calibri"/>
                <w:b w:val="0"/>
                <w:i w:val="0"/>
                <w:color w:val="212121"/>
                <w:sz w:val="16"/>
              </w:rPr>
              <w:t>Urinalysis and beta-hCG</w:t>
            </w:r>
          </w:p>
        </w:tc>
        <w:tc>
          <w:tcPr>
            <w:tcW w:type="dxa" w:w="892"/>
            <w:vAlign w:val="top"/>
          </w:tcPr>
          <w:p>
            <w:pPr>
              <w:spacing w:after="40" w:before="0" w:line="259" w:lineRule="auto"/>
            </w:pPr>
            <w:r>
              <w:rPr>
                <w:rFonts w:ascii="Calibri" w:hAnsi="Calibri"/>
                <w:b w:val="0"/>
                <w:i w:val="0"/>
                <w:color w:val="212121"/>
                <w:sz w:val="16"/>
              </w:rPr>
              <w:t>Urine microscopy; pregnancy test</w:t>
            </w:r>
          </w:p>
        </w:tc>
        <w:tc>
          <w:tcPr>
            <w:tcW w:type="dxa" w:w="950"/>
            <w:vAlign w:val="top"/>
          </w:tcPr>
          <w:p>
            <w:pPr>
              <w:spacing w:after="40" w:before="0" w:line="259" w:lineRule="auto"/>
            </w:pPr>
            <w:r>
              <w:rPr>
                <w:rFonts w:ascii="Calibri" w:hAnsi="Calibri"/>
                <w:b w:val="0"/>
                <w:i w:val="0"/>
                <w:color w:val="212121"/>
                <w:sz w:val="16"/>
              </w:rPr>
              <w:t>No significant pyuria; beta-hCG negative</w:t>
            </w:r>
          </w:p>
        </w:tc>
        <w:tc>
          <w:tcPr>
            <w:tcW w:type="dxa" w:w="950"/>
            <w:vAlign w:val="top"/>
          </w:tcPr>
          <w:p>
            <w:pPr>
              <w:spacing w:after="40" w:before="0" w:line="259" w:lineRule="auto"/>
            </w:pPr>
            <w:r>
              <w:rPr>
                <w:rFonts w:ascii="Calibri" w:hAnsi="Calibri"/>
                <w:b w:val="0"/>
                <w:i w:val="0"/>
                <w:color w:val="212121"/>
                <w:sz w:val="16"/>
              </w:rPr>
              <w:t>Sterile pyuria possible; beta-hCG positive if pregnant</w:t>
            </w:r>
          </w:p>
        </w:tc>
        <w:tc>
          <w:tcPr>
            <w:tcW w:type="dxa" w:w="1036"/>
            <w:vAlign w:val="top"/>
          </w:tcPr>
          <w:p>
            <w:pPr>
              <w:spacing w:after="40" w:before="0" w:line="259" w:lineRule="auto"/>
            </w:pPr>
            <w:r>
              <w:rPr>
                <w:rFonts w:ascii="Calibri" w:hAnsi="Calibri"/>
                <w:b w:val="0"/>
                <w:i w:val="0"/>
                <w:color w:val="212121"/>
                <w:sz w:val="16"/>
              </w:rPr>
              <w:t>Excludes urinary tract infection and renal colic; beta-hCG mandatory in women to exclude ectopic pregnancy</w:t>
            </w:r>
          </w:p>
        </w:tc>
        <w:tc>
          <w:tcPr>
            <w:tcW w:type="dxa" w:w="1036"/>
            <w:vAlign w:val="top"/>
          </w:tcPr>
          <w:p>
            <w:pPr>
              <w:spacing w:after="40" w:before="0" w:line="259" w:lineRule="auto"/>
            </w:pPr>
            <w:r>
              <w:rPr>
                <w:rFonts w:ascii="Calibri" w:hAnsi="Calibri"/>
                <w:b w:val="0"/>
                <w:i w:val="0"/>
                <w:color w:val="212121"/>
                <w:sz w:val="16"/>
              </w:rPr>
              <w:t>Women of childbearing age, patients with urinary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A pelvic appendix can cause mild pyuria/haematuria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Graded-compression ultrasound</w:t>
            </w:r>
          </w:p>
        </w:tc>
        <w:tc>
          <w:tcPr>
            <w:tcW w:type="dxa" w:w="892"/>
            <w:vAlign w:val="top"/>
          </w:tcPr>
          <w:p>
            <w:pPr>
              <w:spacing w:after="40" w:before="0" w:line="259" w:lineRule="auto"/>
            </w:pPr>
            <w:r>
              <w:rPr>
                <w:rFonts w:ascii="Calibri" w:hAnsi="Calibri"/>
                <w:b w:val="0"/>
                <w:i w:val="0"/>
                <w:color w:val="212121"/>
                <w:sz w:val="16"/>
              </w:rPr>
              <w:t>Abdominal/pelvic ultrasound</w:t>
            </w:r>
          </w:p>
        </w:tc>
        <w:tc>
          <w:tcPr>
            <w:tcW w:type="dxa" w:w="950"/>
            <w:vAlign w:val="top"/>
          </w:tcPr>
          <w:p>
            <w:pPr>
              <w:spacing w:after="40" w:before="0" w:line="259" w:lineRule="auto"/>
            </w:pPr>
            <w:r>
              <w:rPr>
                <w:rFonts w:ascii="Calibri" w:hAnsi="Calibri"/>
                <w:b w:val="0"/>
                <w:i w:val="0"/>
                <w:color w:val="212121"/>
                <w:sz w:val="16"/>
              </w:rPr>
              <w:t>Compressible appendix or not visualised, diameter &lt;= 6 mm</w:t>
            </w:r>
          </w:p>
        </w:tc>
        <w:tc>
          <w:tcPr>
            <w:tcW w:type="dxa" w:w="950"/>
            <w:vAlign w:val="top"/>
          </w:tcPr>
          <w:p>
            <w:pPr>
              <w:spacing w:after="40" w:before="0" w:line="259" w:lineRule="auto"/>
            </w:pPr>
            <w:r>
              <w:rPr>
                <w:rFonts w:ascii="Calibri" w:hAnsi="Calibri"/>
                <w:b w:val="0"/>
                <w:i w:val="0"/>
                <w:color w:val="212121"/>
                <w:sz w:val="16"/>
              </w:rPr>
              <w:t>Non-compressible blind-ending tube &gt; 6 mm, target sign, free fluid</w:t>
            </w:r>
          </w:p>
        </w:tc>
        <w:tc>
          <w:tcPr>
            <w:tcW w:type="dxa" w:w="1036"/>
            <w:vAlign w:val="top"/>
          </w:tcPr>
          <w:p>
            <w:pPr>
              <w:spacing w:after="40" w:before="0" w:line="259" w:lineRule="auto"/>
            </w:pPr>
            <w:r>
              <w:rPr>
                <w:rFonts w:ascii="Calibri" w:hAnsi="Calibri"/>
                <w:b w:val="0"/>
                <w:i w:val="0"/>
                <w:color w:val="212121"/>
                <w:sz w:val="16"/>
              </w:rPr>
              <w:t>First-line imaging, especially in children, women and pregnancy; operator-dependent</w:t>
            </w:r>
          </w:p>
        </w:tc>
        <w:tc>
          <w:tcPr>
            <w:tcW w:type="dxa" w:w="1036"/>
            <w:vAlign w:val="top"/>
          </w:tcPr>
          <w:p>
            <w:pPr>
              <w:spacing w:after="40" w:before="0" w:line="259" w:lineRule="auto"/>
            </w:pPr>
            <w:r>
              <w:rPr>
                <w:rFonts w:ascii="Calibri" w:hAnsi="Calibri"/>
                <w:b w:val="0"/>
                <w:i w:val="0"/>
                <w:color w:val="212121"/>
                <w:sz w:val="16"/>
              </w:rPr>
              <w:t>Children, women, pregnant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Sensitivity ~76-91%, specificity ~95%; radiation-free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Contrast-enhanced CT abdomen</w:t>
            </w:r>
          </w:p>
        </w:tc>
        <w:tc>
          <w:tcPr>
            <w:tcW w:type="dxa" w:w="892"/>
            <w:vAlign w:val="top"/>
          </w:tcPr>
          <w:p>
            <w:pPr>
              <w:spacing w:after="40" w:before="0" w:line="259" w:lineRule="auto"/>
            </w:pPr>
            <w:r>
              <w:rPr>
                <w:rFonts w:ascii="Calibri" w:hAnsi="Calibri"/>
                <w:b w:val="0"/>
                <w:i w:val="0"/>
                <w:color w:val="212121"/>
                <w:sz w:val="16"/>
              </w:rPr>
              <w:t>CT scan</w:t>
            </w:r>
          </w:p>
        </w:tc>
        <w:tc>
          <w:tcPr>
            <w:tcW w:type="dxa" w:w="950"/>
            <w:vAlign w:val="top"/>
          </w:tcPr>
          <w:p>
            <w:pPr>
              <w:spacing w:after="40" w:before="0" w:line="259" w:lineRule="auto"/>
            </w:pPr>
            <w:r>
              <w:rPr>
                <w:rFonts w:ascii="Calibri" w:hAnsi="Calibri"/>
                <w:b w:val="0"/>
                <w:i w:val="0"/>
                <w:color w:val="212121"/>
                <w:sz w:val="16"/>
              </w:rPr>
              <w:t>Normal appendix &lt;= 6 mm, no fat stranding</w:t>
            </w:r>
          </w:p>
        </w:tc>
        <w:tc>
          <w:tcPr>
            <w:tcW w:type="dxa" w:w="950"/>
            <w:vAlign w:val="top"/>
          </w:tcPr>
          <w:p>
            <w:pPr>
              <w:spacing w:after="40" w:before="0" w:line="259" w:lineRule="auto"/>
            </w:pPr>
            <w:r>
              <w:rPr>
                <w:rFonts w:ascii="Calibri" w:hAnsi="Calibri"/>
                <w:b w:val="0"/>
                <w:i w:val="0"/>
                <w:color w:val="212121"/>
                <w:sz w:val="16"/>
              </w:rPr>
              <w:t>Appendix &gt; 6 mm, wall thickening, peri-appendiceal fat stranding, appendicolith, abscess</w:t>
            </w:r>
          </w:p>
        </w:tc>
        <w:tc>
          <w:tcPr>
            <w:tcW w:type="dxa" w:w="1036"/>
            <w:vAlign w:val="top"/>
          </w:tcPr>
          <w:p>
            <w:pPr>
              <w:spacing w:after="40" w:before="0" w:line="259" w:lineRule="auto"/>
            </w:pPr>
            <w:r>
              <w:rPr>
                <w:rFonts w:ascii="Calibri" w:hAnsi="Calibri"/>
                <w:b w:val="0"/>
                <w:i w:val="0"/>
                <w:color w:val="212121"/>
                <w:sz w:val="16"/>
              </w:rPr>
              <w:t>Most accurate test; defines complicated disease, abscess and alternative diagnoses</w:t>
            </w:r>
          </w:p>
        </w:tc>
        <w:tc>
          <w:tcPr>
            <w:tcW w:type="dxa" w:w="1036"/>
            <w:vAlign w:val="top"/>
          </w:tcPr>
          <w:p>
            <w:pPr>
              <w:spacing w:after="40" w:before="0" w:line="259" w:lineRule="auto"/>
            </w:pPr>
            <w:r>
              <w:rPr>
                <w:rFonts w:ascii="Calibri" w:hAnsi="Calibri"/>
                <w:b w:val="0"/>
                <w:i w:val="0"/>
                <w:color w:val="212121"/>
                <w:sz w:val="16"/>
              </w:rPr>
              <w:t>Adults with equivocal findings, elderly, suspected complications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Most accurate / confirmatory</w:t>
            </w:r>
          </w:p>
        </w:tc>
        <w:tc>
          <w:tcPr>
            <w:tcW w:type="dxa" w:w="720"/>
            <w:vAlign w:val="top"/>
          </w:tcPr>
          <w:p>
            <w:pPr>
              <w:spacing w:after="40" w:before="0" w:line="259" w:lineRule="auto"/>
            </w:pPr>
            <w:r>
              <w:rPr>
                <w:rFonts w:ascii="Calibri" w:hAnsi="Calibri"/>
                <w:b w:val="0"/>
                <w:i w:val="0"/>
                <w:color w:val="212121"/>
                <w:sz w:val="16"/>
              </w:rPr>
              <w:t>Sensitivity ~99%, specificity ~84%; low-dose protocols reduce radiation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abdomen (pregnancy)</w:t>
            </w:r>
          </w:p>
        </w:tc>
        <w:tc>
          <w:tcPr>
            <w:tcW w:type="dxa" w:w="892"/>
            <w:vAlign w:val="top"/>
          </w:tcPr>
          <w:p>
            <w:pPr>
              <w:spacing w:after="40" w:before="0" w:line="259" w:lineRule="auto"/>
            </w:pPr>
            <w:r>
              <w:rPr>
                <w:rFonts w:ascii="Calibri" w:hAnsi="Calibri"/>
                <w:b w:val="0"/>
                <w:i w:val="0"/>
                <w:color w:val="212121"/>
                <w:sz w:val="16"/>
              </w:rPr>
              <w:t>MRI without contrast</w:t>
            </w:r>
          </w:p>
        </w:tc>
        <w:tc>
          <w:tcPr>
            <w:tcW w:type="dxa" w:w="950"/>
            <w:vAlign w:val="top"/>
          </w:tcPr>
          <w:p>
            <w:pPr>
              <w:spacing w:after="40" w:before="0" w:line="259" w:lineRule="auto"/>
            </w:pPr>
            <w:r>
              <w:rPr>
                <w:rFonts w:ascii="Calibri" w:hAnsi="Calibri"/>
                <w:b w:val="0"/>
                <w:i w:val="0"/>
                <w:color w:val="212121"/>
                <w:sz w:val="16"/>
              </w:rPr>
              <w:t>Normal appendix &lt;= 6 mm</w:t>
            </w:r>
          </w:p>
        </w:tc>
        <w:tc>
          <w:tcPr>
            <w:tcW w:type="dxa" w:w="950"/>
            <w:vAlign w:val="top"/>
          </w:tcPr>
          <w:p>
            <w:pPr>
              <w:spacing w:after="40" w:before="0" w:line="259" w:lineRule="auto"/>
            </w:pPr>
            <w:r>
              <w:rPr>
                <w:rFonts w:ascii="Calibri" w:hAnsi="Calibri"/>
                <w:b w:val="0"/>
                <w:i w:val="0"/>
                <w:color w:val="212121"/>
                <w:sz w:val="16"/>
              </w:rPr>
              <w:t>Enlarged, inflamed appendix &gt; 6 mm with surrounding oedema</w:t>
            </w:r>
          </w:p>
        </w:tc>
        <w:tc>
          <w:tcPr>
            <w:tcW w:type="dxa" w:w="1036"/>
            <w:vAlign w:val="top"/>
          </w:tcPr>
          <w:p>
            <w:pPr>
              <w:spacing w:after="40" w:before="0" w:line="259" w:lineRule="auto"/>
            </w:pPr>
            <w:r>
              <w:rPr>
                <w:rFonts w:ascii="Calibri" w:hAnsi="Calibri"/>
                <w:b w:val="0"/>
                <w:i w:val="0"/>
                <w:color w:val="212121"/>
                <w:sz w:val="16"/>
              </w:rPr>
              <w:t>Preferred second-line in pregnancy after inconclusive ultrasound to avoid ionising radiation</w:t>
            </w:r>
          </w:p>
        </w:tc>
        <w:tc>
          <w:tcPr>
            <w:tcW w:type="dxa" w:w="1036"/>
            <w:vAlign w:val="top"/>
          </w:tcPr>
          <w:p>
            <w:pPr>
              <w:spacing w:after="40" w:before="0" w:line="259" w:lineRule="auto"/>
            </w:pPr>
            <w:r>
              <w:rPr>
                <w:rFonts w:ascii="Calibri" w:hAnsi="Calibri"/>
                <w:b w:val="0"/>
                <w:i w:val="0"/>
                <w:color w:val="212121"/>
                <w:sz w:val="16"/>
              </w:rPr>
              <w:t>Pregnant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(pregnancy)</w:t>
            </w:r>
          </w:p>
        </w:tc>
        <w:tc>
          <w:tcPr>
            <w:tcW w:type="dxa" w:w="720"/>
            <w:vAlign w:val="top"/>
          </w:tcPr>
          <w:p>
            <w:pPr>
              <w:spacing w:after="40" w:before="0" w:line="259" w:lineRule="auto"/>
            </w:pPr>
            <w:r>
              <w:rPr>
                <w:rFonts w:ascii="Calibri" w:hAnsi="Calibri"/>
                <w:b w:val="0"/>
                <w:i w:val="0"/>
                <w:color w:val="212121"/>
                <w:sz w:val="16"/>
              </w:rPr>
              <w:t>Sensitivity ~90-94%, specificity ~97-99%</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history</w:t>
            </w:r>
          </w:p>
        </w:tc>
        <w:tc>
          <w:tcPr>
            <w:tcW w:type="dxa" w:w="979"/>
            <w:vAlign w:val="top"/>
          </w:tcPr>
          <w:p>
            <w:pPr>
              <w:spacing w:after="40" w:before="0" w:line="259" w:lineRule="auto"/>
            </w:pPr>
            <w:r>
              <w:rPr>
                <w:rFonts w:ascii="Calibri" w:hAnsi="Calibri"/>
                <w:b w:val="0"/>
                <w:i w:val="0"/>
                <w:color w:val="212121"/>
                <w:sz w:val="16"/>
              </w:rPr>
              <w:t>Migratory peri-umbilical to RIF pain</w:t>
            </w:r>
          </w:p>
        </w:tc>
        <w:tc>
          <w:tcPr>
            <w:tcW w:type="dxa" w:w="950"/>
            <w:vAlign w:val="top"/>
          </w:tcPr>
          <w:p>
            <w:pPr>
              <w:spacing w:after="40" w:before="0" w:line="259" w:lineRule="auto"/>
            </w:pPr>
            <w:r>
              <w:rPr>
                <w:rFonts w:ascii="Calibri" w:hAnsi="Calibri"/>
                <w:b w:val="0"/>
                <w:i w:val="0"/>
                <w:color w:val="212121"/>
                <w:sz w:val="16"/>
              </w:rPr>
              <w:t>No migratory pain</w:t>
            </w:r>
          </w:p>
        </w:tc>
        <w:tc>
          <w:tcPr>
            <w:tcW w:type="dxa" w:w="950"/>
            <w:vAlign w:val="top"/>
          </w:tcPr>
          <w:p>
            <w:pPr>
              <w:spacing w:after="40" w:before="0" w:line="259" w:lineRule="auto"/>
            </w:pPr>
            <w:r>
              <w:rPr>
                <w:rFonts w:ascii="Calibri" w:hAnsi="Calibri"/>
                <w:b w:val="0"/>
                <w:i w:val="0"/>
                <w:color w:val="212121"/>
                <w:sz w:val="16"/>
              </w:rPr>
              <w:t>Classic migration within 12-24 h with anorexia</w:t>
            </w:r>
          </w:p>
        </w:tc>
        <w:tc>
          <w:tcPr>
            <w:tcW w:type="dxa" w:w="1036"/>
            <w:vAlign w:val="top"/>
          </w:tcPr>
          <w:p>
            <w:pPr>
              <w:spacing w:after="40" w:before="0" w:line="259" w:lineRule="auto"/>
            </w:pPr>
            <w:r>
              <w:rPr>
                <w:rFonts w:ascii="Calibri" w:hAnsi="Calibri"/>
                <w:b w:val="0"/>
                <w:i w:val="0"/>
                <w:color w:val="212121"/>
                <w:sz w:val="16"/>
              </w:rPr>
              <w:t>Highly suggestive history of acute appendicitis</w:t>
            </w:r>
          </w:p>
        </w:tc>
        <w:tc>
          <w:tcPr>
            <w:tcW w:type="dxa" w:w="1036"/>
            <w:vAlign w:val="top"/>
          </w:tcPr>
          <w:p>
            <w:pPr>
              <w:spacing w:after="40" w:before="0" w:line="259" w:lineRule="auto"/>
            </w:pPr>
            <w:r>
              <w:rPr>
                <w:rFonts w:ascii="Calibri" w:hAnsi="Calibri"/>
                <w:b w:val="0"/>
                <w:i w:val="0"/>
                <w:color w:val="212121"/>
                <w:sz w:val="16"/>
              </w:rPr>
              <w:t>Children, young adults, 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Anorexia is an early and sensitive feature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Associated symptoms</w:t>
            </w:r>
          </w:p>
        </w:tc>
        <w:tc>
          <w:tcPr>
            <w:tcW w:type="dxa" w:w="979"/>
            <w:vAlign w:val="top"/>
          </w:tcPr>
          <w:p>
            <w:pPr>
              <w:spacing w:after="40" w:before="0" w:line="259" w:lineRule="auto"/>
            </w:pPr>
            <w:r>
              <w:rPr>
                <w:rFonts w:ascii="Calibri" w:hAnsi="Calibri"/>
                <w:b w:val="0"/>
                <w:i w:val="0"/>
                <w:color w:val="212121"/>
                <w:sz w:val="16"/>
              </w:rPr>
              <w:t>Anorexia, nausea, vomiting, low-grade fever</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Supports inflammatory acute abdomen; high fever suggests perforation/abscess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Vomiting usually follows the onset of pain (unlike gastroenteritis)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McBurney's point tenderness</w:t>
            </w:r>
          </w:p>
        </w:tc>
        <w:tc>
          <w:tcPr>
            <w:tcW w:type="dxa" w:w="979"/>
            <w:vAlign w:val="top"/>
          </w:tcPr>
          <w:p>
            <w:pPr>
              <w:spacing w:after="40" w:before="0" w:line="259" w:lineRule="auto"/>
            </w:pPr>
            <w:r>
              <w:rPr>
                <w:rFonts w:ascii="Calibri" w:hAnsi="Calibri"/>
                <w:b w:val="0"/>
                <w:i w:val="0"/>
                <w:color w:val="212121"/>
                <w:sz w:val="16"/>
              </w:rPr>
              <w:t>Focal RIF tenderness</w:t>
            </w:r>
          </w:p>
        </w:tc>
        <w:tc>
          <w:tcPr>
            <w:tcW w:type="dxa" w:w="950"/>
            <w:vAlign w:val="top"/>
          </w:tcPr>
          <w:p>
            <w:pPr>
              <w:spacing w:after="40" w:before="0" w:line="259" w:lineRule="auto"/>
            </w:pPr>
            <w:r>
              <w:rPr>
                <w:rFonts w:ascii="Calibri" w:hAnsi="Calibri"/>
                <w:b w:val="0"/>
                <w:i w:val="0"/>
                <w:color w:val="212121"/>
                <w:sz w:val="16"/>
              </w:rPr>
              <w:t>No focal tenderness</w:t>
            </w:r>
          </w:p>
        </w:tc>
        <w:tc>
          <w:tcPr>
            <w:tcW w:type="dxa" w:w="950"/>
            <w:vAlign w:val="top"/>
          </w:tcPr>
          <w:p>
            <w:pPr>
              <w:spacing w:after="40" w:before="0" w:line="259" w:lineRule="auto"/>
            </w:pPr>
            <w:r>
              <w:rPr>
                <w:rFonts w:ascii="Calibri" w:hAnsi="Calibri"/>
                <w:b w:val="0"/>
                <w:i w:val="0"/>
                <w:color w:val="212121"/>
                <w:sz w:val="16"/>
              </w:rPr>
              <w:t>Maximal tenderness at McBurney's point</w:t>
            </w:r>
          </w:p>
        </w:tc>
        <w:tc>
          <w:tcPr>
            <w:tcW w:type="dxa" w:w="1036"/>
            <w:vAlign w:val="top"/>
          </w:tcPr>
          <w:p>
            <w:pPr>
              <w:spacing w:after="40" w:before="0" w:line="259" w:lineRule="auto"/>
            </w:pPr>
            <w:r>
              <w:rPr>
                <w:rFonts w:ascii="Calibri" w:hAnsi="Calibri"/>
                <w:b w:val="0"/>
                <w:i w:val="0"/>
                <w:color w:val="212121"/>
                <w:sz w:val="16"/>
              </w:rPr>
              <w:t>Localised parietal peritoneal irritation over the appendix</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Point is one-third from ASIS to umbilicus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Peritoneal signs</w:t>
            </w:r>
          </w:p>
        </w:tc>
        <w:tc>
          <w:tcPr>
            <w:tcW w:type="dxa" w:w="979"/>
            <w:vAlign w:val="top"/>
          </w:tcPr>
          <w:p>
            <w:pPr>
              <w:spacing w:after="40" w:before="0" w:line="259" w:lineRule="auto"/>
            </w:pPr>
            <w:r>
              <w:rPr>
                <w:rFonts w:ascii="Calibri" w:hAnsi="Calibri"/>
                <w:b w:val="0"/>
                <w:i w:val="0"/>
                <w:color w:val="212121"/>
                <w:sz w:val="16"/>
              </w:rPr>
              <w:t>Rebound (Blumberg), guarding, rigidity</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Rebound tenderness, involuntary guarding</w:t>
            </w:r>
          </w:p>
        </w:tc>
        <w:tc>
          <w:tcPr>
            <w:tcW w:type="dxa" w:w="1036"/>
            <w:vAlign w:val="top"/>
          </w:tcPr>
          <w:p>
            <w:pPr>
              <w:spacing w:after="40" w:before="0" w:line="259" w:lineRule="auto"/>
            </w:pPr>
            <w:r>
              <w:rPr>
                <w:rFonts w:ascii="Calibri" w:hAnsi="Calibri"/>
                <w:b w:val="0"/>
                <w:i w:val="0"/>
                <w:color w:val="212121"/>
                <w:sz w:val="16"/>
              </w:rPr>
              <w:t>Indicates peritoneal irritation; generalised rigidity suggests perforation/peritonitis</w:t>
            </w:r>
          </w:p>
        </w:tc>
        <w:tc>
          <w:tcPr>
            <w:tcW w:type="dxa" w:w="1036"/>
            <w:vAlign w:val="top"/>
          </w:tcPr>
          <w:p>
            <w:pPr>
              <w:spacing w:after="40" w:before="0" w:line="259" w:lineRule="auto"/>
            </w:pPr>
            <w:r>
              <w:rPr>
                <w:rFonts w:ascii="Calibri" w:hAnsi="Calibri"/>
                <w:b w:val="0"/>
                <w:i w:val="0"/>
                <w:color w:val="212121"/>
                <w:sz w:val="16"/>
              </w:rPr>
              <w:t>All suspected cases, suspected perforation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severity</w:t>
            </w:r>
          </w:p>
        </w:tc>
        <w:tc>
          <w:tcPr>
            <w:tcW w:type="dxa" w:w="720"/>
            <w:vAlign w:val="top"/>
          </w:tcPr>
          <w:p>
            <w:pPr>
              <w:spacing w:after="40" w:before="0" w:line="259" w:lineRule="auto"/>
            </w:pPr>
            <w:r>
              <w:rPr>
                <w:rFonts w:ascii="Calibri" w:hAnsi="Calibri"/>
                <w:b w:val="0"/>
                <w:i w:val="0"/>
                <w:color w:val="212121"/>
                <w:sz w:val="16"/>
              </w:rPr>
              <w:t>Board-like rigidity is a surgical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Provocative signs</w:t>
            </w:r>
          </w:p>
        </w:tc>
        <w:tc>
          <w:tcPr>
            <w:tcW w:type="dxa" w:w="979"/>
            <w:vAlign w:val="top"/>
          </w:tcPr>
          <w:p>
            <w:pPr>
              <w:spacing w:after="40" w:before="0" w:line="259" w:lineRule="auto"/>
            </w:pPr>
            <w:r>
              <w:rPr>
                <w:rFonts w:ascii="Calibri" w:hAnsi="Calibri"/>
                <w:b w:val="0"/>
                <w:i w:val="0"/>
                <w:color w:val="212121"/>
                <w:sz w:val="16"/>
              </w:rPr>
              <w:t>Rovsing, psoas, obturator, Dunphy signs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Any positive</w:t>
            </w:r>
          </w:p>
        </w:tc>
        <w:tc>
          <w:tcPr>
            <w:tcW w:type="dxa" w:w="1036"/>
            <w:vAlign w:val="top"/>
          </w:tcPr>
          <w:p>
            <w:pPr>
              <w:spacing w:after="40" w:before="0" w:line="259" w:lineRule="auto"/>
            </w:pPr>
            <w:r>
              <w:rPr>
                <w:rFonts w:ascii="Calibri" w:hAnsi="Calibri"/>
                <w:b w:val="0"/>
                <w:i w:val="0"/>
                <w:color w:val="212121"/>
                <w:sz w:val="16"/>
              </w:rPr>
              <w:t>Localise inflammation (retrocaecal appendix -&gt; psoas; pelvic appendix -&gt; obturator)</w:t>
            </w:r>
          </w:p>
        </w:tc>
        <w:tc>
          <w:tcPr>
            <w:tcW w:type="dxa" w:w="1036"/>
            <w:vAlign w:val="top"/>
          </w:tcPr>
          <w:p>
            <w:pPr>
              <w:spacing w:after="40" w:before="0" w:line="259" w:lineRule="auto"/>
            </w:pPr>
            <w:r>
              <w:rPr>
                <w:rFonts w:ascii="Calibri" w:hAnsi="Calibri"/>
                <w:b w:val="0"/>
                <w:i w:val="0"/>
                <w:color w:val="212121"/>
                <w:sz w:val="16"/>
              </w:rPr>
              <w:t>Suspected cases, atypical appendix position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Dunphy sign = increased pain on coughing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Vitals</w:t>
            </w:r>
          </w:p>
        </w:tc>
        <w:tc>
          <w:tcPr>
            <w:tcW w:type="dxa" w:w="950"/>
            <w:vAlign w:val="top"/>
          </w:tcPr>
          <w:p>
            <w:pPr>
              <w:spacing w:after="40" w:before="0" w:line="259" w:lineRule="auto"/>
            </w:pPr>
            <w:r>
              <w:rPr>
                <w:rFonts w:ascii="Calibri" w:hAnsi="Calibri"/>
                <w:b w:val="0"/>
                <w:i w:val="0"/>
                <w:color w:val="212121"/>
                <w:sz w:val="16"/>
              </w:rPr>
              <w:t>Temperature and pulse</w:t>
            </w:r>
          </w:p>
        </w:tc>
        <w:tc>
          <w:tcPr>
            <w:tcW w:type="dxa" w:w="979"/>
            <w:vAlign w:val="top"/>
          </w:tcPr>
          <w:p>
            <w:pPr>
              <w:spacing w:after="40" w:before="0" w:line="259" w:lineRule="auto"/>
            </w:pPr>
            <w:r>
              <w:rPr>
                <w:rFonts w:ascii="Calibri" w:hAnsi="Calibri"/>
                <w:b w:val="0"/>
                <w:i w:val="0"/>
                <w:color w:val="212121"/>
                <w:sz w:val="16"/>
              </w:rPr>
              <w:t>Low-grade fever, tachycardia</w:t>
            </w:r>
          </w:p>
        </w:tc>
        <w:tc>
          <w:tcPr>
            <w:tcW w:type="dxa" w:w="950"/>
            <w:vAlign w:val="top"/>
          </w:tcPr>
          <w:p>
            <w:pPr>
              <w:spacing w:after="40" w:before="0" w:line="259" w:lineRule="auto"/>
            </w:pPr>
            <w:r>
              <w:rPr>
                <w:rFonts w:ascii="Calibri" w:hAnsi="Calibri"/>
                <w:b w:val="0"/>
                <w:i w:val="0"/>
                <w:color w:val="212121"/>
                <w:sz w:val="16"/>
              </w:rPr>
              <w:t>Afebrile, normal pulse</w:t>
            </w:r>
          </w:p>
        </w:tc>
        <w:tc>
          <w:tcPr>
            <w:tcW w:type="dxa" w:w="950"/>
            <w:vAlign w:val="top"/>
          </w:tcPr>
          <w:p>
            <w:pPr>
              <w:spacing w:after="40" w:before="0" w:line="259" w:lineRule="auto"/>
            </w:pPr>
            <w:r>
              <w:rPr>
                <w:rFonts w:ascii="Calibri" w:hAnsi="Calibri"/>
                <w:b w:val="0"/>
                <w:i w:val="0"/>
                <w:color w:val="212121"/>
                <w:sz w:val="16"/>
              </w:rPr>
              <w:t>Temp ~37.7-38.3 C, tachycardia</w:t>
            </w:r>
          </w:p>
        </w:tc>
        <w:tc>
          <w:tcPr>
            <w:tcW w:type="dxa" w:w="1036"/>
            <w:vAlign w:val="top"/>
          </w:tcPr>
          <w:p>
            <w:pPr>
              <w:spacing w:after="40" w:before="0" w:line="259" w:lineRule="auto"/>
            </w:pPr>
            <w:r>
              <w:rPr>
                <w:rFonts w:ascii="Calibri" w:hAnsi="Calibri"/>
                <w:b w:val="0"/>
                <w:i w:val="0"/>
                <w:color w:val="212121"/>
                <w:sz w:val="16"/>
              </w:rPr>
              <w:t>Modest fever early; high fever with tachycardia suggests complicated disease/sepsis</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severity</w:t>
            </w:r>
          </w:p>
        </w:tc>
        <w:tc>
          <w:tcPr>
            <w:tcW w:type="dxa" w:w="720"/>
            <w:vAlign w:val="top"/>
          </w:tcPr>
          <w:p>
            <w:pPr>
              <w:spacing w:after="40" w:before="0" w:line="259" w:lineRule="auto"/>
            </w:pPr>
            <w:r>
              <w:rPr>
                <w:rFonts w:ascii="Calibri" w:hAnsi="Calibri"/>
                <w:b w:val="0"/>
                <w:i w:val="0"/>
                <w:color w:val="212121"/>
                <w:sz w:val="16"/>
              </w:rPr>
              <w:t>High fever early is atypical for simple appendicitis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score</w:t>
            </w:r>
          </w:p>
        </w:tc>
        <w:tc>
          <w:tcPr>
            <w:tcW w:type="dxa" w:w="950"/>
            <w:vAlign w:val="top"/>
          </w:tcPr>
          <w:p>
            <w:pPr>
              <w:spacing w:after="40" w:before="0" w:line="259" w:lineRule="auto"/>
            </w:pPr>
            <w:r>
              <w:rPr>
                <w:rFonts w:ascii="Calibri" w:hAnsi="Calibri"/>
                <w:b w:val="0"/>
                <w:i w:val="0"/>
                <w:color w:val="212121"/>
                <w:sz w:val="16"/>
              </w:rPr>
              <w:t>Alvarado / AIR score</w:t>
            </w:r>
          </w:p>
        </w:tc>
        <w:tc>
          <w:tcPr>
            <w:tcW w:type="dxa" w:w="979"/>
            <w:vAlign w:val="top"/>
          </w:tcPr>
          <w:p>
            <w:pPr>
              <w:spacing w:after="40" w:before="0" w:line="259" w:lineRule="auto"/>
            </w:pPr>
            <w:r>
              <w:rPr>
                <w:rFonts w:ascii="Calibri" w:hAnsi="Calibri"/>
                <w:b w:val="0"/>
                <w:i w:val="0"/>
                <w:color w:val="212121"/>
                <w:sz w:val="16"/>
              </w:rPr>
              <w:t>Composite clinical-laboratory score</w:t>
            </w:r>
          </w:p>
        </w:tc>
        <w:tc>
          <w:tcPr>
            <w:tcW w:type="dxa" w:w="950"/>
            <w:vAlign w:val="top"/>
          </w:tcPr>
          <w:p>
            <w:pPr>
              <w:spacing w:after="40" w:before="0" w:line="259" w:lineRule="auto"/>
            </w:pPr>
            <w:r>
              <w:rPr>
                <w:rFonts w:ascii="Calibri" w:hAnsi="Calibri"/>
                <w:b w:val="0"/>
                <w:i w:val="0"/>
                <w:color w:val="212121"/>
                <w:sz w:val="16"/>
              </w:rPr>
              <w:t>Low score (Alvarado &lt; 5)</w:t>
            </w:r>
          </w:p>
        </w:tc>
        <w:tc>
          <w:tcPr>
            <w:tcW w:type="dxa" w:w="950"/>
            <w:vAlign w:val="top"/>
          </w:tcPr>
          <w:p>
            <w:pPr>
              <w:spacing w:after="40" w:before="0" w:line="259" w:lineRule="auto"/>
            </w:pPr>
            <w:r>
              <w:rPr>
                <w:rFonts w:ascii="Calibri" w:hAnsi="Calibri"/>
                <w:b w:val="0"/>
                <w:i w:val="0"/>
                <w:color w:val="212121"/>
                <w:sz w:val="16"/>
              </w:rPr>
              <w:t>High score (Alvarado &gt;= 7; AIR high-risk)</w:t>
            </w:r>
          </w:p>
        </w:tc>
        <w:tc>
          <w:tcPr>
            <w:tcW w:type="dxa" w:w="1036"/>
            <w:vAlign w:val="top"/>
          </w:tcPr>
          <w:p>
            <w:pPr>
              <w:spacing w:after="40" w:before="0" w:line="259" w:lineRule="auto"/>
            </w:pPr>
            <w:r>
              <w:rPr>
                <w:rFonts w:ascii="Calibri" w:hAnsi="Calibri"/>
                <w:b w:val="0"/>
                <w:i w:val="0"/>
                <w:color w:val="212121"/>
                <w:sz w:val="16"/>
              </w:rPr>
              <w:t>Stratifies probability, guides imaging and reduces negative appendectomy</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Alvarado &lt; 5 helps exclude; less reliable in elderly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Peri-umbilical pain migrating to the right iliac fossa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classic visceral-to-somatic shift as inflammation reaches the parietal peritoneum over 12-24 hours.</w:t>
            </w:r>
          </w:p>
        </w:tc>
      </w:tr>
      <w:tr>
        <w:trPr>
          <w:cantSplit/>
        </w:trPr>
        <w:tc>
          <w:tcPr>
            <w:tcW w:type="dxa" w:w="2304"/>
            <w:vAlign w:val="top"/>
          </w:tcPr>
          <w:p>
            <w:pPr>
              <w:spacing w:after="40" w:before="0" w:line="259" w:lineRule="auto"/>
            </w:pPr>
            <w:r>
              <w:rPr>
                <w:rFonts w:ascii="Calibri" w:hAnsi="Calibri"/>
                <w:b/>
                <w:i w:val="0"/>
                <w:color w:val="212121"/>
                <w:sz w:val="19"/>
              </w:rPr>
              <w:t>Right lower quadrant (RIF)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Constant, well-localised pain over the appendix; worse with movement.</w:t>
            </w:r>
          </w:p>
        </w:tc>
      </w:tr>
      <w:tr>
        <w:trPr>
          <w:cantSplit/>
        </w:trPr>
        <w:tc>
          <w:tcPr>
            <w:tcW w:type="dxa" w:w="2304"/>
            <w:vAlign w:val="top"/>
          </w:tcPr>
          <w:p>
            <w:pPr>
              <w:spacing w:after="40" w:before="0" w:line="259" w:lineRule="auto"/>
            </w:pPr>
            <w:r>
              <w:rPr>
                <w:rFonts w:ascii="Calibri" w:hAnsi="Calibri"/>
                <w:b/>
                <w:i w:val="0"/>
                <w:color w:val="212121"/>
                <w:sz w:val="19"/>
              </w:rPr>
              <w:t>Anorexia (loss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 early, sensitive feature; its absence makes appendicitis less likely.</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Accompanies the pain, usually after its onset.</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Typically follows the pain (unlike gastroenteritis, where vomiting precedes pain).</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pyrexia (about 37.7-38.3 C); high fever suggests perforation or abscess.</w:t>
            </w:r>
          </w:p>
        </w:tc>
      </w:tr>
      <w:tr>
        <w:trPr>
          <w:cantSplit/>
        </w:trPr>
        <w:tc>
          <w:tcPr>
            <w:tcW w:type="dxa" w:w="2304"/>
            <w:vAlign w:val="top"/>
          </w:tcPr>
          <w:p>
            <w:pPr>
              <w:spacing w:after="40" w:before="0" w:line="259" w:lineRule="auto"/>
            </w:pPr>
            <w:r>
              <w:rPr>
                <w:rFonts w:ascii="Calibri" w:hAnsi="Calibri"/>
                <w:b/>
                <w:i w:val="0"/>
                <w:color w:val="212121"/>
                <w:sz w:val="19"/>
              </w:rPr>
              <w:t>Pain aggravated by movement, coughing or deep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parietal peritoneal irritation; patients lie still with hips flexed.</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Altered bowel habit is common; some patients feel that defecation may relieve pain.</w:t>
            </w:r>
          </w:p>
        </w:tc>
      </w:tr>
      <w:tr>
        <w:trPr>
          <w:cantSplit/>
        </w:trPr>
        <w:tc>
          <w:tcPr>
            <w:tcW w:type="dxa" w:w="2304"/>
            <w:vAlign w:val="top"/>
          </w:tcPr>
          <w:p>
            <w:pPr>
              <w:spacing w:after="40" w:before="0" w:line="259" w:lineRule="auto"/>
            </w:pPr>
            <w:r>
              <w:rPr>
                <w:rFonts w:ascii="Calibri" w:hAnsi="Calibri"/>
                <w:b/>
                <w:i w:val="0"/>
                <w:color w:val="212121"/>
                <w:sz w:val="19"/>
              </w:rPr>
              <w:t>Diarrhoea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typical of a pelvic/retro-ileal appendix irritating the rectum or ileum.</w:t>
            </w:r>
          </w:p>
        </w:tc>
      </w:tr>
      <w:tr>
        <w:trPr>
          <w:cantSplit/>
        </w:trPr>
        <w:tc>
          <w:tcPr>
            <w:tcW w:type="dxa" w:w="2304"/>
            <w:vAlign w:val="top"/>
          </w:tcPr>
          <w:p>
            <w:pPr>
              <w:spacing w:after="40" w:before="0" w:line="259" w:lineRule="auto"/>
            </w:pPr>
            <w:r>
              <w:rPr>
                <w:rFonts w:ascii="Calibri" w:hAnsi="Calibri"/>
                <w:b/>
                <w:i w:val="0"/>
                <w:color w:val="212121"/>
                <w:sz w:val="19"/>
              </w:rPr>
              <w:t>Urinary frequency or dysuria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pelvic appendix lying near the bladder or ureter can cause urinary symptoms.</w:t>
            </w:r>
          </w:p>
        </w:tc>
      </w:tr>
      <w:tr>
        <w:trPr>
          <w:cantSplit/>
        </w:trPr>
        <w:tc>
          <w:tcPr>
            <w:tcW w:type="dxa" w:w="2304"/>
            <w:vAlign w:val="top"/>
          </w:tcPr>
          <w:p>
            <w:pPr>
              <w:spacing w:after="40" w:before="0" w:line="259" w:lineRule="auto"/>
            </w:pPr>
            <w:r>
              <w:rPr>
                <w:rFonts w:ascii="Calibri" w:hAnsi="Calibri"/>
                <w:b/>
                <w:i w:val="0"/>
                <w:color w:val="212121"/>
                <w:sz w:val="19"/>
              </w:rPr>
              <w:t>Generalised abdominal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Sudden spread of pain after transient relief signals perforation and peritonitis.</w:t>
            </w:r>
          </w:p>
        </w:tc>
      </w:tr>
      <w:tr>
        <w:trPr>
          <w:cantSplit/>
        </w:trPr>
        <w:tc>
          <w:tcPr>
            <w:tcW w:type="dxa" w:w="2304"/>
            <w:vAlign w:val="top"/>
          </w:tcPr>
          <w:p>
            <w:pPr>
              <w:spacing w:after="40" w:before="0" w:line="259" w:lineRule="auto"/>
            </w:pPr>
            <w:r>
              <w:rPr>
                <w:rFonts w:ascii="Calibri" w:hAnsi="Calibri"/>
                <w:b/>
                <w:i w:val="0"/>
                <w:color w:val="212121"/>
                <w:sz w:val="19"/>
              </w:rPr>
              <w:t>Right upper quadrant or flank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Seen with a retrocaecal appendix or in pregnancy, where the appendix is displaced upward.</w:t>
            </w:r>
          </w:p>
        </w:tc>
      </w:tr>
      <w:tr>
        <w:trPr>
          <w:cantSplit/>
        </w:trPr>
        <w:tc>
          <w:tcPr>
            <w:tcW w:type="dxa" w:w="2304"/>
            <w:vAlign w:val="top"/>
          </w:tcPr>
          <w:p>
            <w:pPr>
              <w:spacing w:after="40" w:before="0" w:line="259" w:lineRule="auto"/>
            </w:pPr>
            <w:r>
              <w:rPr>
                <w:rFonts w:ascii="Calibri" w:hAnsi="Calibri"/>
                <w:b/>
                <w:i w:val="0"/>
                <w:color w:val="212121"/>
                <w:sz w:val="19"/>
              </w:rPr>
              <w:t>Confusion or non-specific decline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Atypical presentation in the elderly, delaying diagnosis.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Tenderness at McBurney's point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Maximal tenderness one-third of the way from the ASIS to the umbilicus.</w:t>
            </w:r>
          </w:p>
        </w:tc>
      </w:tr>
      <w:tr>
        <w:trPr>
          <w:cantSplit/>
        </w:trPr>
        <w:tc>
          <w:tcPr>
            <w:tcW w:type="dxa" w:w="3456"/>
            <w:vAlign w:val="top"/>
          </w:tcPr>
          <w:p>
            <w:pPr>
              <w:spacing w:after="40" w:before="0" w:line="259" w:lineRule="auto"/>
            </w:pPr>
            <w:r>
              <w:rPr>
                <w:rFonts w:ascii="Calibri" w:hAnsi="Calibri"/>
                <w:b/>
                <w:i w:val="0"/>
                <w:color w:val="212121"/>
                <w:sz w:val="19"/>
              </w:rPr>
              <w:t>Rebound tenderness (Blumberg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 on sudden release of pressure indicates parietal peritoneal irritation.</w:t>
            </w:r>
          </w:p>
        </w:tc>
      </w:tr>
      <w:tr>
        <w:trPr>
          <w:cantSplit/>
        </w:trPr>
        <w:tc>
          <w:tcPr>
            <w:tcW w:type="dxa" w:w="3456"/>
            <w:vAlign w:val="top"/>
          </w:tcPr>
          <w:p>
            <w:pPr>
              <w:spacing w:after="40" w:before="0" w:line="259" w:lineRule="auto"/>
            </w:pPr>
            <w:r>
              <w:rPr>
                <w:rFonts w:ascii="Calibri" w:hAnsi="Calibri"/>
                <w:b/>
                <w:i w:val="0"/>
                <w:color w:val="212121"/>
                <w:sz w:val="19"/>
              </w:rPr>
              <w:t>Involuntary guarding / muscle rigidity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Reflex abdominal wall spasm over the inflamed appendix; board-like rigidity suggests perforation.</w:t>
            </w:r>
          </w:p>
        </w:tc>
      </w:tr>
      <w:tr>
        <w:trPr>
          <w:cantSplit/>
        </w:trPr>
        <w:tc>
          <w:tcPr>
            <w:tcW w:type="dxa" w:w="3456"/>
            <w:vAlign w:val="top"/>
          </w:tcPr>
          <w:p>
            <w:pPr>
              <w:spacing w:after="40" w:before="0" w:line="259" w:lineRule="auto"/>
            </w:pPr>
            <w:r>
              <w:rPr>
                <w:rFonts w:ascii="Calibri" w:hAnsi="Calibri"/>
                <w:b/>
                <w:i w:val="0"/>
                <w:color w:val="212121"/>
                <w:sz w:val="19"/>
              </w:rPr>
              <w:t>Rovsing's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Palpation of the left lower quadrant elicits pain in the right lower quadrant.</w:t>
            </w:r>
          </w:p>
        </w:tc>
      </w:tr>
      <w:tr>
        <w:trPr>
          <w:cantSplit/>
        </w:trPr>
        <w:tc>
          <w:tcPr>
            <w:tcW w:type="dxa" w:w="3456"/>
            <w:vAlign w:val="top"/>
          </w:tcPr>
          <w:p>
            <w:pPr>
              <w:spacing w:after="40" w:before="0" w:line="259" w:lineRule="auto"/>
            </w:pPr>
            <w:r>
              <w:rPr>
                <w:rFonts w:ascii="Calibri" w:hAnsi="Calibri"/>
                <w:b/>
                <w:i w:val="0"/>
                <w:color w:val="212121"/>
                <w:sz w:val="19"/>
              </w:rPr>
              <w:t>Dunphy's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RIF pain on coughing - a sign of localised peritonism.</w:t>
            </w:r>
          </w:p>
        </w:tc>
      </w:tr>
      <w:tr>
        <w:trPr>
          <w:cantSplit/>
        </w:trPr>
        <w:tc>
          <w:tcPr>
            <w:tcW w:type="dxa" w:w="3456"/>
            <w:vAlign w:val="top"/>
          </w:tcPr>
          <w:p>
            <w:pPr>
              <w:spacing w:after="40" w:before="0" w:line="259" w:lineRule="auto"/>
            </w:pPr>
            <w:r>
              <w:rPr>
                <w:rFonts w:ascii="Calibri" w:hAnsi="Calibri"/>
                <w:b/>
                <w:i w:val="0"/>
                <w:color w:val="212121"/>
                <w:sz w:val="19"/>
              </w:rPr>
              <w:t>Low-grade 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Mild temperature elevation; marked fever suggests complicated disease.</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Rises with pain, dehydration and, notably, with peritonitis or sepsis.</w:t>
            </w:r>
          </w:p>
        </w:tc>
      </w:tr>
      <w:tr>
        <w:trPr>
          <w:cantSplit/>
        </w:trPr>
        <w:tc>
          <w:tcPr>
            <w:tcW w:type="dxa" w:w="3456"/>
            <w:vAlign w:val="top"/>
          </w:tcPr>
          <w:p>
            <w:pPr>
              <w:spacing w:after="40" w:before="0" w:line="259" w:lineRule="auto"/>
            </w:pPr>
            <w:r>
              <w:rPr>
                <w:rFonts w:ascii="Calibri" w:hAnsi="Calibri"/>
                <w:b/>
                <w:i w:val="0"/>
                <w:color w:val="212121"/>
                <w:sz w:val="19"/>
              </w:rPr>
              <w:t>Psoas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 on passive extension of the right hip - suggests a retrocaecal appendix.</w:t>
            </w:r>
          </w:p>
        </w:tc>
      </w:tr>
      <w:tr>
        <w:trPr>
          <w:cantSplit/>
        </w:trPr>
        <w:tc>
          <w:tcPr>
            <w:tcW w:type="dxa" w:w="3456"/>
            <w:vAlign w:val="top"/>
          </w:tcPr>
          <w:p>
            <w:pPr>
              <w:spacing w:after="40" w:before="0" w:line="259" w:lineRule="auto"/>
            </w:pPr>
            <w:r>
              <w:rPr>
                <w:rFonts w:ascii="Calibri" w:hAnsi="Calibri"/>
                <w:b/>
                <w:i w:val="0"/>
                <w:color w:val="212121"/>
                <w:sz w:val="19"/>
              </w:rPr>
              <w:t>Obturator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 on passive internal rotation of the flexed right hip - suggests a pelvic appendix.</w:t>
            </w:r>
          </w:p>
        </w:tc>
      </w:tr>
      <w:tr>
        <w:trPr>
          <w:cantSplit/>
        </w:trPr>
        <w:tc>
          <w:tcPr>
            <w:tcW w:type="dxa" w:w="3456"/>
            <w:vAlign w:val="top"/>
          </w:tcPr>
          <w:p>
            <w:pPr>
              <w:spacing w:after="40" w:before="0" w:line="259" w:lineRule="auto"/>
            </w:pPr>
            <w:r>
              <w:rPr>
                <w:rFonts w:ascii="Calibri" w:hAnsi="Calibri"/>
                <w:b/>
                <w:i w:val="0"/>
                <w:color w:val="212121"/>
                <w:sz w:val="19"/>
              </w:rPr>
              <w:t>Palpable right iliac fossa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tender mass after 3-5 days indicates an appendicular mass/phlegmon or abscess.</w:t>
            </w:r>
          </w:p>
        </w:tc>
      </w:tr>
      <w:tr>
        <w:trPr>
          <w:cantSplit/>
        </w:trPr>
        <w:tc>
          <w:tcPr>
            <w:tcW w:type="dxa" w:w="3456"/>
            <w:vAlign w:val="top"/>
          </w:tcPr>
          <w:p>
            <w:pPr>
              <w:spacing w:after="40" w:before="0" w:line="259" w:lineRule="auto"/>
            </w:pPr>
            <w:r>
              <w:rPr>
                <w:rFonts w:ascii="Calibri" w:hAnsi="Calibri"/>
                <w:b/>
                <w:i w:val="0"/>
                <w:color w:val="212121"/>
                <w:sz w:val="19"/>
              </w:rPr>
              <w:t>Generalised peritonism / rigid abdomen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Diffuse tenderness, guarding and absent bowel sounds indicate perforation with peritonitis.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Ischaemia and gangrene of the appendiceal wall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Perforation of the appendix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Localised (peri-appendiceal) peritonitis</w:t>
            </w:r>
          </w:p>
        </w:tc>
        <w:tc>
          <w:tcPr>
            <w:tcW w:type="dxa" w:w="2980"/>
            <w:vAlign w:val="top"/>
          </w:tcPr>
          <w:p>
            <w:pPr>
              <w:spacing w:after="40" w:before="0" w:line="259" w:lineRule="auto"/>
            </w:pPr>
            <w:r>
              <w:rPr>
                <w:rFonts w:ascii="Calibri" w:hAnsi="Calibri"/>
                <w:b w:val="0"/>
                <w:i w:val="0"/>
                <w:color w:val="212121"/>
                <w:sz w:val="19"/>
              </w:rPr>
              <w:t>Direct consequences of unrelieved luminal obstruction with rising pressure, ischaemia and bacterial invasion.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Peri-appendiceal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Appendicular mass / phlegmon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Generalised (diffuse) peritonitis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Paralytic ileus and bowel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Pylephlebitis (septic portal vein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sepsis</w:t>
            </w:r>
          </w:p>
        </w:tc>
        <w:tc>
          <w:tcPr>
            <w:tcW w:type="dxa" w:w="2980"/>
            <w:vAlign w:val="top"/>
          </w:tcPr>
          <w:p>
            <w:pPr>
              <w:spacing w:after="40" w:before="0" w:line="259" w:lineRule="auto"/>
            </w:pPr>
            <w:r>
              <w:rPr>
                <w:rFonts w:ascii="Calibri" w:hAnsi="Calibri"/>
                <w:b w:val="0"/>
                <w:i w:val="0"/>
                <w:color w:val="212121"/>
                <w:sz w:val="19"/>
              </w:rPr>
              <w:t>Result from spread of infection beyond the appendix once perforation or walling-off occurs.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shock and multi-organ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Enterocutaneous or faecal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wound infection and incisional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Intra-abdominal adhesions causing later small-bowel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Tubal adhesions with reduced fertility in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(rare with timely surgery)</w:t>
            </w:r>
          </w:p>
        </w:tc>
        <w:tc>
          <w:tcPr>
            <w:tcW w:type="dxa" w:w="2980"/>
            <w:vAlign w:val="top"/>
          </w:tcPr>
          <w:p>
            <w:pPr>
              <w:spacing w:after="40" w:before="0" w:line="259" w:lineRule="auto"/>
            </w:pPr>
            <w:r>
              <w:rPr>
                <w:rFonts w:ascii="Calibri" w:hAnsi="Calibri"/>
                <w:b w:val="0"/>
                <w:i w:val="0"/>
                <w:color w:val="212121"/>
                <w:sz w:val="19"/>
              </w:rPr>
              <w:t>Irreversible or disabling outcomes of severe, delayed or complicated disease and its surgical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Faecolith (appendicolith)</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obstructing calcified concretion is a key mechanism of appendicitis and a marker of complicated, perforation-prone disease.</w:t>
            </w:r>
          </w:p>
        </w:tc>
      </w:tr>
      <w:tr>
        <w:trPr>
          <w:cantSplit/>
        </w:trPr>
        <w:tc>
          <w:tcPr>
            <w:tcW w:type="dxa" w:w="2232"/>
            <w:vAlign w:val="top"/>
          </w:tcPr>
          <w:p>
            <w:pPr>
              <w:spacing w:after="40" w:before="0" w:line="259" w:lineRule="auto"/>
            </w:pPr>
            <w:r>
              <w:rPr>
                <w:rFonts w:ascii="Calibri" w:hAnsi="Calibri"/>
                <w:b/>
                <w:i w:val="0"/>
                <w:color w:val="212121"/>
                <w:sz w:val="19"/>
              </w:rPr>
              <w:t>Perforation with peritonitis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Untreated or delayed appendicitis progresses to gangrene, perforation and peritonitis; risk rises with age and delay.</w:t>
            </w:r>
          </w:p>
          <w:p>
            <w:pPr>
              <w:spacing w:after="40" w:before="0" w:line="259" w:lineRule="auto"/>
            </w:pPr>
            <w:r>
              <w:rPr>
                <w:rFonts w:ascii="Calibri" w:hAnsi="Calibri"/>
                <w:b/>
                <w:i w:val="0"/>
                <w:color w:val="212121"/>
                <w:sz w:val="19"/>
              </w:rPr>
              <w:t>16-40% overall (55-70% over age 50)</w:t>
            </w:r>
          </w:p>
        </w:tc>
      </w:tr>
      <w:tr>
        <w:trPr>
          <w:cantSplit/>
        </w:trPr>
        <w:tc>
          <w:tcPr>
            <w:tcW w:type="dxa" w:w="2232"/>
            <w:vAlign w:val="top"/>
          </w:tcPr>
          <w:p>
            <w:pPr>
              <w:spacing w:after="40" w:before="0" w:line="259" w:lineRule="auto"/>
            </w:pPr>
            <w:r>
              <w:rPr>
                <w:rFonts w:ascii="Calibri" w:hAnsi="Calibri"/>
                <w:b/>
                <w:i w:val="0"/>
                <w:color w:val="212121"/>
                <w:sz w:val="19"/>
              </w:rPr>
              <w:t>Peri-appendiceal abscess / appendicular mass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Walled-off infection presenting after several days; may need image-guided drainage and interval appendectomy.</w:t>
            </w:r>
          </w:p>
        </w:tc>
      </w:tr>
      <w:tr>
        <w:trPr>
          <w:cantSplit/>
        </w:trPr>
        <w:tc>
          <w:tcPr>
            <w:tcW w:type="dxa" w:w="2232"/>
            <w:vAlign w:val="top"/>
          </w:tcPr>
          <w:p>
            <w:pPr>
              <w:spacing w:after="40" w:before="0" w:line="259" w:lineRule="auto"/>
            </w:pPr>
            <w:r>
              <w:rPr>
                <w:rFonts w:ascii="Calibri" w:hAnsi="Calibri"/>
                <w:b/>
                <w:i w:val="0"/>
                <w:color w:val="212121"/>
                <w:sz w:val="19"/>
              </w:rPr>
              <w:t>Sepsis / systemic inflammatory response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Bacterial spread from a perforated appendix can cause sepsis and septic shock, driving mortality.</w:t>
            </w:r>
          </w:p>
        </w:tc>
      </w:tr>
      <w:tr>
        <w:trPr>
          <w:cantSplit/>
        </w:trPr>
        <w:tc>
          <w:tcPr>
            <w:tcW w:type="dxa" w:w="2232"/>
            <w:vAlign w:val="top"/>
          </w:tcPr>
          <w:p>
            <w:pPr>
              <w:spacing w:after="40" w:before="0" w:line="259" w:lineRule="auto"/>
            </w:pPr>
            <w:r>
              <w:rPr>
                <w:rFonts w:ascii="Calibri" w:hAnsi="Calibri"/>
                <w:b/>
                <w:i w:val="0"/>
                <w:color w:val="212121"/>
                <w:sz w:val="19"/>
              </w:rPr>
              <w:t>Intestinal parasitic infection (Enterobius/Ascaris)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Helminths can obstruct the lumen or incite lymphoid hyperplasia - a relevant precipitant in helminth-endemic Indian settings.</w:t>
            </w:r>
          </w:p>
        </w:tc>
      </w:tr>
      <w:tr>
        <w:trPr>
          <w:cantSplit/>
        </w:trPr>
        <w:tc>
          <w:tcPr>
            <w:tcW w:type="dxa" w:w="2232"/>
            <w:vAlign w:val="top"/>
          </w:tcPr>
          <w:p>
            <w:pPr>
              <w:spacing w:after="40" w:before="0" w:line="259" w:lineRule="auto"/>
            </w:pPr>
            <w:r>
              <w:rPr>
                <w:rFonts w:ascii="Calibri" w:hAnsi="Calibri"/>
                <w:b/>
                <w:i w:val="0"/>
                <w:color w:val="212121"/>
                <w:sz w:val="19"/>
              </w:rPr>
              <w:t>Cystic fibrosis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Inspissated intestinal secretions predispose to appendiceal luminal obstruction and mucocele.</w:t>
            </w:r>
          </w:p>
        </w:tc>
      </w:tr>
      <w:tr>
        <w:trPr>
          <w:cantSplit/>
        </w:trPr>
        <w:tc>
          <w:tcPr>
            <w:tcW w:type="dxa" w:w="2232"/>
            <w:vAlign w:val="top"/>
          </w:tcPr>
          <w:p>
            <w:pPr>
              <w:spacing w:after="40" w:before="0" w:line="259" w:lineRule="auto"/>
            </w:pPr>
            <w:r>
              <w:rPr>
                <w:rFonts w:ascii="Calibri" w:hAnsi="Calibri"/>
                <w:b/>
                <w:i w:val="0"/>
                <w:color w:val="212121"/>
                <w:sz w:val="19"/>
              </w:rPr>
              <w:t>Appendiceal / caecal neoplasm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older adults a tumour may be the obstructing lesion; new appendicitis over 40 warrants exclusion of malignancy.</w:t>
            </w:r>
          </w:p>
        </w:tc>
      </w:tr>
      <w:tr>
        <w:trPr>
          <w:cantSplit/>
        </w:trPr>
        <w:tc>
          <w:tcPr>
            <w:tcW w:type="dxa" w:w="2232"/>
            <w:vAlign w:val="top"/>
          </w:tcPr>
          <w:p>
            <w:pPr>
              <w:spacing w:after="40" w:before="0" w:line="259" w:lineRule="auto"/>
            </w:pPr>
            <w:r>
              <w:rPr>
                <w:rFonts w:ascii="Calibri" w:hAnsi="Calibri"/>
                <w:b/>
                <w:i w:val="0"/>
                <w:color w:val="212121"/>
                <w:sz w:val="19"/>
              </w:rPr>
              <w:t>Crohn's disease (terminal ileitis)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Terminal-ileal Crohn's mimics and may coexist with appendicitis, altering diagnosis and the decision to operate.</w:t>
            </w:r>
          </w:p>
        </w:tc>
      </w:tr>
      <w:tr>
        <w:trPr>
          <w:cantSplit/>
        </w:trPr>
        <w:tc>
          <w:tcPr>
            <w:tcW w:type="dxa" w:w="2232"/>
            <w:vAlign w:val="top"/>
          </w:tcPr>
          <w:p>
            <w:pPr>
              <w:spacing w:after="40" w:before="0" w:line="259" w:lineRule="auto"/>
            </w:pPr>
            <w:r>
              <w:rPr>
                <w:rFonts w:ascii="Calibri" w:hAnsi="Calibri"/>
                <w:b/>
                <w:i w:val="0"/>
                <w:color w:val="212121"/>
                <w:sz w:val="19"/>
              </w:rPr>
              <w:t>Mesenteric adenitis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common benign mimic in children (post-viral mesenteric lymph node inflammation) that must be distinguished from appendicitis.</w:t>
            </w:r>
          </w:p>
        </w:tc>
      </w:tr>
      <w:tr>
        <w:trPr>
          <w:cantSplit/>
        </w:trPr>
        <w:tc>
          <w:tcPr>
            <w:tcW w:type="dxa" w:w="2232"/>
            <w:vAlign w:val="top"/>
          </w:tcPr>
          <w:p>
            <w:pPr>
              <w:spacing w:after="40" w:before="0" w:line="259" w:lineRule="auto"/>
            </w:pPr>
            <w:r>
              <w:rPr>
                <w:rFonts w:ascii="Calibri" w:hAnsi="Calibri"/>
                <w:b/>
                <w:i w:val="0"/>
                <w:color w:val="212121"/>
                <w:sz w:val="19"/>
              </w:rPr>
              <w:t>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gravid uterus displaces the appendix and alters pain location; appendicitis in pregnancy carries higher perforation and fetal-loss risk and needs MRI-based imaging.</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classic warning pattern - pain starting around the navel that shifts to the lower right abdomen, with loss of appetite, nausea and low-grade fever - and seek urgent medical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laxatives or enemas, apply heat to the abdomen, or 'wait it out' if appendicitis is suspected, as these can hasten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self-medicating with strong painkillers or antibiotics that mask symptoms and delay diagnosis; get assessed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appendicitis is a surgical emergency - early appendectomy has excellent outcomes, whereas delay raises the risk of perforation and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and maintain good sanitation and periodic deworming (in endemic areas) to reduce faecolith formation and parasite-related obstruction.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and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low-access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recurrent RIF pain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diagnosis, follow surgical advice promptly; laparoscopic appendectomy usually allows quick recovery when done before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an antibiotic-first (non-operative) approach is chosen for uncomplicated appendicitis, understand that symptoms can recur in roughly 4 in 10 patients and watch for warning signs.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post-operative red flags (rising fever, worsening or spreading pain, wound redness/discharge, persistent vomiting) and return immediately if they occur.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an appendicular mass or an over-40 first presentation may need interval appendectomy or colonoscopy to exclude a tumour.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Post-appendectomy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antibiotic-first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appendicular mass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over 40</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(at least 150 minutes/week of moderate activity) to maintain regular bowel transit and prevent constipation-related faecolith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adequate fluids and fibre to keep stools soft and regular.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early after appendectomy to reduce the risk of chest infection, deep-vein thrombosis and adhesions.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lifting and strenuous exercise for about 2-6 weeks after surgery (longer after open or complicated surgery) as advised by the surgeon.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normal activity gradually, guided by pain and wound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Post-appendectomy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complicated appendicitis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rich in whole grains and millets (ragi, jowar, bajra), pulses, fruits and vegetables to speed transit and reduce faecolith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low-fibre, refined and ultra-processed 'Western' foods (white flour products, sugary and deep-fried snacks).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daily fluids to keep stools soft and prevent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food and hand hygiene and safe water use to reduce enteric and parasitic infections.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Indians on refined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low fibre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surgery, resume oral intake as tolerated once bowel function returns - clear fluids progressing to a light, then normal,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to a fibre-rich diet with plenty of fluids to restore regular bowel habit and prevent post-operative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heavy, greasy meals in the immediate post-operative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Post-appendectomy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and sleep after surgery to support tissue healing and immune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analgesia so that pain does not disrupt sleep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Post-appendectomy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impairs wound healing and increases the risk of post-operative wound and chest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well before any planned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surgery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can cause acute-abdomen conditions that mimic appendicitis and can blunt or mask pain, delaying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to self-treat abdominal pain; seek medical assessment instead.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around the time of surgery and while taking post-operative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undiagnosed abdominal pain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health anxiety or fear of hospitals delay assessment of significant abdominal pain - early review prevents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reassurance and support during recovery; most patients return to normal life quickly after uncomplicated appendectomy.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anxious about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Post-appendectomy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13017-020-00306-3" TargetMode="External"/><Relationship Id="rId10" Type="http://schemas.openxmlformats.org/officeDocument/2006/relationships/hyperlink" Target="https://www.nhs.uk/conditions/appendicitis/" TargetMode="External"/><Relationship Id="rId11" Type="http://schemas.openxmlformats.org/officeDocument/2006/relationships/hyperlink" Target="https://www.ncbi.nlm.nih.gov/books/NBK493193/" TargetMode="External"/><Relationship Id="rId12" Type="http://schemas.openxmlformats.org/officeDocument/2006/relationships/hyperlink" Target="https://pubmed.ncbi.nlm.nih.gov/28288060/" TargetMode="External"/><Relationship Id="rId13" Type="http://schemas.openxmlformats.org/officeDocument/2006/relationships/hyperlink" Target="https://en.wikipedia.org/wiki/Appendicitis" TargetMode="External"/><Relationship Id="rId14" Type="http://schemas.openxmlformats.org/officeDocument/2006/relationships/hyperlink" Target="https://www.merckmanuals.com/professional/gastrointestinal-disorders/acute-abdomen-and-surgical-gastroenterology/appendicitis" TargetMode="External"/><Relationship Id="rId15" Type="http://schemas.openxmlformats.org/officeDocument/2006/relationships/hyperlink" Target="https://my.clevelandclinic.org/health/diseases/8095-appendic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