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Hernia (inguinal, umbilical, hiatal, incisional)</w:t>
      </w:r>
    </w:p>
    <w:p>
      <w:pPr>
        <w:spacing w:before="0" w:after="160"/>
      </w:pPr>
      <w:r>
        <w:rPr>
          <w:rFonts w:ascii="Calibri" w:hAnsi="Calibri"/>
          <w:b/>
          <w:i w:val="0"/>
          <w:color w:val="212121"/>
          <w:sz w:val="22"/>
        </w:rPr>
        <w:t xml:space="preserve">AKA </w:t>
      </w:r>
      <w:r>
        <w:rPr>
          <w:rFonts w:ascii="Calibri" w:hAnsi="Calibri"/>
          <w:b w:val="0"/>
          <w:i w:val="0"/>
          <w:color w:val="212121"/>
          <w:sz w:val="22"/>
        </w:rPr>
        <w:t>i.e., 'Rupture'; groin hernia (inguinal); belly-button / navel hernia (umbilical &amp; paraumbilical); hiatus hernia or diaphragmatic hernia of the oesophageal hiatus (hiatal); post-operative scar or ventral hernia (incisional); a visible protrusion is colloquially called a 'hernia bulge'.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 hernia is the abnormal protrusion of an organ or tissue — most often a loop of bowel or omentum — through a defect or weakened area in the wall of the cavity that normally contains it, usually the abdominal wall or the diaphragm. The commonest external (abdominal-wall) types are inguinal (through the inguinal canal in the groin), umbilical/paraumbilical (through the umbilical ring) and incisional (through the scar of a previous operation); the commonest internal type is the hiatal hernia, in which the stomach slides or rolls upward through the oesophageal hiatus of the diaphragm. Every hernia has a sac (peritoneum), contents and a neck at the defect; it may be reducible, or become irreducible (incarcerated), obstructed, or strangulated (its blood supply cut off) — strangulation being a surgical emergency that can lead to bowel ischaemia, perforation and peritonitis.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Hernias are among the commonest general-surgical conditions in India, and groin-hernia repair is one of the most frequently performed elective operations in Indian surgical practice; large, neglected and complicated hernias remain common because of manual labour, chronic cough, untreated prostatism and delayed presentation, especially among rural men. Inguinal hernias account for about 75% of all abdominal-wall hernias, and the lifetime risk of an inguinal hernia is roughly 25-27% in men versus under 2-3% in women, with males making up about 90% of cases. Hiatal hernia is chiefly a disorder of later life — present in an estimated 55-60% of people over 50 years — while umbilical hernias make up 6-14% of adult abdominal-wall hernias and incisional hernias complicate a substantial share of laparotomies. Community prevalence of groin hernia is commonly cited in the region of ~2-5%, and modelling of Asian populations shows a growing hernia burden from 1990-2021 that is projected to rise further to 2050 as the population ages.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Most abdominal-wall hernias are diagnosed clinically from a focused history and examination of the swelling (standing and supine, with a cough/Valsalva impulse); imaging is reserved for occult, complex, recurrent or complicated hernias and for the hiatal type, which is largely an endoscopic/radiological diagnosis. The diagnosis rests on a combination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visible or palpable swelling at a hernia site (groin, umbilicus, previous surgical scar or epigastrium) that enlarges on standing, coughing or straining and typically reduces on lying flat;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 expansile cough impulse over the swelling and demonstrable reducibility on clinical examination, with anatomical localisation (an inguinal hernia lies above and medial to the pubic tubercle, a femoral hernia below and lateral to it);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dynamic soft-tissue ultrasound of the groin or abdominal wall (with Valsalva) to confirm a fascial defect and protruding contents when the clinical picture is equivocal or the hernia is occult;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CT of the abdomen and pelvis to map complex, incisional or recurrent hernias, define the contents and any 'loss of domain', and diagnose obstruction or strangulation;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MRI of the abdominal wall/groin for occult hernia and chronic groin pain (including athletic 'sportsman's groin');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for a suspected hiatal hernia, upper gastrointestinal endoscopy and/or a barium swallow (oesophagogram) to demonstrate the stomach above the diaphragm and to detect reflux oesophagitis, Cameron ulcers or Barrett's oesophagus.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Hernias are classified by anatomical site, by the specific defect, by their contents' clinical state and by whether they are primary or recurrent; these together determine urgency and the type of repair:</w:t>
      </w:r>
    </w:p>
    <w:p>
      <w:pPr>
        <w:spacing w:before="0" w:after="80"/>
      </w:pPr>
      <w:r>
        <w:rPr>
          <w:rFonts w:ascii="Calibri" w:hAnsi="Calibri"/>
          <w:b w:val="0"/>
          <w:i w:val="0"/>
          <w:color w:val="212121"/>
          <w:sz w:val="21"/>
        </w:rPr>
        <w:t>(1) By site and type — inguinal (indirect, through the deep ring and inguinal canal, often via a patent processus vaginalis; or direct, through the weakened posterior wall in Hesselbach's triangle), femoral (through the femoral canal, commoner in women and prone to strangulation), umbilical and paraumbilical, epigastric, incisional/ventral (through a previous incision), and rarer types (Spigelian, lumbar, obturator, parastomal).</w:t>
      </w:r>
    </w:p>
    <w:p>
      <w:pPr>
        <w:spacing w:before="0" w:after="80"/>
      </w:pPr>
      <w:r>
        <w:rPr>
          <w:rFonts w:ascii="Calibri" w:hAnsi="Calibri"/>
          <w:b w:val="0"/>
          <w:i w:val="0"/>
          <w:color w:val="212121"/>
          <w:sz w:val="21"/>
        </w:rPr>
        <w:t>(2) Hiatal hernia is separately graded as Type I (sliding — the gastro-oesophageal junction slides up through the hiatus; over 90-95% of cases), Type II (pure paraesophageal/rolling, the rarest), Type III (mixed sliding and paraesophageal) and Type IV (herniation of additional organs such as colon or spleen alongside the stomach).</w:t>
      </w:r>
    </w:p>
    <w:p>
      <w:pPr>
        <w:spacing w:before="0" w:after="80"/>
      </w:pPr>
      <w:r>
        <w:rPr>
          <w:rFonts w:ascii="Calibri" w:hAnsi="Calibri"/>
          <w:b w:val="0"/>
          <w:i w:val="0"/>
          <w:color w:val="212121"/>
          <w:sz w:val="21"/>
        </w:rPr>
        <w:t>(3) By clinical state — reducible (contents return to the abdomen), irreducible / incarcerated (cannot be reduced), obstructed (bowel lumen occluded), and strangulated (blood supply compromised, an emergency); a Richter's hernia involves only part of the bowel circumference and can strangulate without complete obstruction.</w:t>
      </w:r>
    </w:p>
    <w:p>
      <w:pPr>
        <w:spacing w:before="0" w:after="80"/>
      </w:pPr>
      <w:r>
        <w:rPr>
          <w:rFonts w:ascii="Calibri" w:hAnsi="Calibri"/>
          <w:b w:val="0"/>
          <w:i w:val="0"/>
          <w:color w:val="212121"/>
          <w:sz w:val="21"/>
        </w:rPr>
        <w:t>(4) Groin hernias are further staged for surgical planning using systems such as the Nyhus and European Hernia Society (EHS) classifications, which record the location and size of the defect and whether the hernia is primary or recurrent.</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Congenital / anatomical predisposition: A patent processus vaginalis underlies most indirect inguinal and many paediatric hernias, and a wide or weak umbilical ring predisposes to umbilical hernia; naturally weak points (inguinal canal, femoral canal, umbilicus, oesophageal hiatus) are the usual sites.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Connective-tissue / collagen weakness: An altered type I-to-type III collagen ratio and impaired collagen cross-linking reduce fascial tensile strength; this is inherited in part and is exaggerated in disorders such as Ehlers-Danlos and Marfan syndromes.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Chronically raised intra-abdominal pressure: Chronic cough (COPD, smoking, tuberculosis), chronic constipation and straining, prostatism, ascites, pregnancy, obesity and heavy manual lifting repeatedly stress the abdominal wall and hiatus.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Previous surgery and wound failure: Incisional hernias arise where a laparotomy or laparoscopic-port wound fails to heal soundly, promoted by surgical-site infection, obesity, emergency surgery, midline incisions and poor tissue quality.</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Ageing and muscle/fascial atrophy: Progressive loss of muscle bulk and connective-tissue elasticity with age weakens the abdominal wall and the diaphragmatic hiatus, so hernia prevalence rises steeply in later life.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Smoking: Tobacco impairs collagen metabolism (raising matrix-metalloproteinase activity) and provokes chronic cough, increasing the risk of primary hernia, incisional hernia and recurrence after repair.</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Obesity and central adiposity: Excess visceral fat raises baseline intra-abdominal pressure and impairs wound healing, favouring umbilical, hiatal and incisional hernias (paradoxically, a high BMI can mask or reduce clinically detectable inguinal hernia).</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Working-age adults (men)</w:t>
            </w:r>
          </w:p>
        </w:tc>
        <w:tc>
          <w:tcPr>
            <w:tcW w:type="dxa" w:w="4276"/>
            <w:vAlign w:val="top"/>
          </w:tcPr>
          <w:p>
            <w:pPr>
              <w:spacing w:after="60" w:line="259" w:lineRule="auto"/>
            </w:pPr>
            <w:r>
              <w:rPr>
                <w:rFonts w:ascii="Calibri" w:hAnsi="Calibri"/>
                <w:b w:val="0"/>
                <w:i w:val="0"/>
                <w:color w:val="212121"/>
                <w:sz w:val="19"/>
              </w:rPr>
              <w:t>Cumulative straining, heavy lifting and rising intra-abdominal pressure through adult working life, acting on naturally weak groin points, make the inguinal hernia the dominant abdominal-wall hernia of adulthood.</w:t>
            </w:r>
          </w:p>
          <w:p>
            <w:pPr>
              <w:spacing w:after="40" w:before="60" w:line="259" w:lineRule="auto"/>
            </w:pPr>
            <w:r>
              <w:rPr>
                <w:rFonts w:ascii="Calibri" w:hAnsi="Calibri"/>
                <w:b w:val="0"/>
                <w:i w:val="0"/>
                <w:color w:val="212121"/>
                <w:sz w:val="19"/>
              </w:rPr>
              <w:t>Inguinal hernias account for about 75% of all abdominal-wall hernias, and the lifetime risk in men is roughly 25-27%.</w:t>
            </w:r>
          </w:p>
          <w:p>
            <w:pPr>
              <w:spacing w:after="40" w:line="252" w:lineRule="auto"/>
            </w:pPr>
            <w:hyperlink r:id="rId9">
              <w:r>
                <w:rPr>
                  <w:rFonts w:ascii="Calibri" w:hAnsi="Calibri" w:cs="Calibri"/>
                  <w:sz w:val="18"/>
                  <w:color w:val="1155CC"/>
                  <w:u w:val="single"/>
                </w:rPr>
                <w:t xml:space="preserve">niddk.nih.gov — inguinal hernia (facts &amp; risk)</w:t>
              </w:r>
            </w:hyperlink>
          </w:p>
          <w:p>
            <w:pPr>
              <w:spacing w:before="60" w:after="40"/>
            </w:pPr>
            <w:r>
              <w:rPr>
                <w:rFonts w:ascii="Calibri" w:hAnsi="Calibri"/>
                <w:b w:val="0"/>
                <w:i w:val="0"/>
                <w:color w:val="5A5A5A"/>
                <w:sz w:val="18"/>
              </w:rPr>
              <w:t>#inguinalhernia  #groinhernia  #intraabdominalpressure  #manuallabour</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(&gt; 70 years)</w:t>
            </w:r>
          </w:p>
        </w:tc>
        <w:tc>
          <w:tcPr>
            <w:tcW w:type="dxa" w:w="4276"/>
            <w:vAlign w:val="top"/>
          </w:tcPr>
          <w:p>
            <w:pPr>
              <w:spacing w:after="60" w:line="259" w:lineRule="auto"/>
            </w:pPr>
            <w:r>
              <w:rPr>
                <w:rFonts w:ascii="Calibri" w:hAnsi="Calibri"/>
                <w:b w:val="0"/>
                <w:i w:val="0"/>
                <w:color w:val="212121"/>
                <w:sz w:val="19"/>
              </w:rPr>
              <w:t>Age-related loss of muscle bulk and collagen elasticity weakens the abdominal wall and oesophageal hiatus; coexisting prostatism and chronic cough add sustained pressure, so hernias are larger and present more often as emergencies.</w:t>
            </w:r>
          </w:p>
          <w:p>
            <w:pPr>
              <w:spacing w:after="40" w:before="60" w:line="259" w:lineRule="auto"/>
            </w:pPr>
            <w:r>
              <w:rPr>
                <w:rFonts w:ascii="Calibri" w:hAnsi="Calibri"/>
                <w:b w:val="0"/>
                <w:i w:val="0"/>
                <w:color w:val="212121"/>
                <w:sz w:val="19"/>
              </w:rPr>
              <w:t>Inguinal-hernia incidence is bimodal with a peak after age 70, and inguinal hernia is most common at ages 75-80.</w:t>
            </w:r>
          </w:p>
          <w:p>
            <w:pPr>
              <w:spacing w:after="40" w:line="252" w:lineRule="auto"/>
            </w:pPr>
            <w:hyperlink r:id="rId10">
              <w:r>
                <w:rPr>
                  <w:rFonts w:ascii="Calibri" w:hAnsi="Calibri" w:cs="Calibri"/>
                  <w:sz w:val="18"/>
                  <w:color w:val="1155CC"/>
                  <w:u w:val="single"/>
                </w:rPr>
                <w:t xml:space="preserve">ncbi.nlm.nih.gov/books/NBK513332 — Inguinal Hernia (StatPearls)</w:t>
              </w:r>
            </w:hyperlink>
          </w:p>
          <w:p>
            <w:pPr>
              <w:spacing w:before="60" w:after="40"/>
            </w:pPr>
            <w:r>
              <w:rPr>
                <w:rFonts w:ascii="Calibri" w:hAnsi="Calibri"/>
                <w:b w:val="0"/>
                <w:i w:val="0"/>
                <w:color w:val="5A5A5A"/>
                <w:sz w:val="18"/>
              </w:rPr>
              <w:t>#elderly  #tissueweakness  #emergencyrepair  #largehernia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Infants &amp; young children</w:t>
            </w:r>
          </w:p>
        </w:tc>
        <w:tc>
          <w:tcPr>
            <w:tcW w:type="dxa" w:w="4276"/>
            <w:vAlign w:val="top"/>
          </w:tcPr>
          <w:p>
            <w:pPr>
              <w:spacing w:after="60" w:line="259" w:lineRule="auto"/>
            </w:pPr>
            <w:r>
              <w:rPr>
                <w:rFonts w:ascii="Calibri" w:hAnsi="Calibri"/>
                <w:b w:val="0"/>
                <w:i w:val="0"/>
                <w:color w:val="212121"/>
                <w:sz w:val="19"/>
              </w:rPr>
              <w:t>A patent processus vaginalis produces indirect inguinal hernias, and an incompletely closed umbilical ring produces umbilical hernias; prematurity and low birth weight markedly increase risk.</w:t>
            </w:r>
          </w:p>
          <w:p>
            <w:pPr>
              <w:spacing w:after="40" w:before="60" w:line="259" w:lineRule="auto"/>
            </w:pPr>
            <w:r>
              <w:rPr>
                <w:rFonts w:ascii="Calibri" w:hAnsi="Calibri"/>
                <w:b w:val="0"/>
                <w:i w:val="0"/>
                <w:color w:val="212121"/>
                <w:sz w:val="19"/>
              </w:rPr>
              <w:t>Inguinal-hernia incidence peaks at ages 0-5; umbilical hernia occurs in about 10-15% of infants and usually resolves spontaneously by about age 2, with repair considered if it persists beyond age 5 or exceeds ~1.5 cm.</w:t>
            </w:r>
          </w:p>
          <w:p>
            <w:pPr>
              <w:spacing w:after="40" w:line="252" w:lineRule="auto"/>
            </w:pPr>
            <w:hyperlink r:id="rId11">
              <w:r>
                <w:rPr>
                  <w:rFonts w:ascii="Calibri" w:hAnsi="Calibri" w:cs="Calibri"/>
                  <w:sz w:val="18"/>
                  <w:color w:val="1155CC"/>
                  <w:u w:val="single"/>
                </w:rPr>
                <w:t xml:space="preserve">ncbi.nlm.nih.gov/books/NBK459312 — Umbilical Hernia (StatPearls)</w:t>
              </w:r>
            </w:hyperlink>
          </w:p>
          <w:p>
            <w:pPr>
              <w:spacing w:before="60" w:after="40"/>
            </w:pPr>
            <w:r>
              <w:rPr>
                <w:rFonts w:ascii="Calibri" w:hAnsi="Calibri"/>
                <w:b w:val="0"/>
                <w:i w:val="0"/>
                <w:color w:val="5A5A5A"/>
                <w:sz w:val="18"/>
              </w:rPr>
              <w:t>#paediatric  #patentprocessusvaginalis  #prematurity  #umbilicalhernia</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The male inguinal canal is traversed by the spermatic cord and follows testicular descent, leaving a larger, weaker deep ring; men therefore develop groin hernias far more often than women.</w:t>
            </w:r>
          </w:p>
          <w:p>
            <w:pPr>
              <w:spacing w:after="40" w:before="60" w:line="259" w:lineRule="auto"/>
            </w:pPr>
            <w:r>
              <w:rPr>
                <w:rFonts w:ascii="Calibri" w:hAnsi="Calibri"/>
                <w:b w:val="0"/>
                <w:i w:val="0"/>
                <w:color w:val="212121"/>
                <w:sz w:val="19"/>
              </w:rPr>
              <w:t>Males are about 8-10 times more likely than females to develop an inguinal hernia and account for roughly 90% of all inguinal hernias.</w:t>
            </w:r>
          </w:p>
          <w:p>
            <w:pPr>
              <w:spacing w:after="40" w:line="252" w:lineRule="auto"/>
            </w:pPr>
            <w:hyperlink r:id="rId9">
              <w:r>
                <w:rPr>
                  <w:rFonts w:ascii="Calibri" w:hAnsi="Calibri" w:cs="Calibri"/>
                  <w:sz w:val="18"/>
                  <w:color w:val="1155CC"/>
                  <w:u w:val="single"/>
                </w:rPr>
                <w:t xml:space="preserve">niddk.nih.gov — inguinal hernia (sex differences)</w:t>
              </w:r>
            </w:hyperlink>
          </w:p>
          <w:p>
            <w:pPr>
              <w:spacing w:before="60" w:after="40"/>
            </w:pPr>
            <w:r>
              <w:rPr>
                <w:rFonts w:ascii="Calibri" w:hAnsi="Calibri"/>
                <w:b w:val="0"/>
                <w:i w:val="0"/>
                <w:color w:val="5A5A5A"/>
                <w:sz w:val="18"/>
              </w:rPr>
              <w:t>#male  #spermaticcord  #deepring  #sexratio</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Although groin hernias are commoner in men, women are disproportionately affected by femoral hernias (which strangulate readily) and by umbilical and hiatal hernias, the last two driven by pregnancy-related intra-abdominal pressure.</w:t>
            </w:r>
          </w:p>
          <w:p>
            <w:pPr>
              <w:spacing w:after="40" w:before="60" w:line="259" w:lineRule="auto"/>
            </w:pPr>
            <w:r>
              <w:rPr>
                <w:rFonts w:ascii="Calibri" w:hAnsi="Calibri"/>
                <w:b w:val="0"/>
                <w:i w:val="0"/>
                <w:color w:val="212121"/>
                <w:sz w:val="19"/>
              </w:rPr>
              <w:t>Femoral hernias make up about 3% of inguinal-region hernias but occur in women about 70% of the time; umbilical hernia is roughly three times commoner in women.</w:t>
            </w:r>
          </w:p>
          <w:p>
            <w:pPr>
              <w:spacing w:after="40" w:line="252" w:lineRule="auto"/>
            </w:pPr>
            <w:hyperlink r:id="rId10">
              <w:r>
                <w:rPr>
                  <w:rFonts w:ascii="Calibri" w:hAnsi="Calibri" w:cs="Calibri"/>
                  <w:sz w:val="18"/>
                  <w:color w:val="1155CC"/>
                  <w:u w:val="single"/>
                </w:rPr>
                <w:t xml:space="preserve">ncbi.nlm.nih.gov/books/NBK513332 — Inguinal Hernia (StatPearls)</w:t>
              </w:r>
            </w:hyperlink>
          </w:p>
          <w:p>
            <w:pPr>
              <w:spacing w:before="60" w:after="40"/>
            </w:pPr>
            <w:r>
              <w:rPr>
                <w:rFonts w:ascii="Calibri" w:hAnsi="Calibri"/>
                <w:b w:val="0"/>
                <w:i w:val="0"/>
                <w:color w:val="5A5A5A"/>
                <w:sz w:val="18"/>
              </w:rPr>
              <w:t>#female  #femoralhernia  #pregnancy  #strangulationrisk</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&amp; occupation</w:t>
            </w:r>
          </w:p>
        </w:tc>
        <w:tc>
          <w:tcPr>
            <w:tcW w:type="dxa" w:w="2160"/>
            <w:vAlign w:val="top"/>
          </w:tcPr>
          <w:p>
            <w:pPr>
              <w:spacing w:after="40" w:before="0" w:line="259" w:lineRule="auto"/>
            </w:pPr>
            <w:r>
              <w:rPr>
                <w:rFonts w:ascii="Calibri" w:hAnsi="Calibri"/>
                <w:b w:val="0"/>
                <w:i w:val="0"/>
                <w:color w:val="212121"/>
                <w:sz w:val="19"/>
              </w:rPr>
              <w:t>Rural Indian manual labourers</w:t>
            </w:r>
          </w:p>
        </w:tc>
        <w:tc>
          <w:tcPr>
            <w:tcW w:type="dxa" w:w="4276"/>
            <w:vAlign w:val="top"/>
          </w:tcPr>
          <w:p>
            <w:pPr>
              <w:spacing w:after="60" w:line="259" w:lineRule="auto"/>
            </w:pPr>
            <w:r>
              <w:rPr>
                <w:rFonts w:ascii="Calibri" w:hAnsi="Calibri"/>
                <w:b w:val="0"/>
                <w:i w:val="0"/>
                <w:color w:val="212121"/>
                <w:sz w:val="19"/>
              </w:rPr>
              <w:t>Heavy lifting and carrying, high rates of smoking- and TB-related chronic cough, and limited/late access to elective surgery mean groin hernias in rural India are frequently large, long-standing and prone to obstruction or strangulation.</w:t>
            </w:r>
          </w:p>
          <w:p>
            <w:pPr>
              <w:spacing w:after="40" w:before="60" w:line="259" w:lineRule="auto"/>
            </w:pPr>
            <w:r>
              <w:rPr>
                <w:rFonts w:ascii="Calibri" w:hAnsi="Calibri"/>
                <w:b w:val="0"/>
                <w:i w:val="0"/>
                <w:color w:val="212121"/>
                <w:sz w:val="19"/>
              </w:rPr>
              <w:t>Modelling of Asian populations shows a growing burden of inguinal, femoral and abdominal hernias from 1990-2021 that is projected to rise further to 2050.</w:t>
            </w:r>
          </w:p>
          <w:p>
            <w:pPr>
              <w:spacing w:after="40" w:line="252" w:lineRule="auto"/>
            </w:pPr>
            <w:hyperlink r:id="rId12">
              <w:r>
                <w:rPr>
                  <w:rFonts w:ascii="Calibri" w:hAnsi="Calibri" w:cs="Calibri"/>
                  <w:sz w:val="18"/>
                  <w:color w:val="1155CC"/>
                  <w:u w:val="single"/>
                </w:rPr>
                <w:t xml:space="preserve">europepmc.org/MED/41790667 — hernia burden in Asia 1990-2050</w:t>
              </w:r>
            </w:hyperlink>
          </w:p>
          <w:p>
            <w:pPr>
              <w:spacing w:before="60" w:after="40"/>
            </w:pPr>
            <w:r>
              <w:rPr>
                <w:rFonts w:ascii="Calibri" w:hAnsi="Calibri"/>
                <w:b w:val="0"/>
                <w:i w:val="0"/>
                <w:color w:val="5A5A5A"/>
                <w:sz w:val="18"/>
              </w:rPr>
              <w:t>#india  #rural  #heavylifting  #delayedpresentation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Infants of African ancestry</w:t>
            </w:r>
          </w:p>
        </w:tc>
        <w:tc>
          <w:tcPr>
            <w:tcW w:type="dxa" w:w="4276"/>
            <w:vAlign w:val="top"/>
          </w:tcPr>
          <w:p>
            <w:pPr>
              <w:spacing w:after="60" w:line="259" w:lineRule="auto"/>
            </w:pPr>
            <w:r>
              <w:rPr>
                <w:rFonts w:ascii="Calibri" w:hAnsi="Calibri"/>
                <w:b w:val="0"/>
                <w:i w:val="0"/>
                <w:color w:val="212121"/>
                <w:sz w:val="19"/>
              </w:rPr>
              <w:t>Umbilical hernia in infancy is notably commoner in babies of African descent, reflecting differences in the timing and completeness of umbilical-ring closure; the great majority still close spontaneously in early childhood.</w:t>
            </w:r>
          </w:p>
          <w:p>
            <w:pPr>
              <w:spacing w:after="40" w:before="60" w:line="259" w:lineRule="auto"/>
            </w:pPr>
            <w:r>
              <w:rPr>
                <w:rFonts w:ascii="Calibri" w:hAnsi="Calibri"/>
                <w:b w:val="0"/>
                <w:i w:val="0"/>
                <w:color w:val="212121"/>
                <w:sz w:val="19"/>
              </w:rPr>
              <w:t>Umbilical hernia affects about 10-15% of infants overall and usually closes spontaneously by about age 2.</w:t>
            </w:r>
          </w:p>
          <w:p>
            <w:pPr>
              <w:spacing w:after="40" w:line="252" w:lineRule="auto"/>
            </w:pPr>
            <w:hyperlink r:id="rId11">
              <w:r>
                <w:rPr>
                  <w:rFonts w:ascii="Calibri" w:hAnsi="Calibri" w:cs="Calibri"/>
                  <w:sz w:val="18"/>
                  <w:color w:val="1155CC"/>
                  <w:u w:val="single"/>
                </w:rPr>
                <w:t xml:space="preserve">ncbi.nlm.nih.gov/books/NBK459312 — Umbilical Hernia (StatPearls)</w:t>
              </w:r>
            </w:hyperlink>
          </w:p>
          <w:p>
            <w:pPr>
              <w:spacing w:before="60" w:after="40"/>
            </w:pPr>
            <w:r>
              <w:rPr>
                <w:rFonts w:ascii="Calibri" w:hAnsi="Calibri"/>
                <w:b w:val="0"/>
                <w:i w:val="0"/>
                <w:color w:val="5A5A5A"/>
                <w:sz w:val="18"/>
              </w:rPr>
              <w:t>#ethnicity  #umbilicalring  #infants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Heavy manual labour &amp; lifting</w:t>
            </w:r>
          </w:p>
        </w:tc>
        <w:tc>
          <w:tcPr>
            <w:tcW w:type="dxa" w:w="2160"/>
            <w:vAlign w:val="top"/>
          </w:tcPr>
          <w:p>
            <w:pPr>
              <w:spacing w:after="40" w:before="0" w:line="259" w:lineRule="auto"/>
            </w:pPr>
            <w:r>
              <w:rPr>
                <w:rFonts w:ascii="Calibri" w:hAnsi="Calibri"/>
                <w:b w:val="0"/>
                <w:i w:val="0"/>
                <w:color w:val="212121"/>
                <w:sz w:val="19"/>
              </w:rPr>
              <w:t>Loaders, farmers, weightlifters</w:t>
            </w:r>
          </w:p>
        </w:tc>
        <w:tc>
          <w:tcPr>
            <w:tcW w:type="dxa" w:w="4276"/>
            <w:vAlign w:val="top"/>
          </w:tcPr>
          <w:p>
            <w:pPr>
              <w:spacing w:after="60" w:line="259" w:lineRule="auto"/>
            </w:pPr>
            <w:r>
              <w:rPr>
                <w:rFonts w:ascii="Calibri" w:hAnsi="Calibri"/>
                <w:b w:val="0"/>
                <w:i w:val="0"/>
                <w:color w:val="212121"/>
                <w:sz w:val="19"/>
              </w:rPr>
              <w:t>Repetitive, forceful raising of intra-abdominal pressure during heavy lifting and carrying stresses the groin and abdominal wall and can precipitate a hernia through a pre-existing weak point.</w:t>
            </w:r>
          </w:p>
          <w:p>
            <w:pPr>
              <w:spacing w:after="40" w:before="60" w:line="259" w:lineRule="auto"/>
            </w:pPr>
            <w:r>
              <w:rPr>
                <w:rFonts w:ascii="Calibri" w:hAnsi="Calibri"/>
                <w:b w:val="0"/>
                <w:i w:val="0"/>
                <w:color w:val="212121"/>
                <w:sz w:val="19"/>
              </w:rPr>
              <w:t>Heavy lifting, prolonged standing/walking and straining are recognised precipitants of inguinal hernia.</w:t>
            </w:r>
          </w:p>
          <w:p>
            <w:pPr>
              <w:spacing w:after="40" w:line="252" w:lineRule="auto"/>
            </w:pPr>
            <w:hyperlink r:id="rId9">
              <w:r>
                <w:rPr>
                  <w:rFonts w:ascii="Calibri" w:hAnsi="Calibri" w:cs="Calibri"/>
                  <w:sz w:val="18"/>
                  <w:color w:val="1155CC"/>
                  <w:u w:val="single"/>
                </w:rPr>
                <w:t xml:space="preserve">niddk.nih.gov — inguinal hernia (risk factors)</w:t>
              </w:r>
            </w:hyperlink>
          </w:p>
          <w:p>
            <w:pPr>
              <w:spacing w:before="60" w:after="40"/>
            </w:pPr>
            <w:r>
              <w:rPr>
                <w:rFonts w:ascii="Calibri" w:hAnsi="Calibri"/>
                <w:b w:val="0"/>
                <w:i w:val="0"/>
                <w:color w:val="5A5A5A"/>
                <w:sz w:val="18"/>
              </w:rPr>
              <w:t>#heavylifting  #occupational  #strain  #weightlifting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Chronic smokers</w:t>
            </w:r>
          </w:p>
        </w:tc>
        <w:tc>
          <w:tcPr>
            <w:tcW w:type="dxa" w:w="4276"/>
            <w:vAlign w:val="top"/>
          </w:tcPr>
          <w:p>
            <w:pPr>
              <w:spacing w:after="60" w:line="259" w:lineRule="auto"/>
            </w:pPr>
            <w:r>
              <w:rPr>
                <w:rFonts w:ascii="Calibri" w:hAnsi="Calibri"/>
                <w:b w:val="0"/>
                <w:i w:val="0"/>
                <w:color w:val="212121"/>
                <w:sz w:val="19"/>
              </w:rPr>
              <w:t>Smoking degrades collagen (through increased matrix-metalloproteinase activity and an altered collagen ratio) and causes chronic cough, weakening fascia and raising the risk of primary hernia, incisional hernia and post-repair recurrence.</w:t>
            </w:r>
          </w:p>
          <w:p>
            <w:pPr>
              <w:spacing w:after="40" w:before="60" w:line="259" w:lineRule="auto"/>
            </w:pPr>
            <w:r>
              <w:rPr>
                <w:rFonts w:ascii="Calibri" w:hAnsi="Calibri"/>
                <w:b w:val="0"/>
                <w:i w:val="0"/>
                <w:color w:val="212121"/>
                <w:sz w:val="19"/>
              </w:rPr>
              <w:t>A higher proportion of weaker type III collagen reduces fascial tensile strength and predisposes to inguinal hernia.</w:t>
            </w:r>
          </w:p>
          <w:p>
            <w:pPr>
              <w:spacing w:after="40" w:line="252" w:lineRule="auto"/>
            </w:pPr>
            <w:hyperlink r:id="rId10">
              <w:r>
                <w:rPr>
                  <w:rFonts w:ascii="Calibri" w:hAnsi="Calibri" w:cs="Calibri"/>
                  <w:sz w:val="18"/>
                  <w:color w:val="1155CC"/>
                  <w:u w:val="single"/>
                </w:rPr>
                <w:t xml:space="preserve">ncbi.nlm.nih.gov/books/NBK513332 — Inguinal Hernia (StatPearls)</w:t>
              </w:r>
            </w:hyperlink>
          </w:p>
          <w:p>
            <w:pPr>
              <w:spacing w:before="60" w:after="40"/>
            </w:pPr>
            <w:r>
              <w:rPr>
                <w:rFonts w:ascii="Calibri" w:hAnsi="Calibri"/>
                <w:b w:val="0"/>
                <w:i w:val="0"/>
                <w:color w:val="5A5A5A"/>
                <w:sz w:val="18"/>
              </w:rPr>
              <w:t>#smoking  #collagen  #chroniccough  #recurrence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straining</w:t>
            </w:r>
          </w:p>
        </w:tc>
        <w:tc>
          <w:tcPr>
            <w:tcW w:type="dxa" w:w="2160"/>
            <w:vAlign w:val="top"/>
          </w:tcPr>
          <w:p>
            <w:pPr>
              <w:spacing w:after="40" w:before="0" w:line="259" w:lineRule="auto"/>
            </w:pPr>
            <w:r>
              <w:rPr>
                <w:rFonts w:ascii="Calibri" w:hAnsi="Calibri"/>
                <w:b w:val="0"/>
                <w:i w:val="0"/>
                <w:color w:val="212121"/>
                <w:sz w:val="19"/>
              </w:rPr>
              <w:t>People with chronic cough, constipation or prostatism</w:t>
            </w:r>
          </w:p>
        </w:tc>
        <w:tc>
          <w:tcPr>
            <w:tcW w:type="dxa" w:w="4276"/>
            <w:vAlign w:val="top"/>
          </w:tcPr>
          <w:p>
            <w:pPr>
              <w:spacing w:after="60" w:line="259" w:lineRule="auto"/>
            </w:pPr>
            <w:r>
              <w:rPr>
                <w:rFonts w:ascii="Calibri" w:hAnsi="Calibri"/>
                <w:b w:val="0"/>
                <w:i w:val="0"/>
                <w:color w:val="212121"/>
                <w:sz w:val="19"/>
              </w:rPr>
              <w:t>Any condition that chronically raises intra-abdominal pressure — COPD or smoker's cough, constipation with straining at stool, or bladder-outlet obstruction from an enlarged prostate — repeatedly loads the abdominal wall and promotes herniation.</w:t>
            </w:r>
          </w:p>
          <w:p>
            <w:pPr>
              <w:spacing w:after="40" w:before="60" w:line="259" w:lineRule="auto"/>
            </w:pPr>
            <w:r>
              <w:rPr>
                <w:rFonts w:ascii="Calibri" w:hAnsi="Calibri"/>
                <w:b w:val="0"/>
                <w:i w:val="0"/>
                <w:color w:val="212121"/>
                <w:sz w:val="19"/>
              </w:rPr>
              <w:t>Chronic cough, chronic constipation and straining are established risk factors for inguinal hernia.</w:t>
            </w:r>
          </w:p>
          <w:p>
            <w:pPr>
              <w:spacing w:after="40" w:line="252" w:lineRule="auto"/>
            </w:pPr>
            <w:hyperlink r:id="rId9">
              <w:r>
                <w:rPr>
                  <w:rFonts w:ascii="Calibri" w:hAnsi="Calibri" w:cs="Calibri"/>
                  <w:sz w:val="18"/>
                  <w:color w:val="1155CC"/>
                  <w:u w:val="single"/>
                </w:rPr>
                <w:t xml:space="preserve">niddk.nih.gov — inguinal hernia (risk factors)</w:t>
              </w:r>
            </w:hyperlink>
          </w:p>
          <w:p>
            <w:pPr>
              <w:spacing w:before="60" w:after="40"/>
            </w:pPr>
            <w:r>
              <w:rPr>
                <w:rFonts w:ascii="Calibri" w:hAnsi="Calibri"/>
                <w:b w:val="0"/>
                <w:i w:val="0"/>
                <w:color w:val="5A5A5A"/>
                <w:sz w:val="18"/>
              </w:rPr>
              <w:t>#chroniccough  #constipation  #prostatism  #straining</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Low-fibre / low-fluid diet</w:t>
            </w:r>
          </w:p>
        </w:tc>
        <w:tc>
          <w:tcPr>
            <w:tcW w:type="dxa" w:w="2160"/>
            <w:vAlign w:val="top"/>
          </w:tcPr>
          <w:p>
            <w:pPr>
              <w:spacing w:after="40" w:before="0" w:line="259" w:lineRule="auto"/>
            </w:pPr>
            <w:r>
              <w:rPr>
                <w:rFonts w:ascii="Calibri" w:hAnsi="Calibri"/>
                <w:b w:val="0"/>
                <w:i w:val="0"/>
                <w:color w:val="212121"/>
                <w:sz w:val="19"/>
              </w:rPr>
              <w:t>Adults with constipation-prone diets</w:t>
            </w:r>
          </w:p>
        </w:tc>
        <w:tc>
          <w:tcPr>
            <w:tcW w:type="dxa" w:w="4276"/>
            <w:vAlign w:val="top"/>
          </w:tcPr>
          <w:p>
            <w:pPr>
              <w:spacing w:after="60" w:line="259" w:lineRule="auto"/>
            </w:pPr>
            <w:r>
              <w:rPr>
                <w:rFonts w:ascii="Calibri" w:hAnsi="Calibri"/>
                <w:b w:val="0"/>
                <w:i w:val="0"/>
                <w:color w:val="212121"/>
                <w:sz w:val="19"/>
              </w:rPr>
              <w:t>Diets low in fibre and fluids produce hard stools and chronic straining at defaecation, a sustained source of raised intra-abdominal pressure that favours groin and abdominal-wall herniation.</w:t>
            </w:r>
          </w:p>
          <w:p>
            <w:pPr>
              <w:spacing w:after="40" w:before="60" w:line="259" w:lineRule="auto"/>
            </w:pPr>
            <w:r>
              <w:rPr>
                <w:rFonts w:ascii="Calibri" w:hAnsi="Calibri"/>
                <w:b w:val="0"/>
                <w:i w:val="0"/>
                <w:color w:val="212121"/>
                <w:sz w:val="19"/>
              </w:rPr>
              <w:t>Constipation-related straining is a recognised contributor to abdominal-wall hernia risk.</w:t>
            </w:r>
          </w:p>
          <w:p>
            <w:pPr>
              <w:spacing w:after="40" w:line="252" w:lineRule="auto"/>
            </w:pPr>
            <w:hyperlink r:id="rId9">
              <w:r>
                <w:rPr>
                  <w:rFonts w:ascii="Calibri" w:hAnsi="Calibri" w:cs="Calibri"/>
                  <w:sz w:val="18"/>
                  <w:color w:val="1155CC"/>
                  <w:u w:val="single"/>
                </w:rPr>
                <w:t xml:space="preserve">niddk.nih.gov — inguinal hernia (straining/constipation)</w:t>
              </w:r>
            </w:hyperlink>
          </w:p>
          <w:p>
            <w:pPr>
              <w:spacing w:before="60" w:after="40"/>
            </w:pPr>
            <w:r>
              <w:rPr>
                <w:rFonts w:ascii="Calibri" w:hAnsi="Calibri"/>
                <w:b w:val="0"/>
                <w:i w:val="0"/>
                <w:color w:val="5A5A5A"/>
                <w:sz w:val="18"/>
              </w:rPr>
              <w:t>#lowfibre  #constipation  #dehydration  #straining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Obesity-promoting diet</w:t>
            </w:r>
          </w:p>
        </w:tc>
        <w:tc>
          <w:tcPr>
            <w:tcW w:type="dxa" w:w="2160"/>
            <w:vAlign w:val="top"/>
          </w:tcPr>
          <w:p>
            <w:pPr>
              <w:spacing w:after="40" w:before="0" w:line="259" w:lineRule="auto"/>
            </w:pPr>
            <w:r>
              <w:rPr>
                <w:rFonts w:ascii="Calibri" w:hAnsi="Calibri"/>
                <w:b w:val="0"/>
                <w:i w:val="0"/>
                <w:color w:val="212121"/>
                <w:sz w:val="19"/>
              </w:rPr>
              <w:t>High-calorie, energy-dense eaters</w:t>
            </w:r>
          </w:p>
        </w:tc>
        <w:tc>
          <w:tcPr>
            <w:tcW w:type="dxa" w:w="4276"/>
            <w:vAlign w:val="top"/>
          </w:tcPr>
          <w:p>
            <w:pPr>
              <w:spacing w:after="60" w:line="259" w:lineRule="auto"/>
            </w:pPr>
            <w:r>
              <w:rPr>
                <w:rFonts w:ascii="Calibri" w:hAnsi="Calibri"/>
                <w:b w:val="0"/>
                <w:i w:val="0"/>
                <w:color w:val="212121"/>
                <w:sz w:val="19"/>
              </w:rPr>
              <w:t>Energy-dense diets drive the central obesity that raises baseline intra-abdominal pressure and impairs wound healing, favouring umbilical, hiatal and incisional hernias and worsening surgical outcomes.</w:t>
            </w:r>
          </w:p>
          <w:p>
            <w:pPr>
              <w:spacing w:after="40" w:before="60" w:line="259" w:lineRule="auto"/>
            </w:pPr>
            <w:r>
              <w:rPr>
                <w:rFonts w:ascii="Calibri" w:hAnsi="Calibri"/>
                <w:b w:val="0"/>
                <w:i w:val="0"/>
                <w:color w:val="212121"/>
                <w:sz w:val="19"/>
              </w:rPr>
              <w:t>Hiatus hernia is more common in people who are overweight (and those over 50 or pregnant), reflecting raised intra-abdominal pressure.</w:t>
            </w:r>
          </w:p>
          <w:p>
            <w:pPr>
              <w:spacing w:after="40" w:line="252" w:lineRule="auto"/>
            </w:pPr>
            <w:hyperlink r:id="rId13">
              <w:r>
                <w:rPr>
                  <w:rFonts w:ascii="Calibri" w:hAnsi="Calibri" w:cs="Calibri"/>
                  <w:sz w:val="18"/>
                  <w:color w:val="1155CC"/>
                  <w:u w:val="single"/>
                </w:rPr>
                <w:t xml:space="preserve">nhs.uk — hiatus hernia (risk factors)</w:t>
              </w:r>
            </w:hyperlink>
          </w:p>
          <w:p>
            <w:pPr>
              <w:spacing w:before="60" w:after="40"/>
            </w:pPr>
            <w:r>
              <w:rPr>
                <w:rFonts w:ascii="Calibri" w:hAnsi="Calibri"/>
                <w:b w:val="0"/>
                <w:i w:val="0"/>
                <w:color w:val="5A5A5A"/>
                <w:sz w:val="18"/>
              </w:rPr>
              <w:t>#obesity  #centraladiposity  #hiatalhernia  #woundhealing</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a hernia</w:t>
            </w:r>
          </w:p>
        </w:tc>
        <w:tc>
          <w:tcPr>
            <w:tcW w:type="dxa" w:w="4276"/>
            <w:vAlign w:val="top"/>
          </w:tcPr>
          <w:p>
            <w:pPr>
              <w:spacing w:after="60" w:line="259" w:lineRule="auto"/>
            </w:pPr>
            <w:r>
              <w:rPr>
                <w:rFonts w:ascii="Calibri" w:hAnsi="Calibri"/>
                <w:b w:val="0"/>
                <w:i w:val="0"/>
                <w:color w:val="212121"/>
                <w:sz w:val="19"/>
              </w:rPr>
              <w:t>Inherited connective-tissue quality strongly influences fascial strength, so a family history substantially increases the likelihood of an inguinal hernia.</w:t>
            </w:r>
          </w:p>
          <w:p>
            <w:pPr>
              <w:spacing w:after="40" w:before="60" w:line="259" w:lineRule="auto"/>
            </w:pPr>
            <w:r>
              <w:rPr>
                <w:rFonts w:ascii="Calibri" w:hAnsi="Calibri"/>
                <w:b w:val="0"/>
                <w:i w:val="0"/>
                <w:color w:val="212121"/>
                <w:sz w:val="19"/>
              </w:rPr>
              <w:t>People with a known family history of hernia are at least 4 times more likely to have an inguinal hernia.</w:t>
            </w:r>
          </w:p>
          <w:p>
            <w:pPr>
              <w:spacing w:after="40" w:line="252" w:lineRule="auto"/>
            </w:pPr>
            <w:hyperlink r:id="rId10">
              <w:r>
                <w:rPr>
                  <w:rFonts w:ascii="Calibri" w:hAnsi="Calibri" w:cs="Calibri"/>
                  <w:sz w:val="18"/>
                  <w:color w:val="1155CC"/>
                  <w:u w:val="single"/>
                </w:rPr>
                <w:t xml:space="preserve">ncbi.nlm.nih.gov/books/NBK513332 — Inguinal Hernia (StatPearls)</w:t>
              </w:r>
            </w:hyperlink>
          </w:p>
          <w:p>
            <w:pPr>
              <w:spacing w:before="60" w:after="40"/>
            </w:pPr>
            <w:r>
              <w:rPr>
                <w:rFonts w:ascii="Calibri" w:hAnsi="Calibri"/>
                <w:b w:val="0"/>
                <w:i w:val="0"/>
                <w:color w:val="5A5A5A"/>
                <w:sz w:val="18"/>
              </w:rPr>
              <w:t>#familyhistory  #genetic  #collagen  #inherited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Connective-tissue disorders</w:t>
            </w:r>
          </w:p>
        </w:tc>
        <w:tc>
          <w:tcPr>
            <w:tcW w:type="dxa" w:w="2160"/>
            <w:vAlign w:val="top"/>
          </w:tcPr>
          <w:p>
            <w:pPr>
              <w:spacing w:after="40" w:before="0" w:line="259" w:lineRule="auto"/>
            </w:pPr>
            <w:r>
              <w:rPr>
                <w:rFonts w:ascii="Calibri" w:hAnsi="Calibri"/>
                <w:b w:val="0"/>
                <w:i w:val="0"/>
                <w:color w:val="212121"/>
                <w:sz w:val="19"/>
              </w:rPr>
              <w:t>Ehlers-Danlos &amp; Marfan syndromes</w:t>
            </w:r>
          </w:p>
        </w:tc>
        <w:tc>
          <w:tcPr>
            <w:tcW w:type="dxa" w:w="4276"/>
            <w:vAlign w:val="top"/>
          </w:tcPr>
          <w:p>
            <w:pPr>
              <w:spacing w:after="60" w:line="259" w:lineRule="auto"/>
            </w:pPr>
            <w:r>
              <w:rPr>
                <w:rFonts w:ascii="Calibri" w:hAnsi="Calibri"/>
                <w:b w:val="0"/>
                <w:i w:val="0"/>
                <w:color w:val="212121"/>
                <w:sz w:val="19"/>
              </w:rPr>
              <w:t>Heritable defects of collagen and elastin markedly reduce fascial tensile strength, producing hernias at multiple sites, at younger ages and with higher recurrence after repair.</w:t>
            </w:r>
          </w:p>
          <w:p>
            <w:pPr>
              <w:spacing w:after="40" w:before="60" w:line="259" w:lineRule="auto"/>
            </w:pPr>
            <w:r>
              <w:rPr>
                <w:rFonts w:ascii="Calibri" w:hAnsi="Calibri"/>
                <w:b w:val="0"/>
                <w:i w:val="0"/>
                <w:color w:val="212121"/>
                <w:sz w:val="19"/>
              </w:rPr>
              <w:t>Inguinal hernia is associated with connective-tissue disorders such as Ehlers-Danlos and Marfan syndromes.</w:t>
            </w:r>
          </w:p>
          <w:p>
            <w:pPr>
              <w:spacing w:after="40" w:line="252" w:lineRule="auto"/>
            </w:pPr>
            <w:hyperlink r:id="rId10">
              <w:r>
                <w:rPr>
                  <w:rFonts w:ascii="Calibri" w:hAnsi="Calibri" w:cs="Calibri"/>
                  <w:sz w:val="18"/>
                  <w:color w:val="1155CC"/>
                  <w:u w:val="single"/>
                </w:rPr>
                <w:t xml:space="preserve">ncbi.nlm.nih.gov/books/NBK513332 — Inguinal Hernia (StatPearls)</w:t>
              </w:r>
            </w:hyperlink>
          </w:p>
          <w:p>
            <w:pPr>
              <w:spacing w:before="60" w:after="40"/>
            </w:pPr>
            <w:r>
              <w:rPr>
                <w:rFonts w:ascii="Calibri" w:hAnsi="Calibri"/>
                <w:b w:val="0"/>
                <w:i w:val="0"/>
                <w:color w:val="5A5A5A"/>
                <w:sz w:val="18"/>
              </w:rPr>
              <w:t>#ehlersdanlos  #marfan  #connectivetissue  #multiplehernias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COPD / chronic cough</w:t>
            </w:r>
          </w:p>
        </w:tc>
        <w:tc>
          <w:tcPr>
            <w:tcW w:type="dxa" w:w="2160"/>
            <w:vAlign w:val="top"/>
          </w:tcPr>
          <w:p>
            <w:pPr>
              <w:spacing w:after="40" w:before="0" w:line="259" w:lineRule="auto"/>
            </w:pPr>
            <w:r>
              <w:rPr>
                <w:rFonts w:ascii="Calibri" w:hAnsi="Calibri"/>
                <w:b w:val="0"/>
                <w:i w:val="0"/>
                <w:color w:val="212121"/>
                <w:sz w:val="19"/>
              </w:rPr>
              <w:t>Smokers &amp; COPD patients</w:t>
            </w:r>
          </w:p>
        </w:tc>
        <w:tc>
          <w:tcPr>
            <w:tcW w:type="dxa" w:w="4276"/>
            <w:vAlign w:val="top"/>
          </w:tcPr>
          <w:p>
            <w:pPr>
              <w:spacing w:after="60" w:line="259" w:lineRule="auto"/>
            </w:pPr>
            <w:r>
              <w:rPr>
                <w:rFonts w:ascii="Calibri" w:hAnsi="Calibri"/>
                <w:b w:val="0"/>
                <w:i w:val="0"/>
                <w:color w:val="212121"/>
                <w:sz w:val="19"/>
              </w:rPr>
              <w:t>COPD combines a chronic, forceful cough that repeatedly spikes intra-abdominal pressure with smoking-related collagen breakdown, both of which promote herniation and post-repair recurrence.</w:t>
            </w:r>
          </w:p>
          <w:p>
            <w:pPr>
              <w:spacing w:after="40" w:before="60" w:line="259" w:lineRule="auto"/>
            </w:pPr>
            <w:r>
              <w:rPr>
                <w:rFonts w:ascii="Calibri" w:hAnsi="Calibri"/>
                <w:b w:val="0"/>
                <w:i w:val="0"/>
                <w:color w:val="212121"/>
                <w:sz w:val="19"/>
              </w:rPr>
              <w:t>Chronic obstructive pulmonary disease is a recognised associated condition in inguinal hernia.</w:t>
            </w:r>
          </w:p>
          <w:p>
            <w:pPr>
              <w:spacing w:after="40" w:line="252" w:lineRule="auto"/>
            </w:pPr>
            <w:hyperlink r:id="rId10">
              <w:r>
                <w:rPr>
                  <w:rFonts w:ascii="Calibri" w:hAnsi="Calibri" w:cs="Calibri"/>
                  <w:sz w:val="18"/>
                  <w:color w:val="1155CC"/>
                  <w:u w:val="single"/>
                </w:rPr>
                <w:t xml:space="preserve">ncbi.nlm.nih.gov/books/NBK513332 — Inguinal Hernia (StatPearls)</w:t>
              </w:r>
            </w:hyperlink>
          </w:p>
          <w:p>
            <w:pPr>
              <w:spacing w:before="60" w:after="40"/>
            </w:pPr>
            <w:r>
              <w:rPr>
                <w:rFonts w:ascii="Calibri" w:hAnsi="Calibri"/>
                <w:b w:val="0"/>
                <w:i w:val="0"/>
                <w:color w:val="5A5A5A"/>
                <w:sz w:val="18"/>
              </w:rPr>
              <w:t>#copd  #chroniccough  #smoking  #raisedIAP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Benign prostatic hyperplasia</w:t>
            </w:r>
          </w:p>
        </w:tc>
        <w:tc>
          <w:tcPr>
            <w:tcW w:type="dxa" w:w="2160"/>
            <w:vAlign w:val="top"/>
          </w:tcPr>
          <w:p>
            <w:pPr>
              <w:spacing w:after="40" w:before="0" w:line="259" w:lineRule="auto"/>
            </w:pPr>
            <w:r>
              <w:rPr>
                <w:rFonts w:ascii="Calibri" w:hAnsi="Calibri"/>
                <w:b w:val="0"/>
                <w:i w:val="0"/>
                <w:color w:val="212121"/>
                <w:sz w:val="19"/>
              </w:rPr>
              <w:t>Older men with prostatism</w:t>
            </w:r>
          </w:p>
        </w:tc>
        <w:tc>
          <w:tcPr>
            <w:tcW w:type="dxa" w:w="4276"/>
            <w:vAlign w:val="top"/>
          </w:tcPr>
          <w:p>
            <w:pPr>
              <w:spacing w:after="60" w:line="259" w:lineRule="auto"/>
            </w:pPr>
            <w:r>
              <w:rPr>
                <w:rFonts w:ascii="Calibri" w:hAnsi="Calibri"/>
                <w:b w:val="0"/>
                <w:i w:val="0"/>
                <w:color w:val="212121"/>
                <w:sz w:val="19"/>
              </w:rPr>
              <w:t>Bladder-outlet obstruction forces chronic straining to void, a sustained rise in intra-abdominal pressure that predisposes to inguinal hernia; hernia and prostatism therefore frequently coexist in older men.</w:t>
            </w:r>
          </w:p>
          <w:p>
            <w:pPr>
              <w:spacing w:after="40" w:before="60" w:line="259" w:lineRule="auto"/>
            </w:pPr>
            <w:r>
              <w:rPr>
                <w:rFonts w:ascii="Calibri" w:hAnsi="Calibri"/>
                <w:b w:val="0"/>
                <w:i w:val="0"/>
                <w:color w:val="212121"/>
                <w:sz w:val="19"/>
              </w:rPr>
              <w:t>Straining to urinate (including after prostate surgery) is associated with inguinal hernia.</w:t>
            </w:r>
          </w:p>
          <w:p>
            <w:pPr>
              <w:spacing w:after="40" w:line="252" w:lineRule="auto"/>
            </w:pPr>
            <w:hyperlink r:id="rId9">
              <w:r>
                <w:rPr>
                  <w:rFonts w:ascii="Calibri" w:hAnsi="Calibri" w:cs="Calibri"/>
                  <w:sz w:val="18"/>
                  <w:color w:val="1155CC"/>
                  <w:u w:val="single"/>
                </w:rPr>
                <w:t xml:space="preserve">niddk.nih.gov — inguinal hernia (prostatectomy/straining)</w:t>
              </w:r>
            </w:hyperlink>
          </w:p>
          <w:p>
            <w:pPr>
              <w:spacing w:before="60" w:after="40"/>
            </w:pPr>
            <w:r>
              <w:rPr>
                <w:rFonts w:ascii="Calibri" w:hAnsi="Calibri"/>
                <w:b w:val="0"/>
                <w:i w:val="0"/>
                <w:color w:val="5A5A5A"/>
                <w:sz w:val="18"/>
              </w:rPr>
              <w:t>#bph  #prostatism  #straining  #oldermen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Cirrhosis with ascites</w:t>
            </w:r>
          </w:p>
        </w:tc>
        <w:tc>
          <w:tcPr>
            <w:tcW w:type="dxa" w:w="2160"/>
            <w:vAlign w:val="top"/>
          </w:tcPr>
          <w:p>
            <w:pPr>
              <w:spacing w:after="40" w:before="0" w:line="259" w:lineRule="auto"/>
            </w:pPr>
            <w:r>
              <w:rPr>
                <w:rFonts w:ascii="Calibri" w:hAnsi="Calibri"/>
                <w:b w:val="0"/>
                <w:i w:val="0"/>
                <w:color w:val="212121"/>
                <w:sz w:val="19"/>
              </w:rPr>
              <w:t>Patients with tense ascites</w:t>
            </w:r>
          </w:p>
        </w:tc>
        <w:tc>
          <w:tcPr>
            <w:tcW w:type="dxa" w:w="4276"/>
            <w:vAlign w:val="top"/>
          </w:tcPr>
          <w:p>
            <w:pPr>
              <w:spacing w:after="60" w:line="259" w:lineRule="auto"/>
            </w:pPr>
            <w:r>
              <w:rPr>
                <w:rFonts w:ascii="Calibri" w:hAnsi="Calibri"/>
                <w:b w:val="0"/>
                <w:i w:val="0"/>
                <w:color w:val="212121"/>
                <w:sz w:val="19"/>
              </w:rPr>
              <w:t>Chronically raised intra-abdominal pressure from tense ascites stretches and thins the umbilical region, producing umbilical hernias that are prone to skin breakdown, leakage and incarceration.</w:t>
            </w:r>
          </w:p>
          <w:p>
            <w:pPr>
              <w:spacing w:after="40" w:before="60" w:line="259" w:lineRule="auto"/>
            </w:pPr>
            <w:r>
              <w:rPr>
                <w:rFonts w:ascii="Calibri" w:hAnsi="Calibri"/>
                <w:b w:val="0"/>
                <w:i w:val="0"/>
                <w:color w:val="212121"/>
                <w:sz w:val="19"/>
              </w:rPr>
              <w:t>Up to about 20% of patients with cirrhotic ascites develop an umbilical hernia.</w:t>
            </w:r>
          </w:p>
          <w:p>
            <w:pPr>
              <w:spacing w:after="40" w:line="252" w:lineRule="auto"/>
            </w:pPr>
            <w:hyperlink r:id="rId11">
              <w:r>
                <w:rPr>
                  <w:rFonts w:ascii="Calibri" w:hAnsi="Calibri" w:cs="Calibri"/>
                  <w:sz w:val="18"/>
                  <w:color w:val="1155CC"/>
                  <w:u w:val="single"/>
                </w:rPr>
                <w:t xml:space="preserve">ncbi.nlm.nih.gov/books/NBK459312 — Umbilical Hernia (StatPearls)</w:t>
              </w:r>
            </w:hyperlink>
          </w:p>
          <w:p>
            <w:pPr>
              <w:spacing w:before="60" w:after="40"/>
            </w:pPr>
            <w:r>
              <w:rPr>
                <w:rFonts w:ascii="Calibri" w:hAnsi="Calibri"/>
                <w:b w:val="0"/>
                <w:i w:val="0"/>
                <w:color w:val="5A5A5A"/>
                <w:sz w:val="18"/>
              </w:rPr>
              <w:t>#cirrhosis  #ascites  #umbilicalhernia  #portalhypertension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Gastro-oesophageal reflux disease</w:t>
            </w:r>
          </w:p>
        </w:tc>
        <w:tc>
          <w:tcPr>
            <w:tcW w:type="dxa" w:w="2160"/>
            <w:vAlign w:val="top"/>
          </w:tcPr>
          <w:p>
            <w:pPr>
              <w:spacing w:after="40" w:before="0" w:line="259" w:lineRule="auto"/>
            </w:pPr>
            <w:r>
              <w:rPr>
                <w:rFonts w:ascii="Calibri" w:hAnsi="Calibri"/>
                <w:b w:val="0"/>
                <w:i w:val="0"/>
                <w:color w:val="212121"/>
                <w:sz w:val="19"/>
              </w:rPr>
              <w:t>Patients with chronic GERD</w:t>
            </w:r>
          </w:p>
        </w:tc>
        <w:tc>
          <w:tcPr>
            <w:tcW w:type="dxa" w:w="4276"/>
            <w:vAlign w:val="top"/>
          </w:tcPr>
          <w:p>
            <w:pPr>
              <w:spacing w:after="60" w:line="259" w:lineRule="auto"/>
            </w:pPr>
            <w:r>
              <w:rPr>
                <w:rFonts w:ascii="Calibri" w:hAnsi="Calibri"/>
                <w:b w:val="0"/>
                <w:i w:val="0"/>
                <w:color w:val="212121"/>
                <w:sz w:val="19"/>
              </w:rPr>
              <w:t>Sliding hiatal hernia disrupts the anti-reflux barrier at the gastro-oesophageal junction, and the two conditions strongly co-segregate and reinforce each other.</w:t>
            </w:r>
          </w:p>
          <w:p>
            <w:pPr>
              <w:spacing w:after="40" w:before="60" w:line="259" w:lineRule="auto"/>
            </w:pPr>
            <w:r>
              <w:rPr>
                <w:rFonts w:ascii="Calibri" w:hAnsi="Calibri"/>
                <w:b w:val="0"/>
                <w:i w:val="0"/>
                <w:color w:val="212121"/>
                <w:sz w:val="19"/>
              </w:rPr>
              <w:t>About 50-94% of patients with GERD have a sliding hiatal hernia.</w:t>
            </w:r>
          </w:p>
          <w:p>
            <w:pPr>
              <w:spacing w:after="40" w:line="252" w:lineRule="auto"/>
            </w:pPr>
            <w:hyperlink r:id="rId14">
              <w:r>
                <w:rPr>
                  <w:rFonts w:ascii="Calibri" w:hAnsi="Calibri" w:cs="Calibri"/>
                  <w:sz w:val="18"/>
                  <w:color w:val="1155CC"/>
                  <w:u w:val="single"/>
                </w:rPr>
                <w:t xml:space="preserve">ncbi.nlm.nih.gov/books/NBK562200 — Hiatal Hernia (StatPearls)</w:t>
              </w:r>
            </w:hyperlink>
          </w:p>
          <w:p>
            <w:pPr>
              <w:spacing w:before="60" w:after="40"/>
            </w:pPr>
            <w:r>
              <w:rPr>
                <w:rFonts w:ascii="Calibri" w:hAnsi="Calibri"/>
                <w:b w:val="0"/>
                <w:i w:val="0"/>
                <w:color w:val="5A5A5A"/>
                <w:sz w:val="18"/>
              </w:rPr>
              <w:t>#gerd  #hiatalhernia  #reflux  #slidinghernia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Previous abdominal surgery</w:t>
            </w:r>
          </w:p>
        </w:tc>
        <w:tc>
          <w:tcPr>
            <w:tcW w:type="dxa" w:w="2160"/>
            <w:vAlign w:val="top"/>
          </w:tcPr>
          <w:p>
            <w:pPr>
              <w:spacing w:after="40" w:before="0" w:line="259" w:lineRule="auto"/>
            </w:pPr>
            <w:r>
              <w:rPr>
                <w:rFonts w:ascii="Calibri" w:hAnsi="Calibri"/>
                <w:b w:val="0"/>
                <w:i w:val="0"/>
                <w:color w:val="212121"/>
                <w:sz w:val="19"/>
              </w:rPr>
              <w:t>Post-laparotomy patients</w:t>
            </w:r>
          </w:p>
        </w:tc>
        <w:tc>
          <w:tcPr>
            <w:tcW w:type="dxa" w:w="4276"/>
            <w:vAlign w:val="top"/>
          </w:tcPr>
          <w:p>
            <w:pPr>
              <w:spacing w:after="60" w:line="259" w:lineRule="auto"/>
            </w:pPr>
            <w:r>
              <w:rPr>
                <w:rFonts w:ascii="Calibri" w:hAnsi="Calibri"/>
                <w:b w:val="0"/>
                <w:i w:val="0"/>
                <w:color w:val="212121"/>
                <w:sz w:val="19"/>
              </w:rPr>
              <w:t>Any laparotomy or port-site wound can heal into a weak scar; surgical-site infection, obesity, emergency surgery and midline incisions greatly increase the risk of an incisional hernia developing at the site.</w:t>
            </w:r>
          </w:p>
          <w:p>
            <w:pPr>
              <w:spacing w:after="40" w:before="60" w:line="259" w:lineRule="auto"/>
            </w:pPr>
            <w:r>
              <w:rPr>
                <w:rFonts w:ascii="Calibri" w:hAnsi="Calibri"/>
                <w:b w:val="0"/>
                <w:i w:val="0"/>
                <w:color w:val="212121"/>
                <w:sz w:val="19"/>
              </w:rPr>
              <w:t>Incisional hernia complicates a substantial proportion of laparotomies (commonly cited around 10-20%, higher after wound infection).</w:t>
            </w:r>
          </w:p>
          <w:p>
            <w:pPr>
              <w:spacing w:before="60" w:after="40"/>
            </w:pPr>
            <w:r>
              <w:rPr>
                <w:rFonts w:ascii="Calibri" w:hAnsi="Calibri"/>
                <w:b w:val="0"/>
                <w:i w:val="0"/>
                <w:color w:val="5A5A5A"/>
                <w:sz w:val="18"/>
              </w:rPr>
              <w:t>#incisionalhernia  #laparotomy  #surgicalsiteinfection  #ventralhernia</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activity is double-edged: sudden, forceful heavy lifting and high-strain exertion can precipitate a hernia through a weak point, whereas regular moderate activity with graded core/abdominal conditioning helps maintain wall tone and control the obesity that drives umbilical, hiatal and incisional hernias.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 acts indirectly — low-fibre, low-fluid intake causes constipation and straining that raise intra-abdominal pressure, while energy-dense diets promote the central obesity linked to hiatal, umbilical and incisional hernias.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role in hernia formation; adequate sleep supports post-operative recovery and healthy weight regulation, indirectly reducing recurrence risk.</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impairs collagen metabolism and provokes chronic cough, and is associated with a higher risk of primary and incisional hernia and of recurrence and wound complications after repair.</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link for most hernias; heavy chronic use causes cirrhosis and ascites, which is a strong risk factor for umbilical hernia, and it impairs peri-operative recovery.</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Not causal, but a symptomatic, disfiguring or painful hernia and the anxiety of possible strangulation impair quality of life, and chronic post-herniorrhaphy pain is linked with low mood.</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Indirect only — adequate hydration keeps stools soft and reduces straining at defaecation, one of the modifiable sources of raised intra-abdominal pressure.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Little direct effect on hernia formation; caffeine can relax the lower oesophageal sphincter and aggravate reflux symptoms in people with a hiatal hernia.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Not a cause of hernia, but good peri-operative skin hygiene and infection prevention reduce surgical-site infection, a major driver of incisional hernia and repair failure.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Chronic cough, constipation and straining, heavy lifting, pregnancy, ascites and prostatism repeatedly raise intra-abdominal pressure and are the principal modifiable precipitants of hernia formation and enlargement.</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Poor lifting technique — bending and lifting with a rounded back and breath-holding (Valsalva) rather than a braced core and bent knees — sharply raises intra-abdominal pressure and can precipitate a groin or abdominal-wall hernia.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 25 (overweight); ≥ 30 (obesity)</w:t>
            </w:r>
          </w:p>
        </w:tc>
        <w:tc>
          <w:tcPr>
            <w:tcW w:type="dxa" w:w="1468"/>
            <w:vAlign w:val="top"/>
          </w:tcPr>
          <w:p>
            <w:pPr>
              <w:spacing w:after="60" w:line="259" w:lineRule="auto"/>
            </w:pPr>
            <w:r>
              <w:rPr>
                <w:rFonts w:ascii="Calibri" w:hAnsi="Calibri"/>
                <w:b w:val="0"/>
                <w:i w:val="0"/>
                <w:color w:val="212121"/>
                <w:sz w:val="19"/>
              </w:rPr>
              <w:t>Obesity raises intra-abdominal pressure and impairs healing (umbilical/hiatal/incisional); very high BMI can also mask an inguinal hernia.</w:t>
            </w:r>
          </w:p>
          <w:p>
            <w:pPr>
              <w:spacing w:after="40" w:line="252" w:lineRule="auto"/>
            </w:pPr>
            <w:hyperlink r:id="rId14">
              <w:r>
                <w:rPr>
                  <w:rFonts w:ascii="Calibri" w:hAnsi="Calibri" w:cs="Calibri"/>
                  <w:sz w:val="18"/>
                  <w:color w:val="1155CC"/>
                  <w:u w:val="single"/>
                </w:rPr>
                <w:t xml:space="preserve">https://www.ncbi.nlm.nih.gov/books/NBK562200/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w:t>
            </w:r>
          </w:p>
        </w:tc>
        <w:tc>
          <w:tcPr>
            <w:tcW w:type="dxa" w:w="1655"/>
            <w:vAlign w:val="top"/>
          </w:tcPr>
          <w:p>
            <w:pPr>
              <w:spacing w:after="40" w:before="0" w:line="259" w:lineRule="auto"/>
            </w:pPr>
            <w:r>
              <w:rPr>
                <w:rFonts w:ascii="Calibri" w:hAnsi="Calibri"/>
                <w:b w:val="0"/>
                <w:i w:val="0"/>
                <w:color w:val="212121"/>
                <w:sz w:val="19"/>
              </w:rPr>
              <w:t>Adults (India/Asia-Pacific cut-offs)</w:t>
            </w:r>
          </w:p>
        </w:tc>
        <w:tc>
          <w:tcPr>
            <w:tcW w:type="dxa" w:w="1512"/>
            <w:vAlign w:val="top"/>
          </w:tcPr>
          <w:p>
            <w:pPr>
              <w:spacing w:after="40" w:before="0" w:line="259" w:lineRule="auto"/>
            </w:pPr>
            <w:r>
              <w:rPr>
                <w:rFonts w:ascii="Calibri" w:hAnsi="Calibri"/>
                <w:b w:val="0"/>
                <w:i w:val="0"/>
                <w:color w:val="212121"/>
                <w:sz w:val="19"/>
              </w:rPr>
              <w:t>M &lt; 90 cm; F &lt; 80 cm</w:t>
            </w:r>
          </w:p>
        </w:tc>
        <w:tc>
          <w:tcPr>
            <w:tcW w:type="dxa" w:w="1512"/>
            <w:vAlign w:val="top"/>
          </w:tcPr>
          <w:p>
            <w:pPr>
              <w:spacing w:after="40" w:before="0" w:line="259" w:lineRule="auto"/>
            </w:pPr>
            <w:r>
              <w:rPr>
                <w:rFonts w:ascii="Calibri" w:hAnsi="Calibri"/>
                <w:b w:val="0"/>
                <w:i w:val="0"/>
                <w:color w:val="212121"/>
                <w:sz w:val="19"/>
              </w:rPr>
              <w:t>M ≥ 90 cm; F ≥ 80 cm</w:t>
            </w:r>
          </w:p>
        </w:tc>
        <w:tc>
          <w:tcPr>
            <w:tcW w:type="dxa" w:w="1468"/>
            <w:vAlign w:val="top"/>
          </w:tcPr>
          <w:p>
            <w:pPr>
              <w:spacing w:after="40" w:before="0" w:line="259" w:lineRule="auto"/>
            </w:pPr>
            <w:r>
              <w:rPr>
                <w:rFonts w:ascii="Calibri" w:hAnsi="Calibri"/>
                <w:b w:val="0"/>
                <w:i w:val="0"/>
                <w:color w:val="212121"/>
                <w:sz w:val="19"/>
              </w:rPr>
              <w:t>Central adiposity is the fraction of body fat that most raises intra-abdominal pressure.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Moderate-intensity activity (min/week)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 150 min/week with core conditioning</w:t>
            </w:r>
          </w:p>
        </w:tc>
        <w:tc>
          <w:tcPr>
            <w:tcW w:type="dxa" w:w="1512"/>
            <w:vAlign w:val="top"/>
          </w:tcPr>
          <w:p>
            <w:pPr>
              <w:spacing w:after="40" w:before="0" w:line="259" w:lineRule="auto"/>
            </w:pPr>
            <w:r>
              <w:rPr>
                <w:rFonts w:ascii="Calibri" w:hAnsi="Calibri"/>
                <w:b w:val="0"/>
                <w:i w:val="0"/>
                <w:color w:val="212121"/>
                <w:sz w:val="19"/>
              </w:rPr>
              <w:t>Inactivity or sudden maximal lifting</w:t>
            </w:r>
          </w:p>
        </w:tc>
        <w:tc>
          <w:tcPr>
            <w:tcW w:type="dxa" w:w="1468"/>
            <w:vAlign w:val="top"/>
          </w:tcPr>
          <w:p>
            <w:pPr>
              <w:spacing w:after="40" w:before="0" w:line="259" w:lineRule="auto"/>
            </w:pPr>
            <w:r>
              <w:rPr>
                <w:rFonts w:ascii="Calibri" w:hAnsi="Calibri"/>
                <w:b w:val="0"/>
                <w:i w:val="0"/>
                <w:color w:val="212121"/>
                <w:sz w:val="19"/>
              </w:rPr>
              <w:t>Maintains abdominal-wall tone and healthy weight; avoid abrupt heavy strain.</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Repetitive heavy-lifting load</w:t>
            </w:r>
          </w:p>
        </w:tc>
        <w:tc>
          <w:tcPr>
            <w:tcW w:type="dxa" w:w="1655"/>
            <w:vAlign w:val="top"/>
          </w:tcPr>
          <w:p>
            <w:pPr>
              <w:spacing w:after="40" w:before="0" w:line="259" w:lineRule="auto"/>
            </w:pPr>
            <w:r>
              <w:rPr>
                <w:rFonts w:ascii="Calibri" w:hAnsi="Calibri"/>
                <w:b w:val="0"/>
                <w:i w:val="0"/>
                <w:color w:val="212121"/>
                <w:sz w:val="19"/>
              </w:rPr>
              <w:t>Manual workers, weightlifters</w:t>
            </w:r>
          </w:p>
        </w:tc>
        <w:tc>
          <w:tcPr>
            <w:tcW w:type="dxa" w:w="1512"/>
            <w:vAlign w:val="top"/>
          </w:tcPr>
          <w:p>
            <w:pPr>
              <w:spacing w:after="40" w:before="0" w:line="259" w:lineRule="auto"/>
            </w:pPr>
            <w:r>
              <w:rPr>
                <w:rFonts w:ascii="Calibri" w:hAnsi="Calibri"/>
                <w:b w:val="0"/>
                <w:i w:val="0"/>
                <w:color w:val="212121"/>
                <w:sz w:val="19"/>
              </w:rPr>
              <w:t>Correct technique; avoid repetitive maximal loads</w:t>
            </w:r>
          </w:p>
        </w:tc>
        <w:tc>
          <w:tcPr>
            <w:tcW w:type="dxa" w:w="1512"/>
            <w:vAlign w:val="top"/>
          </w:tcPr>
          <w:p>
            <w:pPr>
              <w:spacing w:after="40" w:before="0" w:line="259" w:lineRule="auto"/>
            </w:pPr>
            <w:r>
              <w:rPr>
                <w:rFonts w:ascii="Calibri" w:hAnsi="Calibri"/>
                <w:b w:val="0"/>
                <w:i w:val="0"/>
                <w:color w:val="212121"/>
                <w:sz w:val="19"/>
              </w:rPr>
              <w:t>Frequent heavy lifting with Valsalva straining</w:t>
            </w:r>
          </w:p>
        </w:tc>
        <w:tc>
          <w:tcPr>
            <w:tcW w:type="dxa" w:w="1468"/>
            <w:vAlign w:val="top"/>
          </w:tcPr>
          <w:p>
            <w:pPr>
              <w:spacing w:after="60" w:line="259" w:lineRule="auto"/>
            </w:pPr>
            <w:r>
              <w:rPr>
                <w:rFonts w:ascii="Calibri" w:hAnsi="Calibri"/>
                <w:b w:val="0"/>
                <w:i w:val="0"/>
                <w:color w:val="212121"/>
                <w:sz w:val="19"/>
              </w:rPr>
              <w:t>Repeated pressure spikes precipitate herniation through weak points.</w:t>
            </w:r>
          </w:p>
          <w:p>
            <w:pPr>
              <w:spacing w:after="40" w:line="252" w:lineRule="auto"/>
            </w:pPr>
            <w:hyperlink r:id="rId9">
              <w:r>
                <w:rPr>
                  <w:rFonts w:ascii="Calibri" w:hAnsi="Calibri" w:cs="Calibri"/>
                  <w:sz w:val="18"/>
                  <w:color w:val="1155CC"/>
                  <w:u w:val="single"/>
                </w:rPr>
                <w:t xml:space="preserve">https://www.niddk.nih.gov/health-information/digestive-diseases/inguinal-hernia</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60" w:line="259" w:lineRule="auto"/>
            </w:pPr>
            <w:r>
              <w:rPr>
                <w:rFonts w:ascii="Calibri" w:hAnsi="Calibri"/>
                <w:b w:val="0"/>
                <w:i w:val="0"/>
                <w:color w:val="212121"/>
                <w:sz w:val="19"/>
              </w:rPr>
              <w:t>Impairs collagen and causes chronic cough, raising hernia and recurrence risk.</w:t>
            </w:r>
          </w:p>
          <w:p>
            <w:pPr>
              <w:spacing w:after="40" w:line="252" w:lineRule="auto"/>
            </w:pPr>
            <w:hyperlink r:id="rId10">
              <w:r>
                <w:rPr>
                  <w:rFonts w:ascii="Calibri" w:hAnsi="Calibri" w:cs="Calibri"/>
                  <w:sz w:val="18"/>
                  <w:color w:val="1155CC"/>
                  <w:u w:val="single"/>
                </w:rPr>
                <w:t xml:space="preserve">https://www.ncbi.nlm.nih.gov/books/NBK513332/</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fibre (g/day)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25-40 g/day</w:t>
            </w:r>
          </w:p>
        </w:tc>
        <w:tc>
          <w:tcPr>
            <w:tcW w:type="dxa" w:w="1512"/>
            <w:vAlign w:val="top"/>
          </w:tcPr>
          <w:p>
            <w:pPr>
              <w:spacing w:after="40" w:before="0" w:line="259" w:lineRule="auto"/>
            </w:pPr>
            <w:r>
              <w:rPr>
                <w:rFonts w:ascii="Calibri" w:hAnsi="Calibri"/>
                <w:b w:val="0"/>
                <w:i w:val="0"/>
                <w:color w:val="212121"/>
                <w:sz w:val="19"/>
              </w:rPr>
              <w:t>&lt; 25 g/day</w:t>
            </w:r>
          </w:p>
        </w:tc>
        <w:tc>
          <w:tcPr>
            <w:tcW w:type="dxa" w:w="1468"/>
            <w:vAlign w:val="top"/>
          </w:tcPr>
          <w:p>
            <w:pPr>
              <w:spacing w:after="40" w:before="0" w:line="259" w:lineRule="auto"/>
            </w:pPr>
            <w:r>
              <w:rPr>
                <w:rFonts w:ascii="Calibri" w:hAnsi="Calibri"/>
                <w:b w:val="0"/>
                <w:i w:val="0"/>
                <w:color w:val="212121"/>
                <w:sz w:val="19"/>
              </w:rPr>
              <w:t>Adequate fibre prevents constipation and straining at stool.</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fluid intake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~2-3 L/day (adequate hydration)</w:t>
            </w:r>
          </w:p>
        </w:tc>
        <w:tc>
          <w:tcPr>
            <w:tcW w:type="dxa" w:w="1512"/>
            <w:vAlign w:val="top"/>
          </w:tcPr>
          <w:p>
            <w:pPr>
              <w:spacing w:after="40" w:before="0" w:line="259" w:lineRule="auto"/>
            </w:pPr>
            <w:r>
              <w:rPr>
                <w:rFonts w:ascii="Calibri" w:hAnsi="Calibri"/>
                <w:b w:val="0"/>
                <w:i w:val="0"/>
                <w:color w:val="212121"/>
                <w:sz w:val="19"/>
              </w:rPr>
              <w:t>Persistently low intake with hard stools</w:t>
            </w:r>
          </w:p>
        </w:tc>
        <w:tc>
          <w:tcPr>
            <w:tcW w:type="dxa" w:w="1468"/>
            <w:vAlign w:val="top"/>
          </w:tcPr>
          <w:p>
            <w:pPr>
              <w:spacing w:after="40" w:before="0" w:line="259" w:lineRule="auto"/>
            </w:pPr>
            <w:r>
              <w:rPr>
                <w:rFonts w:ascii="Calibri" w:hAnsi="Calibri"/>
                <w:b w:val="0"/>
                <w:i w:val="0"/>
                <w:color w:val="212121"/>
                <w:sz w:val="19"/>
              </w:rPr>
              <w:t>Keeps stools soft, reducing straining-related intra-abdominal pressure.</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Chronic cough duration</w:t>
            </w:r>
          </w:p>
        </w:tc>
        <w:tc>
          <w:tcPr>
            <w:tcW w:type="dxa" w:w="1655"/>
            <w:vAlign w:val="top"/>
          </w:tcPr>
          <w:p>
            <w:pPr>
              <w:spacing w:after="40" w:before="0" w:line="259" w:lineRule="auto"/>
            </w:pPr>
            <w:r>
              <w:rPr>
                <w:rFonts w:ascii="Calibri" w:hAnsi="Calibri"/>
                <w:b w:val="0"/>
                <w:i w:val="0"/>
                <w:color w:val="212121"/>
                <w:sz w:val="19"/>
              </w:rPr>
              <w:t>Smokers, COPD, post-TB</w:t>
            </w:r>
          </w:p>
        </w:tc>
        <w:tc>
          <w:tcPr>
            <w:tcW w:type="dxa" w:w="1512"/>
            <w:vAlign w:val="top"/>
          </w:tcPr>
          <w:p>
            <w:pPr>
              <w:spacing w:after="40" w:before="0" w:line="259" w:lineRule="auto"/>
            </w:pPr>
            <w:r>
              <w:rPr>
                <w:rFonts w:ascii="Calibri" w:hAnsi="Calibri"/>
                <w:b w:val="0"/>
                <w:i w:val="0"/>
                <w:color w:val="212121"/>
                <w:sz w:val="19"/>
              </w:rPr>
              <w:t>No chronic cough</w:t>
            </w:r>
          </w:p>
        </w:tc>
        <w:tc>
          <w:tcPr>
            <w:tcW w:type="dxa" w:w="1512"/>
            <w:vAlign w:val="top"/>
          </w:tcPr>
          <w:p>
            <w:pPr>
              <w:spacing w:after="40" w:before="0" w:line="259" w:lineRule="auto"/>
            </w:pPr>
            <w:r>
              <w:rPr>
                <w:rFonts w:ascii="Calibri" w:hAnsi="Calibri"/>
                <w:b w:val="0"/>
                <w:i w:val="0"/>
                <w:color w:val="212121"/>
                <w:sz w:val="19"/>
              </w:rPr>
              <w:t>Cough persisting &gt; 8 weeks</w:t>
            </w:r>
          </w:p>
        </w:tc>
        <w:tc>
          <w:tcPr>
            <w:tcW w:type="dxa" w:w="1468"/>
            <w:vAlign w:val="top"/>
          </w:tcPr>
          <w:p>
            <w:pPr>
              <w:spacing w:after="60" w:line="259" w:lineRule="auto"/>
            </w:pPr>
            <w:r>
              <w:rPr>
                <w:rFonts w:ascii="Calibri" w:hAnsi="Calibri"/>
                <w:b w:val="0"/>
                <w:i w:val="0"/>
                <w:color w:val="212121"/>
                <w:sz w:val="19"/>
              </w:rPr>
              <w:t>Sustained cough repeatedly spikes intra-abdominal pressure.</w:t>
            </w:r>
          </w:p>
          <w:p>
            <w:pPr>
              <w:spacing w:after="40" w:line="252" w:lineRule="auto"/>
            </w:pPr>
            <w:hyperlink r:id="rId9">
              <w:r>
                <w:rPr>
                  <w:rFonts w:ascii="Calibri" w:hAnsi="Calibri" w:cs="Calibri"/>
                  <w:sz w:val="18"/>
                  <w:color w:val="1155CC"/>
                  <w:u w:val="single"/>
                </w:rPr>
                <w:t xml:space="preserve">https://www.niddk.nih.gov/health-information/digestive-diseases/inguinal-hernia</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HbA1c (%)</w:t>
            </w:r>
          </w:p>
        </w:tc>
        <w:tc>
          <w:tcPr>
            <w:tcW w:type="dxa" w:w="1655"/>
            <w:vAlign w:val="top"/>
          </w:tcPr>
          <w:p>
            <w:pPr>
              <w:spacing w:after="40" w:before="0" w:line="259" w:lineRule="auto"/>
            </w:pPr>
            <w:r>
              <w:rPr>
                <w:rFonts w:ascii="Calibri" w:hAnsi="Calibri"/>
                <w:b w:val="0"/>
                <w:i w:val="0"/>
                <w:color w:val="212121"/>
                <w:sz w:val="19"/>
              </w:rPr>
              <w:t>Diabetic / peri-operative</w:t>
            </w:r>
          </w:p>
        </w:tc>
        <w:tc>
          <w:tcPr>
            <w:tcW w:type="dxa" w:w="1512"/>
            <w:vAlign w:val="top"/>
          </w:tcPr>
          <w:p>
            <w:pPr>
              <w:spacing w:after="40" w:before="0" w:line="259" w:lineRule="auto"/>
            </w:pPr>
            <w:r>
              <w:rPr>
                <w:rFonts w:ascii="Calibri" w:hAnsi="Calibri"/>
                <w:b w:val="0"/>
                <w:i w:val="0"/>
                <w:color w:val="212121"/>
                <w:sz w:val="19"/>
              </w:rPr>
              <w:t>&lt; 5.7 %</w:t>
            </w:r>
          </w:p>
        </w:tc>
        <w:tc>
          <w:tcPr>
            <w:tcW w:type="dxa" w:w="1512"/>
            <w:vAlign w:val="top"/>
          </w:tcPr>
          <w:p>
            <w:pPr>
              <w:spacing w:after="40" w:before="0" w:line="259" w:lineRule="auto"/>
            </w:pPr>
            <w:r>
              <w:rPr>
                <w:rFonts w:ascii="Calibri" w:hAnsi="Calibri"/>
                <w:b w:val="0"/>
                <w:i w:val="0"/>
                <w:color w:val="212121"/>
                <w:sz w:val="19"/>
              </w:rPr>
              <w:t>≥ 6.5 %</w:t>
            </w:r>
          </w:p>
        </w:tc>
        <w:tc>
          <w:tcPr>
            <w:tcW w:type="dxa" w:w="1468"/>
            <w:vAlign w:val="top"/>
          </w:tcPr>
          <w:p>
            <w:pPr>
              <w:spacing w:after="40" w:before="0" w:line="259" w:lineRule="auto"/>
            </w:pPr>
            <w:r>
              <w:rPr>
                <w:rFonts w:ascii="Calibri" w:hAnsi="Calibri"/>
                <w:b w:val="0"/>
                <w:i w:val="0"/>
                <w:color w:val="212121"/>
                <w:sz w:val="19"/>
              </w:rPr>
              <w:t>Poor glycaemic control impairs wound healing and raises incisional-hernia and recurrence risk.</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Dynamic groin / abdominal-wall ultrasound</w:t>
            </w:r>
          </w:p>
        </w:tc>
        <w:tc>
          <w:tcPr>
            <w:tcW w:type="dxa" w:w="892"/>
            <w:vAlign w:val="top"/>
          </w:tcPr>
          <w:p>
            <w:pPr>
              <w:spacing w:after="40" w:before="0" w:line="259" w:lineRule="auto"/>
            </w:pPr>
            <w:r>
              <w:rPr>
                <w:rFonts w:ascii="Calibri" w:hAnsi="Calibri"/>
                <w:b w:val="0"/>
                <w:i w:val="0"/>
                <w:color w:val="212121"/>
                <w:sz w:val="16"/>
              </w:rPr>
              <w:t>Soft-tissue USG with Valsalva</w:t>
            </w:r>
          </w:p>
        </w:tc>
        <w:tc>
          <w:tcPr>
            <w:tcW w:type="dxa" w:w="950"/>
            <w:vAlign w:val="top"/>
          </w:tcPr>
          <w:p>
            <w:pPr>
              <w:spacing w:after="40" w:before="0" w:line="259" w:lineRule="auto"/>
            </w:pPr>
            <w:r>
              <w:rPr>
                <w:rFonts w:ascii="Calibri" w:hAnsi="Calibri"/>
                <w:b w:val="0"/>
                <w:i w:val="0"/>
                <w:color w:val="212121"/>
                <w:sz w:val="16"/>
              </w:rPr>
              <w:t>No fascial defect; no protruding contents</w:t>
            </w:r>
          </w:p>
        </w:tc>
        <w:tc>
          <w:tcPr>
            <w:tcW w:type="dxa" w:w="950"/>
            <w:vAlign w:val="top"/>
          </w:tcPr>
          <w:p>
            <w:pPr>
              <w:spacing w:after="40" w:before="0" w:line="259" w:lineRule="auto"/>
            </w:pPr>
            <w:r>
              <w:rPr>
                <w:rFonts w:ascii="Calibri" w:hAnsi="Calibri"/>
                <w:b w:val="0"/>
                <w:i w:val="0"/>
                <w:color w:val="212121"/>
                <w:sz w:val="16"/>
              </w:rPr>
              <w:t>Fascial defect with bowel/omentum protruding on Valsalva</w:t>
            </w:r>
          </w:p>
        </w:tc>
        <w:tc>
          <w:tcPr>
            <w:tcW w:type="dxa" w:w="1036"/>
            <w:vAlign w:val="top"/>
          </w:tcPr>
          <w:p>
            <w:pPr>
              <w:spacing w:after="40" w:before="0" w:line="259" w:lineRule="auto"/>
            </w:pPr>
            <w:r>
              <w:rPr>
                <w:rFonts w:ascii="Calibri" w:hAnsi="Calibri"/>
                <w:b w:val="0"/>
                <w:i w:val="0"/>
                <w:color w:val="212121"/>
                <w:sz w:val="16"/>
              </w:rPr>
              <w:t>First-line imaging to confirm an equivocal or occult hernia and assess reducibility</w:t>
            </w:r>
          </w:p>
        </w:tc>
        <w:tc>
          <w:tcPr>
            <w:tcW w:type="dxa" w:w="1036"/>
            <w:vAlign w:val="top"/>
          </w:tcPr>
          <w:p>
            <w:pPr>
              <w:spacing w:after="40" w:before="0" w:line="259" w:lineRule="auto"/>
            </w:pPr>
            <w:r>
              <w:rPr>
                <w:rFonts w:ascii="Calibri" w:hAnsi="Calibri"/>
                <w:b w:val="0"/>
                <w:i w:val="0"/>
                <w:color w:val="212121"/>
                <w:sz w:val="16"/>
              </w:rPr>
              <w:t>Uncertain groin swelling, occult hernia, obese patients</w:t>
            </w:r>
          </w:p>
        </w:tc>
        <w:tc>
          <w:tcPr>
            <w:tcW w:type="dxa" w:w="720"/>
            <w:vAlign w:val="top"/>
          </w:tcPr>
          <w:p>
            <w:pPr>
              <w:spacing w:after="40" w:before="0" w:line="259" w:lineRule="auto"/>
            </w:pPr>
            <w:r>
              <w:rPr>
                <w:rFonts w:ascii="Calibri" w:hAnsi="Calibri"/>
                <w:b w:val="0"/>
                <w:i w:val="0"/>
                <w:color w:val="212121"/>
                <w:sz w:val="16"/>
              </w:rPr>
              <w:t>Provoking factors; Physical activity</w:t>
            </w:r>
          </w:p>
        </w:tc>
        <w:tc>
          <w:tcPr>
            <w:tcW w:type="dxa" w:w="720"/>
            <w:vAlign w:val="top"/>
          </w:tcPr>
          <w:p>
            <w:pPr>
              <w:spacing w:after="40" w:before="0" w:line="259" w:lineRule="auto"/>
            </w:pPr>
            <w:r>
              <w:rPr>
                <w:rFonts w:ascii="Calibri" w:hAnsi="Calibri"/>
                <w:b w:val="0"/>
                <w:i w:val="0"/>
                <w:color w:val="212121"/>
                <w:sz w:val="16"/>
              </w:rPr>
              <w:t>First-line</w:t>
            </w:r>
          </w:p>
        </w:tc>
        <w:tc>
          <w:tcPr>
            <w:tcW w:type="dxa" w:w="720"/>
            <w:vAlign w:val="top"/>
          </w:tcPr>
          <w:p>
            <w:pPr>
              <w:spacing w:after="40" w:before="0" w:line="259" w:lineRule="auto"/>
            </w:pPr>
            <w:r>
              <w:rPr>
                <w:rFonts w:ascii="Calibri" w:hAnsi="Calibri"/>
                <w:b w:val="0"/>
                <w:i w:val="0"/>
                <w:color w:val="212121"/>
                <w:sz w:val="16"/>
              </w:rPr>
              <w:t>Operator-dependent; dynamic manoeuvres essential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CT abdomen &amp; pelvis</w:t>
            </w:r>
          </w:p>
        </w:tc>
        <w:tc>
          <w:tcPr>
            <w:tcW w:type="dxa" w:w="892"/>
            <w:vAlign w:val="top"/>
          </w:tcPr>
          <w:p>
            <w:pPr>
              <w:spacing w:after="40" w:before="0" w:line="259" w:lineRule="auto"/>
            </w:pPr>
            <w:r>
              <w:rPr>
                <w:rFonts w:ascii="Calibri" w:hAnsi="Calibri"/>
                <w:b w:val="0"/>
                <w:i w:val="0"/>
                <w:color w:val="212121"/>
                <w:sz w:val="16"/>
              </w:rPr>
              <w:t>Cross-sectional imaging</w:t>
            </w:r>
          </w:p>
        </w:tc>
        <w:tc>
          <w:tcPr>
            <w:tcW w:type="dxa" w:w="950"/>
            <w:vAlign w:val="top"/>
          </w:tcPr>
          <w:p>
            <w:pPr>
              <w:spacing w:after="40" w:before="0" w:line="259" w:lineRule="auto"/>
            </w:pPr>
            <w:r>
              <w:rPr>
                <w:rFonts w:ascii="Calibri" w:hAnsi="Calibri"/>
                <w:b w:val="0"/>
                <w:i w:val="0"/>
                <w:color w:val="212121"/>
                <w:sz w:val="16"/>
              </w:rPr>
              <w:t>Intact abdominal wall; no sac</w:t>
            </w:r>
          </w:p>
        </w:tc>
        <w:tc>
          <w:tcPr>
            <w:tcW w:type="dxa" w:w="950"/>
            <w:vAlign w:val="top"/>
          </w:tcPr>
          <w:p>
            <w:pPr>
              <w:spacing w:after="40" w:before="0" w:line="259" w:lineRule="auto"/>
            </w:pPr>
            <w:r>
              <w:rPr>
                <w:rFonts w:ascii="Calibri" w:hAnsi="Calibri"/>
                <w:b w:val="0"/>
                <w:i w:val="0"/>
                <w:color w:val="212121"/>
                <w:sz w:val="16"/>
              </w:rPr>
              <w:t>Wall defect, hernia sac &amp; contents, 'loss of domain', obstruction/strangulation signs</w:t>
            </w:r>
          </w:p>
        </w:tc>
        <w:tc>
          <w:tcPr>
            <w:tcW w:type="dxa" w:w="1036"/>
            <w:vAlign w:val="top"/>
          </w:tcPr>
          <w:p>
            <w:pPr>
              <w:spacing w:after="40" w:before="0" w:line="259" w:lineRule="auto"/>
            </w:pPr>
            <w:r>
              <w:rPr>
                <w:rFonts w:ascii="Calibri" w:hAnsi="Calibri"/>
                <w:b w:val="0"/>
                <w:i w:val="0"/>
                <w:color w:val="212121"/>
                <w:sz w:val="16"/>
              </w:rPr>
              <w:t>Maps complex, incisional and recurrent hernias and diagnoses complications</w:t>
            </w:r>
          </w:p>
        </w:tc>
        <w:tc>
          <w:tcPr>
            <w:tcW w:type="dxa" w:w="1036"/>
            <w:vAlign w:val="top"/>
          </w:tcPr>
          <w:p>
            <w:pPr>
              <w:spacing w:after="40" w:before="0" w:line="259" w:lineRule="auto"/>
            </w:pPr>
            <w:r>
              <w:rPr>
                <w:rFonts w:ascii="Calibri" w:hAnsi="Calibri"/>
                <w:b w:val="0"/>
                <w:i w:val="0"/>
                <w:color w:val="212121"/>
                <w:sz w:val="16"/>
              </w:rPr>
              <w:t>Incisional/complex hernia, suspected obstruction or strangulation</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Problem-solving</w:t>
            </w:r>
          </w:p>
        </w:tc>
        <w:tc>
          <w:tcPr>
            <w:tcW w:type="dxa" w:w="720"/>
            <w:vAlign w:val="top"/>
          </w:tcPr>
          <w:p>
            <w:pPr>
              <w:spacing w:after="40" w:before="0" w:line="259" w:lineRule="auto"/>
            </w:pPr>
            <w:r>
              <w:rPr>
                <w:rFonts w:ascii="Calibri" w:hAnsi="Calibri"/>
                <w:b w:val="0"/>
                <w:i w:val="0"/>
                <w:color w:val="212121"/>
                <w:sz w:val="16"/>
              </w:rPr>
              <w:t>Preferred in the acute abdomen and pre-operative planning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MRI abdominal wall / groin</w:t>
            </w:r>
          </w:p>
        </w:tc>
        <w:tc>
          <w:tcPr>
            <w:tcW w:type="dxa" w:w="892"/>
            <w:vAlign w:val="top"/>
          </w:tcPr>
          <w:p>
            <w:pPr>
              <w:spacing w:after="40" w:before="0" w:line="259" w:lineRule="auto"/>
            </w:pPr>
            <w:r>
              <w:rPr>
                <w:rFonts w:ascii="Calibri" w:hAnsi="Calibri"/>
                <w:b w:val="0"/>
                <w:i w:val="0"/>
                <w:color w:val="212121"/>
                <w:sz w:val="16"/>
              </w:rPr>
              <w:t>Magnetic resonance imaging</w:t>
            </w:r>
          </w:p>
        </w:tc>
        <w:tc>
          <w:tcPr>
            <w:tcW w:type="dxa" w:w="950"/>
            <w:vAlign w:val="top"/>
          </w:tcPr>
          <w:p>
            <w:pPr>
              <w:spacing w:after="40" w:before="0" w:line="259" w:lineRule="auto"/>
            </w:pPr>
            <w:r>
              <w:rPr>
                <w:rFonts w:ascii="Calibri" w:hAnsi="Calibri"/>
                <w:b w:val="0"/>
                <w:i w:val="0"/>
                <w:color w:val="212121"/>
                <w:sz w:val="16"/>
              </w:rPr>
              <w:t>No hernia or musculotendinous injury</w:t>
            </w:r>
          </w:p>
        </w:tc>
        <w:tc>
          <w:tcPr>
            <w:tcW w:type="dxa" w:w="950"/>
            <w:vAlign w:val="top"/>
          </w:tcPr>
          <w:p>
            <w:pPr>
              <w:spacing w:after="40" w:before="0" w:line="259" w:lineRule="auto"/>
            </w:pPr>
            <w:r>
              <w:rPr>
                <w:rFonts w:ascii="Calibri" w:hAnsi="Calibri"/>
                <w:b w:val="0"/>
                <w:i w:val="0"/>
                <w:color w:val="212121"/>
                <w:sz w:val="16"/>
              </w:rPr>
              <w:t>Occult hernia, hidden defect or 'sportsman's groin' pathology</w:t>
            </w:r>
          </w:p>
        </w:tc>
        <w:tc>
          <w:tcPr>
            <w:tcW w:type="dxa" w:w="1036"/>
            <w:vAlign w:val="top"/>
          </w:tcPr>
          <w:p>
            <w:pPr>
              <w:spacing w:after="40" w:before="0" w:line="259" w:lineRule="auto"/>
            </w:pPr>
            <w:r>
              <w:rPr>
                <w:rFonts w:ascii="Calibri" w:hAnsi="Calibri"/>
                <w:b w:val="0"/>
                <w:i w:val="0"/>
                <w:color w:val="212121"/>
                <w:sz w:val="16"/>
              </w:rPr>
              <w:t>Best soft-tissue detail for occult hernia and chronic groin pain</w:t>
            </w:r>
          </w:p>
        </w:tc>
        <w:tc>
          <w:tcPr>
            <w:tcW w:type="dxa" w:w="1036"/>
            <w:vAlign w:val="top"/>
          </w:tcPr>
          <w:p>
            <w:pPr>
              <w:spacing w:after="40" w:before="0" w:line="259" w:lineRule="auto"/>
            </w:pPr>
            <w:r>
              <w:rPr>
                <w:rFonts w:ascii="Calibri" w:hAnsi="Calibri"/>
                <w:b w:val="0"/>
                <w:i w:val="0"/>
                <w:color w:val="212121"/>
                <w:sz w:val="16"/>
              </w:rPr>
              <w:t>Chronic groin pain, athletes, occult hernia</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Adjunctive</w:t>
            </w:r>
          </w:p>
        </w:tc>
        <w:tc>
          <w:tcPr>
            <w:tcW w:type="dxa" w:w="720"/>
            <w:vAlign w:val="top"/>
          </w:tcPr>
          <w:p>
            <w:pPr>
              <w:spacing w:after="40" w:before="0" w:line="259" w:lineRule="auto"/>
            </w:pPr>
            <w:r>
              <w:rPr>
                <w:rFonts w:ascii="Calibri" w:hAnsi="Calibri"/>
                <w:b w:val="0"/>
                <w:i w:val="0"/>
                <w:color w:val="212121"/>
                <w:sz w:val="16"/>
              </w:rPr>
              <w:t>Reserved for diagnostic uncertainty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Endoscopy</w:t>
            </w:r>
          </w:p>
        </w:tc>
        <w:tc>
          <w:tcPr>
            <w:tcW w:type="dxa" w:w="1036"/>
            <w:vAlign w:val="top"/>
          </w:tcPr>
          <w:p>
            <w:pPr>
              <w:spacing w:after="40" w:before="0" w:line="259" w:lineRule="auto"/>
            </w:pPr>
            <w:r>
              <w:rPr>
                <w:rFonts w:ascii="Calibri" w:hAnsi="Calibri"/>
                <w:b w:val="0"/>
                <w:i w:val="0"/>
                <w:color w:val="212121"/>
                <w:sz w:val="16"/>
              </w:rPr>
              <w:t>Upper GI endoscopy</w:t>
            </w:r>
          </w:p>
        </w:tc>
        <w:tc>
          <w:tcPr>
            <w:tcW w:type="dxa" w:w="892"/>
            <w:vAlign w:val="top"/>
          </w:tcPr>
          <w:p>
            <w:pPr>
              <w:spacing w:after="40" w:before="0" w:line="259" w:lineRule="auto"/>
            </w:pPr>
            <w:r>
              <w:rPr>
                <w:rFonts w:ascii="Calibri" w:hAnsi="Calibri"/>
                <w:b w:val="0"/>
                <w:i w:val="0"/>
                <w:color w:val="212121"/>
                <w:sz w:val="16"/>
              </w:rPr>
              <w:t>Oesophago-gastro-duodenoscopy</w:t>
            </w:r>
          </w:p>
        </w:tc>
        <w:tc>
          <w:tcPr>
            <w:tcW w:type="dxa" w:w="950"/>
            <w:vAlign w:val="top"/>
          </w:tcPr>
          <w:p>
            <w:pPr>
              <w:spacing w:after="40" w:before="0" w:line="259" w:lineRule="auto"/>
            </w:pPr>
            <w:r>
              <w:rPr>
                <w:rFonts w:ascii="Calibri" w:hAnsi="Calibri"/>
                <w:b w:val="0"/>
                <w:i w:val="0"/>
                <w:color w:val="212121"/>
                <w:sz w:val="16"/>
              </w:rPr>
              <w:t>GOJ at the hiatus; no herniated stomach</w:t>
            </w:r>
          </w:p>
        </w:tc>
        <w:tc>
          <w:tcPr>
            <w:tcW w:type="dxa" w:w="950"/>
            <w:vAlign w:val="top"/>
          </w:tcPr>
          <w:p>
            <w:pPr>
              <w:spacing w:after="40" w:before="0" w:line="259" w:lineRule="auto"/>
            </w:pPr>
            <w:r>
              <w:rPr>
                <w:rFonts w:ascii="Calibri" w:hAnsi="Calibri"/>
                <w:b w:val="0"/>
                <w:i w:val="0"/>
                <w:color w:val="212121"/>
                <w:sz w:val="16"/>
              </w:rPr>
              <w:t>Stomach above the diaphragm, hiatal widening, oesophagitis, Cameron ulcers, Barrett's</w:t>
            </w:r>
          </w:p>
        </w:tc>
        <w:tc>
          <w:tcPr>
            <w:tcW w:type="dxa" w:w="1036"/>
            <w:vAlign w:val="top"/>
          </w:tcPr>
          <w:p>
            <w:pPr>
              <w:spacing w:after="40" w:before="0" w:line="259" w:lineRule="auto"/>
            </w:pPr>
            <w:r>
              <w:rPr>
                <w:rFonts w:ascii="Calibri" w:hAnsi="Calibri"/>
                <w:b w:val="0"/>
                <w:i w:val="0"/>
                <w:color w:val="212121"/>
                <w:sz w:val="16"/>
              </w:rPr>
              <w:t>Confirms hiatal hernia and detects reflux complications</w:t>
            </w:r>
          </w:p>
        </w:tc>
        <w:tc>
          <w:tcPr>
            <w:tcW w:type="dxa" w:w="1036"/>
            <w:vAlign w:val="top"/>
          </w:tcPr>
          <w:p>
            <w:pPr>
              <w:spacing w:after="40" w:before="0" w:line="259" w:lineRule="auto"/>
            </w:pPr>
            <w:r>
              <w:rPr>
                <w:rFonts w:ascii="Calibri" w:hAnsi="Calibri"/>
                <w:b w:val="0"/>
                <w:i w:val="0"/>
                <w:color w:val="212121"/>
                <w:sz w:val="16"/>
              </w:rPr>
              <w:t>Chronic GERD, dysphagia, iron-deficiency anaemia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 (hiatal)</w:t>
            </w:r>
          </w:p>
        </w:tc>
        <w:tc>
          <w:tcPr>
            <w:tcW w:type="dxa" w:w="720"/>
            <w:vAlign w:val="top"/>
          </w:tcPr>
          <w:p>
            <w:pPr>
              <w:spacing w:after="40" w:before="0" w:line="259" w:lineRule="auto"/>
            </w:pPr>
            <w:r>
              <w:rPr>
                <w:rFonts w:ascii="Calibri" w:hAnsi="Calibri"/>
                <w:b w:val="0"/>
                <w:i w:val="0"/>
                <w:color w:val="212121"/>
                <w:sz w:val="16"/>
              </w:rPr>
              <w:t>Enables biopsy of Barrett's/ulcers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Barium swallow / oesophagogram</w:t>
            </w:r>
          </w:p>
        </w:tc>
        <w:tc>
          <w:tcPr>
            <w:tcW w:type="dxa" w:w="892"/>
            <w:vAlign w:val="top"/>
          </w:tcPr>
          <w:p>
            <w:pPr>
              <w:spacing w:after="40" w:before="0" w:line="259" w:lineRule="auto"/>
            </w:pPr>
            <w:r>
              <w:rPr>
                <w:rFonts w:ascii="Calibri" w:hAnsi="Calibri"/>
                <w:b w:val="0"/>
                <w:i w:val="0"/>
                <w:color w:val="212121"/>
                <w:sz w:val="16"/>
              </w:rPr>
              <w:t>Contrast radiography</w:t>
            </w:r>
          </w:p>
        </w:tc>
        <w:tc>
          <w:tcPr>
            <w:tcW w:type="dxa" w:w="950"/>
            <w:vAlign w:val="top"/>
          </w:tcPr>
          <w:p>
            <w:pPr>
              <w:spacing w:after="40" w:before="0" w:line="259" w:lineRule="auto"/>
            </w:pPr>
            <w:r>
              <w:rPr>
                <w:rFonts w:ascii="Calibri" w:hAnsi="Calibri"/>
                <w:b w:val="0"/>
                <w:i w:val="0"/>
                <w:color w:val="212121"/>
                <w:sz w:val="16"/>
              </w:rPr>
              <w:t>No intrathoracic stomach</w:t>
            </w:r>
          </w:p>
        </w:tc>
        <w:tc>
          <w:tcPr>
            <w:tcW w:type="dxa" w:w="950"/>
            <w:vAlign w:val="top"/>
          </w:tcPr>
          <w:p>
            <w:pPr>
              <w:spacing w:after="40" w:before="0" w:line="259" w:lineRule="auto"/>
            </w:pPr>
            <w:r>
              <w:rPr>
                <w:rFonts w:ascii="Calibri" w:hAnsi="Calibri"/>
                <w:b w:val="0"/>
                <w:i w:val="0"/>
                <w:color w:val="212121"/>
                <w:sz w:val="16"/>
              </w:rPr>
              <w:t>Sliding or paraesophageal stomach above the diaphragm</w:t>
            </w:r>
          </w:p>
        </w:tc>
        <w:tc>
          <w:tcPr>
            <w:tcW w:type="dxa" w:w="1036"/>
            <w:vAlign w:val="top"/>
          </w:tcPr>
          <w:p>
            <w:pPr>
              <w:spacing w:after="40" w:before="0" w:line="259" w:lineRule="auto"/>
            </w:pPr>
            <w:r>
              <w:rPr>
                <w:rFonts w:ascii="Calibri" w:hAnsi="Calibri"/>
                <w:b w:val="0"/>
                <w:i w:val="0"/>
                <w:color w:val="212121"/>
                <w:sz w:val="16"/>
              </w:rPr>
              <w:t>Demonstrates hiatal hernia type and size, useful before repair</w:t>
            </w:r>
          </w:p>
        </w:tc>
        <w:tc>
          <w:tcPr>
            <w:tcW w:type="dxa" w:w="1036"/>
            <w:vAlign w:val="top"/>
          </w:tcPr>
          <w:p>
            <w:pPr>
              <w:spacing w:after="40" w:before="0" w:line="259" w:lineRule="auto"/>
            </w:pPr>
            <w:r>
              <w:rPr>
                <w:rFonts w:ascii="Calibri" w:hAnsi="Calibri"/>
                <w:b w:val="0"/>
                <w:i w:val="0"/>
                <w:color w:val="212121"/>
                <w:sz w:val="16"/>
              </w:rPr>
              <w:t>Hiatal hernia work-up, large/paraesophageal hernia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Complements endoscopy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lactate, CRP, WBC</w:t>
            </w:r>
          </w:p>
        </w:tc>
        <w:tc>
          <w:tcPr>
            <w:tcW w:type="dxa" w:w="892"/>
            <w:vAlign w:val="top"/>
          </w:tcPr>
          <w:p>
            <w:pPr>
              <w:spacing w:after="40" w:before="0" w:line="259" w:lineRule="auto"/>
            </w:pPr>
            <w:r>
              <w:rPr>
                <w:rFonts w:ascii="Calibri" w:hAnsi="Calibri"/>
                <w:b w:val="0"/>
                <w:i w:val="0"/>
                <w:color w:val="212121"/>
                <w:sz w:val="16"/>
              </w:rPr>
              <w:t>Ischaemia / inflammatory markers</w:t>
            </w:r>
          </w:p>
        </w:tc>
        <w:tc>
          <w:tcPr>
            <w:tcW w:type="dxa" w:w="950"/>
            <w:vAlign w:val="top"/>
          </w:tcPr>
          <w:p>
            <w:pPr>
              <w:spacing w:after="40" w:before="0" w:line="259" w:lineRule="auto"/>
            </w:pPr>
            <w:r>
              <w:rPr>
                <w:rFonts w:ascii="Calibri" w:hAnsi="Calibri"/>
                <w:b w:val="0"/>
                <w:i w:val="0"/>
                <w:color w:val="212121"/>
                <w:sz w:val="16"/>
              </w:rPr>
              <w:t>Normal lactate, CRP and WBC</w:t>
            </w:r>
          </w:p>
        </w:tc>
        <w:tc>
          <w:tcPr>
            <w:tcW w:type="dxa" w:w="950"/>
            <w:vAlign w:val="top"/>
          </w:tcPr>
          <w:p>
            <w:pPr>
              <w:spacing w:after="40" w:before="0" w:line="259" w:lineRule="auto"/>
            </w:pPr>
            <w:r>
              <w:rPr>
                <w:rFonts w:ascii="Calibri" w:hAnsi="Calibri"/>
                <w:b w:val="0"/>
                <w:i w:val="0"/>
                <w:color w:val="212121"/>
                <w:sz w:val="16"/>
              </w:rPr>
              <w:t>Rising lactate, leucocytosis, high CRP</w:t>
            </w:r>
          </w:p>
        </w:tc>
        <w:tc>
          <w:tcPr>
            <w:tcW w:type="dxa" w:w="1036"/>
            <w:vAlign w:val="top"/>
          </w:tcPr>
          <w:p>
            <w:pPr>
              <w:spacing w:after="40" w:before="0" w:line="259" w:lineRule="auto"/>
            </w:pPr>
            <w:r>
              <w:rPr>
                <w:rFonts w:ascii="Calibri" w:hAnsi="Calibri"/>
                <w:b w:val="0"/>
                <w:i w:val="0"/>
                <w:color w:val="212121"/>
                <w:sz w:val="16"/>
              </w:rPr>
              <w:t>Support strangulation/bowel ischaemia and gauge severity in the acute setting</w:t>
            </w:r>
          </w:p>
        </w:tc>
        <w:tc>
          <w:tcPr>
            <w:tcW w:type="dxa" w:w="1036"/>
            <w:vAlign w:val="top"/>
          </w:tcPr>
          <w:p>
            <w:pPr>
              <w:spacing w:after="40" w:before="0" w:line="259" w:lineRule="auto"/>
            </w:pPr>
            <w:r>
              <w:rPr>
                <w:rFonts w:ascii="Calibri" w:hAnsi="Calibri"/>
                <w:b w:val="0"/>
                <w:i w:val="0"/>
                <w:color w:val="212121"/>
                <w:sz w:val="16"/>
              </w:rPr>
              <w:t>Tender irreducible hernia, suspected strangulation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Urgent adjunct</w:t>
            </w:r>
          </w:p>
        </w:tc>
        <w:tc>
          <w:tcPr>
            <w:tcW w:type="dxa" w:w="720"/>
            <w:vAlign w:val="top"/>
          </w:tcPr>
          <w:p>
            <w:pPr>
              <w:spacing w:after="40" w:before="0" w:line="259" w:lineRule="auto"/>
            </w:pPr>
            <w:r>
              <w:rPr>
                <w:rFonts w:ascii="Calibri" w:hAnsi="Calibri"/>
                <w:b w:val="0"/>
                <w:i w:val="0"/>
                <w:color w:val="212121"/>
                <w:sz w:val="16"/>
              </w:rPr>
              <w:t>Do not delay surgery for normal values if clinically strangulated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blood sugar &amp; HbA1c</w:t>
            </w:r>
          </w:p>
        </w:tc>
        <w:tc>
          <w:tcPr>
            <w:tcW w:type="dxa" w:w="892"/>
            <w:vAlign w:val="top"/>
          </w:tcPr>
          <w:p>
            <w:pPr>
              <w:spacing w:after="40" w:before="0" w:line="259" w:lineRule="auto"/>
            </w:pPr>
            <w:r>
              <w:rPr>
                <w:rFonts w:ascii="Calibri" w:hAnsi="Calibri"/>
                <w:b w:val="0"/>
                <w:i w:val="0"/>
                <w:color w:val="212121"/>
                <w:sz w:val="16"/>
              </w:rPr>
              <w:t>Glycaemic screen</w:t>
            </w:r>
          </w:p>
        </w:tc>
        <w:tc>
          <w:tcPr>
            <w:tcW w:type="dxa" w:w="950"/>
            <w:vAlign w:val="top"/>
          </w:tcPr>
          <w:p>
            <w:pPr>
              <w:spacing w:after="40" w:before="0" w:line="259" w:lineRule="auto"/>
            </w:pPr>
            <w:r>
              <w:rPr>
                <w:rFonts w:ascii="Calibri" w:hAnsi="Calibri"/>
                <w:b w:val="0"/>
                <w:i w:val="0"/>
                <w:color w:val="212121"/>
                <w:sz w:val="16"/>
              </w:rPr>
              <w:t>FBS 70-99 mg/dL; HbA1c &lt; 5.7 %</w:t>
            </w:r>
          </w:p>
        </w:tc>
        <w:tc>
          <w:tcPr>
            <w:tcW w:type="dxa" w:w="950"/>
            <w:vAlign w:val="top"/>
          </w:tcPr>
          <w:p>
            <w:pPr>
              <w:spacing w:after="40" w:before="0" w:line="259" w:lineRule="auto"/>
            </w:pPr>
            <w:r>
              <w:rPr>
                <w:rFonts w:ascii="Calibri" w:hAnsi="Calibri"/>
                <w:b w:val="0"/>
                <w:i w:val="0"/>
                <w:color w:val="212121"/>
                <w:sz w:val="16"/>
              </w:rPr>
              <w:t>FBS ≥ 126 mg/dL; HbA1c ≥ 6.5 %</w:t>
            </w:r>
          </w:p>
        </w:tc>
        <w:tc>
          <w:tcPr>
            <w:tcW w:type="dxa" w:w="1036"/>
            <w:vAlign w:val="top"/>
          </w:tcPr>
          <w:p>
            <w:pPr>
              <w:spacing w:after="40" w:before="0" w:line="259" w:lineRule="auto"/>
            </w:pPr>
            <w:r>
              <w:rPr>
                <w:rFonts w:ascii="Calibri" w:hAnsi="Calibri"/>
                <w:b w:val="0"/>
                <w:i w:val="0"/>
                <w:color w:val="212121"/>
                <w:sz w:val="16"/>
              </w:rPr>
              <w:t>Detects diabetes that impairs healing and raises incisional-hernia/recurrence risk</w:t>
            </w:r>
          </w:p>
        </w:tc>
        <w:tc>
          <w:tcPr>
            <w:tcW w:type="dxa" w:w="1036"/>
            <w:vAlign w:val="top"/>
          </w:tcPr>
          <w:p>
            <w:pPr>
              <w:spacing w:after="40" w:before="0" w:line="259" w:lineRule="auto"/>
            </w:pPr>
            <w:r>
              <w:rPr>
                <w:rFonts w:ascii="Calibri" w:hAnsi="Calibri"/>
                <w:b w:val="0"/>
                <w:i w:val="0"/>
                <w:color w:val="212121"/>
                <w:sz w:val="16"/>
              </w:rPr>
              <w:t>Overweight, elderly, surgical candidates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Peri-operative</w:t>
            </w:r>
          </w:p>
        </w:tc>
        <w:tc>
          <w:tcPr>
            <w:tcW w:type="dxa" w:w="720"/>
            <w:vAlign w:val="top"/>
          </w:tcPr>
          <w:p>
            <w:pPr>
              <w:spacing w:after="40" w:before="0" w:line="259" w:lineRule="auto"/>
            </w:pPr>
            <w:r>
              <w:rPr>
                <w:rFonts w:ascii="Calibri" w:hAnsi="Calibri"/>
                <w:b w:val="0"/>
                <w:i w:val="0"/>
                <w:color w:val="212121"/>
                <w:sz w:val="16"/>
              </w:rPr>
              <w:t>Optimise before elective repair</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Reducible swelling worse on standing/straining</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Lump that enlarges on standing/coughing and reduces on lying, with dragging discomfort</w:t>
            </w:r>
          </w:p>
        </w:tc>
        <w:tc>
          <w:tcPr>
            <w:tcW w:type="dxa" w:w="1036"/>
            <w:vAlign w:val="top"/>
          </w:tcPr>
          <w:p>
            <w:pPr>
              <w:spacing w:after="40" w:before="0" w:line="259" w:lineRule="auto"/>
            </w:pPr>
            <w:r>
              <w:rPr>
                <w:rFonts w:ascii="Calibri" w:hAnsi="Calibri"/>
                <w:b w:val="0"/>
                <w:i w:val="0"/>
                <w:color w:val="212121"/>
                <w:sz w:val="16"/>
              </w:rPr>
              <w:t>Hallmark presentation of an abdominal-wall hernia</w:t>
            </w:r>
          </w:p>
        </w:tc>
        <w:tc>
          <w:tcPr>
            <w:tcW w:type="dxa" w:w="1036"/>
            <w:vAlign w:val="top"/>
          </w:tcPr>
          <w:p>
            <w:pPr>
              <w:spacing w:after="40" w:before="0" w:line="259" w:lineRule="auto"/>
            </w:pPr>
            <w:r>
              <w:rPr>
                <w:rFonts w:ascii="Calibri" w:hAnsi="Calibri"/>
                <w:b w:val="0"/>
                <w:i w:val="0"/>
                <w:color w:val="212121"/>
                <w:sz w:val="16"/>
              </w:rPr>
              <w:t>Adults with groin/umbilical/scar swelling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about duration, reducibility and pain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 &amp; Palpation</w:t>
            </w:r>
          </w:p>
        </w:tc>
        <w:tc>
          <w:tcPr>
            <w:tcW w:type="dxa" w:w="950"/>
            <w:vAlign w:val="top"/>
          </w:tcPr>
          <w:p>
            <w:pPr>
              <w:spacing w:after="40" w:before="0" w:line="259" w:lineRule="auto"/>
            </w:pPr>
            <w:r>
              <w:rPr>
                <w:rFonts w:ascii="Calibri" w:hAnsi="Calibri"/>
                <w:b w:val="0"/>
                <w:i w:val="0"/>
                <w:color w:val="212121"/>
                <w:sz w:val="16"/>
              </w:rPr>
              <w:t>Cough-impulse &amp; reducibility test</w:t>
            </w:r>
          </w:p>
        </w:tc>
        <w:tc>
          <w:tcPr>
            <w:tcW w:type="dxa" w:w="979"/>
            <w:vAlign w:val="top"/>
          </w:tcPr>
          <w:p>
            <w:pPr>
              <w:spacing w:after="40" w:before="0" w:line="259" w:lineRule="auto"/>
            </w:pPr>
            <w:r>
              <w:rPr>
                <w:rFonts w:ascii="Calibri" w:hAnsi="Calibri"/>
                <w:b w:val="0"/>
                <w:i w:val="0"/>
                <w:color w:val="212121"/>
                <w:sz w:val="16"/>
              </w:rPr>
              <w:t>Expansile cough impulse; manual reduction</w:t>
            </w:r>
          </w:p>
        </w:tc>
        <w:tc>
          <w:tcPr>
            <w:tcW w:type="dxa" w:w="950"/>
            <w:vAlign w:val="top"/>
          </w:tcPr>
          <w:p>
            <w:pPr>
              <w:spacing w:after="40" w:before="0" w:line="259" w:lineRule="auto"/>
            </w:pPr>
            <w:r>
              <w:rPr>
                <w:rFonts w:ascii="Calibri" w:hAnsi="Calibri"/>
                <w:b w:val="0"/>
                <w:i w:val="0"/>
                <w:color w:val="212121"/>
                <w:sz w:val="16"/>
              </w:rPr>
              <w:t>No impulse; nothing to reduce</w:t>
            </w:r>
          </w:p>
        </w:tc>
        <w:tc>
          <w:tcPr>
            <w:tcW w:type="dxa" w:w="950"/>
            <w:vAlign w:val="top"/>
          </w:tcPr>
          <w:p>
            <w:pPr>
              <w:spacing w:after="40" w:before="0" w:line="259" w:lineRule="auto"/>
            </w:pPr>
            <w:r>
              <w:rPr>
                <w:rFonts w:ascii="Calibri" w:hAnsi="Calibri"/>
                <w:b w:val="0"/>
                <w:i w:val="0"/>
                <w:color w:val="212121"/>
                <w:sz w:val="16"/>
              </w:rPr>
              <w:t>Palpable expansile impulse; contents reduce into the abdomen</w:t>
            </w:r>
          </w:p>
        </w:tc>
        <w:tc>
          <w:tcPr>
            <w:tcW w:type="dxa" w:w="1036"/>
            <w:vAlign w:val="top"/>
          </w:tcPr>
          <w:p>
            <w:pPr>
              <w:spacing w:after="40" w:before="0" w:line="259" w:lineRule="auto"/>
            </w:pPr>
            <w:r>
              <w:rPr>
                <w:rFonts w:ascii="Calibri" w:hAnsi="Calibri"/>
                <w:b w:val="0"/>
                <w:i w:val="0"/>
                <w:color w:val="212121"/>
                <w:sz w:val="16"/>
              </w:rPr>
              <w:t>Confirms a hernia and that it is currently reducible</w:t>
            </w:r>
          </w:p>
        </w:tc>
        <w:tc>
          <w:tcPr>
            <w:tcW w:type="dxa" w:w="1036"/>
            <w:vAlign w:val="top"/>
          </w:tcPr>
          <w:p>
            <w:pPr>
              <w:spacing w:after="40" w:before="0" w:line="259" w:lineRule="auto"/>
            </w:pPr>
            <w:r>
              <w:rPr>
                <w:rFonts w:ascii="Calibri" w:hAnsi="Calibri"/>
                <w:b w:val="0"/>
                <w:i w:val="0"/>
                <w:color w:val="212121"/>
                <w:sz w:val="16"/>
              </w:rPr>
              <w:t>All suspected hernias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Examine standing and supine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Palpation</w:t>
            </w:r>
          </w:p>
        </w:tc>
        <w:tc>
          <w:tcPr>
            <w:tcW w:type="dxa" w:w="950"/>
            <w:vAlign w:val="top"/>
          </w:tcPr>
          <w:p>
            <w:pPr>
              <w:spacing w:after="40" w:before="0" w:line="259" w:lineRule="auto"/>
            </w:pPr>
            <w:r>
              <w:rPr>
                <w:rFonts w:ascii="Calibri" w:hAnsi="Calibri"/>
                <w:b w:val="0"/>
                <w:i w:val="0"/>
                <w:color w:val="212121"/>
                <w:sz w:val="16"/>
              </w:rPr>
              <w:t>Anatomical landmark test</w:t>
            </w:r>
          </w:p>
        </w:tc>
        <w:tc>
          <w:tcPr>
            <w:tcW w:type="dxa" w:w="979"/>
            <w:vAlign w:val="top"/>
          </w:tcPr>
          <w:p>
            <w:pPr>
              <w:spacing w:after="40" w:before="0" w:line="259" w:lineRule="auto"/>
            </w:pPr>
            <w:r>
              <w:rPr>
                <w:rFonts w:ascii="Calibri" w:hAnsi="Calibri"/>
                <w:b w:val="0"/>
                <w:i w:val="0"/>
                <w:color w:val="212121"/>
                <w:sz w:val="16"/>
              </w:rPr>
              <w:t>Relation of swelling to the pubic tubercle</w:t>
            </w:r>
          </w:p>
        </w:tc>
        <w:tc>
          <w:tcPr>
            <w:tcW w:type="dxa" w:w="950"/>
            <w:vAlign w:val="top"/>
          </w:tcPr>
          <w:p>
            <w:pPr>
              <w:spacing w:after="40" w:before="0" w:line="259" w:lineRule="auto"/>
            </w:pPr>
            <w:r>
              <w:rPr>
                <w:rFonts w:ascii="Calibri" w:hAnsi="Calibri"/>
                <w:b w:val="0"/>
                <w:i w:val="0"/>
                <w:color w:val="212121"/>
                <w:sz w:val="16"/>
              </w:rPr>
              <w:t>No swelling</w:t>
            </w:r>
          </w:p>
        </w:tc>
        <w:tc>
          <w:tcPr>
            <w:tcW w:type="dxa" w:w="950"/>
            <w:vAlign w:val="top"/>
          </w:tcPr>
          <w:p>
            <w:pPr>
              <w:spacing w:after="40" w:before="0" w:line="259" w:lineRule="auto"/>
            </w:pPr>
            <w:r>
              <w:rPr>
                <w:rFonts w:ascii="Calibri" w:hAnsi="Calibri"/>
                <w:b w:val="0"/>
                <w:i w:val="0"/>
                <w:color w:val="212121"/>
                <w:sz w:val="16"/>
              </w:rPr>
              <w:t>Above &amp; medial = inguinal; below &amp; lateral = femoral</w:t>
            </w:r>
          </w:p>
        </w:tc>
        <w:tc>
          <w:tcPr>
            <w:tcW w:type="dxa" w:w="1036"/>
            <w:vAlign w:val="top"/>
          </w:tcPr>
          <w:p>
            <w:pPr>
              <w:spacing w:after="40" w:before="0" w:line="259" w:lineRule="auto"/>
            </w:pPr>
            <w:r>
              <w:rPr>
                <w:rFonts w:ascii="Calibri" w:hAnsi="Calibri"/>
                <w:b w:val="0"/>
                <w:i w:val="0"/>
                <w:color w:val="212121"/>
                <w:sz w:val="16"/>
              </w:rPr>
              <w:t>Distinguishes inguinal from femoral hernia (femoral strangulates more readily)</w:t>
            </w:r>
          </w:p>
        </w:tc>
        <w:tc>
          <w:tcPr>
            <w:tcW w:type="dxa" w:w="1036"/>
            <w:vAlign w:val="top"/>
          </w:tcPr>
          <w:p>
            <w:pPr>
              <w:spacing w:after="40" w:before="0" w:line="259" w:lineRule="auto"/>
            </w:pPr>
            <w:r>
              <w:rPr>
                <w:rFonts w:ascii="Calibri" w:hAnsi="Calibri"/>
                <w:b w:val="0"/>
                <w:i w:val="0"/>
                <w:color w:val="212121"/>
                <w:sz w:val="16"/>
              </w:rPr>
              <w:t>Groin-swelling patients, women</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Localising</w:t>
            </w:r>
          </w:p>
        </w:tc>
        <w:tc>
          <w:tcPr>
            <w:tcW w:type="dxa" w:w="720"/>
            <w:vAlign w:val="top"/>
          </w:tcPr>
          <w:p>
            <w:pPr>
              <w:spacing w:after="40" w:before="0" w:line="259" w:lineRule="auto"/>
            </w:pPr>
            <w:r>
              <w:rPr>
                <w:rFonts w:ascii="Calibri" w:hAnsi="Calibri"/>
                <w:b w:val="0"/>
                <w:i w:val="0"/>
                <w:color w:val="212121"/>
                <w:sz w:val="16"/>
              </w:rPr>
              <w:t>Guides urgency and repair approach</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Provoking-factor &amp; occupational history</w:t>
            </w:r>
          </w:p>
        </w:tc>
        <w:tc>
          <w:tcPr>
            <w:tcW w:type="dxa" w:w="979"/>
            <w:vAlign w:val="top"/>
          </w:tcPr>
          <w:p>
            <w:pPr>
              <w:spacing w:after="40" w:before="0" w:line="259" w:lineRule="auto"/>
            </w:pPr>
            <w:r>
              <w:rPr>
                <w:rFonts w:ascii="Calibri" w:hAnsi="Calibri"/>
                <w:b w:val="0"/>
                <w:i w:val="0"/>
                <w:color w:val="212121"/>
                <w:sz w:val="16"/>
              </w:rPr>
              <w:t>Cough, constipation, prostatism, lifting, pregnancy</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chronic pressure-raising factors present</w:t>
            </w:r>
          </w:p>
        </w:tc>
        <w:tc>
          <w:tcPr>
            <w:tcW w:type="dxa" w:w="1036"/>
            <w:vAlign w:val="top"/>
          </w:tcPr>
          <w:p>
            <w:pPr>
              <w:spacing w:after="40" w:before="0" w:line="259" w:lineRule="auto"/>
            </w:pPr>
            <w:r>
              <w:rPr>
                <w:rFonts w:ascii="Calibri" w:hAnsi="Calibri"/>
                <w:b w:val="0"/>
                <w:i w:val="0"/>
                <w:color w:val="212121"/>
                <w:sz w:val="16"/>
              </w:rPr>
              <w:t>Identifies modifiable drivers to treat before/after repair</w:t>
            </w:r>
          </w:p>
        </w:tc>
        <w:tc>
          <w:tcPr>
            <w:tcW w:type="dxa" w:w="1036"/>
            <w:vAlign w:val="top"/>
          </w:tcPr>
          <w:p>
            <w:pPr>
              <w:spacing w:after="40" w:before="0" w:line="259" w:lineRule="auto"/>
            </w:pPr>
            <w:r>
              <w:rPr>
                <w:rFonts w:ascii="Calibri" w:hAnsi="Calibri"/>
                <w:b w:val="0"/>
                <w:i w:val="0"/>
                <w:color w:val="212121"/>
                <w:sz w:val="16"/>
              </w:rPr>
              <w:t>Manual workers, COPD, BPH, multiparous women</w:t>
            </w:r>
          </w:p>
        </w:tc>
        <w:tc>
          <w:tcPr>
            <w:tcW w:type="dxa" w:w="720"/>
            <w:vAlign w:val="top"/>
          </w:tcPr>
          <w:p>
            <w:pPr>
              <w:spacing w:after="40" w:before="0" w:line="259" w:lineRule="auto"/>
            </w:pPr>
            <w:r>
              <w:rPr>
                <w:rFonts w:ascii="Calibri" w:hAnsi="Calibri"/>
                <w:b w:val="0"/>
                <w:i w:val="0"/>
                <w:color w:val="212121"/>
                <w:sz w:val="16"/>
              </w:rPr>
              <w:t>Provoking factors; Physical activity</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Correcting these lowers recurrence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Palpation</w:t>
            </w:r>
          </w:p>
        </w:tc>
        <w:tc>
          <w:tcPr>
            <w:tcW w:type="dxa" w:w="950"/>
            <w:vAlign w:val="top"/>
          </w:tcPr>
          <w:p>
            <w:pPr>
              <w:spacing w:after="40" w:before="0" w:line="259" w:lineRule="auto"/>
            </w:pPr>
            <w:r>
              <w:rPr>
                <w:rFonts w:ascii="Calibri" w:hAnsi="Calibri"/>
                <w:b w:val="0"/>
                <w:i w:val="0"/>
                <w:color w:val="212121"/>
                <w:sz w:val="16"/>
              </w:rPr>
              <w:t>Strangulation / incarceration assessment</w:t>
            </w:r>
          </w:p>
        </w:tc>
        <w:tc>
          <w:tcPr>
            <w:tcW w:type="dxa" w:w="979"/>
            <w:vAlign w:val="top"/>
          </w:tcPr>
          <w:p>
            <w:pPr>
              <w:spacing w:after="40" w:before="0" w:line="259" w:lineRule="auto"/>
            </w:pPr>
            <w:r>
              <w:rPr>
                <w:rFonts w:ascii="Calibri" w:hAnsi="Calibri"/>
                <w:b w:val="0"/>
                <w:i w:val="0"/>
                <w:color w:val="212121"/>
                <w:sz w:val="16"/>
              </w:rPr>
              <w:t>Tender, tense, irreducible swelling; cough impulse</w:t>
            </w:r>
          </w:p>
        </w:tc>
        <w:tc>
          <w:tcPr>
            <w:tcW w:type="dxa" w:w="950"/>
            <w:vAlign w:val="top"/>
          </w:tcPr>
          <w:p>
            <w:pPr>
              <w:spacing w:after="40" w:before="0" w:line="259" w:lineRule="auto"/>
            </w:pPr>
            <w:r>
              <w:rPr>
                <w:rFonts w:ascii="Calibri" w:hAnsi="Calibri"/>
                <w:b w:val="0"/>
                <w:i w:val="0"/>
                <w:color w:val="212121"/>
                <w:sz w:val="16"/>
              </w:rPr>
              <w:t>Soft, reducible, non-tender</w:t>
            </w:r>
          </w:p>
        </w:tc>
        <w:tc>
          <w:tcPr>
            <w:tcW w:type="dxa" w:w="950"/>
            <w:vAlign w:val="top"/>
          </w:tcPr>
          <w:p>
            <w:pPr>
              <w:spacing w:after="40" w:before="0" w:line="259" w:lineRule="auto"/>
            </w:pPr>
            <w:r>
              <w:rPr>
                <w:rFonts w:ascii="Calibri" w:hAnsi="Calibri"/>
                <w:b w:val="0"/>
                <w:i w:val="0"/>
                <w:color w:val="212121"/>
                <w:sz w:val="16"/>
              </w:rPr>
              <w:t>Tense, exquisitely tender, irreducible lump with absent impulse</w:t>
            </w:r>
          </w:p>
        </w:tc>
        <w:tc>
          <w:tcPr>
            <w:tcW w:type="dxa" w:w="1036"/>
            <w:vAlign w:val="top"/>
          </w:tcPr>
          <w:p>
            <w:pPr>
              <w:spacing w:after="40" w:before="0" w:line="259" w:lineRule="auto"/>
            </w:pPr>
            <w:r>
              <w:rPr>
                <w:rFonts w:ascii="Calibri" w:hAnsi="Calibri"/>
                <w:b w:val="0"/>
                <w:i w:val="0"/>
                <w:color w:val="212121"/>
                <w:sz w:val="16"/>
              </w:rPr>
              <w:t>Signals incarceration/strangulation — a surgical emergency</w:t>
            </w:r>
          </w:p>
        </w:tc>
        <w:tc>
          <w:tcPr>
            <w:tcW w:type="dxa" w:w="1036"/>
            <w:vAlign w:val="top"/>
          </w:tcPr>
          <w:p>
            <w:pPr>
              <w:spacing w:after="40" w:before="0" w:line="259" w:lineRule="auto"/>
            </w:pPr>
            <w:r>
              <w:rPr>
                <w:rFonts w:ascii="Calibri" w:hAnsi="Calibri"/>
                <w:b w:val="0"/>
                <w:i w:val="0"/>
                <w:color w:val="212121"/>
                <w:sz w:val="16"/>
              </w:rPr>
              <w:t>Acute painful hernia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Urgent</w:t>
            </w:r>
          </w:p>
        </w:tc>
        <w:tc>
          <w:tcPr>
            <w:tcW w:type="dxa" w:w="720"/>
            <w:vAlign w:val="top"/>
          </w:tcPr>
          <w:p>
            <w:pPr>
              <w:spacing w:after="40" w:before="0" w:line="259" w:lineRule="auto"/>
            </w:pPr>
            <w:r>
              <w:rPr>
                <w:rFonts w:ascii="Calibri" w:hAnsi="Calibri"/>
                <w:b w:val="0"/>
                <w:i w:val="0"/>
                <w:color w:val="212121"/>
                <w:sz w:val="16"/>
              </w:rPr>
              <w:t>Look for coexisting bowel-obstruction features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Reflux / GERD history</w:t>
            </w:r>
          </w:p>
        </w:tc>
        <w:tc>
          <w:tcPr>
            <w:tcW w:type="dxa" w:w="979"/>
            <w:vAlign w:val="top"/>
          </w:tcPr>
          <w:p>
            <w:pPr>
              <w:spacing w:after="40" w:before="0" w:line="259" w:lineRule="auto"/>
            </w:pPr>
            <w:r>
              <w:rPr>
                <w:rFonts w:ascii="Calibri" w:hAnsi="Calibri"/>
                <w:b w:val="0"/>
                <w:i w:val="0"/>
                <w:color w:val="212121"/>
                <w:sz w:val="16"/>
              </w:rPr>
              <w:t>Heartburn, regurgitation, dysphagia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Chronic reflux symptoms, worse lying flat or after meals</w:t>
            </w:r>
          </w:p>
        </w:tc>
        <w:tc>
          <w:tcPr>
            <w:tcW w:type="dxa" w:w="1036"/>
            <w:vAlign w:val="top"/>
          </w:tcPr>
          <w:p>
            <w:pPr>
              <w:spacing w:after="40" w:before="0" w:line="259" w:lineRule="auto"/>
            </w:pPr>
            <w:r>
              <w:rPr>
                <w:rFonts w:ascii="Calibri" w:hAnsi="Calibri"/>
                <w:b w:val="0"/>
                <w:i w:val="0"/>
                <w:color w:val="212121"/>
                <w:sz w:val="16"/>
              </w:rPr>
              <w:t>Points to a sliding hiatal hernia and its complications</w:t>
            </w:r>
          </w:p>
        </w:tc>
        <w:tc>
          <w:tcPr>
            <w:tcW w:type="dxa" w:w="1036"/>
            <w:vAlign w:val="top"/>
          </w:tcPr>
          <w:p>
            <w:pPr>
              <w:spacing w:after="40" w:before="0" w:line="259" w:lineRule="auto"/>
            </w:pPr>
            <w:r>
              <w:rPr>
                <w:rFonts w:ascii="Calibri" w:hAnsi="Calibri"/>
                <w:b w:val="0"/>
                <w:i w:val="0"/>
                <w:color w:val="212121"/>
                <w:sz w:val="16"/>
              </w:rPr>
              <w:t>Patients over 50, obese, pregnant</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 (hiatal)</w:t>
            </w:r>
          </w:p>
        </w:tc>
        <w:tc>
          <w:tcPr>
            <w:tcW w:type="dxa" w:w="720"/>
            <w:vAlign w:val="top"/>
          </w:tcPr>
          <w:p>
            <w:pPr>
              <w:spacing w:after="40" w:before="0" w:line="259" w:lineRule="auto"/>
            </w:pPr>
            <w:r>
              <w:rPr>
                <w:rFonts w:ascii="Calibri" w:hAnsi="Calibri"/>
                <w:b w:val="0"/>
                <w:i w:val="0"/>
                <w:color w:val="212121"/>
                <w:sz w:val="16"/>
              </w:rPr>
              <w:t>Alarm features warrant endoscopy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Previous-incision assessment</w:t>
            </w:r>
          </w:p>
        </w:tc>
        <w:tc>
          <w:tcPr>
            <w:tcW w:type="dxa" w:w="979"/>
            <w:vAlign w:val="top"/>
          </w:tcPr>
          <w:p>
            <w:pPr>
              <w:spacing w:after="40" w:before="0" w:line="259" w:lineRule="auto"/>
            </w:pPr>
            <w:r>
              <w:rPr>
                <w:rFonts w:ascii="Calibri" w:hAnsi="Calibri"/>
                <w:b w:val="0"/>
                <w:i w:val="0"/>
                <w:color w:val="212121"/>
                <w:sz w:val="16"/>
              </w:rPr>
              <w:t>Bulge at an operative scar</w:t>
            </w:r>
          </w:p>
        </w:tc>
        <w:tc>
          <w:tcPr>
            <w:tcW w:type="dxa" w:w="950"/>
            <w:vAlign w:val="top"/>
          </w:tcPr>
          <w:p>
            <w:pPr>
              <w:spacing w:after="40" w:before="0" w:line="259" w:lineRule="auto"/>
            </w:pPr>
            <w:r>
              <w:rPr>
                <w:rFonts w:ascii="Calibri" w:hAnsi="Calibri"/>
                <w:b w:val="0"/>
                <w:i w:val="0"/>
                <w:color w:val="212121"/>
                <w:sz w:val="16"/>
              </w:rPr>
              <w:t>Sound, flat scar</w:t>
            </w:r>
          </w:p>
        </w:tc>
        <w:tc>
          <w:tcPr>
            <w:tcW w:type="dxa" w:w="950"/>
            <w:vAlign w:val="top"/>
          </w:tcPr>
          <w:p>
            <w:pPr>
              <w:spacing w:after="40" w:before="0" w:line="259" w:lineRule="auto"/>
            </w:pPr>
            <w:r>
              <w:rPr>
                <w:rFonts w:ascii="Calibri" w:hAnsi="Calibri"/>
                <w:b w:val="0"/>
                <w:i w:val="0"/>
                <w:color w:val="212121"/>
                <w:sz w:val="16"/>
              </w:rPr>
              <w:t>Reducible bulge at/adjacent to a laparotomy or port scar</w:t>
            </w:r>
          </w:p>
        </w:tc>
        <w:tc>
          <w:tcPr>
            <w:tcW w:type="dxa" w:w="1036"/>
            <w:vAlign w:val="top"/>
          </w:tcPr>
          <w:p>
            <w:pPr>
              <w:spacing w:after="40" w:before="0" w:line="259" w:lineRule="auto"/>
            </w:pPr>
            <w:r>
              <w:rPr>
                <w:rFonts w:ascii="Calibri" w:hAnsi="Calibri"/>
                <w:b w:val="0"/>
                <w:i w:val="0"/>
                <w:color w:val="212121"/>
                <w:sz w:val="16"/>
              </w:rPr>
              <w:t>Identifies an incisional hernia and its defect size</w:t>
            </w:r>
          </w:p>
        </w:tc>
        <w:tc>
          <w:tcPr>
            <w:tcW w:type="dxa" w:w="1036"/>
            <w:vAlign w:val="top"/>
          </w:tcPr>
          <w:p>
            <w:pPr>
              <w:spacing w:after="40" w:before="0" w:line="259" w:lineRule="auto"/>
            </w:pPr>
            <w:r>
              <w:rPr>
                <w:rFonts w:ascii="Calibri" w:hAnsi="Calibri"/>
                <w:b w:val="0"/>
                <w:i w:val="0"/>
                <w:color w:val="212121"/>
                <w:sz w:val="16"/>
              </w:rPr>
              <w:t>Post-laparotomy, obese, wound-infection history</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 (incisional)</w:t>
            </w:r>
          </w:p>
        </w:tc>
        <w:tc>
          <w:tcPr>
            <w:tcW w:type="dxa" w:w="720"/>
            <w:vAlign w:val="top"/>
          </w:tcPr>
          <w:p>
            <w:pPr>
              <w:spacing w:after="40" w:before="0" w:line="259" w:lineRule="auto"/>
            </w:pPr>
            <w:r>
              <w:rPr>
                <w:rFonts w:ascii="Calibri" w:hAnsi="Calibri"/>
                <w:b w:val="0"/>
                <w:i w:val="0"/>
                <w:color w:val="212121"/>
                <w:sz w:val="16"/>
              </w:rPr>
              <w:t>Note prior infection and defect width</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Reducible lump or swelling at a hernia site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soft swelling in the groin, at the umbilicus, at a previous scar or in the epigastrium that can often be pushed back.</w:t>
            </w:r>
          </w:p>
        </w:tc>
      </w:tr>
      <w:tr>
        <w:trPr>
          <w:cantSplit/>
        </w:trPr>
        <w:tc>
          <w:tcPr>
            <w:tcW w:type="dxa" w:w="2304"/>
            <w:vAlign w:val="top"/>
          </w:tcPr>
          <w:p>
            <w:pPr>
              <w:spacing w:after="40" w:before="0" w:line="259" w:lineRule="auto"/>
            </w:pPr>
            <w:r>
              <w:rPr>
                <w:rFonts w:ascii="Calibri" w:hAnsi="Calibri"/>
                <w:b/>
                <w:i w:val="0"/>
                <w:color w:val="212121"/>
                <w:sz w:val="19"/>
              </w:rPr>
              <w:t>Swelling that appears on standing/straining and disappears on lying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Classic behaviour of an abdominal-wall hernia as contents move with gravity and pressure.</w:t>
            </w:r>
          </w:p>
        </w:tc>
      </w:tr>
      <w:tr>
        <w:trPr>
          <w:cantSplit/>
        </w:trPr>
        <w:tc>
          <w:tcPr>
            <w:tcW w:type="dxa" w:w="2304"/>
            <w:vAlign w:val="top"/>
          </w:tcPr>
          <w:p>
            <w:pPr>
              <w:spacing w:after="40" w:before="0" w:line="259" w:lineRule="auto"/>
            </w:pPr>
            <w:r>
              <w:rPr>
                <w:rFonts w:ascii="Calibri" w:hAnsi="Calibri"/>
                <w:b/>
                <w:i w:val="0"/>
                <w:color w:val="212121"/>
                <w:sz w:val="19"/>
              </w:rPr>
              <w:t>Dragging, aching or heavy discomfort at the site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Worse towards the end of the day, after standing, lifting or coughing, and relieved by rest or reduction.</w:t>
            </w:r>
          </w:p>
        </w:tc>
      </w:tr>
      <w:tr>
        <w:trPr>
          <w:cantSplit/>
        </w:trPr>
        <w:tc>
          <w:tcPr>
            <w:tcW w:type="dxa" w:w="2304"/>
            <w:vAlign w:val="top"/>
          </w:tcPr>
          <w:p>
            <w:pPr>
              <w:spacing w:after="40" w:before="0" w:line="259" w:lineRule="auto"/>
            </w:pPr>
            <w:r>
              <w:rPr>
                <w:rFonts w:ascii="Calibri" w:hAnsi="Calibri"/>
                <w:b/>
                <w:i w:val="0"/>
                <w:color w:val="212121"/>
                <w:sz w:val="19"/>
              </w:rPr>
              <w:t>Extension of a groin swelling into the scrotum or labium</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An indirect inguinal hernia may descend into the scrotum (or, rarely, the labium majus).</w:t>
            </w:r>
          </w:p>
        </w:tc>
      </w:tr>
      <w:tr>
        <w:trPr>
          <w:cantSplit/>
        </w:trPr>
        <w:tc>
          <w:tcPr>
            <w:tcW w:type="dxa" w:w="2304"/>
            <w:vAlign w:val="top"/>
          </w:tcPr>
          <w:p>
            <w:pPr>
              <w:spacing w:after="40" w:before="0" w:line="259" w:lineRule="auto"/>
            </w:pPr>
            <w:r>
              <w:rPr>
                <w:rFonts w:ascii="Calibri" w:hAnsi="Calibri"/>
                <w:b/>
                <w:i w:val="0"/>
                <w:color w:val="212121"/>
                <w:sz w:val="19"/>
              </w:rPr>
              <w:t>Heartburn / acid reflux</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burning retrosternal sensation, often after meals and on lying down — a leading symptom of a sliding hiatal hernia.</w:t>
            </w:r>
          </w:p>
        </w:tc>
      </w:tr>
      <w:tr>
        <w:trPr>
          <w:cantSplit/>
        </w:trPr>
        <w:tc>
          <w:tcPr>
            <w:tcW w:type="dxa" w:w="2304"/>
            <w:vAlign w:val="top"/>
          </w:tcPr>
          <w:p>
            <w:pPr>
              <w:spacing w:after="40" w:before="0" w:line="259" w:lineRule="auto"/>
            </w:pPr>
            <w:r>
              <w:rPr>
                <w:rFonts w:ascii="Calibri" w:hAnsi="Calibri"/>
                <w:b/>
                <w:i w:val="0"/>
                <w:color w:val="212121"/>
                <w:sz w:val="19"/>
              </w:rPr>
              <w:t>Regurgitation of food or bitter fluid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Reflux of gastric contents into the throat/mouth, characteristic of hiatal hernia with GERD.</w:t>
            </w:r>
          </w:p>
        </w:tc>
      </w:tr>
      <w:tr>
        <w:trPr>
          <w:cantSplit/>
        </w:trPr>
        <w:tc>
          <w:tcPr>
            <w:tcW w:type="dxa" w:w="2304"/>
            <w:vAlign w:val="top"/>
          </w:tcPr>
          <w:p>
            <w:pPr>
              <w:spacing w:after="40" w:before="0" w:line="259" w:lineRule="auto"/>
            </w:pPr>
            <w:r>
              <w:rPr>
                <w:rFonts w:ascii="Calibri" w:hAnsi="Calibri"/>
                <w:b/>
                <w:i w:val="0"/>
                <w:color w:val="212121"/>
                <w:sz w:val="19"/>
              </w:rPr>
              <w:t>Difficulty or pain on swallowing (dysphagia)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Seen with larger or paraesophageal hiatal hernias and reflux-related oesophageal narrowing.</w:t>
            </w:r>
          </w:p>
        </w:tc>
      </w:tr>
      <w:tr>
        <w:trPr>
          <w:cantSplit/>
        </w:trPr>
        <w:tc>
          <w:tcPr>
            <w:tcW w:type="dxa" w:w="2304"/>
            <w:vAlign w:val="top"/>
          </w:tcPr>
          <w:p>
            <w:pPr>
              <w:spacing w:after="40" w:before="0" w:line="259" w:lineRule="auto"/>
            </w:pPr>
            <w:r>
              <w:rPr>
                <w:rFonts w:ascii="Calibri" w:hAnsi="Calibri"/>
                <w:b/>
                <w:i w:val="0"/>
                <w:color w:val="212121"/>
                <w:sz w:val="19"/>
              </w:rPr>
              <w:t>Chest or upper-abdominal pain/fullness after meals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Post-prandial discomfort, early satiety or mild breathlessness with a large hiatal hernia.</w:t>
            </w:r>
          </w:p>
        </w:tc>
      </w:tr>
      <w:tr>
        <w:trPr>
          <w:cantSplit/>
        </w:trPr>
        <w:tc>
          <w:tcPr>
            <w:tcW w:type="dxa" w:w="2304"/>
            <w:vAlign w:val="top"/>
          </w:tcPr>
          <w:p>
            <w:pPr>
              <w:spacing w:after="40" w:before="0" w:line="259" w:lineRule="auto"/>
            </w:pPr>
            <w:r>
              <w:rPr>
                <w:rFonts w:ascii="Calibri" w:hAnsi="Calibri"/>
                <w:b/>
                <w:i w:val="0"/>
                <w:color w:val="212121"/>
                <w:sz w:val="19"/>
              </w:rPr>
              <w:t>Sudden painful, tense, irreducible lump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Warning symptom of incarceration — the hernia can no longer be pushed back and becomes painful.</w:t>
            </w:r>
          </w:p>
        </w:tc>
      </w:tr>
      <w:tr>
        <w:trPr>
          <w:cantSplit/>
        </w:trPr>
        <w:tc>
          <w:tcPr>
            <w:tcW w:type="dxa" w:w="2304"/>
            <w:vAlign w:val="top"/>
          </w:tcPr>
          <w:p>
            <w:pPr>
              <w:spacing w:after="40" w:before="0" w:line="259" w:lineRule="auto"/>
            </w:pPr>
            <w:r>
              <w:rPr>
                <w:rFonts w:ascii="Calibri" w:hAnsi="Calibri"/>
                <w:b/>
                <w:i w:val="0"/>
                <w:color w:val="212121"/>
                <w:sz w:val="19"/>
              </w:rPr>
              <w:t>Nausea, vomiting, distension and absolute constipation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Indicates bowel obstruction from an incarcerated/strangulated hernia — seek emergency care.</w:t>
            </w:r>
          </w:p>
        </w:tc>
      </w:tr>
      <w:tr>
        <w:trPr>
          <w:cantSplit/>
        </w:trPr>
        <w:tc>
          <w:tcPr>
            <w:tcW w:type="dxa" w:w="2304"/>
            <w:vAlign w:val="top"/>
          </w:tcPr>
          <w:p>
            <w:pPr>
              <w:spacing w:after="40" w:before="0" w:line="259" w:lineRule="auto"/>
            </w:pPr>
            <w:r>
              <w:rPr>
                <w:rFonts w:ascii="Calibri" w:hAnsi="Calibri"/>
                <w:b/>
                <w:i w:val="0"/>
                <w:color w:val="212121"/>
                <w:sz w:val="19"/>
              </w:rPr>
              <w:t>Severe, worsening pain with redness over the lump and fever</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strangulation with ischaemia — a surgical emergency.</w:t>
            </w:r>
          </w:p>
        </w:tc>
      </w:tr>
      <w:tr>
        <w:trPr>
          <w:cantSplit/>
        </w:trPr>
        <w:tc>
          <w:tcPr>
            <w:tcW w:type="dxa" w:w="2304"/>
            <w:vAlign w:val="top"/>
          </w:tcPr>
          <w:p>
            <w:pPr>
              <w:spacing w:after="40" w:before="0" w:line="259" w:lineRule="auto"/>
            </w:pPr>
            <w:r>
              <w:rPr>
                <w:rFonts w:ascii="Calibri" w:hAnsi="Calibri"/>
                <w:b/>
                <w:i w:val="0"/>
                <w:color w:val="212121"/>
                <w:sz w:val="19"/>
              </w:rPr>
              <w:t>Fatigue or breathlessness from anaemia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Chronic blood loss from Cameron ulcers within a large hiatal hernia can cause iron-deficiency anaemia.</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Visible/palpable swelling with an expansile cough impulse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cardinal physical sign of a reducible abdominal-wall hernia.</w:t>
            </w:r>
          </w:p>
        </w:tc>
      </w:tr>
      <w:tr>
        <w:trPr>
          <w:cantSplit/>
        </w:trPr>
        <w:tc>
          <w:tcPr>
            <w:tcW w:type="dxa" w:w="3456"/>
            <w:vAlign w:val="top"/>
          </w:tcPr>
          <w:p>
            <w:pPr>
              <w:spacing w:after="40" w:before="0" w:line="259" w:lineRule="auto"/>
            </w:pPr>
            <w:r>
              <w:rPr>
                <w:rFonts w:ascii="Calibri" w:hAnsi="Calibri"/>
                <w:b/>
                <w:i w:val="0"/>
                <w:color w:val="212121"/>
                <w:sz w:val="19"/>
              </w:rPr>
              <w:t>Reducibility of the swelling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Contents can be gently returned to the abdomen, often with a gurgle.</w:t>
            </w:r>
          </w:p>
        </w:tc>
      </w:tr>
      <w:tr>
        <w:trPr>
          <w:cantSplit/>
        </w:trPr>
        <w:tc>
          <w:tcPr>
            <w:tcW w:type="dxa" w:w="3456"/>
            <w:vAlign w:val="top"/>
          </w:tcPr>
          <w:p>
            <w:pPr>
              <w:spacing w:after="40" w:before="0" w:line="259" w:lineRule="auto"/>
            </w:pPr>
            <w:r>
              <w:rPr>
                <w:rFonts w:ascii="Calibri" w:hAnsi="Calibri"/>
                <w:b/>
                <w:i w:val="0"/>
                <w:color w:val="212121"/>
                <w:sz w:val="19"/>
              </w:rPr>
              <w:t>Inguinal swelling above and medial to the pubic tubercle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Localises an inguinal (versus femoral) hernia on examination.</w:t>
            </w:r>
          </w:p>
        </w:tc>
      </w:tr>
      <w:tr>
        <w:trPr>
          <w:cantSplit/>
        </w:trPr>
        <w:tc>
          <w:tcPr>
            <w:tcW w:type="dxa" w:w="3456"/>
            <w:vAlign w:val="top"/>
          </w:tcPr>
          <w:p>
            <w:pPr>
              <w:spacing w:after="40" w:before="0" w:line="259" w:lineRule="auto"/>
            </w:pPr>
            <w:r>
              <w:rPr>
                <w:rFonts w:ascii="Calibri" w:hAnsi="Calibri"/>
                <w:b/>
                <w:i w:val="0"/>
                <w:color w:val="212121"/>
                <w:sz w:val="19"/>
              </w:rPr>
              <w:t>Audible bowel sounds over the swelling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Indicates bowel within the hernia sac.</w:t>
            </w:r>
          </w:p>
        </w:tc>
      </w:tr>
      <w:tr>
        <w:trPr>
          <w:cantSplit/>
        </w:trPr>
        <w:tc>
          <w:tcPr>
            <w:tcW w:type="dxa" w:w="3456"/>
            <w:vAlign w:val="top"/>
          </w:tcPr>
          <w:p>
            <w:pPr>
              <w:spacing w:after="40" w:before="0" w:line="259" w:lineRule="auto"/>
            </w:pPr>
            <w:r>
              <w:rPr>
                <w:rFonts w:ascii="Calibri" w:hAnsi="Calibri"/>
                <w:b/>
                <w:i w:val="0"/>
                <w:color w:val="212121"/>
                <w:sz w:val="19"/>
              </w:rPr>
              <w:t>Scrotal extension with a negative transillumination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Differentiates an inguinoscrotal hernia from a fluid-filled hydrocele.</w:t>
            </w:r>
          </w:p>
        </w:tc>
      </w:tr>
      <w:tr>
        <w:trPr>
          <w:cantSplit/>
        </w:trPr>
        <w:tc>
          <w:tcPr>
            <w:tcW w:type="dxa" w:w="3456"/>
            <w:vAlign w:val="top"/>
          </w:tcPr>
          <w:p>
            <w:pPr>
              <w:spacing w:after="40" w:before="0" w:line="259" w:lineRule="auto"/>
            </w:pPr>
            <w:r>
              <w:rPr>
                <w:rFonts w:ascii="Calibri" w:hAnsi="Calibri"/>
                <w:b/>
                <w:i w:val="0"/>
                <w:color w:val="212121"/>
                <w:sz w:val="19"/>
              </w:rPr>
              <w:t>Tense, tender, irreducible swelling with absent cough impulse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Signs of incarceration/strangulation requiring urgent surgery.</w:t>
            </w:r>
          </w:p>
        </w:tc>
      </w:tr>
      <w:tr>
        <w:trPr>
          <w:cantSplit/>
        </w:trPr>
        <w:tc>
          <w:tcPr>
            <w:tcW w:type="dxa" w:w="3456"/>
            <w:vAlign w:val="top"/>
          </w:tcPr>
          <w:p>
            <w:pPr>
              <w:spacing w:after="40" w:before="0" w:line="259" w:lineRule="auto"/>
            </w:pPr>
            <w:r>
              <w:rPr>
                <w:rFonts w:ascii="Calibri" w:hAnsi="Calibri"/>
                <w:b/>
                <w:i w:val="0"/>
                <w:color w:val="212121"/>
                <w:sz w:val="19"/>
              </w:rPr>
              <w:t>Overlying skin erythema, oedema and later discolouration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Suggests strangulation with impending or established bowel necrosis.</w:t>
            </w:r>
          </w:p>
        </w:tc>
      </w:tr>
      <w:tr>
        <w:trPr>
          <w:cantSplit/>
        </w:trPr>
        <w:tc>
          <w:tcPr>
            <w:tcW w:type="dxa" w:w="3456"/>
            <w:vAlign w:val="top"/>
          </w:tcPr>
          <w:p>
            <w:pPr>
              <w:spacing w:after="40" w:before="0" w:line="259" w:lineRule="auto"/>
            </w:pPr>
            <w:r>
              <w:rPr>
                <w:rFonts w:ascii="Calibri" w:hAnsi="Calibri"/>
                <w:b/>
                <w:i w:val="0"/>
                <w:color w:val="212121"/>
                <w:sz w:val="19"/>
              </w:rPr>
              <w:t>Abdominal distension with visible peristalsis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Accompanies bowel obstruction from an obstructed hernia.</w:t>
            </w:r>
          </w:p>
        </w:tc>
      </w:tr>
      <w:tr>
        <w:trPr>
          <w:cantSplit/>
        </w:trPr>
        <w:tc>
          <w:tcPr>
            <w:tcW w:type="dxa" w:w="3456"/>
            <w:vAlign w:val="top"/>
          </w:tcPr>
          <w:p>
            <w:pPr>
              <w:spacing w:after="40" w:before="0" w:line="259" w:lineRule="auto"/>
            </w:pPr>
            <w:r>
              <w:rPr>
                <w:rFonts w:ascii="Calibri" w:hAnsi="Calibri"/>
                <w:b/>
                <w:i w:val="0"/>
                <w:color w:val="212121"/>
                <w:sz w:val="19"/>
              </w:rPr>
              <w:t>Pallor / signs of iron-deficiency anaemia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From chronic occult blood loss due to Cameron ulcers in a large hiatal hernia.</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Incarceration (the hernia becomes irreducible)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Intestinal obstruction from an obstructed hernia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Strangulation with ischaemia of the contents</w:t>
            </w:r>
          </w:p>
        </w:tc>
        <w:tc>
          <w:tcPr>
            <w:tcW w:type="dxa" w:w="2980"/>
            <w:vAlign w:val="top"/>
          </w:tcPr>
          <w:p>
            <w:pPr>
              <w:spacing w:after="40" w:before="0" w:line="259" w:lineRule="auto"/>
            </w:pPr>
            <w:r>
              <w:rPr>
                <w:rFonts w:ascii="Calibri" w:hAnsi="Calibri"/>
                <w:b w:val="0"/>
                <w:i w:val="0"/>
                <w:color w:val="212121"/>
                <w:sz w:val="19"/>
              </w:rPr>
              <w:t>Immediate mechanical and vascular consequences of the protrusion becoming trapped at the neck of the defect.</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Bowel necrosis, perforation and peritonitis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Richter's hernia (partial-circumference strangulation without full obstruction)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Localised and systemic sepsis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Hiatal: reflux oesophagitis, Cameron-ulcer iron-deficiency anaemia and gastric volvulus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Incisional: progressive enlargement and 'loss of abdominal domain'</w:t>
            </w:r>
          </w:p>
        </w:tc>
        <w:tc>
          <w:tcPr>
            <w:tcW w:type="dxa" w:w="2980"/>
            <w:vAlign w:val="top"/>
          </w:tcPr>
          <w:p>
            <w:pPr>
              <w:spacing w:after="40" w:before="0" w:line="259" w:lineRule="auto"/>
            </w:pPr>
            <w:r>
              <w:rPr>
                <w:rFonts w:ascii="Calibri" w:hAnsi="Calibri"/>
                <w:b w:val="0"/>
                <w:i w:val="0"/>
                <w:color w:val="212121"/>
                <w:sz w:val="19"/>
              </w:rPr>
              <w:t>Result from unrelieved incarceration/strangulation and from chronic reflux or wall failure in hiatal and incisional disease.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Recurrence after repair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post-herniorrhaphy groin pain (inguinodynia)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Mesh complications — infection, migration, erosion or chronic sinus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Short-bowel syndrome after extensive bowel resection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Barrett's oesophagus and peptic stricture from long-standing reflux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Disability or death after emergency surgery for strangulation, especially with delayed presentation</w:t>
            </w:r>
          </w:p>
        </w:tc>
        <w:tc>
          <w:tcPr>
            <w:tcW w:type="dxa" w:w="2980"/>
            <w:vAlign w:val="top"/>
          </w:tcPr>
          <w:p>
            <w:pPr>
              <w:spacing w:after="40" w:before="0" w:line="259" w:lineRule="auto"/>
            </w:pPr>
            <w:r>
              <w:rPr>
                <w:rFonts w:ascii="Calibri" w:hAnsi="Calibri"/>
                <w:b w:val="0"/>
                <w:i w:val="0"/>
                <w:color w:val="212121"/>
                <w:sz w:val="19"/>
              </w:rPr>
              <w:t>Long-term, disabling or irreversible outcomes of neglected, complicated or repeatedly repaired hernias.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Chronic obstructive pulmonary disease / chronic cough</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 forceful chronic cough repeatedly raises intra-abdominal pressure and, with smoking-related collagen breakdown, promotes hernia formation and post-repair recurrence.</w:t>
            </w:r>
          </w:p>
        </w:tc>
      </w:tr>
      <w:tr>
        <w:trPr>
          <w:cantSplit/>
        </w:trPr>
        <w:tc>
          <w:tcPr>
            <w:tcW w:type="dxa" w:w="2232"/>
            <w:vAlign w:val="top"/>
          </w:tcPr>
          <w:p>
            <w:pPr>
              <w:spacing w:after="40" w:before="0" w:line="259" w:lineRule="auto"/>
            </w:pPr>
            <w:r>
              <w:rPr>
                <w:rFonts w:ascii="Calibri" w:hAnsi="Calibri"/>
                <w:b/>
                <w:i w:val="0"/>
                <w:color w:val="212121"/>
                <w:sz w:val="19"/>
              </w:rPr>
              <w:t>Benign prostatic hyperplasia (prostatism)</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Chronic straining to void from bladder-outlet obstruction sustains raised intra-abdominal pressure; hernia and prostatism commonly coexist in older men.</w:t>
            </w:r>
          </w:p>
        </w:tc>
      </w:tr>
      <w:tr>
        <w:trPr>
          <w:cantSplit/>
        </w:trPr>
        <w:tc>
          <w:tcPr>
            <w:tcW w:type="dxa" w:w="2232"/>
            <w:vAlign w:val="top"/>
          </w:tcPr>
          <w:p>
            <w:pPr>
              <w:spacing w:after="40" w:before="0" w:line="259" w:lineRule="auto"/>
            </w:pPr>
            <w:r>
              <w:rPr>
                <w:rFonts w:ascii="Calibri" w:hAnsi="Calibri"/>
                <w:b/>
                <w:i w:val="0"/>
                <w:color w:val="212121"/>
                <w:sz w:val="19"/>
              </w:rPr>
              <w:t>Chronic constipation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Repeated straining at stool is a modifiable driver of raised intra-abdominal pressure and abdominal-wall herniation.</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Central adiposity raises baseline intra-abdominal pressure and impairs wound healing, favouring umbilical, hiatal and incisional hernias and complicating repair.</w:t>
            </w:r>
          </w:p>
        </w:tc>
      </w:tr>
      <w:tr>
        <w:trPr>
          <w:cantSplit/>
        </w:trPr>
        <w:tc>
          <w:tcPr>
            <w:tcW w:type="dxa" w:w="2232"/>
            <w:vAlign w:val="top"/>
          </w:tcPr>
          <w:p>
            <w:pPr>
              <w:spacing w:after="40" w:before="0" w:line="259" w:lineRule="auto"/>
            </w:pPr>
            <w:r>
              <w:rPr>
                <w:rFonts w:ascii="Calibri" w:hAnsi="Calibri"/>
                <w:b/>
                <w:i w:val="0"/>
                <w:color w:val="212121"/>
                <w:sz w:val="19"/>
              </w:rPr>
              <w:t>Cirrhosis with ascites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Tense ascites stretches and thins the umbilicus, producing umbilical hernias prone to leakage and incarceration; up to ~20% of cirrhotic ascites develops one.</w:t>
            </w:r>
          </w:p>
          <w:p>
            <w:pPr>
              <w:spacing w:after="40" w:before="0" w:line="259" w:lineRule="auto"/>
            </w:pPr>
            <w:r>
              <w:rPr>
                <w:rFonts w:ascii="Calibri" w:hAnsi="Calibri"/>
                <w:b/>
                <w:i w:val="0"/>
                <w:color w:val="212121"/>
                <w:sz w:val="19"/>
              </w:rPr>
              <w:t>Up to 20%</w:t>
            </w:r>
          </w:p>
        </w:tc>
      </w:tr>
      <w:tr>
        <w:trPr>
          <w:cantSplit/>
        </w:trPr>
        <w:tc>
          <w:tcPr>
            <w:tcW w:type="dxa" w:w="2232"/>
            <w:vAlign w:val="top"/>
          </w:tcPr>
          <w:p>
            <w:pPr>
              <w:spacing w:after="40" w:before="0" w:line="259" w:lineRule="auto"/>
            </w:pPr>
            <w:r>
              <w:rPr>
                <w:rFonts w:ascii="Calibri" w:hAnsi="Calibri"/>
                <w:b/>
                <w:i w:val="0"/>
                <w:color w:val="212121"/>
                <w:sz w:val="19"/>
              </w:rPr>
              <w:t>Gastro-oesophageal reflux disease (GERD)</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Sliding hiatal hernia disrupts the anti-reflux barrier and strongly co-occurs with GERD; 50-94% of GERD patients have a sliding hiatal hernia.</w:t>
            </w:r>
          </w:p>
          <w:p>
            <w:pPr>
              <w:spacing w:after="40" w:before="0" w:line="259" w:lineRule="auto"/>
            </w:pPr>
            <w:r>
              <w:rPr>
                <w:rFonts w:ascii="Calibri" w:hAnsi="Calibri"/>
                <w:b/>
                <w:i w:val="0"/>
                <w:color w:val="212121"/>
                <w:sz w:val="19"/>
              </w:rPr>
              <w:t>50-94%</w:t>
            </w:r>
          </w:p>
        </w:tc>
      </w:tr>
      <w:tr>
        <w:trPr>
          <w:cantSplit/>
        </w:trPr>
        <w:tc>
          <w:tcPr>
            <w:tcW w:type="dxa" w:w="2232"/>
            <w:vAlign w:val="top"/>
          </w:tcPr>
          <w:p>
            <w:pPr>
              <w:spacing w:after="40" w:before="0" w:line="259" w:lineRule="auto"/>
            </w:pPr>
            <w:r>
              <w:rPr>
                <w:rFonts w:ascii="Calibri" w:hAnsi="Calibri"/>
                <w:b/>
                <w:i w:val="0"/>
                <w:color w:val="212121"/>
                <w:sz w:val="19"/>
              </w:rPr>
              <w:t>Connective-tissue disorders (Ehlers-Danlos, Marfan)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Heritable collagen/elastin defects reduce fascial strength, causing multiple, early and recurrence-prone hernias.</w:t>
            </w:r>
          </w:p>
        </w:tc>
      </w:tr>
      <w:tr>
        <w:trPr>
          <w:cantSplit/>
        </w:trPr>
        <w:tc>
          <w:tcPr>
            <w:tcW w:type="dxa" w:w="2232"/>
            <w:vAlign w:val="top"/>
          </w:tcPr>
          <w:p>
            <w:pPr>
              <w:spacing w:after="40" w:before="0" w:line="259" w:lineRule="auto"/>
            </w:pPr>
            <w:r>
              <w:rPr>
                <w:rFonts w:ascii="Calibri" w:hAnsi="Calibri"/>
                <w:b/>
                <w:i w:val="0"/>
                <w:color w:val="212121"/>
                <w:sz w:val="19"/>
              </w:rPr>
              <w:t>Abdominal aortic aneurysm</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Both share a systemic collagen-degradation (matrix-metalloproteinase) diathesis, and inguinal-hernia patients have a higher prevalence of AAA.</w:t>
            </w:r>
          </w:p>
        </w:tc>
      </w:tr>
      <w:tr>
        <w:trPr>
          <w:cantSplit/>
        </w:trPr>
        <w:tc>
          <w:tcPr>
            <w:tcW w:type="dxa" w:w="2232"/>
            <w:vAlign w:val="top"/>
          </w:tcPr>
          <w:p>
            <w:pPr>
              <w:spacing w:after="40" w:before="0" w:line="259" w:lineRule="auto"/>
            </w:pPr>
            <w:r>
              <w:rPr>
                <w:rFonts w:ascii="Calibri" w:hAnsi="Calibri"/>
                <w:b/>
                <w:i w:val="0"/>
                <w:color w:val="212121"/>
                <w:sz w:val="19"/>
              </w:rPr>
              <w:t>Surgical-site infection / prior abdominal surgery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Wound infection and poor healing after laparotomy are the main drivers of incisional hernia and of repair failure.</w:t>
            </w:r>
          </w:p>
        </w:tc>
      </w:tr>
      <w:tr>
        <w:trPr>
          <w:cantSplit/>
        </w:trPr>
        <w:tc>
          <w:tcPr>
            <w:tcW w:type="dxa" w:w="2232"/>
            <w:vAlign w:val="top"/>
          </w:tcPr>
          <w:p>
            <w:pPr>
              <w:spacing w:after="40" w:before="0" w:line="259" w:lineRule="auto"/>
            </w:pPr>
            <w:r>
              <w:rPr>
                <w:rFonts w:ascii="Calibri" w:hAnsi="Calibri"/>
                <w:b/>
                <w:i w:val="0"/>
                <w:color w:val="212121"/>
                <w:sz w:val="19"/>
              </w:rPr>
              <w:t>Barrett's oesophagus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Long-standing reflux facilitated by a hiatal hernia can lead to Barrett's metaplasia, altering surveillance and management.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warning signs of a complicated hernia — a suddenly painful, hard, irreducible lump, with vomiting, distension, redness or fever — and seek emergency care immediately.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 hernia will not resolve on its own and tends to enlarge; discuss timely elective repair rather than waiting for an emergency.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and control the causes of raised intra-abdominal pressure: chronic cough, constipation, an enlarged prostate and a chronic smoker's cough.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Lift correctly — bend the knees, keep the load close, brace the core and breathe out during effort; avoid sudden maximal lifts.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weight and, for reflux from a hiatal hernia, eat smaller meals, avoid lying down within 2-3 hours of eating and raise the head of the bed.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 with or at risk of hernia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men with prostatism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hiatal hernia/GERD</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activity to control weight and central adiposity.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graded core and abdominal conditioning to support wall tone, progressing slowly.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sudden heavy lifting and breath-holding (Valsalva) strain; use aids or team lifts for heavy loads.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up prolonged standing and heavy carrying with rest, and use correct posture and technique.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Weightlifters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 with obesity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 family history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hernia repair, follow the surgeon's graded return-to-activity plan and avoid heavy lifting until cleared.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light walking early to reduce complications, then progress core strengthening gradually.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ongoing pressure-raising factors (cough, constipation, straining) to protect the repair and lower recurrence.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hernia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Incisional-hernia repair</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high-fibre diet (whole grains, millets, pulses, vegetables and fruit; 25-40 g fibre/day) to prevent constipation and straining.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well hydrated to keep stools soft and reduce straining at defaecation.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calorie-appropriate diet to prevent the central obesity that drives hiatal, umbilical and incisional hernias.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hiatal hernia/reflux, take smaller frequent meals and limit late-night eating, fried/fatty foods, caffeine and carbonated drinks.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Constipation-prone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hiatal hernia/GERD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Peri-operative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support healthy weight regulation and post-operative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hiatal-hernia reflux, sleep with the head of the bed elevated and avoid eating within 2-3 hours of bedtime.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hiatal hernia/GERD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 it degrades collagen, provokes a chronic cough and raises the risk of hernia, incisional hernia and recurrence.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cessation support well before any planned elective hernia repair to lower wound and recurrence complications.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the chronic cough (COPD/smoker's cough) that repeatedly stresses the abdominal wall.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COPD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Surgical candidates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hernia</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safe limits to avoid cirrhosis and ascites, a strong driver of umbilical hernia.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intake before surgery to support wound healing and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Note that alcohol can worsen reflux symptoms in people with a hiatal hernia.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liver disease/ascites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Surgical candidates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Hiatal hernia/GERD</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the anxiety of living with a hernia and the fear of strangulation; provide clear safety-netting advice.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impact of chronic post-herniorrhaphy groin pain on mood and function, with multidisciplinary pain support where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reassurance and realistic expectations about repair, recovery and recurrence.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awaiting repair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post-operative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hernia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large hernias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iddk.nih.gov/health-information/digestive-diseases/inguinal-hernia" TargetMode="External"/><Relationship Id="rId10" Type="http://schemas.openxmlformats.org/officeDocument/2006/relationships/hyperlink" Target="https://www.ncbi.nlm.nih.gov/books/NBK513332/" TargetMode="External"/><Relationship Id="rId11" Type="http://schemas.openxmlformats.org/officeDocument/2006/relationships/hyperlink" Target="https://www.ncbi.nlm.nih.gov/books/NBK459312/" TargetMode="External"/><Relationship Id="rId12" Type="http://schemas.openxmlformats.org/officeDocument/2006/relationships/hyperlink" Target="https://europepmc.org/article/MED/41790667" TargetMode="External"/><Relationship Id="rId13" Type="http://schemas.openxmlformats.org/officeDocument/2006/relationships/hyperlink" Target="https://www.nhs.uk/conditions/hiatus-hernia/" TargetMode="External"/><Relationship Id="rId14" Type="http://schemas.openxmlformats.org/officeDocument/2006/relationships/hyperlink" Target="https://www.ncbi.nlm.nih.gov/books/NBK5622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