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Diverticular Disease</w:t>
      </w:r>
    </w:p>
    <w:p>
      <w:pPr>
        <w:spacing w:before="0" w:after="160"/>
      </w:pPr>
      <w:r>
        <w:rPr>
          <w:rFonts w:ascii="Calibri" w:hAnsi="Calibri"/>
          <w:b/>
          <w:i w:val="0"/>
          <w:color w:val="212121"/>
          <w:sz w:val="22"/>
        </w:rPr>
        <w:t xml:space="preserve">AKA </w:t>
      </w:r>
      <w:r>
        <w:rPr>
          <w:rFonts w:ascii="Calibri" w:hAnsi="Calibri"/>
          <w:b w:val="0"/>
          <w:i w:val="0"/>
          <w:color w:val="212121"/>
          <w:sz w:val="22"/>
        </w:rPr>
        <w:t>i.e., Diverticulosis, Diverticular disease of the colon, Diverticulitis, Colonic diverticula, 'pouches in the colon', 'aant ki theli'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Diverticular disease is a spectrum of conditions arising from diverticula - small, sac-like out-pouchings of the colonic mucosa and submucosa that herniate through weak points in the muscular wall, typically where the nutrient blood vessels (vasa recta) penetrate. Diverticulosis is the (usually asymptomatic) presence of these pouches; diverticular disease denotes symptomatic diverticulosis with chronic pain or bleeding; and diverticulitis is inflammation or micro-perforation of a diverticulum, which may progress to abscess, perforation, fistula or peritonitis. In Western populations the disease is overwhelmingly left-sided (sigmoid colon), whereas in Indians and other Asians it is characteristically right-sided (caecum and ascending colon) and presents at a younger age, so it is often mistaken for acute appendicitis.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Diverticulosis was historically regarded as uncommon in India, protected by a traditional high-fibre, plant-based diet, but its frequency is rising steadily with urbanisation and dietary 'Westernisation'. Across Asia, colonoscopy series report diverticula in roughly 13-25% of adults and - in contrast to the West, where about 95% of diverticula are in the sigmoid colon - the pouches are predominantly right-sided (caecum and ascending colon) and appear at a younger age, so right-sided diverticulitis is frequently mistaken for acute appendicitis in Indian patients. Prevalence climbs steeply with age everywhere: under 5% before 40, but around 50-60% by age 60 and up to 70% beyond age 80. Most people remain asymptomatic - fewer than 5% of those with diverticulosis develop acute diverticulitis and about 15% experience diverticular bleeding - yet diverticular disease is now among the fastest-rising gastrointestinal admissions, with the steepest increases seen in adults aged 18-44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Diverticular disease is established by endoscopy or imaging that demonstrates colonic diverticula, while acute diverticulitis is confirmed principally by cross-sectional imaging. The following features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Colonoscopy, CT colonography or barium enema showing multiple colonic diverticula - usually an incidental finding that establishes diverticulosis; in Indian and other Asian patients the diverticula are often right-sided (caecal/ascending) or pancolonic rather than sigmoid;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CT of the abdomen and pelvis as the investigation of choice for suspected acute diverticulitis (sensitivity ~95-99%, specificity ~95-100%): bowel-wall thickening (&gt; 3 mm), pericolic fat stranding, diverticula, and any abscess, free air or fistula;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Left-lower-quadrant pain, tenderness and low-grade fever (right-lower-quadrant pain in right-sided/Asian disease), sometimes with a palpable tender mass, supporting clinical diverticulitis;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Neutrophil-predominant leukocytosis with a raised C-reactive protein (CRP), which support active inflammation and help gauge severity and the need for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Painless, brisk, red or maroon rectal bleeding suggesting diverticular haemorrhage - a leading cause of major lower-gastrointestinal bleeding - localised with CT angiography or colonoscopy;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Graded-compression ultrasound or MRI as radiation-sparing alternatives (young adults, pregnancy): a thickened, non-compressible, tender colonic segment with diverticula;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Modified Hinchey staging on CT (I-IV) to distinguish uncomplicated from complicated disease and guide management;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Elective colonoscopy deferred for about 6-8 weeks after an acute attack (to avoid perforation) to exclude colorectal cancer, which can mimic complicated diverticulitis.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Diverticular disease is described along a clinical spectrum, and acute diverticulitis is staged by severity using the modified Hinchey classification:</w:t>
      </w:r>
    </w:p>
    <w:p>
      <w:pPr>
        <w:spacing w:before="0" w:after="80"/>
      </w:pPr>
      <w:r>
        <w:rPr>
          <w:rFonts w:ascii="Calibri" w:hAnsi="Calibri"/>
          <w:b w:val="0"/>
          <w:i w:val="0"/>
          <w:color w:val="212121"/>
          <w:sz w:val="21"/>
        </w:rPr>
        <w:t>(1) Diverticulosis - the asymptomatic presence of diverticula, usually discovered incidentally at colonoscopy or on imaging performed for another reason.</w:t>
      </w:r>
    </w:p>
    <w:p>
      <w:pPr>
        <w:spacing w:before="0" w:after="80"/>
      </w:pPr>
      <w:r>
        <w:rPr>
          <w:rFonts w:ascii="Calibri" w:hAnsi="Calibri"/>
          <w:b w:val="0"/>
          <w:i w:val="0"/>
          <w:color w:val="212121"/>
          <w:sz w:val="21"/>
        </w:rPr>
        <w:t>(2) Symptomatic uncomplicated diverticular disease (SUDD) - recurrent abdominal pain, bloating and altered bowel habit attributable to diverticula, without overt inflammation or complication.</w:t>
      </w:r>
    </w:p>
    <w:p>
      <w:pPr>
        <w:spacing w:before="0" w:after="80"/>
      </w:pPr>
      <w:r>
        <w:rPr>
          <w:rFonts w:ascii="Calibri" w:hAnsi="Calibri"/>
          <w:b w:val="0"/>
          <w:i w:val="0"/>
          <w:color w:val="212121"/>
          <w:sz w:val="21"/>
        </w:rPr>
        <w:t>(3) Acute uncomplicated diverticulitis - localised inflammation or micro-perforation of a diverticulum with wall thickening and fat stranding but no abscess, free perforation, fistula or obstruction; the commonest form and usually managed medically.</w:t>
      </w:r>
    </w:p>
    <w:p>
      <w:pPr>
        <w:spacing w:before="0" w:after="80"/>
      </w:pPr>
      <w:r>
        <w:rPr>
          <w:rFonts w:ascii="Calibri" w:hAnsi="Calibri"/>
          <w:b w:val="0"/>
          <w:i w:val="0"/>
          <w:color w:val="212121"/>
          <w:sz w:val="21"/>
        </w:rPr>
        <w:t>(4) Acute complicated diverticulitis - staged by the modified Hinchey classification: Stage I pericolic phlegmon or abscess; Stage II walled-off pelvic (distant) abscess; Stage III generalised purulent peritonitis; Stage IV generalised faecal peritonitis.</w:t>
      </w:r>
    </w:p>
    <w:p>
      <w:pPr>
        <w:spacing w:before="0" w:after="80"/>
      </w:pPr>
      <w:r>
        <w:rPr>
          <w:rFonts w:ascii="Calibri" w:hAnsi="Calibri"/>
          <w:b w:val="0"/>
          <w:i w:val="0"/>
          <w:color w:val="212121"/>
          <w:sz w:val="21"/>
        </w:rPr>
        <w:t>(5) Diverticular bleeding and chronic sequelae - painless lower-gastrointestinal haemorrhage from a ruptured vasa recta, and chronic complications such as stricture, fistula (colovesical, colovaginal) and segmental colitis associated with diverticulosis (SCAD).</w:t>
      </w:r>
    </w:p>
    <w:p>
      <w:pPr>
        <w:spacing w:before="0" w:after="80"/>
      </w:pPr>
      <w:r>
        <w:rPr>
          <w:rFonts w:ascii="Calibri" w:hAnsi="Calibri"/>
          <w:b w:val="0"/>
          <w:i w:val="0"/>
          <w:color w:val="212121"/>
          <w:sz w:val="21"/>
        </w:rPr>
        <w:t>(Regional pattern) Right-sided (Asian/Indian) diverticular disease - often few or solitary caecal/ascending-colon diverticula, presenting at a younger age and frequently mimicking acute appendicitis.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Low dietary fibre: The classic Painter-Burkitt hypothesis - fibre-poor, refined diets reduce stool bulk, prolong transit and raise intraluminal (segmentation) pressure, driving mucosal herniation at weak points in the colonic wall.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Raised intraluminal pressure and dysmotility: Exaggerated colonic segmentation and high sigmoid pressures herniate mucosa and submucosa through the muscle layer where the vasa recta penetrate.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Ageing and colonic wall changes: Age-related loss of tensile strength with altered collagen and elastin weakens the bowel wall and makes it prone to out-pouching, explaining the steep rise with age.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Twin studies suggest roughly 40-50% heritability, with over 30 susceptibility loci identified (e.g. ARHGAP15, COLQ, FAM155A); connective-tissue disorders such as Marfan and Ehlers-Danlos syndromes markedly increase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and physical inactivity: Central adiposity and a sedentary lifestyle are associated with diverticulitis and diverticular bleeding, partly through low-grade inflammation and altered colonic motility.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Medications: NSAIDs, aspirin, corticosteroids and opioids increase the risk of diverticulitis, perforation and bleeding - NSAIDs damage the mucosa while opioids slow transit and raise intraluminal pressure.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Gut microbiome and low-grade inflammation: Dysbiosis and chronic mucosal inflammation are increasingly implicated in symptomatic and recurrent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Younger and middle-aged adults (18-44 years)</w:t>
            </w:r>
          </w:p>
        </w:tc>
        <w:tc>
          <w:tcPr>
            <w:tcW w:type="dxa" w:w="4276"/>
            <w:vAlign w:val="top"/>
          </w:tcPr>
          <w:p>
            <w:pPr>
              <w:spacing w:after="60" w:line="259" w:lineRule="auto"/>
            </w:pPr>
            <w:r>
              <w:rPr>
                <w:rFonts w:ascii="Calibri" w:hAnsi="Calibri"/>
                <w:b w:val="0"/>
                <w:i w:val="0"/>
                <w:color w:val="212121"/>
                <w:sz w:val="19"/>
              </w:rPr>
              <w:t>Once considered a disease of the elderly, diverticulitis is rising fastest in younger adults as low-fibre, energy-dense diets and obesity become common; in Asians right-sided disease characteristically presents at a younger age.</w:t>
            </w:r>
          </w:p>
          <w:p>
            <w:pPr>
              <w:spacing w:after="40" w:before="60" w:line="259" w:lineRule="auto"/>
            </w:pPr>
            <w:r>
              <w:rPr>
                <w:rFonts w:ascii="Calibri" w:hAnsi="Calibri"/>
                <w:b w:val="0"/>
                <w:i w:val="0"/>
                <w:color w:val="212121"/>
                <w:sz w:val="19"/>
              </w:rPr>
              <w:t>Diverticulitis incidence rose about 26% between 1998 and 2005, with the largest increases among patients aged 18-44 years.</w:t>
            </w:r>
          </w:p>
          <w:p>
            <w:pPr>
              <w:spacing w:after="40" w:line="252" w:lineRule="auto"/>
            </w:pPr>
            <w:hyperlink r:id="rId9">
              <w:r>
                <w:rPr>
                  <w:rFonts w:ascii="Calibri" w:hAnsi="Calibri" w:cs="Calibri"/>
                  <w:sz w:val="18"/>
                  <w:color w:val="1155CC"/>
                  <w:u w:val="single"/>
                </w:rPr>
                <w:t xml:space="preserve">ncbi.nlm.nih.gov - StatPearls Diverticulosis (rising incidence in the young)</w:t>
              </w:r>
            </w:hyperlink>
          </w:p>
          <w:p>
            <w:pPr>
              <w:spacing w:before="60" w:after="40"/>
            </w:pPr>
            <w:r>
              <w:rPr>
                <w:rFonts w:ascii="Calibri" w:hAnsi="Calibri"/>
                <w:b w:val="0"/>
                <w:i w:val="0"/>
                <w:color w:val="5A5A5A"/>
                <w:sz w:val="18"/>
              </w:rPr>
              <w:t>#diverticulardisease  #youngadults  #lowfibre  #risingincidence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 and older)</w:t>
            </w:r>
          </w:p>
        </w:tc>
        <w:tc>
          <w:tcPr>
            <w:tcW w:type="dxa" w:w="4276"/>
            <w:vAlign w:val="top"/>
          </w:tcPr>
          <w:p>
            <w:pPr>
              <w:spacing w:after="60" w:line="259" w:lineRule="auto"/>
            </w:pPr>
            <w:r>
              <w:rPr>
                <w:rFonts w:ascii="Calibri" w:hAnsi="Calibri"/>
                <w:b w:val="0"/>
                <w:i w:val="0"/>
                <w:color w:val="212121"/>
                <w:sz w:val="19"/>
              </w:rPr>
              <w:t>Age-related weakening of the colonic wall (loss of tensile strength, altered collagen/elastin) makes diverticula progressively more common, so most older adults harbour them even if asymptomatic.</w:t>
            </w:r>
          </w:p>
          <w:p>
            <w:pPr>
              <w:spacing w:after="40" w:before="60" w:line="259" w:lineRule="auto"/>
            </w:pPr>
            <w:r>
              <w:rPr>
                <w:rFonts w:ascii="Calibri" w:hAnsi="Calibri"/>
                <w:b w:val="0"/>
                <w:i w:val="0"/>
                <w:color w:val="212121"/>
                <w:sz w:val="19"/>
              </w:rPr>
              <w:t>More than 30% of US adults aged 50-59, around 50-60% by age 60, and more than 70% of those over 80 have diverticulosis.</w:t>
            </w:r>
          </w:p>
          <w:p>
            <w:pPr>
              <w:spacing w:after="40" w:line="252" w:lineRule="auto"/>
            </w:pPr>
            <w:hyperlink r:id="rId10">
              <w:r>
                <w:rPr>
                  <w:rFonts w:ascii="Calibri" w:hAnsi="Calibri" w:cs="Calibri"/>
                  <w:sz w:val="18"/>
                  <w:color w:val="1155CC"/>
                  <w:u w:val="single"/>
                </w:rPr>
                <w:t xml:space="preserve">niddk.nih.gov - Diverticular disease definition &amp; facts</w:t>
              </w:r>
            </w:hyperlink>
          </w:p>
          <w:p>
            <w:pPr>
              <w:spacing w:before="60" w:after="40"/>
            </w:pPr>
            <w:r>
              <w:rPr>
                <w:rFonts w:ascii="Calibri" w:hAnsi="Calibri"/>
                <w:b w:val="0"/>
                <w:i w:val="0"/>
                <w:color w:val="5A5A5A"/>
                <w:sz w:val="18"/>
              </w:rPr>
              <w:t>#ageing  #colonwall  #diverticulosis  #elderly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 under 50 years</w:t>
            </w:r>
          </w:p>
        </w:tc>
        <w:tc>
          <w:tcPr>
            <w:tcW w:type="dxa" w:w="4276"/>
            <w:vAlign w:val="top"/>
          </w:tcPr>
          <w:p>
            <w:pPr>
              <w:spacing w:after="60" w:line="259" w:lineRule="auto"/>
            </w:pPr>
            <w:r>
              <w:rPr>
                <w:rFonts w:ascii="Calibri" w:hAnsi="Calibri"/>
                <w:b w:val="0"/>
                <w:i w:val="0"/>
                <w:color w:val="212121"/>
                <w:sz w:val="19"/>
              </w:rPr>
              <w:t>Below age 50 diverticular disease and diverticulitis are somewhat more common in men, reflecting earlier dietary and lifestyle risk exposure.</w:t>
            </w:r>
          </w:p>
          <w:p>
            <w:pPr>
              <w:spacing w:after="40" w:before="60" w:line="259" w:lineRule="auto"/>
            </w:pPr>
            <w:r>
              <w:rPr>
                <w:rFonts w:ascii="Calibri" w:hAnsi="Calibri"/>
                <w:b w:val="0"/>
                <w:i w:val="0"/>
                <w:color w:val="212121"/>
                <w:sz w:val="19"/>
              </w:rPr>
              <w:t>In people younger than 50 diverticulosis is more common in men; the pattern reverses with age.</w:t>
            </w:r>
          </w:p>
          <w:p>
            <w:pPr>
              <w:spacing w:after="40" w:line="252" w:lineRule="auto"/>
            </w:pPr>
            <w:hyperlink r:id="rId10">
              <w:r>
                <w:rPr>
                  <w:rFonts w:ascii="Calibri" w:hAnsi="Calibri" w:cs="Calibri"/>
                  <w:sz w:val="18"/>
                  <w:color w:val="1155CC"/>
                  <w:u w:val="single"/>
                </w:rPr>
                <w:t xml:space="preserve">niddk.nih.gov - sex distribution by age</w:t>
              </w:r>
            </w:hyperlink>
          </w:p>
          <w:p>
            <w:pPr>
              <w:spacing w:before="60" w:after="40"/>
            </w:pPr>
            <w:r>
              <w:rPr>
                <w:rFonts w:ascii="Calibri" w:hAnsi="Calibri"/>
                <w:b w:val="0"/>
                <w:i w:val="0"/>
                <w:color w:val="5A5A5A"/>
                <w:sz w:val="18"/>
              </w:rPr>
              <w:t>#male  #under50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over 50 years</w:t>
            </w:r>
          </w:p>
        </w:tc>
        <w:tc>
          <w:tcPr>
            <w:tcW w:type="dxa" w:w="4276"/>
            <w:vAlign w:val="top"/>
          </w:tcPr>
          <w:p>
            <w:pPr>
              <w:spacing w:after="60" w:line="259" w:lineRule="auto"/>
            </w:pPr>
            <w:r>
              <w:rPr>
                <w:rFonts w:ascii="Calibri" w:hAnsi="Calibri"/>
                <w:b w:val="0"/>
                <w:i w:val="0"/>
                <w:color w:val="212121"/>
                <w:sz w:val="19"/>
              </w:rPr>
              <w:t>After age 50, and especially beyond 70, diverticulosis and diverticulitis become more frequent in women; older women are also more prone to fistulating and stricturing complications.</w:t>
            </w:r>
          </w:p>
          <w:p>
            <w:pPr>
              <w:spacing w:after="40" w:before="60" w:line="259" w:lineRule="auto"/>
            </w:pPr>
            <w:r>
              <w:rPr>
                <w:rFonts w:ascii="Calibri" w:hAnsi="Calibri"/>
                <w:b w:val="0"/>
                <w:i w:val="0"/>
                <w:color w:val="212121"/>
                <w:sz w:val="19"/>
              </w:rPr>
              <w:t>From age 50 onward diverticulosis is more common in women, with a significantly higher incidence in females over 70.</w:t>
            </w:r>
          </w:p>
          <w:p>
            <w:pPr>
              <w:spacing w:after="40" w:line="252" w:lineRule="auto"/>
            </w:pPr>
            <w:hyperlink r:id="rId9">
              <w:r>
                <w:rPr>
                  <w:rFonts w:ascii="Calibri" w:hAnsi="Calibri" w:cs="Calibri"/>
                  <w:sz w:val="18"/>
                  <w:color w:val="1155CC"/>
                  <w:u w:val="single"/>
                </w:rPr>
                <w:t xml:space="preserve">ncbi.nlm.nih.gov - StatPearls Diverticulosis (sex &amp; age)</w:t>
              </w:r>
            </w:hyperlink>
          </w:p>
          <w:p>
            <w:pPr>
              <w:spacing w:before="60" w:after="40"/>
            </w:pPr>
            <w:r>
              <w:rPr>
                <w:rFonts w:ascii="Calibri" w:hAnsi="Calibri"/>
                <w:b w:val="0"/>
                <w:i w:val="0"/>
                <w:color w:val="5A5A5A"/>
                <w:sz w:val="18"/>
              </w:rPr>
              <w:t>#female  #over50  #fistula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affluent, dietary-transition groups</w:t>
            </w:r>
          </w:p>
        </w:tc>
        <w:tc>
          <w:tcPr>
            <w:tcW w:type="dxa" w:w="4276"/>
            <w:vAlign w:val="top"/>
          </w:tcPr>
          <w:p>
            <w:pPr>
              <w:spacing w:after="60" w:line="259" w:lineRule="auto"/>
            </w:pPr>
            <w:r>
              <w:rPr>
                <w:rFonts w:ascii="Calibri" w:hAnsi="Calibri"/>
                <w:b w:val="0"/>
                <w:i w:val="0"/>
                <w:color w:val="212121"/>
                <w:sz w:val="19"/>
              </w:rPr>
              <w:t>Higher-income, urbanised populations that have shifted from traditional high-fibre food to refined, low-fibre, red-meat-rich 'Western' diets show rising diverticular disease - an epidemiological transition classically linked to industrialisation.</w:t>
            </w:r>
          </w:p>
          <w:p>
            <w:pPr>
              <w:spacing w:after="40" w:before="60" w:line="259" w:lineRule="auto"/>
            </w:pPr>
            <w:r>
              <w:rPr>
                <w:rFonts w:ascii="Calibri" w:hAnsi="Calibri"/>
                <w:b w:val="0"/>
                <w:i w:val="0"/>
                <w:color w:val="212121"/>
                <w:sz w:val="19"/>
              </w:rPr>
              <w:t>Diverticular disease is uncommon in rural Africa (under 1%) and historically in Asia, but rises with Western-style low-fibre diets.</w:t>
            </w:r>
          </w:p>
          <w:p>
            <w:pPr>
              <w:spacing w:after="40" w:line="252" w:lineRule="auto"/>
            </w:pPr>
            <w:hyperlink r:id="rId11">
              <w:r>
                <w:rPr>
                  <w:rFonts w:ascii="Calibri" w:hAnsi="Calibri" w:cs="Calibri"/>
                  <w:sz w:val="18"/>
                  <w:color w:val="1155CC"/>
                  <w:u w:val="single"/>
                </w:rPr>
                <w:t xml:space="preserve">en.wikipedia.org - Diverticulitis (geography &amp; diet)</w:t>
              </w:r>
            </w:hyperlink>
          </w:p>
          <w:p>
            <w:pPr>
              <w:spacing w:before="60" w:after="40"/>
            </w:pPr>
            <w:r>
              <w:rPr>
                <w:rFonts w:ascii="Calibri" w:hAnsi="Calibri"/>
                <w:b w:val="0"/>
                <w:i w:val="0"/>
                <w:color w:val="5A5A5A"/>
                <w:sz w:val="18"/>
              </w:rPr>
              <w:t>#urbanisation  #dietarytransition  #affluence  #lowfibre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Urban Indians and other Asians (right-sided disease)</w:t>
            </w:r>
          </w:p>
        </w:tc>
        <w:tc>
          <w:tcPr>
            <w:tcW w:type="dxa" w:w="4276"/>
            <w:vAlign w:val="top"/>
          </w:tcPr>
          <w:p>
            <w:pPr>
              <w:spacing w:after="60" w:line="259" w:lineRule="auto"/>
            </w:pPr>
            <w:r>
              <w:rPr>
                <w:rFonts w:ascii="Calibri" w:hAnsi="Calibri"/>
                <w:b w:val="0"/>
                <w:i w:val="0"/>
                <w:color w:val="212121"/>
                <w:sz w:val="19"/>
              </w:rPr>
              <w:t>Asians, including Indians, characteristically develop right-sided (caecal and ascending-colon) diverticula at a younger age; dietary Westernisation is increasing overall prevalence, and right-sided diverticulitis is easily confused with appendicitis.</w:t>
            </w:r>
          </w:p>
          <w:p>
            <w:pPr>
              <w:spacing w:after="40" w:before="60" w:line="259" w:lineRule="auto"/>
            </w:pPr>
            <w:r>
              <w:rPr>
                <w:rFonts w:ascii="Calibri" w:hAnsi="Calibri"/>
                <w:b w:val="0"/>
                <w:i w:val="0"/>
                <w:color w:val="212121"/>
                <w:sz w:val="19"/>
              </w:rPr>
              <w:t>Diverticulosis affects roughly 13-25% of adults across Asia and is predominantly right-sided, unlike the sigmoid-predominant disease of the West.</w:t>
            </w:r>
          </w:p>
          <w:p>
            <w:pPr>
              <w:spacing w:after="40" w:line="252" w:lineRule="auto"/>
            </w:pPr>
            <w:hyperlink r:id="rId9">
              <w:r>
                <w:rPr>
                  <w:rFonts w:ascii="Calibri" w:hAnsi="Calibri" w:cs="Calibri"/>
                  <w:sz w:val="18"/>
                  <w:color w:val="1155CC"/>
                  <w:u w:val="single"/>
                </w:rPr>
                <w:t xml:space="preserve">ncbi.nlm.nih.gov - StatPearls Diverticulosis (Asia 13-25%, right-sided)</w:t>
              </w:r>
            </w:hyperlink>
          </w:p>
          <w:p>
            <w:pPr>
              <w:spacing w:before="60" w:after="40"/>
            </w:pPr>
            <w:r>
              <w:rPr>
                <w:rFonts w:ascii="Calibri" w:hAnsi="Calibri"/>
                <w:b w:val="0"/>
                <w:i w:val="0"/>
                <w:color w:val="5A5A5A"/>
                <w:sz w:val="18"/>
              </w:rPr>
              <w:t>#india  #asian  #rightsided  #caecal  #appendicitismimic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Western and migrant populations (left-sided disease)</w:t>
            </w:r>
          </w:p>
        </w:tc>
        <w:tc>
          <w:tcPr>
            <w:tcW w:type="dxa" w:w="4276"/>
            <w:vAlign w:val="top"/>
          </w:tcPr>
          <w:p>
            <w:pPr>
              <w:spacing w:after="60" w:line="259" w:lineRule="auto"/>
            </w:pPr>
            <w:r>
              <w:rPr>
                <w:rFonts w:ascii="Calibri" w:hAnsi="Calibri"/>
                <w:b w:val="0"/>
                <w:i w:val="0"/>
                <w:color w:val="212121"/>
                <w:sz w:val="19"/>
              </w:rPr>
              <w:t>In Western countries and in migrants adopting Western diets, diverticula are overwhelmingly left-sided (sigmoid), where high segmentation pressures are generated.</w:t>
            </w:r>
          </w:p>
          <w:p>
            <w:pPr>
              <w:spacing w:after="40" w:before="60" w:line="259" w:lineRule="auto"/>
            </w:pPr>
            <w:r>
              <w:rPr>
                <w:rFonts w:ascii="Calibri" w:hAnsi="Calibri"/>
                <w:b w:val="0"/>
                <w:i w:val="0"/>
                <w:color w:val="212121"/>
                <w:sz w:val="19"/>
              </w:rPr>
              <w:t>About 95% of patients in Western populations have diverticula in the sigmoid colon.</w:t>
            </w:r>
          </w:p>
          <w:p>
            <w:pPr>
              <w:spacing w:after="40" w:line="252" w:lineRule="auto"/>
            </w:pPr>
            <w:hyperlink r:id="rId9">
              <w:r>
                <w:rPr>
                  <w:rFonts w:ascii="Calibri" w:hAnsi="Calibri" w:cs="Calibri"/>
                  <w:sz w:val="18"/>
                  <w:color w:val="1155CC"/>
                  <w:u w:val="single"/>
                </w:rPr>
                <w:t xml:space="preserve">ncbi.nlm.nih.gov - StatPearls Diverticulosis (95% sigmoid)</w:t>
              </w:r>
            </w:hyperlink>
          </w:p>
          <w:p>
            <w:pPr>
              <w:spacing w:before="60" w:after="40"/>
            </w:pPr>
            <w:r>
              <w:rPr>
                <w:rFonts w:ascii="Calibri" w:hAnsi="Calibri"/>
                <w:b w:val="0"/>
                <w:i w:val="0"/>
                <w:color w:val="5A5A5A"/>
                <w:sz w:val="18"/>
              </w:rPr>
              <w:t>#western  #sigmoid  #leftsided  #migration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Physical inactivity slows colonic transit and is associated with a higher risk of diverticulitis and diverticular bleeding; regular vigorous activity appears protective.</w:t>
            </w:r>
          </w:p>
          <w:p>
            <w:pPr>
              <w:spacing w:after="40" w:before="60" w:line="259" w:lineRule="auto"/>
            </w:pPr>
            <w:r>
              <w:rPr>
                <w:rFonts w:ascii="Calibri" w:hAnsi="Calibri"/>
                <w:b w:val="0"/>
                <w:i w:val="0"/>
                <w:color w:val="212121"/>
                <w:sz w:val="19"/>
              </w:rPr>
              <w:t>Inadequate physical activity is listed among the modifiable risk factors for diverticular disease.</w:t>
            </w:r>
          </w:p>
          <w:p>
            <w:pPr>
              <w:spacing w:after="40" w:line="252" w:lineRule="auto"/>
            </w:pPr>
            <w:hyperlink r:id="rId12">
              <w:r>
                <w:rPr>
                  <w:rFonts w:ascii="Calibri" w:hAnsi="Calibri" w:cs="Calibri"/>
                  <w:sz w:val="18"/>
                  <w:color w:val="1155CC"/>
                  <w:u w:val="single"/>
                </w:rPr>
                <w:t xml:space="preserve">niddk.nih.gov - symptoms &amp; causes (physical activity)</w:t>
              </w:r>
            </w:hyperlink>
          </w:p>
          <w:p>
            <w:pPr>
              <w:spacing w:before="60" w:after="40"/>
            </w:pPr>
            <w:r>
              <w:rPr>
                <w:rFonts w:ascii="Calibri" w:hAnsi="Calibri"/>
                <w:b w:val="0"/>
                <w:i w:val="0"/>
                <w:color w:val="5A5A5A"/>
                <w:sz w:val="18"/>
              </w:rPr>
              <w:t>#sedentary  #inactivity  #slowtransit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promotes systemic inflammation and impairs mucosal integrity, increasing the risk of diverticulitis and of complications such as perforation and abscess.</w:t>
            </w:r>
          </w:p>
          <w:p>
            <w:pPr>
              <w:spacing w:after="40" w:before="60" w:line="259" w:lineRule="auto"/>
            </w:pPr>
            <w:r>
              <w:rPr>
                <w:rFonts w:ascii="Calibri" w:hAnsi="Calibri"/>
                <w:b w:val="0"/>
                <w:i w:val="0"/>
                <w:color w:val="212121"/>
                <w:sz w:val="19"/>
              </w:rPr>
              <w:t>Smoking is a recognised risk factor that increases the potential for both diverticulitis and diverticular bleeding.</w:t>
            </w:r>
          </w:p>
          <w:p>
            <w:pPr>
              <w:spacing w:after="40" w:line="252" w:lineRule="auto"/>
            </w:pPr>
            <w:hyperlink r:id="rId13">
              <w:r>
                <w:rPr>
                  <w:rFonts w:ascii="Calibri" w:hAnsi="Calibri" w:cs="Calibri"/>
                  <w:sz w:val="18"/>
                  <w:color w:val="1155CC"/>
                  <w:u w:val="single"/>
                </w:rPr>
                <w:t xml:space="preserve">ncbi.nlm.nih.gov - StatPearls Acute Diverticulitis (smoking)</w:t>
              </w:r>
            </w:hyperlink>
          </w:p>
          <w:p>
            <w:pPr>
              <w:spacing w:before="60" w:after="40"/>
            </w:pPr>
            <w:r>
              <w:rPr>
                <w:rFonts w:ascii="Calibri" w:hAnsi="Calibri"/>
                <w:b w:val="0"/>
                <w:i w:val="0"/>
                <w:color w:val="5A5A5A"/>
                <w:sz w:val="18"/>
              </w:rPr>
              <w:t>#smoking  #inflammation  #perforation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central obesity</w:t>
            </w:r>
          </w:p>
        </w:tc>
        <w:tc>
          <w:tcPr>
            <w:tcW w:type="dxa" w:w="4276"/>
            <w:vAlign w:val="top"/>
          </w:tcPr>
          <w:p>
            <w:pPr>
              <w:spacing w:after="60" w:line="259" w:lineRule="auto"/>
            </w:pPr>
            <w:r>
              <w:rPr>
                <w:rFonts w:ascii="Calibri" w:hAnsi="Calibri"/>
                <w:b w:val="0"/>
                <w:i w:val="0"/>
                <w:color w:val="212121"/>
                <w:sz w:val="19"/>
              </w:rPr>
              <w:t>Obesity and a large waist circumference are associated with both diverticulitis and diverticular bleeding, via chronic low-grade inflammation and altered colonic motility.</w:t>
            </w:r>
          </w:p>
          <w:p>
            <w:pPr>
              <w:spacing w:after="40" w:before="60" w:line="259" w:lineRule="auto"/>
            </w:pPr>
            <w:r>
              <w:rPr>
                <w:rFonts w:ascii="Calibri" w:hAnsi="Calibri"/>
                <w:b w:val="0"/>
                <w:i w:val="0"/>
                <w:color w:val="212121"/>
                <w:sz w:val="19"/>
              </w:rPr>
              <w:t>Obesity and larger waist circumference are established risk factors for diverticulitis and diverticular bleeding.</w:t>
            </w:r>
          </w:p>
          <w:p>
            <w:pPr>
              <w:spacing w:after="40" w:line="252" w:lineRule="auto"/>
            </w:pPr>
            <w:hyperlink r:id="rId9">
              <w:r>
                <w:rPr>
                  <w:rFonts w:ascii="Calibri" w:hAnsi="Calibri" w:cs="Calibri"/>
                  <w:sz w:val="18"/>
                  <w:color w:val="1155CC"/>
                  <w:u w:val="single"/>
                </w:rPr>
                <w:t xml:space="preserve">ncbi.nlm.nih.gov - StatPearls Diverticulosis (obesity, waist)</w:t>
              </w:r>
            </w:hyperlink>
          </w:p>
          <w:p>
            <w:pPr>
              <w:spacing w:before="60" w:after="40"/>
            </w:pPr>
            <w:r>
              <w:rPr>
                <w:rFonts w:ascii="Calibri" w:hAnsi="Calibri"/>
                <w:b w:val="0"/>
                <w:i w:val="0"/>
                <w:color w:val="5A5A5A"/>
                <w:sz w:val="18"/>
              </w:rPr>
              <w:t>#obesity  #visceralfat  #waistcircumference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Low-fibre, high-red-meat, refined diet</w:t>
            </w:r>
          </w:p>
        </w:tc>
        <w:tc>
          <w:tcPr>
            <w:tcW w:type="dxa" w:w="4276"/>
            <w:vAlign w:val="top"/>
          </w:tcPr>
          <w:p>
            <w:pPr>
              <w:spacing w:after="60" w:line="259" w:lineRule="auto"/>
            </w:pPr>
            <w:r>
              <w:rPr>
                <w:rFonts w:ascii="Calibri" w:hAnsi="Calibri"/>
                <w:b w:val="0"/>
                <w:i w:val="0"/>
                <w:color w:val="212121"/>
                <w:sz w:val="19"/>
              </w:rPr>
              <w:t>Fibre-poor, refined, red-meat-rich diets reduce stool bulk and raise colonic segmentation pressure (the Painter-Burkitt hypothesis), promoting diverticula and, with high red-meat intake, diverticulitis.</w:t>
            </w:r>
          </w:p>
          <w:p>
            <w:pPr>
              <w:spacing w:after="40" w:before="60" w:line="259" w:lineRule="auto"/>
            </w:pPr>
            <w:r>
              <w:rPr>
                <w:rFonts w:ascii="Calibri" w:hAnsi="Calibri"/>
                <w:b w:val="0"/>
                <w:i w:val="0"/>
                <w:color w:val="212121"/>
                <w:sz w:val="19"/>
              </w:rPr>
              <w:t>Diets low in fibre and high in red meat are identified as key modifiable risk factors for diverticular disease.</w:t>
            </w:r>
          </w:p>
          <w:p>
            <w:pPr>
              <w:spacing w:after="40" w:line="252" w:lineRule="auto"/>
            </w:pPr>
            <w:hyperlink r:id="rId12">
              <w:r>
                <w:rPr>
                  <w:rFonts w:ascii="Calibri" w:hAnsi="Calibri" w:cs="Calibri"/>
                  <w:sz w:val="18"/>
                  <w:color w:val="1155CC"/>
                  <w:u w:val="single"/>
                </w:rPr>
                <w:t xml:space="preserve">niddk.nih.gov - symptoms &amp; causes (low fibre, red meat)</w:t>
              </w:r>
            </w:hyperlink>
          </w:p>
          <w:p>
            <w:pPr>
              <w:spacing w:before="60" w:after="40"/>
            </w:pPr>
            <w:r>
              <w:rPr>
                <w:rFonts w:ascii="Calibri" w:hAnsi="Calibri"/>
                <w:b w:val="0"/>
                <w:i w:val="0"/>
                <w:color w:val="5A5A5A"/>
                <w:sz w:val="18"/>
              </w:rPr>
              <w:t>#lowfibre  #redmeat  #refinedcarbs  #painterburkitt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Fruit &amp; vegetable intake</w:t>
            </w:r>
          </w:p>
        </w:tc>
        <w:tc>
          <w:tcPr>
            <w:tcW w:type="dxa" w:w="2160"/>
            <w:vAlign w:val="top"/>
          </w:tcPr>
          <w:p>
            <w:pPr>
              <w:spacing w:after="40" w:before="0" w:line="259" w:lineRule="auto"/>
            </w:pPr>
            <w:r>
              <w:rPr>
                <w:rFonts w:ascii="Calibri" w:hAnsi="Calibri"/>
                <w:b w:val="0"/>
                <w:i w:val="0"/>
                <w:color w:val="212121"/>
                <w:sz w:val="19"/>
              </w:rPr>
              <w:t>People eating few fruits, vegetables and whole grains</w:t>
            </w:r>
          </w:p>
        </w:tc>
        <w:tc>
          <w:tcPr>
            <w:tcW w:type="dxa" w:w="4276"/>
            <w:vAlign w:val="top"/>
          </w:tcPr>
          <w:p>
            <w:pPr>
              <w:spacing w:after="60" w:line="259" w:lineRule="auto"/>
            </w:pPr>
            <w:r>
              <w:rPr>
                <w:rFonts w:ascii="Calibri" w:hAnsi="Calibri"/>
                <w:b w:val="0"/>
                <w:i w:val="0"/>
                <w:color w:val="212121"/>
                <w:sz w:val="19"/>
              </w:rPr>
              <w:t>Low intake of fruit, vegetables, pulses and whole grains reduces the protective bulking and softening effect of fibre, favouring constipation, high intraluminal pressure and diverticular complications.</w:t>
            </w:r>
          </w:p>
          <w:p>
            <w:pPr>
              <w:spacing w:after="40" w:before="60" w:line="259" w:lineRule="auto"/>
            </w:pPr>
            <w:r>
              <w:rPr>
                <w:rFonts w:ascii="Calibri" w:hAnsi="Calibri"/>
                <w:b w:val="0"/>
                <w:i w:val="0"/>
                <w:color w:val="212121"/>
                <w:sz w:val="19"/>
              </w:rPr>
              <w:t>Higher dietary fibre intake is associated with fewer diverticular disease complications.</w:t>
            </w:r>
          </w:p>
          <w:p>
            <w:pPr>
              <w:spacing w:after="40" w:line="252" w:lineRule="auto"/>
            </w:pPr>
            <w:hyperlink r:id="rId14">
              <w:r>
                <w:rPr>
                  <w:rFonts w:ascii="Calibri" w:hAnsi="Calibri" w:cs="Calibri"/>
                  <w:sz w:val="18"/>
                  <w:color w:val="1155CC"/>
                  <w:u w:val="single"/>
                </w:rPr>
                <w:t xml:space="preserve">en.wikipedia.org - Diverticular disease (fibre &amp; complications)</w:t>
              </w:r>
            </w:hyperlink>
          </w:p>
          <w:p>
            <w:pPr>
              <w:spacing w:before="60" w:after="40"/>
            </w:pPr>
            <w:r>
              <w:rPr>
                <w:rFonts w:ascii="Calibri" w:hAnsi="Calibri"/>
                <w:b w:val="0"/>
                <w:i w:val="0"/>
                <w:color w:val="5A5A5A"/>
                <w:sz w:val="18"/>
              </w:rPr>
              <w:t>#fibre  #fruitveg  #wholegrains  #prevention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 twins with diverticular disease</w:t>
            </w:r>
          </w:p>
        </w:tc>
        <w:tc>
          <w:tcPr>
            <w:tcW w:type="dxa" w:w="4276"/>
            <w:vAlign w:val="top"/>
          </w:tcPr>
          <w:p>
            <w:pPr>
              <w:spacing w:after="60" w:line="259" w:lineRule="auto"/>
            </w:pPr>
            <w:r>
              <w:rPr>
                <w:rFonts w:ascii="Calibri" w:hAnsi="Calibri"/>
                <w:b w:val="0"/>
                <w:i w:val="0"/>
                <w:color w:val="212121"/>
                <w:sz w:val="19"/>
              </w:rPr>
              <w:t>Inherited differences in colonic connective tissue and motility strongly influence risk; a positive family history and specific susceptibility genes increase the likelihood of developing diverticula.</w:t>
            </w:r>
          </w:p>
          <w:p>
            <w:pPr>
              <w:spacing w:after="40" w:before="60" w:line="259" w:lineRule="auto"/>
            </w:pPr>
            <w:r>
              <w:rPr>
                <w:rFonts w:ascii="Calibri" w:hAnsi="Calibri"/>
                <w:b w:val="0"/>
                <w:i w:val="0"/>
                <w:color w:val="212121"/>
                <w:sz w:val="19"/>
              </w:rPr>
              <w:t>Twin studies suggest about 40% heritability, with over 30 susceptibility loci identified (e.g. ARHGAP15, COLQ, FAM155A).</w:t>
            </w:r>
          </w:p>
          <w:p>
            <w:pPr>
              <w:spacing w:after="40" w:line="252" w:lineRule="auto"/>
            </w:pPr>
            <w:hyperlink r:id="rId15">
              <w:r>
                <w:rPr>
                  <w:rFonts w:ascii="Calibri" w:hAnsi="Calibri" w:cs="Calibri"/>
                  <w:sz w:val="18"/>
                  <w:color w:val="1155CC"/>
                  <w:u w:val="single"/>
                </w:rPr>
                <w:t xml:space="preserve">en.wikipedia.org - Diverticulosis (heritability, loci)</w:t>
              </w:r>
            </w:hyperlink>
          </w:p>
          <w:p>
            <w:pPr>
              <w:spacing w:before="60" w:after="40"/>
            </w:pPr>
            <w:r>
              <w:rPr>
                <w:rFonts w:ascii="Calibri" w:hAnsi="Calibri"/>
                <w:b w:val="0"/>
                <w:i w:val="0"/>
                <w:color w:val="5A5A5A"/>
                <w:sz w:val="18"/>
              </w:rPr>
              <w:t>#genetics  #heritability  #familyhistory  #connectivetissue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Connective tissue disorders</w:t>
            </w:r>
          </w:p>
        </w:tc>
        <w:tc>
          <w:tcPr>
            <w:tcW w:type="dxa" w:w="2160"/>
            <w:vAlign w:val="top"/>
          </w:tcPr>
          <w:p>
            <w:pPr>
              <w:spacing w:after="40" w:before="0" w:line="259" w:lineRule="auto"/>
            </w:pPr>
            <w:r>
              <w:rPr>
                <w:rFonts w:ascii="Calibri" w:hAnsi="Calibri"/>
                <w:b w:val="0"/>
                <w:i w:val="0"/>
                <w:color w:val="212121"/>
                <w:sz w:val="19"/>
              </w:rPr>
              <w:t>Patients with Marfan or Ehlers-Danlos syndrome</w:t>
            </w:r>
          </w:p>
        </w:tc>
        <w:tc>
          <w:tcPr>
            <w:tcW w:type="dxa" w:w="4276"/>
            <w:vAlign w:val="top"/>
          </w:tcPr>
          <w:p>
            <w:pPr>
              <w:spacing w:after="60" w:line="259" w:lineRule="auto"/>
            </w:pPr>
            <w:r>
              <w:rPr>
                <w:rFonts w:ascii="Calibri" w:hAnsi="Calibri"/>
                <w:b w:val="0"/>
                <w:i w:val="0"/>
                <w:color w:val="212121"/>
                <w:sz w:val="19"/>
              </w:rPr>
              <w:t>Inherited connective-tissue weakness reduces colonic wall strength, predisposing to early and widespread diverticula and to perforation.</w:t>
            </w:r>
          </w:p>
          <w:p>
            <w:pPr>
              <w:spacing w:after="40" w:before="60" w:line="259" w:lineRule="auto"/>
            </w:pPr>
            <w:r>
              <w:rPr>
                <w:rFonts w:ascii="Calibri" w:hAnsi="Calibri"/>
                <w:b w:val="0"/>
                <w:i w:val="0"/>
                <w:color w:val="212121"/>
                <w:sz w:val="19"/>
              </w:rPr>
              <w:t>Connective-tissue disorders (Marfan, Ehlers-Danlos) are recognised predisposing conditions for diverticulosis.</w:t>
            </w:r>
          </w:p>
          <w:p>
            <w:pPr>
              <w:spacing w:after="40" w:line="252" w:lineRule="auto"/>
            </w:pPr>
            <w:hyperlink r:id="rId15">
              <w:r>
                <w:rPr>
                  <w:rFonts w:ascii="Calibri" w:hAnsi="Calibri" w:cs="Calibri"/>
                  <w:sz w:val="18"/>
                  <w:color w:val="1155CC"/>
                  <w:u w:val="single"/>
                </w:rPr>
                <w:t xml:space="preserve">en.wikipedia.org - Diverticulosis (connective tissue disorders)</w:t>
              </w:r>
            </w:hyperlink>
          </w:p>
          <w:p>
            <w:pPr>
              <w:spacing w:before="60" w:after="40"/>
            </w:pPr>
            <w:r>
              <w:rPr>
                <w:rFonts w:ascii="Calibri" w:hAnsi="Calibri"/>
                <w:b w:val="0"/>
                <w:i w:val="0"/>
                <w:color w:val="5A5A5A"/>
                <w:sz w:val="18"/>
              </w:rPr>
              <w:t>#marfan  #ehlersdanlos  #connectivetissue  #wallweakness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constipation</w:t>
            </w:r>
          </w:p>
        </w:tc>
        <w:tc>
          <w:tcPr>
            <w:tcW w:type="dxa" w:w="2160"/>
            <w:vAlign w:val="top"/>
          </w:tcPr>
          <w:p>
            <w:pPr>
              <w:spacing w:after="40" w:before="0" w:line="259" w:lineRule="auto"/>
            </w:pPr>
            <w:r>
              <w:rPr>
                <w:rFonts w:ascii="Calibri" w:hAnsi="Calibri"/>
                <w:b w:val="0"/>
                <w:i w:val="0"/>
                <w:color w:val="212121"/>
                <w:sz w:val="19"/>
              </w:rPr>
              <w:t>Adults with longstanding constipation and straining</w:t>
            </w:r>
          </w:p>
        </w:tc>
        <w:tc>
          <w:tcPr>
            <w:tcW w:type="dxa" w:w="4276"/>
            <w:vAlign w:val="top"/>
          </w:tcPr>
          <w:p>
            <w:pPr>
              <w:spacing w:after="60" w:line="259" w:lineRule="auto"/>
            </w:pPr>
            <w:r>
              <w:rPr>
                <w:rFonts w:ascii="Calibri" w:hAnsi="Calibri"/>
                <w:b w:val="0"/>
                <w:i w:val="0"/>
                <w:color w:val="212121"/>
                <w:sz w:val="19"/>
              </w:rPr>
              <w:t>Chronic constipation with straining raises intraluminal pressure and hardens stool, mechanisms that favour mucosal herniation and diverticula formation.</w:t>
            </w:r>
          </w:p>
          <w:p>
            <w:pPr>
              <w:spacing w:after="40" w:before="60" w:line="259" w:lineRule="auto"/>
            </w:pPr>
            <w:r>
              <w:rPr>
                <w:rFonts w:ascii="Calibri" w:hAnsi="Calibri"/>
                <w:b w:val="0"/>
                <w:i w:val="0"/>
                <w:color w:val="212121"/>
                <w:sz w:val="19"/>
              </w:rPr>
              <w:t>Constipation and low fibre intake are longstanding associations in the pressure-driven model of diverticula formation.</w:t>
            </w:r>
          </w:p>
          <w:p>
            <w:pPr>
              <w:spacing w:after="40" w:line="252" w:lineRule="auto"/>
            </w:pPr>
            <w:hyperlink r:id="rId15">
              <w:r>
                <w:rPr>
                  <w:rFonts w:ascii="Calibri" w:hAnsi="Calibri" w:cs="Calibri"/>
                  <w:sz w:val="18"/>
                  <w:color w:val="1155CC"/>
                  <w:u w:val="single"/>
                </w:rPr>
                <w:t xml:space="preserve">en.wikipedia.org - Diverticulosis (constipation, low fibre)</w:t>
              </w:r>
            </w:hyperlink>
          </w:p>
          <w:p>
            <w:pPr>
              <w:spacing w:before="60" w:after="40"/>
            </w:pPr>
            <w:r>
              <w:rPr>
                <w:rFonts w:ascii="Calibri" w:hAnsi="Calibri"/>
                <w:b w:val="0"/>
                <w:i w:val="0"/>
                <w:color w:val="5A5A5A"/>
                <w:sz w:val="18"/>
              </w:rPr>
              <w:t>#constipation  #straining  #intraluminalpressure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NSAID / steroid / opioid use</w:t>
            </w:r>
          </w:p>
        </w:tc>
        <w:tc>
          <w:tcPr>
            <w:tcW w:type="dxa" w:w="2160"/>
            <w:vAlign w:val="top"/>
          </w:tcPr>
          <w:p>
            <w:pPr>
              <w:spacing w:after="40" w:before="0" w:line="259" w:lineRule="auto"/>
            </w:pPr>
            <w:r>
              <w:rPr>
                <w:rFonts w:ascii="Calibri" w:hAnsi="Calibri"/>
                <w:b w:val="0"/>
                <w:i w:val="0"/>
                <w:color w:val="212121"/>
                <w:sz w:val="19"/>
              </w:rPr>
              <w:t>Regular users of NSAIDs, corticosteroids or opioids</w:t>
            </w:r>
          </w:p>
        </w:tc>
        <w:tc>
          <w:tcPr>
            <w:tcW w:type="dxa" w:w="4276"/>
            <w:vAlign w:val="top"/>
          </w:tcPr>
          <w:p>
            <w:pPr>
              <w:spacing w:after="60" w:line="259" w:lineRule="auto"/>
            </w:pPr>
            <w:r>
              <w:rPr>
                <w:rFonts w:ascii="Calibri" w:hAnsi="Calibri"/>
                <w:b w:val="0"/>
                <w:i w:val="0"/>
                <w:color w:val="212121"/>
                <w:sz w:val="19"/>
              </w:rPr>
              <w:t>NSAIDs and aspirin damage the mucosa and increase diverticular bleeding and perforation; steroids blunt inflammation and delay diagnosis; opioids slow transit and raise intraluminal pressure.</w:t>
            </w:r>
          </w:p>
          <w:p>
            <w:pPr>
              <w:spacing w:after="40" w:before="60" w:line="259" w:lineRule="auto"/>
            </w:pPr>
            <w:r>
              <w:rPr>
                <w:rFonts w:ascii="Calibri" w:hAnsi="Calibri"/>
                <w:b w:val="0"/>
                <w:i w:val="0"/>
                <w:color w:val="212121"/>
                <w:sz w:val="19"/>
              </w:rPr>
              <w:t>NSAIDs, steroids and opiates are drug exposures associated with diverticulitis and its complications.</w:t>
            </w:r>
          </w:p>
          <w:p>
            <w:pPr>
              <w:spacing w:after="40" w:line="252" w:lineRule="auto"/>
            </w:pPr>
            <w:hyperlink r:id="rId13">
              <w:r>
                <w:rPr>
                  <w:rFonts w:ascii="Calibri" w:hAnsi="Calibri" w:cs="Calibri"/>
                  <w:sz w:val="18"/>
                  <w:color w:val="1155CC"/>
                  <w:u w:val="single"/>
                </w:rPr>
                <w:t xml:space="preserve">ncbi.nlm.nih.gov - StatPearls Acute Diverticulitis (drug exposures)</w:t>
              </w:r>
            </w:hyperlink>
          </w:p>
          <w:p>
            <w:pPr>
              <w:spacing w:before="60" w:after="40"/>
            </w:pPr>
            <w:r>
              <w:rPr>
                <w:rFonts w:ascii="Calibri" w:hAnsi="Calibri"/>
                <w:b w:val="0"/>
                <w:i w:val="0"/>
                <w:color w:val="5A5A5A"/>
                <w:sz w:val="18"/>
              </w:rPr>
              <w:t>#nsaids  #steroids  #opioids  #bleeding  #perforation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Immunosuppressed, chronic kidney disease or transplant patients</w:t>
            </w:r>
          </w:p>
        </w:tc>
        <w:tc>
          <w:tcPr>
            <w:tcW w:type="dxa" w:w="4276"/>
            <w:vAlign w:val="top"/>
          </w:tcPr>
          <w:p>
            <w:pPr>
              <w:spacing w:after="60" w:line="259" w:lineRule="auto"/>
            </w:pPr>
            <w:r>
              <w:rPr>
                <w:rFonts w:ascii="Calibri" w:hAnsi="Calibri"/>
                <w:b w:val="0"/>
                <w:i w:val="0"/>
                <w:color w:val="212121"/>
                <w:sz w:val="19"/>
              </w:rPr>
              <w:t>Immunosuppression and chronic kidney disease blunt the inflammatory response, leading to atypical presentation, higher rates of perforation and worse outcomes that often warrant a lower threshold for surgery.</w:t>
            </w:r>
          </w:p>
          <w:p>
            <w:pPr>
              <w:spacing w:after="40" w:before="60" w:line="259" w:lineRule="auto"/>
            </w:pPr>
            <w:r>
              <w:rPr>
                <w:rFonts w:ascii="Calibri" w:hAnsi="Calibri"/>
                <w:b w:val="0"/>
                <w:i w:val="0"/>
                <w:color w:val="212121"/>
                <w:sz w:val="19"/>
              </w:rPr>
              <w:t>Immunosuppressed patients present atypically and are at higher risk of complicated, perforated diverticulitis.</w:t>
            </w:r>
          </w:p>
          <w:p>
            <w:pPr>
              <w:spacing w:after="40" w:line="252" w:lineRule="auto"/>
            </w:pPr>
            <w:hyperlink r:id="rId16">
              <w:r>
                <w:rPr>
                  <w:rFonts w:ascii="Calibri" w:hAnsi="Calibri" w:cs="Calibri"/>
                  <w:sz w:val="18"/>
                  <w:color w:val="1155CC"/>
                  <w:u w:val="single"/>
                </w:rPr>
                <w:t xml:space="preserve">merckmanuals.com - Colonic diverticulitis (immunocompromised)</w:t>
              </w:r>
            </w:hyperlink>
          </w:p>
          <w:p>
            <w:pPr>
              <w:spacing w:before="60" w:after="40"/>
            </w:pPr>
            <w:r>
              <w:rPr>
                <w:rFonts w:ascii="Calibri" w:hAnsi="Calibri"/>
                <w:b w:val="0"/>
                <w:i w:val="0"/>
                <w:color w:val="5A5A5A"/>
                <w:sz w:val="18"/>
              </w:rPr>
              <w:t>#immunosuppression  #ckd  #transplant  #perforationrisk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especially vigorous, physical activity is associated with a lower risk of diverticulitis and diverticular bleeding, whereas a sedentary lifestyle slows colonic transit and is a recognised modifiable risk factor.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central modifiable influence: low fibre with high red-meat and refined-carbohydrate intake raises segmentation pressure and drives diverticula (Painter-Burkitt hypothesis), while higher fibre reduces complications. Nuts, seeds and popcorn are NOT associated with increased risk and need not be avoided.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between sleep and diverticular disease; poor sleep, shift work and circadian disruption may aggravate gut motility and inflammation indirectly.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 recognised risk factor that increases the likelihood of diverticulitis and of complications such as perforation, abscess and bleeding.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linking alcohol to diverticular disease is inconsistent; heavy use is mainly relevant as a source of acute-abdomen mimics and may worsen gastrointestinal bleeding.</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and the gut-brain axis can worsen symptom perception in symptomatic uncomplicated disease and overlap with irritable bowel syndrome, but there is no causal link to the formation of diverticula.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works with dietary fibre to keep stool soft and lower intraluminal pressure and constipation; on its own the direct evidence is modest but it is important for fibre to be effective.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or coffee intake and diverticular disease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Little direct role; general food and hand hygiene mainly help prevent enteric infection and post-operative wound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attacks are provoked by micro-perforation or obstruction of a diverticulum, bleeding by rupture of a vasa recta, and complications are precipitated by NSAIDs, corticosteroids and opioids.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Adults, low-fibre eaters</w:t>
            </w:r>
          </w:p>
        </w:tc>
        <w:tc>
          <w:tcPr>
            <w:tcW w:type="dxa" w:w="1512"/>
            <w:vAlign w:val="top"/>
          </w:tcPr>
          <w:p>
            <w:pPr>
              <w:spacing w:after="40" w:before="0" w:line="259" w:lineRule="auto"/>
            </w:pPr>
            <w:r>
              <w:rPr>
                <w:rFonts w:ascii="Calibri" w:hAnsi="Calibri"/>
                <w:b w:val="0"/>
                <w:i w:val="0"/>
                <w:color w:val="212121"/>
                <w:sz w:val="19"/>
              </w:rPr>
              <w:t>&gt;= 25-30 g/day (about 25 g women, 38 g men)</w:t>
            </w:r>
          </w:p>
        </w:tc>
        <w:tc>
          <w:tcPr>
            <w:tcW w:type="dxa" w:w="1512"/>
            <w:vAlign w:val="top"/>
          </w:tcPr>
          <w:p>
            <w:pPr>
              <w:spacing w:after="40" w:before="0" w:line="259" w:lineRule="auto"/>
            </w:pPr>
            <w:r>
              <w:rPr>
                <w:rFonts w:ascii="Calibri" w:hAnsi="Calibri"/>
                <w:b w:val="0"/>
                <w:i w:val="0"/>
                <w:color w:val="212121"/>
                <w:sz w:val="19"/>
              </w:rPr>
              <w:t>&lt; 15 g/day</w:t>
            </w:r>
          </w:p>
        </w:tc>
        <w:tc>
          <w:tcPr>
            <w:tcW w:type="dxa" w:w="1468"/>
            <w:vAlign w:val="top"/>
          </w:tcPr>
          <w:p>
            <w:pPr>
              <w:spacing w:after="60" w:line="259" w:lineRule="auto"/>
            </w:pPr>
            <w:r>
              <w:rPr>
                <w:rFonts w:ascii="Calibri" w:hAnsi="Calibri"/>
                <w:b w:val="0"/>
                <w:i w:val="0"/>
                <w:color w:val="212121"/>
                <w:sz w:val="19"/>
              </w:rPr>
              <w:t>Low fibre reduces stool bulk and raises colonic segmentation pressure</w:t>
            </w:r>
          </w:p>
          <w:p>
            <w:pPr>
              <w:spacing w:after="40" w:line="252" w:lineRule="auto"/>
            </w:pPr>
            <w:hyperlink r:id="rId14">
              <w:r>
                <w:rPr>
                  <w:rFonts w:ascii="Calibri" w:hAnsi="Calibri" w:cs="Calibri"/>
                  <w:sz w:val="18"/>
                  <w:color w:val="1155CC"/>
                  <w:u w:val="single"/>
                </w:rPr>
                <w:t xml:space="preserve">https://en.wikipedia.org/wiki/Diverticular_disease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Red meat intake (servings/week)</w:t>
            </w:r>
          </w:p>
        </w:tc>
        <w:tc>
          <w:tcPr>
            <w:tcW w:type="dxa" w:w="1655"/>
            <w:vAlign w:val="top"/>
          </w:tcPr>
          <w:p>
            <w:pPr>
              <w:spacing w:after="40" w:before="0" w:line="259" w:lineRule="auto"/>
            </w:pPr>
            <w:r>
              <w:rPr>
                <w:rFonts w:ascii="Calibri" w:hAnsi="Calibri"/>
                <w:b w:val="0"/>
                <w:i w:val="0"/>
                <w:color w:val="212121"/>
                <w:sz w:val="19"/>
              </w:rPr>
              <w:t>Adults on Western-style diets</w:t>
            </w:r>
          </w:p>
        </w:tc>
        <w:tc>
          <w:tcPr>
            <w:tcW w:type="dxa" w:w="1512"/>
            <w:vAlign w:val="top"/>
          </w:tcPr>
          <w:p>
            <w:pPr>
              <w:spacing w:after="40" w:before="0" w:line="259" w:lineRule="auto"/>
            </w:pPr>
            <w:r>
              <w:rPr>
                <w:rFonts w:ascii="Calibri" w:hAnsi="Calibri"/>
                <w:b w:val="0"/>
                <w:i w:val="0"/>
                <w:color w:val="212121"/>
                <w:sz w:val="19"/>
              </w:rPr>
              <w:t>&lt;= 1-2 servings/week</w:t>
            </w:r>
          </w:p>
        </w:tc>
        <w:tc>
          <w:tcPr>
            <w:tcW w:type="dxa" w:w="1512"/>
            <w:vAlign w:val="top"/>
          </w:tcPr>
          <w:p>
            <w:pPr>
              <w:spacing w:after="40" w:before="0" w:line="259" w:lineRule="auto"/>
            </w:pPr>
            <w:r>
              <w:rPr>
                <w:rFonts w:ascii="Calibri" w:hAnsi="Calibri"/>
                <w:b w:val="0"/>
                <w:i w:val="0"/>
                <w:color w:val="212121"/>
                <w:sz w:val="19"/>
              </w:rPr>
              <w:t>Daily / high red-meat intake</w:t>
            </w:r>
          </w:p>
        </w:tc>
        <w:tc>
          <w:tcPr>
            <w:tcW w:type="dxa" w:w="1468"/>
            <w:vAlign w:val="top"/>
          </w:tcPr>
          <w:p>
            <w:pPr>
              <w:spacing w:after="60" w:line="259" w:lineRule="auto"/>
            </w:pPr>
            <w:r>
              <w:rPr>
                <w:rFonts w:ascii="Calibri" w:hAnsi="Calibri"/>
                <w:b w:val="0"/>
                <w:i w:val="0"/>
                <w:color w:val="212121"/>
                <w:sz w:val="19"/>
              </w:rPr>
              <w:t>High red-meat intake is associated with increased diverticulitis risk</w:t>
            </w:r>
          </w:p>
          <w:p>
            <w:pPr>
              <w:spacing w:after="40" w:line="252" w:lineRule="auto"/>
            </w:pPr>
            <w:hyperlink r:id="rId12">
              <w:r>
                <w:rPr>
                  <w:rFonts w:ascii="Calibri" w:hAnsi="Calibri" w:cs="Calibri"/>
                  <w:sz w:val="18"/>
                  <w:color w:val="1155CC"/>
                  <w:u w:val="single"/>
                </w:rPr>
                <w:t xml:space="preserve">https://www.niddk.nih.gov/health-information/digestive-diseases/diverticulosis-diverticulitis/symptoms-causes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&amp; vegetable servings/day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&gt;= 5 servings/day</w:t>
            </w:r>
          </w:p>
        </w:tc>
        <w:tc>
          <w:tcPr>
            <w:tcW w:type="dxa" w:w="1512"/>
            <w:vAlign w:val="top"/>
          </w:tcPr>
          <w:p>
            <w:pPr>
              <w:spacing w:after="40" w:before="0" w:line="259" w:lineRule="auto"/>
            </w:pPr>
            <w:r>
              <w:rPr>
                <w:rFonts w:ascii="Calibri" w:hAnsi="Calibri"/>
                <w:b w:val="0"/>
                <w:i w:val="0"/>
                <w:color w:val="212121"/>
                <w:sz w:val="19"/>
              </w:rPr>
              <w:t>&lt;= 2 servings/day</w:t>
            </w:r>
          </w:p>
        </w:tc>
        <w:tc>
          <w:tcPr>
            <w:tcW w:type="dxa" w:w="1468"/>
            <w:vAlign w:val="top"/>
          </w:tcPr>
          <w:p>
            <w:pPr>
              <w:spacing w:after="40" w:before="0" w:line="259" w:lineRule="auto"/>
            </w:pPr>
            <w:r>
              <w:rPr>
                <w:rFonts w:ascii="Calibri" w:hAnsi="Calibri"/>
                <w:b w:val="0"/>
                <w:i w:val="0"/>
                <w:color w:val="212121"/>
                <w:sz w:val="19"/>
              </w:rPr>
              <w:t>Higher intake supports fibre-rich, softer stool and regular transit</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~2-3 L/day (adjust for climate/activity)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Adequate hydration keeps stool soft and helps fibre work; prevents constipation</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 (vigorous activity adds benefit)</w:t>
            </w:r>
          </w:p>
        </w:tc>
        <w:tc>
          <w:tcPr>
            <w:tcW w:type="dxa" w:w="1512"/>
            <w:vAlign w:val="top"/>
          </w:tcPr>
          <w:p>
            <w:pPr>
              <w:spacing w:after="40" w:before="0" w:line="259" w:lineRule="auto"/>
            </w:pPr>
            <w:r>
              <w:rPr>
                <w:rFonts w:ascii="Calibri" w:hAnsi="Calibri"/>
                <w:b w:val="0"/>
                <w:i w:val="0"/>
                <w:color w:val="212121"/>
                <w:sz w:val="19"/>
              </w:rPr>
              <w:t>&lt; 60 min/week (sedentary)</w:t>
            </w:r>
          </w:p>
        </w:tc>
        <w:tc>
          <w:tcPr>
            <w:tcW w:type="dxa" w:w="1468"/>
            <w:vAlign w:val="top"/>
          </w:tcPr>
          <w:p>
            <w:pPr>
              <w:spacing w:after="40" w:before="0" w:line="259" w:lineRule="auto"/>
            </w:pPr>
            <w:r>
              <w:rPr>
                <w:rFonts w:ascii="Calibri" w:hAnsi="Calibri"/>
                <w:b w:val="0"/>
                <w:i w:val="0"/>
                <w:color w:val="212121"/>
                <w:sz w:val="19"/>
              </w:rPr>
              <w:t>Regular activity aids bowel transit and is linked to lower diverticulitis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 Asian-Indian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25 kg/m2 (obese)</w:t>
            </w:r>
          </w:p>
        </w:tc>
        <w:tc>
          <w:tcPr>
            <w:tcW w:type="dxa" w:w="1468"/>
            <w:vAlign w:val="top"/>
          </w:tcPr>
          <w:p>
            <w:pPr>
              <w:spacing w:after="60" w:line="259" w:lineRule="auto"/>
            </w:pPr>
            <w:r>
              <w:rPr>
                <w:rFonts w:ascii="Calibri" w:hAnsi="Calibri"/>
                <w:b w:val="0"/>
                <w:i w:val="0"/>
                <w:color w:val="212121"/>
                <w:sz w:val="19"/>
              </w:rPr>
              <w:t>Obesity increases risk of diverticulitis and diverticular bleeding</w:t>
            </w:r>
          </w:p>
          <w:p>
            <w:pPr>
              <w:spacing w:after="40" w:line="252" w:lineRule="auto"/>
            </w:pPr>
            <w:hyperlink r:id="rId9">
              <w:r>
                <w:rPr>
                  <w:rFonts w:ascii="Calibri" w:hAnsi="Calibri" w:cs="Calibri"/>
                  <w:sz w:val="18"/>
                  <w:color w:val="1155CC"/>
                  <w:u w:val="single"/>
                </w:rPr>
                <w:t xml:space="preserve">https://www.ncbi.nlm.nih.gov/books/NBK430771/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 (Asian)</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Larger waist circumference (central adiposity) raises diverticular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Any smoking raises diverticulitis and complication (perforation) risk</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Regular NSAID / analgesic use</w:t>
            </w:r>
          </w:p>
        </w:tc>
        <w:tc>
          <w:tcPr>
            <w:tcW w:type="dxa" w:w="1655"/>
            <w:vAlign w:val="top"/>
          </w:tcPr>
          <w:p>
            <w:pPr>
              <w:spacing w:after="40" w:before="0" w:line="259" w:lineRule="auto"/>
            </w:pPr>
            <w:r>
              <w:rPr>
                <w:rFonts w:ascii="Calibri" w:hAnsi="Calibri"/>
                <w:b w:val="0"/>
                <w:i w:val="0"/>
                <w:color w:val="212121"/>
                <w:sz w:val="19"/>
              </w:rPr>
              <w:t>Adults with diverticulosis, elderly</w:t>
            </w:r>
          </w:p>
        </w:tc>
        <w:tc>
          <w:tcPr>
            <w:tcW w:type="dxa" w:w="1512"/>
            <w:vAlign w:val="top"/>
          </w:tcPr>
          <w:p>
            <w:pPr>
              <w:spacing w:after="40" w:before="0" w:line="259" w:lineRule="auto"/>
            </w:pPr>
            <w:r>
              <w:rPr>
                <w:rFonts w:ascii="Calibri" w:hAnsi="Calibri"/>
                <w:b w:val="0"/>
                <w:i w:val="0"/>
                <w:color w:val="212121"/>
                <w:sz w:val="19"/>
              </w:rPr>
              <w:t>Avoid regular NSAIDs/opioids; use paracetamol if suitable</w:t>
            </w:r>
          </w:p>
        </w:tc>
        <w:tc>
          <w:tcPr>
            <w:tcW w:type="dxa" w:w="1512"/>
            <w:vAlign w:val="top"/>
          </w:tcPr>
          <w:p>
            <w:pPr>
              <w:spacing w:after="40" w:before="0" w:line="259" w:lineRule="auto"/>
            </w:pPr>
            <w:r>
              <w:rPr>
                <w:rFonts w:ascii="Calibri" w:hAnsi="Calibri"/>
                <w:b w:val="0"/>
                <w:i w:val="0"/>
                <w:color w:val="212121"/>
                <w:sz w:val="19"/>
              </w:rPr>
              <w:t>Regular NSAID, steroid or opioid use</w:t>
            </w:r>
          </w:p>
        </w:tc>
        <w:tc>
          <w:tcPr>
            <w:tcW w:type="dxa" w:w="1468"/>
            <w:vAlign w:val="top"/>
          </w:tcPr>
          <w:p>
            <w:pPr>
              <w:spacing w:after="60" w:line="259" w:lineRule="auto"/>
            </w:pPr>
            <w:r>
              <w:rPr>
                <w:rFonts w:ascii="Calibri" w:hAnsi="Calibri"/>
                <w:b w:val="0"/>
                <w:i w:val="0"/>
                <w:color w:val="212121"/>
                <w:sz w:val="19"/>
              </w:rPr>
              <w:t>These drugs increase diverticular bleeding and perforation</w:t>
            </w:r>
          </w:p>
          <w:p>
            <w:pPr>
              <w:spacing w:after="40" w:line="252" w:lineRule="auto"/>
            </w:pPr>
            <w:hyperlink r:id="rId13">
              <w:r>
                <w:rPr>
                  <w:rFonts w:ascii="Calibri" w:hAnsi="Calibri" w:cs="Calibri"/>
                  <w:sz w:val="18"/>
                  <w:color w:val="1155CC"/>
                  <w:u w:val="single"/>
                </w:rPr>
                <w:t xml:space="preserve">https://www.ncbi.nlm.nih.gov/books/NBK459316/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Bowel habit / constipation</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Soft, regular stool (daily to alternate-day)</w:t>
            </w:r>
          </w:p>
        </w:tc>
        <w:tc>
          <w:tcPr>
            <w:tcW w:type="dxa" w:w="1512"/>
            <w:vAlign w:val="top"/>
          </w:tcPr>
          <w:p>
            <w:pPr>
              <w:spacing w:after="40" w:before="0" w:line="259" w:lineRule="auto"/>
            </w:pPr>
            <w:r>
              <w:rPr>
                <w:rFonts w:ascii="Calibri" w:hAnsi="Calibri"/>
                <w:b w:val="0"/>
                <w:i w:val="0"/>
                <w:color w:val="212121"/>
                <w:sz w:val="19"/>
              </w:rPr>
              <w:t>Chronic constipation with straining</w:t>
            </w:r>
          </w:p>
        </w:tc>
        <w:tc>
          <w:tcPr>
            <w:tcW w:type="dxa" w:w="1468"/>
            <w:vAlign w:val="top"/>
          </w:tcPr>
          <w:p>
            <w:pPr>
              <w:spacing w:after="40" w:before="0" w:line="259" w:lineRule="auto"/>
            </w:pPr>
            <w:r>
              <w:rPr>
                <w:rFonts w:ascii="Calibri" w:hAnsi="Calibri"/>
                <w:b w:val="0"/>
                <w:i w:val="0"/>
                <w:color w:val="212121"/>
                <w:sz w:val="19"/>
              </w:rPr>
              <w:t>Constipation and straining raise intraluminal pressure and diverticula formation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count (WBC)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4,000-11,000 /cu mm</w:t>
            </w:r>
          </w:p>
        </w:tc>
        <w:tc>
          <w:tcPr>
            <w:tcW w:type="dxa" w:w="950"/>
            <w:vAlign w:val="top"/>
          </w:tcPr>
          <w:p>
            <w:pPr>
              <w:spacing w:after="40" w:before="0" w:line="259" w:lineRule="auto"/>
            </w:pPr>
            <w:r>
              <w:rPr>
                <w:rFonts w:ascii="Calibri" w:hAnsi="Calibri"/>
                <w:b w:val="0"/>
                <w:i w:val="0"/>
                <w:color w:val="212121"/>
                <w:sz w:val="16"/>
              </w:rPr>
              <w:t>&gt; 11,000 /cu mm with neutrophilia</w:t>
            </w:r>
          </w:p>
        </w:tc>
        <w:tc>
          <w:tcPr>
            <w:tcW w:type="dxa" w:w="1036"/>
            <w:vAlign w:val="top"/>
          </w:tcPr>
          <w:p>
            <w:pPr>
              <w:spacing w:after="40" w:before="0" w:line="259" w:lineRule="auto"/>
            </w:pPr>
            <w:r>
              <w:rPr>
                <w:rFonts w:ascii="Calibri" w:hAnsi="Calibri"/>
                <w:b w:val="0"/>
                <w:i w:val="0"/>
                <w:color w:val="212121"/>
                <w:sz w:val="16"/>
              </w:rPr>
              <w:t>Neutrophil-predominant leukocytosis supports acute diverticulitis; a normal count does not exclude it</w:t>
            </w:r>
          </w:p>
        </w:tc>
        <w:tc>
          <w:tcPr>
            <w:tcW w:type="dxa" w:w="1036"/>
            <w:vAlign w:val="top"/>
          </w:tcPr>
          <w:p>
            <w:pPr>
              <w:spacing w:after="40" w:before="0" w:line="259" w:lineRule="auto"/>
            </w:pPr>
            <w:r>
              <w:rPr>
                <w:rFonts w:ascii="Calibri" w:hAnsi="Calibri"/>
                <w:b w:val="0"/>
                <w:i w:val="0"/>
                <w:color w:val="212121"/>
                <w:sz w:val="16"/>
              </w:rPr>
              <w:t>Suspected acute diverticulitis, elderly, immunosuppressed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supportive</w:t>
            </w:r>
          </w:p>
        </w:tc>
        <w:tc>
          <w:tcPr>
            <w:tcW w:type="dxa" w:w="720"/>
            <w:vAlign w:val="top"/>
          </w:tcPr>
          <w:p>
            <w:pPr>
              <w:spacing w:after="40" w:before="0" w:line="259" w:lineRule="auto"/>
            </w:pPr>
            <w:r>
              <w:rPr>
                <w:rFonts w:ascii="Calibri" w:hAnsi="Calibri"/>
                <w:b w:val="0"/>
                <w:i w:val="0"/>
                <w:color w:val="212121"/>
                <w:sz w:val="16"/>
              </w:rPr>
              <w:t>Combine with CRP and imaging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10 mg/L</w:t>
            </w:r>
          </w:p>
        </w:tc>
        <w:tc>
          <w:tcPr>
            <w:tcW w:type="dxa" w:w="950"/>
            <w:vAlign w:val="top"/>
          </w:tcPr>
          <w:p>
            <w:pPr>
              <w:spacing w:after="40" w:before="0" w:line="259" w:lineRule="auto"/>
            </w:pPr>
            <w:r>
              <w:rPr>
                <w:rFonts w:ascii="Calibri" w:hAnsi="Calibri"/>
                <w:b w:val="0"/>
                <w:i w:val="0"/>
                <w:color w:val="212121"/>
                <w:sz w:val="16"/>
              </w:rPr>
              <w:t>Raised; very high (&gt; 150 mg/L) suggests complicated disease</w:t>
            </w:r>
          </w:p>
        </w:tc>
        <w:tc>
          <w:tcPr>
            <w:tcW w:type="dxa" w:w="1036"/>
            <w:vAlign w:val="top"/>
          </w:tcPr>
          <w:p>
            <w:pPr>
              <w:spacing w:after="40" w:before="0" w:line="259" w:lineRule="auto"/>
            </w:pPr>
            <w:r>
              <w:rPr>
                <w:rFonts w:ascii="Calibri" w:hAnsi="Calibri"/>
                <w:b w:val="0"/>
                <w:i w:val="0"/>
                <w:color w:val="212121"/>
                <w:sz w:val="16"/>
              </w:rPr>
              <w:t>Gauges severity and guides antibiotic decisions; high CRP flags abscess or perforation</w:t>
            </w:r>
          </w:p>
        </w:tc>
        <w:tc>
          <w:tcPr>
            <w:tcW w:type="dxa" w:w="1036"/>
            <w:vAlign w:val="top"/>
          </w:tcPr>
          <w:p>
            <w:pPr>
              <w:spacing w:after="40" w:before="0" w:line="259" w:lineRule="auto"/>
            </w:pPr>
            <w:r>
              <w:rPr>
                <w:rFonts w:ascii="Calibri" w:hAnsi="Calibri"/>
                <w:b w:val="0"/>
                <w:i w:val="0"/>
                <w:color w:val="212121"/>
                <w:sz w:val="16"/>
              </w:rPr>
              <w:t>Suspected diverticulitis, equivocal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severity</w:t>
            </w:r>
          </w:p>
        </w:tc>
        <w:tc>
          <w:tcPr>
            <w:tcW w:type="dxa" w:w="720"/>
            <w:vAlign w:val="top"/>
          </w:tcPr>
          <w:p>
            <w:pPr>
              <w:spacing w:after="40" w:before="0" w:line="259" w:lineRule="auto"/>
            </w:pPr>
            <w:r>
              <w:rPr>
                <w:rFonts w:ascii="Calibri" w:hAnsi="Calibri"/>
                <w:b w:val="0"/>
                <w:i w:val="0"/>
                <w:color w:val="212121"/>
                <w:sz w:val="16"/>
              </w:rPr>
              <w:t>Used to select patients who can avoid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13-17 g/dL; F 12-15 g/dL</w:t>
            </w:r>
          </w:p>
        </w:tc>
        <w:tc>
          <w:tcPr>
            <w:tcW w:type="dxa" w:w="950"/>
            <w:vAlign w:val="top"/>
          </w:tcPr>
          <w:p>
            <w:pPr>
              <w:spacing w:after="40" w:before="0" w:line="259" w:lineRule="auto"/>
            </w:pPr>
            <w:r>
              <w:rPr>
                <w:rFonts w:ascii="Calibri" w:hAnsi="Calibri"/>
                <w:b w:val="0"/>
                <w:i w:val="0"/>
                <w:color w:val="212121"/>
                <w:sz w:val="16"/>
              </w:rPr>
              <w:t>Falling Hb with diverticular bleeding</w:t>
            </w:r>
          </w:p>
        </w:tc>
        <w:tc>
          <w:tcPr>
            <w:tcW w:type="dxa" w:w="1036"/>
            <w:vAlign w:val="top"/>
          </w:tcPr>
          <w:p>
            <w:pPr>
              <w:spacing w:after="40" w:before="0" w:line="259" w:lineRule="auto"/>
            </w:pPr>
            <w:r>
              <w:rPr>
                <w:rFonts w:ascii="Calibri" w:hAnsi="Calibri"/>
                <w:b w:val="0"/>
                <w:i w:val="0"/>
                <w:color w:val="212121"/>
                <w:sz w:val="16"/>
              </w:rPr>
              <w:t>Detects and monitors blood loss in diverticular haemorrhage; guides transfusion</w:t>
            </w:r>
          </w:p>
        </w:tc>
        <w:tc>
          <w:tcPr>
            <w:tcW w:type="dxa" w:w="1036"/>
            <w:vAlign w:val="top"/>
          </w:tcPr>
          <w:p>
            <w:pPr>
              <w:spacing w:after="40" w:before="0" w:line="259" w:lineRule="auto"/>
            </w:pPr>
            <w:r>
              <w:rPr>
                <w:rFonts w:ascii="Calibri" w:hAnsi="Calibri"/>
                <w:b w:val="0"/>
                <w:i w:val="0"/>
                <w:color w:val="212121"/>
                <w:sz w:val="16"/>
              </w:rPr>
              <w:t>Patients with rectal bleeding, elderly on anticoagulants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Most diverticular bleeds are self-limiting (~80%)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Contrast-enhanced CT abdomen &amp; pelvis</w:t>
            </w:r>
          </w:p>
        </w:tc>
        <w:tc>
          <w:tcPr>
            <w:tcW w:type="dxa" w:w="892"/>
            <w:vAlign w:val="top"/>
          </w:tcPr>
          <w:p>
            <w:pPr>
              <w:spacing w:after="40" w:before="0" w:line="259" w:lineRule="auto"/>
            </w:pPr>
            <w:r>
              <w:rPr>
                <w:rFonts w:ascii="Calibri" w:hAnsi="Calibri"/>
                <w:b w:val="0"/>
                <w:i w:val="0"/>
                <w:color w:val="212121"/>
                <w:sz w:val="16"/>
              </w:rPr>
              <w:t>CT scan</w:t>
            </w:r>
          </w:p>
        </w:tc>
        <w:tc>
          <w:tcPr>
            <w:tcW w:type="dxa" w:w="950"/>
            <w:vAlign w:val="top"/>
          </w:tcPr>
          <w:p>
            <w:pPr>
              <w:spacing w:after="40" w:before="0" w:line="259" w:lineRule="auto"/>
            </w:pPr>
            <w:r>
              <w:rPr>
                <w:rFonts w:ascii="Calibri" w:hAnsi="Calibri"/>
                <w:b w:val="0"/>
                <w:i w:val="0"/>
                <w:color w:val="212121"/>
                <w:sz w:val="16"/>
              </w:rPr>
              <w:t>No wall thickening or fat stranding</w:t>
            </w:r>
          </w:p>
        </w:tc>
        <w:tc>
          <w:tcPr>
            <w:tcW w:type="dxa" w:w="950"/>
            <w:vAlign w:val="top"/>
          </w:tcPr>
          <w:p>
            <w:pPr>
              <w:spacing w:after="40" w:before="0" w:line="259" w:lineRule="auto"/>
            </w:pPr>
            <w:r>
              <w:rPr>
                <w:rFonts w:ascii="Calibri" w:hAnsi="Calibri"/>
                <w:b w:val="0"/>
                <w:i w:val="0"/>
                <w:color w:val="212121"/>
                <w:sz w:val="16"/>
              </w:rPr>
              <w:t>Wall thickening &gt; 3 mm, pericolic fat stranding, diverticula, abscess, free air or fistula</w:t>
            </w:r>
          </w:p>
        </w:tc>
        <w:tc>
          <w:tcPr>
            <w:tcW w:type="dxa" w:w="1036"/>
            <w:vAlign w:val="top"/>
          </w:tcPr>
          <w:p>
            <w:pPr>
              <w:spacing w:after="40" w:before="0" w:line="259" w:lineRule="auto"/>
            </w:pPr>
            <w:r>
              <w:rPr>
                <w:rFonts w:ascii="Calibri" w:hAnsi="Calibri"/>
                <w:b w:val="0"/>
                <w:i w:val="0"/>
                <w:color w:val="212121"/>
                <w:sz w:val="16"/>
              </w:rPr>
              <w:t>Investigation of choice for acute diverticulitis; defines Hinchey stage and complications</w:t>
            </w:r>
          </w:p>
        </w:tc>
        <w:tc>
          <w:tcPr>
            <w:tcW w:type="dxa" w:w="1036"/>
            <w:vAlign w:val="top"/>
          </w:tcPr>
          <w:p>
            <w:pPr>
              <w:spacing w:after="40" w:before="0" w:line="259" w:lineRule="auto"/>
            </w:pPr>
            <w:r>
              <w:rPr>
                <w:rFonts w:ascii="Calibri" w:hAnsi="Calibri"/>
                <w:b w:val="0"/>
                <w:i w:val="0"/>
                <w:color w:val="212121"/>
                <w:sz w:val="16"/>
              </w:rPr>
              <w:t>Suspected acute/complicated diverticulitis, older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 confirmatory</w:t>
            </w:r>
          </w:p>
        </w:tc>
        <w:tc>
          <w:tcPr>
            <w:tcW w:type="dxa" w:w="720"/>
            <w:vAlign w:val="top"/>
          </w:tcPr>
          <w:p>
            <w:pPr>
              <w:spacing w:after="40" w:before="0" w:line="259" w:lineRule="auto"/>
            </w:pPr>
            <w:r>
              <w:rPr>
                <w:rFonts w:ascii="Calibri" w:hAnsi="Calibri"/>
                <w:b w:val="0"/>
                <w:i w:val="0"/>
                <w:color w:val="212121"/>
                <w:sz w:val="16"/>
              </w:rPr>
              <w:t>Sensitivity ~95-99%, specificity ~95-100%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Colonoscopy (elective, after 6-8 weeks)</w:t>
            </w:r>
          </w:p>
        </w:tc>
        <w:tc>
          <w:tcPr>
            <w:tcW w:type="dxa" w:w="892"/>
            <w:vAlign w:val="top"/>
          </w:tcPr>
          <w:p>
            <w:pPr>
              <w:spacing w:after="40" w:before="0" w:line="259" w:lineRule="auto"/>
            </w:pPr>
            <w:r>
              <w:rPr>
                <w:rFonts w:ascii="Calibri" w:hAnsi="Calibri"/>
                <w:b w:val="0"/>
                <w:i w:val="0"/>
                <w:color w:val="212121"/>
                <w:sz w:val="16"/>
              </w:rPr>
              <w:t>Lower GI endoscopy</w:t>
            </w:r>
          </w:p>
        </w:tc>
        <w:tc>
          <w:tcPr>
            <w:tcW w:type="dxa" w:w="950"/>
            <w:vAlign w:val="top"/>
          </w:tcPr>
          <w:p>
            <w:pPr>
              <w:spacing w:after="40" w:before="0" w:line="259" w:lineRule="auto"/>
            </w:pPr>
            <w:r>
              <w:rPr>
                <w:rFonts w:ascii="Calibri" w:hAnsi="Calibri"/>
                <w:b w:val="0"/>
                <w:i w:val="0"/>
                <w:color w:val="212121"/>
                <w:sz w:val="16"/>
              </w:rPr>
              <w:t>Diverticula without mucosal lesion</w:t>
            </w:r>
          </w:p>
        </w:tc>
        <w:tc>
          <w:tcPr>
            <w:tcW w:type="dxa" w:w="950"/>
            <w:vAlign w:val="top"/>
          </w:tcPr>
          <w:p>
            <w:pPr>
              <w:spacing w:after="40" w:before="0" w:line="259" w:lineRule="auto"/>
            </w:pPr>
            <w:r>
              <w:rPr>
                <w:rFonts w:ascii="Calibri" w:hAnsi="Calibri"/>
                <w:b w:val="0"/>
                <w:i w:val="0"/>
                <w:color w:val="212121"/>
                <w:sz w:val="16"/>
              </w:rPr>
              <w:t>Diverticula; any mass, stricture or bleeding point</w:t>
            </w:r>
          </w:p>
        </w:tc>
        <w:tc>
          <w:tcPr>
            <w:tcW w:type="dxa" w:w="1036"/>
            <w:vAlign w:val="top"/>
          </w:tcPr>
          <w:p>
            <w:pPr>
              <w:spacing w:after="40" w:before="0" w:line="259" w:lineRule="auto"/>
            </w:pPr>
            <w:r>
              <w:rPr>
                <w:rFonts w:ascii="Calibri" w:hAnsi="Calibri"/>
                <w:b w:val="0"/>
                <w:i w:val="0"/>
                <w:color w:val="212121"/>
                <w:sz w:val="16"/>
              </w:rPr>
              <w:t>Confirms diverticulosis and, crucially, excludes colorectal cancer after an acute attack; avoided during acute inflammation (perforation risk)</w:t>
            </w:r>
          </w:p>
        </w:tc>
        <w:tc>
          <w:tcPr>
            <w:tcW w:type="dxa" w:w="1036"/>
            <w:vAlign w:val="top"/>
          </w:tcPr>
          <w:p>
            <w:pPr>
              <w:spacing w:after="40" w:before="0" w:line="259" w:lineRule="auto"/>
            </w:pPr>
            <w:r>
              <w:rPr>
                <w:rFonts w:ascii="Calibri" w:hAnsi="Calibri"/>
                <w:b w:val="0"/>
                <w:i w:val="0"/>
                <w:color w:val="212121"/>
                <w:sz w:val="16"/>
              </w:rPr>
              <w:t>Post-diverticulitis follow-up, chronic bleeding, altered bowel habit</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Confirmatory / cancer exclusion</w:t>
            </w:r>
          </w:p>
        </w:tc>
        <w:tc>
          <w:tcPr>
            <w:tcW w:type="dxa" w:w="720"/>
            <w:vAlign w:val="top"/>
          </w:tcPr>
          <w:p>
            <w:pPr>
              <w:spacing w:after="40" w:before="0" w:line="259" w:lineRule="auto"/>
            </w:pPr>
            <w:r>
              <w:rPr>
                <w:rFonts w:ascii="Calibri" w:hAnsi="Calibri"/>
                <w:b w:val="0"/>
                <w:i w:val="0"/>
                <w:color w:val="212121"/>
                <w:sz w:val="16"/>
              </w:rPr>
              <w:t>Deferred ~6-8 weeks after acute episode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angiography / RBC scan</w:t>
            </w:r>
          </w:p>
        </w:tc>
        <w:tc>
          <w:tcPr>
            <w:tcW w:type="dxa" w:w="892"/>
            <w:vAlign w:val="top"/>
          </w:tcPr>
          <w:p>
            <w:pPr>
              <w:spacing w:after="40" w:before="0" w:line="259" w:lineRule="auto"/>
            </w:pPr>
            <w:r>
              <w:rPr>
                <w:rFonts w:ascii="Calibri" w:hAnsi="Calibri"/>
                <w:b w:val="0"/>
                <w:i w:val="0"/>
                <w:color w:val="212121"/>
                <w:sz w:val="16"/>
              </w:rPr>
              <w:t>Vascular imaging</w:t>
            </w:r>
          </w:p>
        </w:tc>
        <w:tc>
          <w:tcPr>
            <w:tcW w:type="dxa" w:w="950"/>
            <w:vAlign w:val="top"/>
          </w:tcPr>
          <w:p>
            <w:pPr>
              <w:spacing w:after="40" w:before="0" w:line="259" w:lineRule="auto"/>
            </w:pPr>
            <w:r>
              <w:rPr>
                <w:rFonts w:ascii="Calibri" w:hAnsi="Calibri"/>
                <w:b w:val="0"/>
                <w:i w:val="0"/>
                <w:color w:val="212121"/>
                <w:sz w:val="16"/>
              </w:rPr>
              <w:t>No active extravasation</w:t>
            </w:r>
          </w:p>
        </w:tc>
        <w:tc>
          <w:tcPr>
            <w:tcW w:type="dxa" w:w="950"/>
            <w:vAlign w:val="top"/>
          </w:tcPr>
          <w:p>
            <w:pPr>
              <w:spacing w:after="40" w:before="0" w:line="259" w:lineRule="auto"/>
            </w:pPr>
            <w:r>
              <w:rPr>
                <w:rFonts w:ascii="Calibri" w:hAnsi="Calibri"/>
                <w:b w:val="0"/>
                <w:i w:val="0"/>
                <w:color w:val="212121"/>
                <w:sz w:val="16"/>
              </w:rPr>
              <w:t>Contrast extravasation at bleeding diverticulum</w:t>
            </w:r>
          </w:p>
        </w:tc>
        <w:tc>
          <w:tcPr>
            <w:tcW w:type="dxa" w:w="1036"/>
            <w:vAlign w:val="top"/>
          </w:tcPr>
          <w:p>
            <w:pPr>
              <w:spacing w:after="40" w:before="0" w:line="259" w:lineRule="auto"/>
            </w:pPr>
            <w:r>
              <w:rPr>
                <w:rFonts w:ascii="Calibri" w:hAnsi="Calibri"/>
                <w:b w:val="0"/>
                <w:i w:val="0"/>
                <w:color w:val="212121"/>
                <w:sz w:val="16"/>
              </w:rPr>
              <w:t>Localises active diverticular haemorrhage to guide embolisation or endoscopic therapy</w:t>
            </w:r>
          </w:p>
        </w:tc>
        <w:tc>
          <w:tcPr>
            <w:tcW w:type="dxa" w:w="1036"/>
            <w:vAlign w:val="top"/>
          </w:tcPr>
          <w:p>
            <w:pPr>
              <w:spacing w:after="40" w:before="0" w:line="259" w:lineRule="auto"/>
            </w:pPr>
            <w:r>
              <w:rPr>
                <w:rFonts w:ascii="Calibri" w:hAnsi="Calibri"/>
                <w:b w:val="0"/>
                <w:i w:val="0"/>
                <w:color w:val="212121"/>
                <w:sz w:val="16"/>
              </w:rPr>
              <w:t>Patients with major/ongoing lower-GI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Localisation</w:t>
            </w:r>
          </w:p>
        </w:tc>
        <w:tc>
          <w:tcPr>
            <w:tcW w:type="dxa" w:w="720"/>
            <w:vAlign w:val="top"/>
          </w:tcPr>
          <w:p>
            <w:pPr>
              <w:spacing w:after="40" w:before="0" w:line="259" w:lineRule="auto"/>
            </w:pPr>
            <w:r>
              <w:rPr>
                <w:rFonts w:ascii="Calibri" w:hAnsi="Calibri"/>
                <w:b w:val="0"/>
                <w:i w:val="0"/>
                <w:color w:val="212121"/>
                <w:sz w:val="16"/>
              </w:rPr>
              <w:t>Requires a threshold rate of active bleeding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 microbiology</w:t>
            </w:r>
          </w:p>
        </w:tc>
        <w:tc>
          <w:tcPr>
            <w:tcW w:type="dxa" w:w="1036"/>
            <w:vAlign w:val="top"/>
          </w:tcPr>
          <w:p>
            <w:pPr>
              <w:spacing w:after="40" w:before="0" w:line="259" w:lineRule="auto"/>
            </w:pPr>
            <w:r>
              <w:rPr>
                <w:rFonts w:ascii="Calibri" w:hAnsi="Calibri"/>
                <w:b w:val="0"/>
                <w:i w:val="0"/>
                <w:color w:val="212121"/>
                <w:sz w:val="16"/>
              </w:rPr>
              <w:t>Urinalysis and culture</w:t>
            </w:r>
          </w:p>
        </w:tc>
        <w:tc>
          <w:tcPr>
            <w:tcW w:type="dxa" w:w="892"/>
            <w:vAlign w:val="top"/>
          </w:tcPr>
          <w:p>
            <w:pPr>
              <w:spacing w:after="40" w:before="0" w:line="259" w:lineRule="auto"/>
            </w:pPr>
            <w:r>
              <w:rPr>
                <w:rFonts w:ascii="Calibri" w:hAnsi="Calibri"/>
                <w:b w:val="0"/>
                <w:i w:val="0"/>
                <w:color w:val="212121"/>
                <w:sz w:val="16"/>
              </w:rPr>
              <w:t>Urine microscopy &amp; culture</w:t>
            </w:r>
          </w:p>
        </w:tc>
        <w:tc>
          <w:tcPr>
            <w:tcW w:type="dxa" w:w="950"/>
            <w:vAlign w:val="top"/>
          </w:tcPr>
          <w:p>
            <w:pPr>
              <w:spacing w:after="40" w:before="0" w:line="259" w:lineRule="auto"/>
            </w:pPr>
            <w:r>
              <w:rPr>
                <w:rFonts w:ascii="Calibri" w:hAnsi="Calibri"/>
                <w:b w:val="0"/>
                <w:i w:val="0"/>
                <w:color w:val="212121"/>
                <w:sz w:val="16"/>
              </w:rPr>
              <w:t>No pyuria, no faecaluria</w:t>
            </w:r>
          </w:p>
        </w:tc>
        <w:tc>
          <w:tcPr>
            <w:tcW w:type="dxa" w:w="950"/>
            <w:vAlign w:val="top"/>
          </w:tcPr>
          <w:p>
            <w:pPr>
              <w:spacing w:after="40" w:before="0" w:line="259" w:lineRule="auto"/>
            </w:pPr>
            <w:r>
              <w:rPr>
                <w:rFonts w:ascii="Calibri" w:hAnsi="Calibri"/>
                <w:b w:val="0"/>
                <w:i w:val="0"/>
                <w:color w:val="212121"/>
                <w:sz w:val="16"/>
              </w:rPr>
              <w:t>Pyuria, recurrent UTI, faecaluria or air in urine</w:t>
            </w:r>
          </w:p>
        </w:tc>
        <w:tc>
          <w:tcPr>
            <w:tcW w:type="dxa" w:w="1036"/>
            <w:vAlign w:val="top"/>
          </w:tcPr>
          <w:p>
            <w:pPr>
              <w:spacing w:after="40" w:before="0" w:line="259" w:lineRule="auto"/>
            </w:pPr>
            <w:r>
              <w:rPr>
                <w:rFonts w:ascii="Calibri" w:hAnsi="Calibri"/>
                <w:b w:val="0"/>
                <w:i w:val="0"/>
                <w:color w:val="212121"/>
                <w:sz w:val="16"/>
              </w:rPr>
              <w:t>Detects colovesical fistula and excludes urinary causes of pain</w:t>
            </w:r>
          </w:p>
        </w:tc>
        <w:tc>
          <w:tcPr>
            <w:tcW w:type="dxa" w:w="1036"/>
            <w:vAlign w:val="top"/>
          </w:tcPr>
          <w:p>
            <w:pPr>
              <w:spacing w:after="40" w:before="0" w:line="259" w:lineRule="auto"/>
            </w:pPr>
            <w:r>
              <w:rPr>
                <w:rFonts w:ascii="Calibri" w:hAnsi="Calibri"/>
                <w:b w:val="0"/>
                <w:i w:val="0"/>
                <w:color w:val="212121"/>
                <w:sz w:val="16"/>
              </w:rPr>
              <w:t>Patients with pneumaturia, recurrent UTI, suspected fistula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 / fistula detection</w:t>
            </w:r>
          </w:p>
        </w:tc>
        <w:tc>
          <w:tcPr>
            <w:tcW w:type="dxa" w:w="720"/>
            <w:vAlign w:val="top"/>
          </w:tcPr>
          <w:p>
            <w:pPr>
              <w:spacing w:after="40" w:before="0" w:line="259" w:lineRule="auto"/>
            </w:pPr>
            <w:r>
              <w:rPr>
                <w:rFonts w:ascii="Calibri" w:hAnsi="Calibri"/>
                <w:b w:val="0"/>
                <w:i w:val="0"/>
                <w:color w:val="212121"/>
                <w:sz w:val="16"/>
              </w:rPr>
              <w:t>Mixed-organism UTI suggests colovesical fistula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history</w:t>
            </w:r>
          </w:p>
        </w:tc>
        <w:tc>
          <w:tcPr>
            <w:tcW w:type="dxa" w:w="979"/>
            <w:vAlign w:val="top"/>
          </w:tcPr>
          <w:p>
            <w:pPr>
              <w:spacing w:after="40" w:before="0" w:line="259" w:lineRule="auto"/>
            </w:pPr>
            <w:r>
              <w:rPr>
                <w:rFonts w:ascii="Calibri" w:hAnsi="Calibri"/>
                <w:b w:val="0"/>
                <w:i w:val="0"/>
                <w:color w:val="212121"/>
                <w:sz w:val="16"/>
              </w:rPr>
              <w:t>Left-lower-quadrant pain (right-sided in Asian disease)</w:t>
            </w:r>
          </w:p>
        </w:tc>
        <w:tc>
          <w:tcPr>
            <w:tcW w:type="dxa" w:w="950"/>
            <w:vAlign w:val="top"/>
          </w:tcPr>
          <w:p>
            <w:pPr>
              <w:spacing w:after="40" w:before="0" w:line="259" w:lineRule="auto"/>
            </w:pPr>
            <w:r>
              <w:rPr>
                <w:rFonts w:ascii="Calibri" w:hAnsi="Calibri"/>
                <w:b w:val="0"/>
                <w:i w:val="0"/>
                <w:color w:val="212121"/>
                <w:sz w:val="16"/>
              </w:rPr>
              <w:t>No abdominal pain</w:t>
            </w:r>
          </w:p>
        </w:tc>
        <w:tc>
          <w:tcPr>
            <w:tcW w:type="dxa" w:w="950"/>
            <w:vAlign w:val="top"/>
          </w:tcPr>
          <w:p>
            <w:pPr>
              <w:spacing w:after="40" w:before="0" w:line="259" w:lineRule="auto"/>
            </w:pPr>
            <w:r>
              <w:rPr>
                <w:rFonts w:ascii="Calibri" w:hAnsi="Calibri"/>
                <w:b w:val="0"/>
                <w:i w:val="0"/>
                <w:color w:val="212121"/>
                <w:sz w:val="16"/>
              </w:rPr>
              <w:t>Persistent LLQ (or RLQ) pain, often with low-grade fever</w:t>
            </w:r>
          </w:p>
        </w:tc>
        <w:tc>
          <w:tcPr>
            <w:tcW w:type="dxa" w:w="1036"/>
            <w:vAlign w:val="top"/>
          </w:tcPr>
          <w:p>
            <w:pPr>
              <w:spacing w:after="40" w:before="0" w:line="259" w:lineRule="auto"/>
            </w:pPr>
            <w:r>
              <w:rPr>
                <w:rFonts w:ascii="Calibri" w:hAnsi="Calibri"/>
                <w:b w:val="0"/>
                <w:i w:val="0"/>
                <w:color w:val="212121"/>
                <w:sz w:val="16"/>
              </w:rPr>
              <w:t>Typical presentation of diverticulitis; right-sided pain in Indians mimics appendicitis</w:t>
            </w:r>
          </w:p>
        </w:tc>
        <w:tc>
          <w:tcPr>
            <w:tcW w:type="dxa" w:w="1036"/>
            <w:vAlign w:val="top"/>
          </w:tcPr>
          <w:p>
            <w:pPr>
              <w:spacing w:after="40" w:before="0" w:line="259" w:lineRule="auto"/>
            </w:pPr>
            <w:r>
              <w:rPr>
                <w:rFonts w:ascii="Calibri" w:hAnsi="Calibri"/>
                <w:b w:val="0"/>
                <w:i w:val="0"/>
                <w:color w:val="212121"/>
                <w:sz w:val="16"/>
              </w:rPr>
              <w:t>Adults with diverticulosis, Asian/Indian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prior similar episodes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habit &amp; bleeding</w:t>
            </w:r>
          </w:p>
        </w:tc>
        <w:tc>
          <w:tcPr>
            <w:tcW w:type="dxa" w:w="979"/>
            <w:vAlign w:val="top"/>
          </w:tcPr>
          <w:p>
            <w:pPr>
              <w:spacing w:after="40" w:before="0" w:line="259" w:lineRule="auto"/>
            </w:pPr>
            <w:r>
              <w:rPr>
                <w:rFonts w:ascii="Calibri" w:hAnsi="Calibri"/>
                <w:b w:val="0"/>
                <w:i w:val="0"/>
                <w:color w:val="212121"/>
                <w:sz w:val="16"/>
              </w:rPr>
              <w:t>Constipation/diarrhoea, painless rectal bleeding</w:t>
            </w:r>
          </w:p>
        </w:tc>
        <w:tc>
          <w:tcPr>
            <w:tcW w:type="dxa" w:w="950"/>
            <w:vAlign w:val="top"/>
          </w:tcPr>
          <w:p>
            <w:pPr>
              <w:spacing w:after="40" w:before="0" w:line="259" w:lineRule="auto"/>
            </w:pPr>
            <w:r>
              <w:rPr>
                <w:rFonts w:ascii="Calibri" w:hAnsi="Calibri"/>
                <w:b w:val="0"/>
                <w:i w:val="0"/>
                <w:color w:val="212121"/>
                <w:sz w:val="16"/>
              </w:rPr>
              <w:t>Normal bowel habit, no bleeding</w:t>
            </w:r>
          </w:p>
        </w:tc>
        <w:tc>
          <w:tcPr>
            <w:tcW w:type="dxa" w:w="950"/>
            <w:vAlign w:val="top"/>
          </w:tcPr>
          <w:p>
            <w:pPr>
              <w:spacing w:after="40" w:before="0" w:line="259" w:lineRule="auto"/>
            </w:pPr>
            <w:r>
              <w:rPr>
                <w:rFonts w:ascii="Calibri" w:hAnsi="Calibri"/>
                <w:b w:val="0"/>
                <w:i w:val="0"/>
                <w:color w:val="212121"/>
                <w:sz w:val="16"/>
              </w:rPr>
              <w:t>Altered habit; brisk painless red/maroon bleeding</w:t>
            </w:r>
          </w:p>
        </w:tc>
        <w:tc>
          <w:tcPr>
            <w:tcW w:type="dxa" w:w="1036"/>
            <w:vAlign w:val="top"/>
          </w:tcPr>
          <w:p>
            <w:pPr>
              <w:spacing w:after="40" w:before="0" w:line="259" w:lineRule="auto"/>
            </w:pPr>
            <w:r>
              <w:rPr>
                <w:rFonts w:ascii="Calibri" w:hAnsi="Calibri"/>
                <w:b w:val="0"/>
                <w:i w:val="0"/>
                <w:color w:val="212121"/>
                <w:sz w:val="16"/>
              </w:rPr>
              <w:t>Change in habit suggests disease or stricture; painless bleeding suggests diverticular haemorrhage</w:t>
            </w:r>
          </w:p>
        </w:tc>
        <w:tc>
          <w:tcPr>
            <w:tcW w:type="dxa" w:w="1036"/>
            <w:vAlign w:val="top"/>
          </w:tcPr>
          <w:p>
            <w:pPr>
              <w:spacing w:after="40" w:before="0" w:line="259" w:lineRule="auto"/>
            </w:pPr>
            <w:r>
              <w:rPr>
                <w:rFonts w:ascii="Calibri" w:hAnsi="Calibri"/>
                <w:b w:val="0"/>
                <w:i w:val="0"/>
                <w:color w:val="212121"/>
                <w:sz w:val="16"/>
              </w:rPr>
              <w:t>Patients with rectal bleeding, altered bowel habit</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New persistent change in habit also warrants cancer exclusion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 &amp; drug history</w:t>
            </w:r>
          </w:p>
        </w:tc>
        <w:tc>
          <w:tcPr>
            <w:tcW w:type="dxa" w:w="979"/>
            <w:vAlign w:val="top"/>
          </w:tcPr>
          <w:p>
            <w:pPr>
              <w:spacing w:after="40" w:before="0" w:line="259" w:lineRule="auto"/>
            </w:pPr>
            <w:r>
              <w:rPr>
                <w:rFonts w:ascii="Calibri" w:hAnsi="Calibri"/>
                <w:b w:val="0"/>
                <w:i w:val="0"/>
                <w:color w:val="212121"/>
                <w:sz w:val="16"/>
              </w:rPr>
              <w:t>Fibre intake, red meat, NSAID/steroid/opioid use</w:t>
            </w:r>
          </w:p>
        </w:tc>
        <w:tc>
          <w:tcPr>
            <w:tcW w:type="dxa" w:w="950"/>
            <w:vAlign w:val="top"/>
          </w:tcPr>
          <w:p>
            <w:pPr>
              <w:spacing w:after="40" w:before="0" w:line="259" w:lineRule="auto"/>
            </w:pPr>
            <w:r>
              <w:rPr>
                <w:rFonts w:ascii="Calibri" w:hAnsi="Calibri"/>
                <w:b w:val="0"/>
                <w:i w:val="0"/>
                <w:color w:val="212121"/>
                <w:sz w:val="16"/>
              </w:rPr>
              <w:t>High fibre, no NSAIDs</w:t>
            </w:r>
          </w:p>
        </w:tc>
        <w:tc>
          <w:tcPr>
            <w:tcW w:type="dxa" w:w="950"/>
            <w:vAlign w:val="top"/>
          </w:tcPr>
          <w:p>
            <w:pPr>
              <w:spacing w:after="40" w:before="0" w:line="259" w:lineRule="auto"/>
            </w:pPr>
            <w:r>
              <w:rPr>
                <w:rFonts w:ascii="Calibri" w:hAnsi="Calibri"/>
                <w:b w:val="0"/>
                <w:i w:val="0"/>
                <w:color w:val="212121"/>
                <w:sz w:val="16"/>
              </w:rPr>
              <w:t>Low fibre, high red meat, regular NSAIDs/opioids</w:t>
            </w:r>
          </w:p>
        </w:tc>
        <w:tc>
          <w:tcPr>
            <w:tcW w:type="dxa" w:w="1036"/>
            <w:vAlign w:val="top"/>
          </w:tcPr>
          <w:p>
            <w:pPr>
              <w:spacing w:after="40" w:before="0" w:line="259" w:lineRule="auto"/>
            </w:pPr>
            <w:r>
              <w:rPr>
                <w:rFonts w:ascii="Calibri" w:hAnsi="Calibri"/>
                <w:b w:val="0"/>
                <w:i w:val="0"/>
                <w:color w:val="212121"/>
                <w:sz w:val="16"/>
              </w:rPr>
              <w:t>Identifies modifiable risk factors and precipitants of complications</w:t>
            </w:r>
          </w:p>
        </w:tc>
        <w:tc>
          <w:tcPr>
            <w:tcW w:type="dxa" w:w="1036"/>
            <w:vAlign w:val="top"/>
          </w:tcPr>
          <w:p>
            <w:pPr>
              <w:spacing w:after="40" w:before="0" w:line="259" w:lineRule="auto"/>
            </w:pPr>
            <w:r>
              <w:rPr>
                <w:rFonts w:ascii="Calibri" w:hAnsi="Calibri"/>
                <w:b w:val="0"/>
                <w:i w:val="0"/>
                <w:color w:val="212121"/>
                <w:sz w:val="16"/>
              </w:rPr>
              <w:t>All patients with diverticular disease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 / preventive</w:t>
            </w:r>
          </w:p>
        </w:tc>
        <w:tc>
          <w:tcPr>
            <w:tcW w:type="dxa" w:w="720"/>
            <w:vAlign w:val="top"/>
          </w:tcPr>
          <w:p>
            <w:pPr>
              <w:spacing w:after="40" w:before="0" w:line="259" w:lineRule="auto"/>
            </w:pPr>
            <w:r>
              <w:rPr>
                <w:rFonts w:ascii="Calibri" w:hAnsi="Calibri"/>
                <w:b w:val="0"/>
                <w:i w:val="0"/>
                <w:color w:val="212121"/>
                <w:sz w:val="16"/>
              </w:rPr>
              <w:t>Guides dietary and medication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Abdominal palpation</w:t>
            </w:r>
          </w:p>
        </w:tc>
        <w:tc>
          <w:tcPr>
            <w:tcW w:type="dxa" w:w="979"/>
            <w:vAlign w:val="top"/>
          </w:tcPr>
          <w:p>
            <w:pPr>
              <w:spacing w:after="40" w:before="0" w:line="259" w:lineRule="auto"/>
            </w:pPr>
            <w:r>
              <w:rPr>
                <w:rFonts w:ascii="Calibri" w:hAnsi="Calibri"/>
                <w:b w:val="0"/>
                <w:i w:val="0"/>
                <w:color w:val="212121"/>
                <w:sz w:val="16"/>
              </w:rPr>
              <w:t>LLQ tenderness, guarding, palpable mass</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Focal LLQ tenderness, guarding or tender mass</w:t>
            </w:r>
          </w:p>
        </w:tc>
        <w:tc>
          <w:tcPr>
            <w:tcW w:type="dxa" w:w="1036"/>
            <w:vAlign w:val="top"/>
          </w:tcPr>
          <w:p>
            <w:pPr>
              <w:spacing w:after="40" w:before="0" w:line="259" w:lineRule="auto"/>
            </w:pPr>
            <w:r>
              <w:rPr>
                <w:rFonts w:ascii="Calibri" w:hAnsi="Calibri"/>
                <w:b w:val="0"/>
                <w:i w:val="0"/>
                <w:color w:val="212121"/>
                <w:sz w:val="16"/>
              </w:rPr>
              <w:t>Localised peritoneal irritation; a mass suggests phlegmon or abscess</w:t>
            </w:r>
          </w:p>
        </w:tc>
        <w:tc>
          <w:tcPr>
            <w:tcW w:type="dxa" w:w="1036"/>
            <w:vAlign w:val="top"/>
          </w:tcPr>
          <w:p>
            <w:pPr>
              <w:spacing w:after="40" w:before="0" w:line="259" w:lineRule="auto"/>
            </w:pPr>
            <w:r>
              <w:rPr>
                <w:rFonts w:ascii="Calibri" w:hAnsi="Calibri"/>
                <w:b w:val="0"/>
                <w:i w:val="0"/>
                <w:color w:val="212121"/>
                <w:sz w:val="16"/>
              </w:rPr>
              <w:t>Suspected diverticulitis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Right-sided tenderness in Asian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Peritoneal signs</w:t>
            </w:r>
          </w:p>
        </w:tc>
        <w:tc>
          <w:tcPr>
            <w:tcW w:type="dxa" w:w="979"/>
            <w:vAlign w:val="top"/>
          </w:tcPr>
          <w:p>
            <w:pPr>
              <w:spacing w:after="40" w:before="0" w:line="259" w:lineRule="auto"/>
            </w:pPr>
            <w:r>
              <w:rPr>
                <w:rFonts w:ascii="Calibri" w:hAnsi="Calibri"/>
                <w:b w:val="0"/>
                <w:i w:val="0"/>
                <w:color w:val="212121"/>
                <w:sz w:val="16"/>
              </w:rPr>
              <w:t>Rebound tenderness, rigidity</w:t>
            </w:r>
          </w:p>
        </w:tc>
        <w:tc>
          <w:tcPr>
            <w:tcW w:type="dxa" w:w="950"/>
            <w:vAlign w:val="top"/>
          </w:tcPr>
          <w:p>
            <w:pPr>
              <w:spacing w:after="40" w:before="0" w:line="259" w:lineRule="auto"/>
            </w:pPr>
            <w:r>
              <w:rPr>
                <w:rFonts w:ascii="Calibri" w:hAnsi="Calibri"/>
                <w:b w:val="0"/>
                <w:i w:val="0"/>
                <w:color w:val="212121"/>
                <w:sz w:val="16"/>
              </w:rPr>
              <w:t>No peritonism</w:t>
            </w:r>
          </w:p>
        </w:tc>
        <w:tc>
          <w:tcPr>
            <w:tcW w:type="dxa" w:w="950"/>
            <w:vAlign w:val="top"/>
          </w:tcPr>
          <w:p>
            <w:pPr>
              <w:spacing w:after="40" w:before="0" w:line="259" w:lineRule="auto"/>
            </w:pPr>
            <w:r>
              <w:rPr>
                <w:rFonts w:ascii="Calibri" w:hAnsi="Calibri"/>
                <w:b w:val="0"/>
                <w:i w:val="0"/>
                <w:color w:val="212121"/>
                <w:sz w:val="16"/>
              </w:rPr>
              <w:t>Rebound, guarding, board-like rigidity</w:t>
            </w:r>
          </w:p>
        </w:tc>
        <w:tc>
          <w:tcPr>
            <w:tcW w:type="dxa" w:w="1036"/>
            <w:vAlign w:val="top"/>
          </w:tcPr>
          <w:p>
            <w:pPr>
              <w:spacing w:after="40" w:before="0" w:line="259" w:lineRule="auto"/>
            </w:pPr>
            <w:r>
              <w:rPr>
                <w:rFonts w:ascii="Calibri" w:hAnsi="Calibri"/>
                <w:b w:val="0"/>
                <w:i w:val="0"/>
                <w:color w:val="212121"/>
                <w:sz w:val="16"/>
              </w:rPr>
              <w:t>Indicate free perforation with peritonitis (Hinchey III-IV) - a surgical emergency</w:t>
            </w:r>
          </w:p>
        </w:tc>
        <w:tc>
          <w:tcPr>
            <w:tcW w:type="dxa" w:w="1036"/>
            <w:vAlign w:val="top"/>
          </w:tcPr>
          <w:p>
            <w:pPr>
              <w:spacing w:after="40" w:before="0" w:line="259" w:lineRule="auto"/>
            </w:pPr>
            <w:r>
              <w:rPr>
                <w:rFonts w:ascii="Calibri" w:hAnsi="Calibri"/>
                <w:b w:val="0"/>
                <w:i w:val="0"/>
                <w:color w:val="212121"/>
                <w:sz w:val="16"/>
              </w:rPr>
              <w:t>Suspected complicated diverticulitis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 red flag</w:t>
            </w:r>
          </w:p>
        </w:tc>
        <w:tc>
          <w:tcPr>
            <w:tcW w:type="dxa" w:w="720"/>
            <w:vAlign w:val="top"/>
          </w:tcPr>
          <w:p>
            <w:pPr>
              <w:spacing w:after="40" w:before="0" w:line="259" w:lineRule="auto"/>
            </w:pPr>
            <w:r>
              <w:rPr>
                <w:rFonts w:ascii="Calibri" w:hAnsi="Calibri"/>
                <w:b w:val="0"/>
                <w:i w:val="0"/>
                <w:color w:val="212121"/>
                <w:sz w:val="16"/>
              </w:rPr>
              <w:t>Prompts urgent imaging and surgical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Vitals</w:t>
            </w:r>
          </w:p>
        </w:tc>
        <w:tc>
          <w:tcPr>
            <w:tcW w:type="dxa" w:w="950"/>
            <w:vAlign w:val="top"/>
          </w:tcPr>
          <w:p>
            <w:pPr>
              <w:spacing w:after="40" w:before="0" w:line="259" w:lineRule="auto"/>
            </w:pPr>
            <w:r>
              <w:rPr>
                <w:rFonts w:ascii="Calibri" w:hAnsi="Calibri"/>
                <w:b w:val="0"/>
                <w:i w:val="0"/>
                <w:color w:val="212121"/>
                <w:sz w:val="16"/>
              </w:rPr>
              <w:t>Temperature &amp; pulse</w:t>
            </w:r>
          </w:p>
        </w:tc>
        <w:tc>
          <w:tcPr>
            <w:tcW w:type="dxa" w:w="979"/>
            <w:vAlign w:val="top"/>
          </w:tcPr>
          <w:p>
            <w:pPr>
              <w:spacing w:after="40" w:before="0" w:line="259" w:lineRule="auto"/>
            </w:pPr>
            <w:r>
              <w:rPr>
                <w:rFonts w:ascii="Calibri" w:hAnsi="Calibri"/>
                <w:b w:val="0"/>
                <w:i w:val="0"/>
                <w:color w:val="212121"/>
                <w:sz w:val="16"/>
              </w:rPr>
              <w:t>Fever, tachycardia</w:t>
            </w:r>
          </w:p>
        </w:tc>
        <w:tc>
          <w:tcPr>
            <w:tcW w:type="dxa" w:w="950"/>
            <w:vAlign w:val="top"/>
          </w:tcPr>
          <w:p>
            <w:pPr>
              <w:spacing w:after="40" w:before="0" w:line="259" w:lineRule="auto"/>
            </w:pPr>
            <w:r>
              <w:rPr>
                <w:rFonts w:ascii="Calibri" w:hAnsi="Calibri"/>
                <w:b w:val="0"/>
                <w:i w:val="0"/>
                <w:color w:val="212121"/>
                <w:sz w:val="16"/>
              </w:rPr>
              <w:t>Afebrile, normal pulse</w:t>
            </w:r>
          </w:p>
        </w:tc>
        <w:tc>
          <w:tcPr>
            <w:tcW w:type="dxa" w:w="950"/>
            <w:vAlign w:val="top"/>
          </w:tcPr>
          <w:p>
            <w:pPr>
              <w:spacing w:after="40" w:before="0" w:line="259" w:lineRule="auto"/>
            </w:pPr>
            <w:r>
              <w:rPr>
                <w:rFonts w:ascii="Calibri" w:hAnsi="Calibri"/>
                <w:b w:val="0"/>
                <w:i w:val="0"/>
                <w:color w:val="212121"/>
                <w:sz w:val="16"/>
              </w:rPr>
              <w:t>Fever with tachycardia or hypotension</w:t>
            </w:r>
          </w:p>
        </w:tc>
        <w:tc>
          <w:tcPr>
            <w:tcW w:type="dxa" w:w="1036"/>
            <w:vAlign w:val="top"/>
          </w:tcPr>
          <w:p>
            <w:pPr>
              <w:spacing w:after="40" w:before="0" w:line="259" w:lineRule="auto"/>
            </w:pPr>
            <w:r>
              <w:rPr>
                <w:rFonts w:ascii="Calibri" w:hAnsi="Calibri"/>
                <w:b w:val="0"/>
                <w:i w:val="0"/>
                <w:color w:val="212121"/>
                <w:sz w:val="16"/>
              </w:rPr>
              <w:t>Marked fever, tachycardia or hypotension suggests abscess, perforation or sepsis</w:t>
            </w:r>
          </w:p>
        </w:tc>
        <w:tc>
          <w:tcPr>
            <w:tcW w:type="dxa" w:w="1036"/>
            <w:vAlign w:val="top"/>
          </w:tcPr>
          <w:p>
            <w:pPr>
              <w:spacing w:after="40" w:before="0" w:line="259" w:lineRule="auto"/>
            </w:pPr>
            <w:r>
              <w:rPr>
                <w:rFonts w:ascii="Calibri" w:hAnsi="Calibri"/>
                <w:b w:val="0"/>
                <w:i w:val="0"/>
                <w:color w:val="212121"/>
                <w:sz w:val="16"/>
              </w:rPr>
              <w:t>All suspected diverticulitis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severity</w:t>
            </w:r>
          </w:p>
        </w:tc>
        <w:tc>
          <w:tcPr>
            <w:tcW w:type="dxa" w:w="720"/>
            <w:vAlign w:val="top"/>
          </w:tcPr>
          <w:p>
            <w:pPr>
              <w:spacing w:after="40" w:before="0" w:line="259" w:lineRule="auto"/>
            </w:pPr>
            <w:r>
              <w:rPr>
                <w:rFonts w:ascii="Calibri" w:hAnsi="Calibri"/>
                <w:b w:val="0"/>
                <w:i w:val="0"/>
                <w:color w:val="212121"/>
                <w:sz w:val="16"/>
              </w:rPr>
              <w:t>Blunted in elderly and immunosuppressed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Digital rectal &amp; pelvic exam</w:t>
            </w:r>
          </w:p>
        </w:tc>
        <w:tc>
          <w:tcPr>
            <w:tcW w:type="dxa" w:w="979"/>
            <w:vAlign w:val="top"/>
          </w:tcPr>
          <w:p>
            <w:pPr>
              <w:spacing w:after="40" w:before="0" w:line="259" w:lineRule="auto"/>
            </w:pPr>
            <w:r>
              <w:rPr>
                <w:rFonts w:ascii="Calibri" w:hAnsi="Calibri"/>
                <w:b w:val="0"/>
                <w:i w:val="0"/>
                <w:color w:val="212121"/>
                <w:sz w:val="16"/>
              </w:rPr>
              <w:t>Tenderness, blood, mass, fistula signs</w:t>
            </w:r>
          </w:p>
        </w:tc>
        <w:tc>
          <w:tcPr>
            <w:tcW w:type="dxa" w:w="950"/>
            <w:vAlign w:val="top"/>
          </w:tcPr>
          <w:p>
            <w:pPr>
              <w:spacing w:after="40" w:before="0" w:line="259" w:lineRule="auto"/>
            </w:pPr>
            <w:r>
              <w:rPr>
                <w:rFonts w:ascii="Calibri" w:hAnsi="Calibri"/>
                <w:b w:val="0"/>
                <w:i w:val="0"/>
                <w:color w:val="212121"/>
                <w:sz w:val="16"/>
              </w:rPr>
              <w:t>No blood or mass</w:t>
            </w:r>
          </w:p>
        </w:tc>
        <w:tc>
          <w:tcPr>
            <w:tcW w:type="dxa" w:w="950"/>
            <w:vAlign w:val="top"/>
          </w:tcPr>
          <w:p>
            <w:pPr>
              <w:spacing w:after="40" w:before="0" w:line="259" w:lineRule="auto"/>
            </w:pPr>
            <w:r>
              <w:rPr>
                <w:rFonts w:ascii="Calibri" w:hAnsi="Calibri"/>
                <w:b w:val="0"/>
                <w:i w:val="0"/>
                <w:color w:val="212121"/>
                <w:sz w:val="16"/>
              </w:rPr>
              <w:t>Blood, tender mass, or signs of colovesical/colovaginal fistula</w:t>
            </w:r>
          </w:p>
        </w:tc>
        <w:tc>
          <w:tcPr>
            <w:tcW w:type="dxa" w:w="1036"/>
            <w:vAlign w:val="top"/>
          </w:tcPr>
          <w:p>
            <w:pPr>
              <w:spacing w:after="40" w:before="0" w:line="259" w:lineRule="auto"/>
            </w:pPr>
            <w:r>
              <w:rPr>
                <w:rFonts w:ascii="Calibri" w:hAnsi="Calibri"/>
                <w:b w:val="0"/>
                <w:i w:val="0"/>
                <w:color w:val="212121"/>
                <w:sz w:val="16"/>
              </w:rPr>
              <w:t>Assesses bleeding and complications and helps exclude anorectal and pelvic pathology</w:t>
            </w:r>
          </w:p>
        </w:tc>
        <w:tc>
          <w:tcPr>
            <w:tcW w:type="dxa" w:w="1036"/>
            <w:vAlign w:val="top"/>
          </w:tcPr>
          <w:p>
            <w:pPr>
              <w:spacing w:after="40" w:before="0" w:line="259" w:lineRule="auto"/>
            </w:pPr>
            <w:r>
              <w:rPr>
                <w:rFonts w:ascii="Calibri" w:hAnsi="Calibri"/>
                <w:b w:val="0"/>
                <w:i w:val="0"/>
                <w:color w:val="212121"/>
                <w:sz w:val="16"/>
              </w:rPr>
              <w:t>Patients with bleeding or suspected fistula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Pneumaturia/faecaluria point to colovesical fistula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Left lower quadrant 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sigmoid diverticulitis; constant and localised, often with low-grade fever. In Asian/Indian right-sided disease the pain is in the right lower quadrant.</w:t>
            </w:r>
          </w:p>
        </w:tc>
      </w:tr>
      <w:tr>
        <w:trPr>
          <w:cantSplit/>
        </w:trPr>
        <w:tc>
          <w:tcPr>
            <w:tcW w:type="dxa" w:w="2304"/>
            <w:vAlign w:val="top"/>
          </w:tcPr>
          <w:p>
            <w:pPr>
              <w:spacing w:after="40" w:before="0" w:line="259" w:lineRule="auto"/>
            </w:pPr>
            <w:r>
              <w:rPr>
                <w:rFonts w:ascii="Calibri" w:hAnsi="Calibri"/>
                <w:b/>
                <w:i w:val="0"/>
                <w:color w:val="212121"/>
                <w:sz w:val="19"/>
              </w:rPr>
              <w:t>Intermittent lower abdominal pain relieved by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 of symptomatic uncomplicated diverticular disease and overlaps with irritable bowel syndrome.</w:t>
            </w:r>
          </w:p>
        </w:tc>
      </w:tr>
      <w:tr>
        <w:trPr>
          <w:cantSplit/>
        </w:trPr>
        <w:tc>
          <w:tcPr>
            <w:tcW w:type="dxa" w:w="2304"/>
            <w:vAlign w:val="top"/>
          </w:tcPr>
          <w:p>
            <w:pPr>
              <w:spacing w:after="40" w:before="0" w:line="259" w:lineRule="auto"/>
            </w:pPr>
            <w:r>
              <w:rPr>
                <w:rFonts w:ascii="Calibri" w:hAnsi="Calibri"/>
                <w:b/>
                <w:i w:val="0"/>
                <w:color w:val="212121"/>
                <w:sz w:val="19"/>
              </w:rPr>
              <w:t>Bloating and excess 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in symptomatic diverticular disease, often with a sense of incomplete evacuation.</w:t>
            </w:r>
          </w:p>
        </w:tc>
      </w:tr>
      <w:tr>
        <w:trPr>
          <w:cantSplit/>
        </w:trPr>
        <w:tc>
          <w:tcPr>
            <w:tcW w:type="dxa" w:w="2304"/>
            <w:vAlign w:val="top"/>
          </w:tcPr>
          <w:p>
            <w:pPr>
              <w:spacing w:after="40" w:before="0" w:line="259" w:lineRule="auto"/>
            </w:pPr>
            <w:r>
              <w:rPr>
                <w:rFonts w:ascii="Calibri" w:hAnsi="Calibri"/>
                <w:b/>
                <w:i w:val="0"/>
                <w:color w:val="212121"/>
                <w:sz w:val="19"/>
              </w:rPr>
              <w:t>Change in bowel habit (constipation and/or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Altered stool frequency and consistency; new persistent change also warrants exclusion of colorectal cancer.</w:t>
            </w:r>
          </w:p>
        </w:tc>
      </w:tr>
      <w:tr>
        <w:trPr>
          <w:cantSplit/>
        </w:trPr>
        <w:tc>
          <w:tcPr>
            <w:tcW w:type="dxa" w:w="2304"/>
            <w:vAlign w:val="top"/>
          </w:tcPr>
          <w:p>
            <w:pPr>
              <w:spacing w:after="40" w:before="0" w:line="259" w:lineRule="auto"/>
            </w:pPr>
            <w:r>
              <w:rPr>
                <w:rFonts w:ascii="Calibri" w:hAnsi="Calibri"/>
                <w:b/>
                <w:i w:val="0"/>
                <w:color w:val="212121"/>
                <w:sz w:val="19"/>
              </w:rPr>
              <w:t>Fever and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Accompany acute diverticulitis; high or swinging fever suggests abscess or perforation.</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in acute diverticulitis, particularly when ileus or obstruction develops.</w:t>
            </w:r>
          </w:p>
        </w:tc>
      </w:tr>
      <w:tr>
        <w:trPr>
          <w:cantSplit/>
        </w:trPr>
        <w:tc>
          <w:tcPr>
            <w:tcW w:type="dxa" w:w="2304"/>
            <w:vAlign w:val="top"/>
          </w:tcPr>
          <w:p>
            <w:pPr>
              <w:spacing w:after="40" w:before="0" w:line="259" w:lineRule="auto"/>
            </w:pPr>
            <w:r>
              <w:rPr>
                <w:rFonts w:ascii="Calibri" w:hAnsi="Calibri"/>
                <w:b/>
                <w:i w:val="0"/>
                <w:color w:val="212121"/>
                <w:sz w:val="19"/>
              </w:rPr>
              <w:t>Painless rectal bleeding (bright red or maroon)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Diverticular haemorrhage from a ruptured vasa recta - a leading cause of major lower-GI bleeding; about 80% stop spontaneously.</w:t>
            </w:r>
          </w:p>
        </w:tc>
      </w:tr>
      <w:tr>
        <w:trPr>
          <w:cantSplit/>
        </w:trPr>
        <w:tc>
          <w:tcPr>
            <w:tcW w:type="dxa" w:w="2304"/>
            <w:vAlign w:val="top"/>
          </w:tcPr>
          <w:p>
            <w:pPr>
              <w:spacing w:after="40" w:before="0" w:line="259" w:lineRule="auto"/>
            </w:pPr>
            <w:r>
              <w:rPr>
                <w:rFonts w:ascii="Calibri" w:hAnsi="Calibri"/>
                <w:b/>
                <w:i w:val="0"/>
                <w:color w:val="212121"/>
                <w:sz w:val="19"/>
              </w:rPr>
              <w:t>Right lower quadrant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right-sided (caecal/ascending) disease, common in Indians and other Asians, and readily mistaken for acute appendicitis.</w:t>
            </w:r>
          </w:p>
        </w:tc>
      </w:tr>
      <w:tr>
        <w:trPr>
          <w:cantSplit/>
        </w:trPr>
        <w:tc>
          <w:tcPr>
            <w:tcW w:type="dxa" w:w="2304"/>
            <w:vAlign w:val="top"/>
          </w:tcPr>
          <w:p>
            <w:pPr>
              <w:spacing w:after="40" w:before="0" w:line="259" w:lineRule="auto"/>
            </w:pPr>
            <w:r>
              <w:rPr>
                <w:rFonts w:ascii="Calibri" w:hAnsi="Calibri"/>
                <w:b/>
                <w:i w:val="0"/>
                <w:color w:val="212121"/>
                <w:sz w:val="19"/>
              </w:rPr>
              <w:t>Urinary frequency or dysuria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inflamed sigmoid lying against the bladder can cause urinary symptoms; may herald a colovesical fistula.</w:t>
            </w:r>
          </w:p>
        </w:tc>
      </w:tr>
      <w:tr>
        <w:trPr>
          <w:cantSplit/>
        </w:trPr>
        <w:tc>
          <w:tcPr>
            <w:tcW w:type="dxa" w:w="2304"/>
            <w:vAlign w:val="top"/>
          </w:tcPr>
          <w:p>
            <w:pPr>
              <w:spacing w:after="40" w:before="0" w:line="259" w:lineRule="auto"/>
            </w:pPr>
            <w:r>
              <w:rPr>
                <w:rFonts w:ascii="Calibri" w:hAnsi="Calibri"/>
                <w:b/>
                <w:i w:val="0"/>
                <w:color w:val="212121"/>
                <w:sz w:val="19"/>
              </w:rPr>
              <w:t>Abdominal distension and constipation with obstruction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stricture or bowel obstruction from recurrent or chronic diverticulitis.</w:t>
            </w:r>
          </w:p>
        </w:tc>
      </w:tr>
      <w:tr>
        <w:trPr>
          <w:cantSplit/>
        </w:trPr>
        <w:tc>
          <w:tcPr>
            <w:tcW w:type="dxa" w:w="2304"/>
            <w:vAlign w:val="top"/>
          </w:tcPr>
          <w:p>
            <w:pPr>
              <w:spacing w:after="40" w:before="0" w:line="259" w:lineRule="auto"/>
            </w:pPr>
            <w:r>
              <w:rPr>
                <w:rFonts w:ascii="Calibri" w:hAnsi="Calibri"/>
                <w:b/>
                <w:i w:val="0"/>
                <w:color w:val="212121"/>
                <w:sz w:val="19"/>
              </w:rPr>
              <w:t>Pneumaturia or faecaluria (air or faeces in the urine)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Specific for a colovesical fistula, often with recurrent mixed-organism urinary infections.</w:t>
            </w:r>
          </w:p>
        </w:tc>
      </w:tr>
      <w:tr>
        <w:trPr>
          <w:cantSplit/>
        </w:trPr>
        <w:tc>
          <w:tcPr>
            <w:tcW w:type="dxa" w:w="2304"/>
            <w:vAlign w:val="top"/>
          </w:tcPr>
          <w:p>
            <w:pPr>
              <w:spacing w:after="40" w:before="0" w:line="259" w:lineRule="auto"/>
            </w:pPr>
            <w:r>
              <w:rPr>
                <w:rFonts w:ascii="Calibri" w:hAnsi="Calibri"/>
                <w:b/>
                <w:i w:val="0"/>
                <w:color w:val="212121"/>
                <w:sz w:val="19"/>
              </w:rPr>
              <w:t>Passage of air, faeces or discharge per vagina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a colovaginal fistula, typically in women who have had a hysterectomy.</w:t>
            </w:r>
          </w:p>
        </w:tc>
      </w:tr>
      <w:tr>
        <w:trPr>
          <w:cantSplit/>
        </w:trPr>
        <w:tc>
          <w:tcPr>
            <w:tcW w:type="dxa" w:w="2304"/>
            <w:vAlign w:val="top"/>
          </w:tcPr>
          <w:p>
            <w:pPr>
              <w:spacing w:after="40" w:before="0" w:line="259" w:lineRule="auto"/>
            </w:pPr>
            <w:r>
              <w:rPr>
                <w:rFonts w:ascii="Calibri" w:hAnsi="Calibri"/>
                <w:b/>
                <w:i w:val="0"/>
                <w:color w:val="212121"/>
                <w:sz w:val="19"/>
              </w:rPr>
              <w:t>Generalised severe 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diffuse pain signals free perforation with generalised peritonitis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Left lower quadrant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tenderness over the inflamed sigmoid colon; right iliac fossa tenderness in right-sided disease.</w:t>
            </w:r>
          </w:p>
        </w:tc>
      </w:tr>
      <w:tr>
        <w:trPr>
          <w:cantSplit/>
        </w:trPr>
        <w:tc>
          <w:tcPr>
            <w:tcW w:type="dxa" w:w="3456"/>
            <w:vAlign w:val="top"/>
          </w:tcPr>
          <w:p>
            <w:pPr>
              <w:spacing w:after="40" w:before="0" w:line="259" w:lineRule="auto"/>
            </w:pPr>
            <w:r>
              <w:rPr>
                <w:rFonts w:ascii="Calibri" w:hAnsi="Calibri"/>
                <w:b/>
                <w:i w:val="0"/>
                <w:color w:val="212121"/>
                <w:sz w:val="19"/>
              </w:rPr>
              <w:t>Localised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Reflex abdominal-wall spasm over the inflamed segment.</w:t>
            </w:r>
          </w:p>
        </w:tc>
      </w:tr>
      <w:tr>
        <w:trPr>
          <w:cantSplit/>
        </w:trPr>
        <w:tc>
          <w:tcPr>
            <w:tcW w:type="dxa" w:w="3456"/>
            <w:vAlign w:val="top"/>
          </w:tcPr>
          <w:p>
            <w:pPr>
              <w:spacing w:after="40" w:before="0" w:line="259" w:lineRule="auto"/>
            </w:pPr>
            <w:r>
              <w:rPr>
                <w:rFonts w:ascii="Calibri" w:hAnsi="Calibri"/>
                <w:b/>
                <w:i w:val="0"/>
                <w:color w:val="212121"/>
                <w:sz w:val="19"/>
              </w:rPr>
              <w:t>Low-grade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pyrexia in uncomplicated diverticulitis; high fever suggests complicated disease.</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Rises with inflammation, pain and, importantly, with peritonitis, sepsis or blood loss.</w:t>
            </w:r>
          </w:p>
        </w:tc>
      </w:tr>
      <w:tr>
        <w:trPr>
          <w:cantSplit/>
        </w:trPr>
        <w:tc>
          <w:tcPr>
            <w:tcW w:type="dxa" w:w="3456"/>
            <w:vAlign w:val="top"/>
          </w:tcPr>
          <w:p>
            <w:pPr>
              <w:spacing w:after="40" w:before="0" w:line="259" w:lineRule="auto"/>
            </w:pPr>
            <w:r>
              <w:rPr>
                <w:rFonts w:ascii="Calibri" w:hAnsi="Calibri"/>
                <w:b/>
                <w:i w:val="0"/>
                <w:color w:val="212121"/>
                <w:sz w:val="19"/>
              </w:rPr>
              <w:t>Palpable tender mass in the left iliac fossa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 phlegmon or pericolic/pelvic abscess.</w:t>
            </w:r>
          </w:p>
        </w:tc>
      </w:tr>
      <w:tr>
        <w:trPr>
          <w:cantSplit/>
        </w:trPr>
        <w:tc>
          <w:tcPr>
            <w:tcW w:type="dxa" w:w="3456"/>
            <w:vAlign w:val="top"/>
          </w:tcPr>
          <w:p>
            <w:pPr>
              <w:spacing w:after="40" w:before="0" w:line="259" w:lineRule="auto"/>
            </w:pPr>
            <w:r>
              <w:rPr>
                <w:rFonts w:ascii="Calibri" w:hAnsi="Calibri"/>
                <w:b/>
                <w:i w:val="0"/>
                <w:color w:val="212121"/>
                <w:sz w:val="19"/>
              </w:rPr>
              <w:t>Abdominal distension with reduced bowel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ileus or bowel obstruction from stricture or inflammation.</w:t>
            </w:r>
          </w:p>
        </w:tc>
      </w:tr>
      <w:tr>
        <w:trPr>
          <w:cantSplit/>
        </w:trPr>
        <w:tc>
          <w:tcPr>
            <w:tcW w:type="dxa" w:w="3456"/>
            <w:vAlign w:val="top"/>
          </w:tcPr>
          <w:p>
            <w:pPr>
              <w:spacing w:after="40" w:before="0" w:line="259" w:lineRule="auto"/>
            </w:pPr>
            <w:r>
              <w:rPr>
                <w:rFonts w:ascii="Calibri" w:hAnsi="Calibri"/>
                <w:b/>
                <w:i w:val="0"/>
                <w:color w:val="212121"/>
                <w:sz w:val="19"/>
              </w:rPr>
              <w:t>Rebound tenderness and rigidity (peritonism)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tenderness, guarding and rigidity indicate free perforation with peritonitis (Hinchey III-IV).</w:t>
            </w:r>
          </w:p>
        </w:tc>
      </w:tr>
      <w:tr>
        <w:trPr>
          <w:cantSplit/>
        </w:trPr>
        <w:tc>
          <w:tcPr>
            <w:tcW w:type="dxa" w:w="3456"/>
            <w:vAlign w:val="top"/>
          </w:tcPr>
          <w:p>
            <w:pPr>
              <w:spacing w:after="40" w:before="0" w:line="259" w:lineRule="auto"/>
            </w:pPr>
            <w:r>
              <w:rPr>
                <w:rFonts w:ascii="Calibri" w:hAnsi="Calibri"/>
                <w:b/>
                <w:i w:val="0"/>
                <w:color w:val="212121"/>
                <w:sz w:val="19"/>
              </w:rPr>
              <w:t>Blood on digital rectal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be found with diverticular bleeding; also assesses for other anorectal pathology.</w:t>
            </w:r>
          </w:p>
        </w:tc>
      </w:tr>
      <w:tr>
        <w:trPr>
          <w:cantSplit/>
        </w:trPr>
        <w:tc>
          <w:tcPr>
            <w:tcW w:type="dxa" w:w="3456"/>
            <w:vAlign w:val="top"/>
          </w:tcPr>
          <w:p>
            <w:pPr>
              <w:spacing w:after="40" w:before="0" w:line="259" w:lineRule="auto"/>
            </w:pPr>
            <w:r>
              <w:rPr>
                <w:rFonts w:ascii="Calibri" w:hAnsi="Calibri"/>
                <w:b/>
                <w:i w:val="0"/>
                <w:color w:val="212121"/>
                <w:sz w:val="19"/>
              </w:rPr>
              <w:t>Right iliac fossa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of right-sided (Asian/Indian) diverticulitis and a common appendicitis mimic.</w:t>
            </w:r>
          </w:p>
        </w:tc>
      </w:tr>
      <w:tr>
        <w:trPr>
          <w:cantSplit/>
        </w:trPr>
        <w:tc>
          <w:tcPr>
            <w:tcW w:type="dxa" w:w="3456"/>
            <w:vAlign w:val="top"/>
          </w:tcPr>
          <w:p>
            <w:pPr>
              <w:spacing w:after="40" w:before="0" w:line="259" w:lineRule="auto"/>
            </w:pPr>
            <w:r>
              <w:rPr>
                <w:rFonts w:ascii="Calibri" w:hAnsi="Calibri"/>
                <w:b/>
                <w:i w:val="0"/>
                <w:color w:val="212121"/>
                <w:sz w:val="19"/>
              </w:rPr>
              <w:t>Signs of shock (hypotension, cool peripheries)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Occur with massive diverticular haemorrhage or faecal peritonitis and sepsis.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diverticulitis (micro-perforation of a diverticulum)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Pericolic phlegmon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Diverticular haemorrhage (rupture of a vasa recta)</w:t>
            </w:r>
          </w:p>
        </w:tc>
        <w:tc>
          <w:tcPr>
            <w:tcW w:type="dxa" w:w="2980"/>
            <w:vAlign w:val="top"/>
          </w:tcPr>
          <w:p>
            <w:pPr>
              <w:spacing w:after="40" w:before="0" w:line="259" w:lineRule="auto"/>
            </w:pPr>
            <w:r>
              <w:rPr>
                <w:rFonts w:ascii="Calibri" w:hAnsi="Calibri"/>
                <w:b w:val="0"/>
                <w:i w:val="0"/>
                <w:color w:val="212121"/>
                <w:sz w:val="19"/>
              </w:rPr>
              <w:t>Direct consequences of inflammation or vascular rupture within a diverticulum.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Pericolic or pelvic abscess (Hinchey I-II)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Free perforation with purulent or faecal peritonitis (Hinchey III-IV)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Fistula formation (colovesical, colovaginal, coloenteric, colocutaneous)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Colonic stricture and bowel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Segmental colitis associated with diverticulosis (SCAD)</w:t>
            </w:r>
          </w:p>
        </w:tc>
        <w:tc>
          <w:tcPr>
            <w:tcW w:type="dxa" w:w="2980"/>
            <w:vAlign w:val="top"/>
          </w:tcPr>
          <w:p>
            <w:pPr>
              <w:spacing w:after="40" w:before="0" w:line="259" w:lineRule="auto"/>
            </w:pPr>
            <w:r>
              <w:rPr>
                <w:rFonts w:ascii="Calibri" w:hAnsi="Calibri"/>
                <w:b w:val="0"/>
                <w:i w:val="0"/>
                <w:color w:val="212121"/>
                <w:sz w:val="19"/>
              </w:rPr>
              <w:t>Result from spread of inflammation and infection beyond the diverticulum or from chronic scarring.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Generalised peritonitis with sepsis and septic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Emergency surgery with colostomy (Hartmann's procedure)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diverticulitis and chronic abdominal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and stoma-related 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Missed or delayed colorectal cancer masked by complicated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perforation, sepsis or massive haemorrhage)</w:t>
            </w:r>
          </w:p>
        </w:tc>
        <w:tc>
          <w:tcPr>
            <w:tcW w:type="dxa" w:w="2980"/>
            <w:vAlign w:val="top"/>
          </w:tcPr>
          <w:p>
            <w:pPr>
              <w:spacing w:after="40" w:before="0" w:line="259" w:lineRule="auto"/>
            </w:pPr>
            <w:r>
              <w:rPr>
                <w:rFonts w:ascii="Calibri" w:hAnsi="Calibri"/>
                <w:b w:val="0"/>
                <w:i w:val="0"/>
                <w:color w:val="212121"/>
                <w:sz w:val="19"/>
              </w:rPr>
              <w:t>Irreversible or life-threatening outcomes of severe, recurrent or complicated disease and its surgical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constipation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Low fibre and straining raise intraluminal pressure, promoting diverticula, while diverticular disease itself alters bowel habit - a two-way relationship.</w:t>
            </w:r>
          </w:p>
          <w:p>
            <w:pPr>
              <w:spacing w:after="40" w:before="0" w:line="259" w:lineRule="auto"/>
            </w:pPr>
            <w:r>
              <w:rPr>
                <w:rFonts w:ascii="Calibri" w:hAnsi="Calibri"/>
                <w:b/>
                <w:i w:val="0"/>
                <w:color w:val="212121"/>
                <w:sz w:val="19"/>
              </w:rPr>
              <w:t>Common</w:t>
            </w:r>
          </w:p>
        </w:tc>
      </w:tr>
      <w:tr>
        <w:trPr>
          <w:cantSplit/>
        </w:trPr>
        <w:tc>
          <w:tcPr>
            <w:tcW w:type="dxa" w:w="2232"/>
            <w:vAlign w:val="top"/>
          </w:tcPr>
          <w:p>
            <w:pPr>
              <w:spacing w:after="40" w:before="0" w:line="259" w:lineRule="auto"/>
            </w:pPr>
            <w:r>
              <w:rPr>
                <w:rFonts w:ascii="Calibri" w:hAnsi="Calibri"/>
                <w:b/>
                <w:i w:val="0"/>
                <w:color w:val="212121"/>
                <w:sz w:val="19"/>
              </w:rPr>
              <w:t>Obesity and metabolic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adiposity and larger waist circumference increase the risk of diverticulitis and diverticular bleeding through low-grade inflammation and altered motility.</w:t>
            </w:r>
          </w:p>
        </w:tc>
      </w:tr>
      <w:tr>
        <w:trPr>
          <w:cantSplit/>
        </w:trPr>
        <w:tc>
          <w:tcPr>
            <w:tcW w:type="dxa" w:w="2232"/>
            <w:vAlign w:val="top"/>
          </w:tcPr>
          <w:p>
            <w:pPr>
              <w:spacing w:after="40" w:before="0" w:line="259" w:lineRule="auto"/>
            </w:pPr>
            <w:r>
              <w:rPr>
                <w:rFonts w:ascii="Calibri" w:hAnsi="Calibri"/>
                <w:b/>
                <w:i w:val="0"/>
                <w:color w:val="212121"/>
                <w:sz w:val="19"/>
              </w:rPr>
              <w:t>Irritable bowel syndrome (IBS)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Symptoms of symptomatic uncomplicated diverticular disease overlap closely with IBS, complicating diagnosis and management.</w:t>
            </w:r>
          </w:p>
        </w:tc>
      </w:tr>
      <w:tr>
        <w:trPr>
          <w:cantSplit/>
        </w:trPr>
        <w:tc>
          <w:tcPr>
            <w:tcW w:type="dxa" w:w="2232"/>
            <w:vAlign w:val="top"/>
          </w:tcPr>
          <w:p>
            <w:pPr>
              <w:spacing w:after="40" w:before="0" w:line="259" w:lineRule="auto"/>
            </w:pPr>
            <w:r>
              <w:rPr>
                <w:rFonts w:ascii="Calibri" w:hAnsi="Calibri"/>
                <w:b/>
                <w:i w:val="0"/>
                <w:color w:val="212121"/>
                <w:sz w:val="19"/>
              </w:rPr>
              <w:t>Colorectal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Complicated diverticulitis can mask or mimic colorectal cancer, so colonoscopy is advised 6-8 weeks after an acute attack to exclude malignancy.</w:t>
            </w:r>
          </w:p>
        </w:tc>
      </w:tr>
      <w:tr>
        <w:trPr>
          <w:cantSplit/>
        </w:trPr>
        <w:tc>
          <w:tcPr>
            <w:tcW w:type="dxa" w:w="2232"/>
            <w:vAlign w:val="top"/>
          </w:tcPr>
          <w:p>
            <w:pPr>
              <w:spacing w:after="40" w:before="0" w:line="259" w:lineRule="auto"/>
            </w:pPr>
            <w:r>
              <w:rPr>
                <w:rFonts w:ascii="Calibri" w:hAnsi="Calibri"/>
                <w:b/>
                <w:i w:val="0"/>
                <w:color w:val="212121"/>
                <w:sz w:val="19"/>
              </w:rPr>
              <w:t>Lower-gastrointestinal (diverticular) haemorrhage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Rupture of a vasa recta at a diverticulum is a leading cause of major lower-GI bleeding; about 80% of bleeds are self-limiting.</w:t>
            </w:r>
          </w:p>
          <w:p>
            <w:pPr>
              <w:spacing w:after="40" w:before="0" w:line="259" w:lineRule="auto"/>
            </w:pPr>
            <w:r>
              <w:rPr>
                <w:rFonts w:ascii="Calibri" w:hAnsi="Calibri"/>
                <w:b/>
                <w:i w:val="0"/>
                <w:color w:val="212121"/>
                <w:sz w:val="19"/>
              </w:rPr>
              <w:t>~15% of diverticulosis</w:t>
            </w:r>
          </w:p>
        </w:tc>
      </w:tr>
      <w:tr>
        <w:trPr>
          <w:cantSplit/>
        </w:trPr>
        <w:tc>
          <w:tcPr>
            <w:tcW w:type="dxa" w:w="2232"/>
            <w:vAlign w:val="top"/>
          </w:tcPr>
          <w:p>
            <w:pPr>
              <w:spacing w:after="40" w:before="0" w:line="259" w:lineRule="auto"/>
            </w:pPr>
            <w:r>
              <w:rPr>
                <w:rFonts w:ascii="Calibri" w:hAnsi="Calibri"/>
                <w:b/>
                <w:i w:val="0"/>
                <w:color w:val="212121"/>
                <w:sz w:val="19"/>
              </w:rPr>
              <w:t>Peritonitis and sepsis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Free perforation (Hinchey III-IV) causes purulent or faecal peritonitis with sepsis, driving mortality and the need for emergency surgery.</w:t>
            </w:r>
          </w:p>
          <w:p>
            <w:pPr>
              <w:spacing w:after="40" w:before="0" w:line="259" w:lineRule="auto"/>
            </w:pPr>
            <w:r>
              <w:rPr>
                <w:rFonts w:ascii="Calibri" w:hAnsi="Calibri"/>
                <w:b/>
                <w:i w:val="0"/>
                <w:color w:val="212121"/>
                <w:sz w:val="19"/>
              </w:rPr>
              <w:t>~12% present with complicated disease</w:t>
            </w:r>
          </w:p>
        </w:tc>
      </w:tr>
      <w:tr>
        <w:trPr>
          <w:cantSplit/>
        </w:trPr>
        <w:tc>
          <w:tcPr>
            <w:tcW w:type="dxa" w:w="2232"/>
            <w:vAlign w:val="top"/>
          </w:tcPr>
          <w:p>
            <w:pPr>
              <w:spacing w:after="40" w:before="0" w:line="259" w:lineRule="auto"/>
            </w:pPr>
            <w:r>
              <w:rPr>
                <w:rFonts w:ascii="Calibri" w:hAnsi="Calibri"/>
                <w:b/>
                <w:i w:val="0"/>
                <w:color w:val="212121"/>
                <w:sz w:val="19"/>
              </w:rPr>
              <w:t>Colovesical / colovaginal fistula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can erode into the bladder or vagina, causing pneumaturia, faecaluria or vaginal discharge and recurrent urinary infection.</w:t>
            </w:r>
          </w:p>
        </w:tc>
      </w:tr>
      <w:tr>
        <w:trPr>
          <w:cantSplit/>
        </w:trPr>
        <w:tc>
          <w:tcPr>
            <w:tcW w:type="dxa" w:w="2232"/>
            <w:vAlign w:val="top"/>
          </w:tcPr>
          <w:p>
            <w:pPr>
              <w:spacing w:after="40" w:before="0" w:line="259" w:lineRule="auto"/>
            </w:pPr>
            <w:r>
              <w:rPr>
                <w:rFonts w:ascii="Calibri" w:hAnsi="Calibri"/>
                <w:b/>
                <w:i w:val="0"/>
                <w:color w:val="212121"/>
                <w:sz w:val="19"/>
              </w:rPr>
              <w:t>Connective tissue disorders (Marfan, Ehlers-Danlos)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Inherited wall weakness predisposes to early, widespread diverticula and to perforation.</w:t>
            </w:r>
          </w:p>
        </w:tc>
      </w:tr>
      <w:tr>
        <w:trPr>
          <w:cantSplit/>
        </w:trPr>
        <w:tc>
          <w:tcPr>
            <w:tcW w:type="dxa" w:w="2232"/>
            <w:vAlign w:val="top"/>
          </w:tcPr>
          <w:p>
            <w:pPr>
              <w:spacing w:after="40" w:before="0" w:line="259" w:lineRule="auto"/>
            </w:pPr>
            <w:r>
              <w:rPr>
                <w:rFonts w:ascii="Calibri" w:hAnsi="Calibri"/>
                <w:b/>
                <w:i w:val="0"/>
                <w:color w:val="212121"/>
                <w:sz w:val="19"/>
              </w:rPr>
              <w:t>NSAID / opioid / corticosteroid 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These drugs increase diverticular bleeding and perforation and can mask symptoms; avoiding regular NSAIDs is part of management, and recurrence after an attack is around 20%.</w:t>
            </w:r>
          </w:p>
          <w:p>
            <w:pPr>
              <w:spacing w:after="40" w:before="0" w:line="259" w:lineRule="auto"/>
            </w:pPr>
            <w:r>
              <w:rPr>
                <w:rFonts w:ascii="Calibri" w:hAnsi="Calibri"/>
                <w:b/>
                <w:i w:val="0"/>
                <w:color w:val="212121"/>
                <w:sz w:val="19"/>
              </w:rPr>
              <w:t>Up to 20% recurrence risk</w:t>
            </w:r>
          </w:p>
        </w:tc>
      </w:tr>
      <w:tr>
        <w:trPr>
          <w:cantSplit/>
        </w:trPr>
        <w:tc>
          <w:tcPr>
            <w:tcW w:type="dxa" w:w="2232"/>
            <w:vAlign w:val="top"/>
          </w:tcPr>
          <w:p>
            <w:pPr>
              <w:spacing w:after="40" w:before="0" w:line="259" w:lineRule="auto"/>
            </w:pPr>
            <w:r>
              <w:rPr>
                <w:rFonts w:ascii="Calibri" w:hAnsi="Calibri"/>
                <w:b/>
                <w:i w:val="0"/>
                <w:color w:val="212121"/>
                <w:sz w:val="19"/>
              </w:rPr>
              <w:t>Immunosuppression / 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Blunt the inflammatory response, leading to atypical presentation, higher perforation rates and worse outcomes that lower the threshold for surgery.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diverticula are common with age and usually harmless, but a lifelong high-fibre diet lowers the risk of symptoms and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diverticulitis (persistent lower-abdominal pain, fever, marked change in bowel habit) and of bleeding (painless red or maroon rectal bleeding) and seek timely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in Indians and other Asians the pain is often on the RIGHT side and can be mistaken for appendicitis - do not self-diagnose.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regular over-the-counter NSAIDs (ibuprofen, diclofenac) for aches; prefer paracetamol where suitable, as NSAIDs raise the risk of bleeding and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reassured that nuts, seeds, corn and popcorn do NOT need to be avoided - they are not linked to a higher risk of diverticulitis.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a new, persistent change in bowel habit or rectal bleeding - it needs assessment, including colonoscopy, to exclude bowel cancer.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diverticulosis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Indians/Asians with right-sided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on regular painkillers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low-fibre eaters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 mild acute attack, follow medical advice on bowel rest, clear fluids and a low-fibre diet, gradually rebuilding fibre as symptoms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any prescribed antibiotics and attend review; report worsening pain, high fever, vomiting or abdominal distension urgently.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colonoscopy about 6-8 weeks after a complicated attack to confirm diverticula and exclude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recovery, discuss recurrence risk (around one in five) and long-term fibre, weight and medication measures with your doctor.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diverticulitis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Post-attack follow-up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complicated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adding vigorous exercise where possible, which is linked to a lower risk of diverticulitis and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adequate fibre and fluids to maintain regular, soft bowel movements and reduce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take regular movement breaks to support colonic transit.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constipation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an acute attack, then resume light activity as pain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surgery, mobilise early to reduce the risk of chest infection and clots, avoiding heavy lifting for the period advised by your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towards gradual, sustained weight loss if overweight, focusing on central obesity.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diverticulitis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(about 25-35 g/day) rich in whole grains and millets (ragi, jowar, bajra), pulses (dals), vegetables and fruit to add stool bulk and lower colonic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fibre gradually over a few weeks and drink plenty of fluids to avoid bloating and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red and processed meat and refined, low-fibre 'Western' foods (white flour, sugary and deep-fried snacks).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restrict nuts, seeds, corn or popcorn - they are safe and provide useful fibre.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daily hydration so that dietary fibre can work effectively.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diverticulosis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Low-fibre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Indians on refined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constipation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flare, take clear fluids and a low-fibre/low-residue diet to rest the bowel,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fibre slowly once pain and inflammation settle, returning to a high-fibre diet for long-term prevention of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recovery, ensure a steady daily fibre and fluid intake rather than sudden large increases.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greasy meals and large red-meat portions while recovering.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diverticulitis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Post-attack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regular sleep to support recovery and immune function after an attack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analgesia so that pain does not disrupt sleep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diverticulitis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raises the risk of diverticulitis and of complications such as perforation and abscess, and impairs post-operative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especially before any planned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diverticulitis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heavy use can cause acute-abdomen conditions that mimic diverticulitis and may worsen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around the time of surgery and while taking antibiotics or opioid analgesia.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medication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stress and the gut-brain axis can worsen symptom perception in symptomatic uncomplicated disease; relaxation, exercise and routine can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anxiety about recurrence or living with a stoma, and do not let health anxiety delay assessment of significant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symptomatic uncomplicated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Stoma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0771/" TargetMode="External"/><Relationship Id="rId10" Type="http://schemas.openxmlformats.org/officeDocument/2006/relationships/hyperlink" Target="https://www.niddk.nih.gov/health-information/digestive-diseases/diverticulosis-diverticulitis/definition-facts" TargetMode="External"/><Relationship Id="rId11" Type="http://schemas.openxmlformats.org/officeDocument/2006/relationships/hyperlink" Target="https://en.wikipedia.org/wiki/Diverticulitis" TargetMode="External"/><Relationship Id="rId12" Type="http://schemas.openxmlformats.org/officeDocument/2006/relationships/hyperlink" Target="https://www.niddk.nih.gov/health-information/digestive-diseases/diverticulosis-diverticulitis/symptoms-causes" TargetMode="External"/><Relationship Id="rId13" Type="http://schemas.openxmlformats.org/officeDocument/2006/relationships/hyperlink" Target="https://www.ncbi.nlm.nih.gov/books/NBK459316/" TargetMode="External"/><Relationship Id="rId14" Type="http://schemas.openxmlformats.org/officeDocument/2006/relationships/hyperlink" Target="https://en.wikipedia.org/wiki/Diverticular_disease" TargetMode="External"/><Relationship Id="rId15" Type="http://schemas.openxmlformats.org/officeDocument/2006/relationships/hyperlink" Target="https://en.wikipedia.org/wiki/Diverticulosis" TargetMode="External"/><Relationship Id="rId16" Type="http://schemas.openxmlformats.org/officeDocument/2006/relationships/hyperlink" Target="https://www.merckmanuals.com/professional/gastrointestinal-disorders/diverticular-disease/diverticul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