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Gastroparesis</w:t>
      </w:r>
    </w:p>
    <w:p>
      <w:pPr>
        <w:spacing w:before="0" w:after="160"/>
      </w:pPr>
      <w:r>
        <w:rPr>
          <w:rFonts w:ascii="Calibri" w:hAnsi="Calibri"/>
          <w:b/>
          <w:i w:val="0"/>
          <w:color w:val="212121"/>
          <w:sz w:val="22"/>
        </w:rPr>
        <w:t xml:space="preserve">AKA </w:t>
      </w:r>
      <w:r>
        <w:rPr>
          <w:rFonts w:ascii="Calibri" w:hAnsi="Calibri"/>
          <w:b w:val="0"/>
          <w:i w:val="0"/>
          <w:color w:val="212121"/>
          <w:sz w:val="22"/>
        </w:rPr>
        <w:t>i.e., Delayed gastric emptying, Gastric stasis, Diabetic gastroparesis (when diabetes-related), Gastroparesis diabeticorum, Weak/lazy stomach</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Gastroparesis is a chronic disorder of gastric motility characterised by objectively delayed emptying of stomach contents into the duodenum in the absence of any mechanical obstruction. It arises from impaired neuromuscular function of the stomach — most often damage to the vagus nerve, depletion of the interstitial cells of Cajal (the gastric “pacemaker” cells) and enteric nitrergic neurons, and smooth-muscle dysfunction — producing retention of food, nausea, vomiting and early satiety. In India its single most important cause is long-standing, poorly controlled diabetes mellitus, although a large share of cases are idiopathic or follow gastric surgery, viral infection or motility-slowing drugs.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Population-level prevalence of gastroparesis has not been well characterised in India, but the at-risk pool is enormous: India has an estimated 89.8 million adults living with diabetes (about 10.5% of adults, IDF 2024) — the world’s second-largest diabetic population. In a study of 140 Indian patients with long-standing type 2 diabetes, delayed gastric emptying was documented in roughly 29% (40/140), with body-mass index and HbA1c as the independent predictors; abnormal emptying is detectable even in newly diagnosed and asymptomatic diabetics. Internationally, formally diagnosed gastroparesis affects roughly 10 men and 40 women per 100,000 people, with community prevalence estimates ranging widely (about 13.8–267.7 per 100,000) and an incidence roughly four times higher in women than men.</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Gastroparesis is a physiological diagnosis: it requires documented delay of gastric emptying together with compatible chronic symptoms and exclusion of mechanical obstruction. Diagnosis rests on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Chronic upper-GI symptoms for at least 3 months — nausea, vomiting, early satiety, postprandial fullness, bloating or upper abdominal pain (severity often quantified with the Gastroparesis Cardinal Symptom Index, GCSI);</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gastric-outlet or mechanical obstruction and mucosal disease, usually by upper gastrointestinal endoscopy (retained food/bezoar after an overnight fast is suggestive);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Gastric emptying scintigraphy — the gold standard: a standardised low-fat radiolabelled solid (egg) meal with imaging at 0, 1, 2 and 4 hours; gastric retention of &gt;10% at 4 hours (or &gt;60% at 2 hours) confirms delayed emptying;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Objective severity graded by 4-hour gastric retention: mild &lt;15%, moderate 15–35%, severe &gt;35%;</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Blood glucose should be below ~180–200 mg/dL at the time of testing, because acute hyperglycaemia itself delays emptying and can cause a false-positive study;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Validated alternatives where scintigraphy is unavailable: the 13C-octanoate/spirulina gastric-emptying breath test or the wireless motility capsule.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Gastroparesis is classified both by underlying aetiology and by objective clinical severity:</w:t>
      </w:r>
    </w:p>
    <w:p>
      <w:pPr>
        <w:spacing w:before="0" w:after="80"/>
      </w:pPr>
      <w:r>
        <w:rPr>
          <w:rFonts w:ascii="Calibri" w:hAnsi="Calibri"/>
          <w:b w:val="0"/>
          <w:i w:val="0"/>
          <w:color w:val="212121"/>
          <w:sz w:val="21"/>
        </w:rPr>
        <w:t>(1) Diabetic gastroparesis — secondary to autonomic (vagal) neuropathy and enteric nerve/ICC damage in long-standing type 1 or type 2 diabetes; the most clinically important form in the Indian setting and typically emerging after roughly a decade of disease;</w:t>
      </w:r>
    </w:p>
    <w:p>
      <w:pPr>
        <w:spacing w:before="0" w:after="80"/>
      </w:pPr>
      <w:r>
        <w:rPr>
          <w:rFonts w:ascii="Calibri" w:hAnsi="Calibri"/>
          <w:b w:val="0"/>
          <w:i w:val="0"/>
          <w:color w:val="212121"/>
          <w:sz w:val="21"/>
        </w:rPr>
        <w:t>(2) Idiopathic gastroparesis — no identifiable cause; the single largest category (about half of all cases), disproportionately affecting younger women and overlapping heavily with functional dyspepsia;</w:t>
      </w:r>
    </w:p>
    <w:p>
      <w:pPr>
        <w:spacing w:before="0" w:after="80"/>
      </w:pPr>
      <w:r>
        <w:rPr>
          <w:rFonts w:ascii="Calibri" w:hAnsi="Calibri"/>
          <w:b w:val="0"/>
          <w:i w:val="0"/>
          <w:color w:val="212121"/>
          <w:sz w:val="21"/>
        </w:rPr>
        <w:t>(3) Post-surgical gastroparesis — following vagal injury during oesophageal, gastric, bariatric or fundoplication surgery, or after pancreatic procedures;</w:t>
      </w:r>
    </w:p>
    <w:p>
      <w:pPr>
        <w:spacing w:before="0" w:after="80"/>
      </w:pPr>
      <w:r>
        <w:rPr>
          <w:rFonts w:ascii="Calibri" w:hAnsi="Calibri"/>
          <w:b w:val="0"/>
          <w:i w:val="0"/>
          <w:color w:val="212121"/>
          <w:sz w:val="21"/>
        </w:rPr>
        <w:t>(4) Other/secondary gastroparesis — post-viral (e.g. Norwalk virus, rotavirus), connective-tissue disease (scleroderma), Parkinson’s disease and other neurological disorders, hypothyroidism, and drug-induced forms (opioids, GLP-1 receptor agonists, amylin analogues, anticholinergics, calcium-channel blockers);</w:t>
      </w:r>
    </w:p>
    <w:p>
      <w:pPr>
        <w:spacing w:before="0" w:after="80"/>
      </w:pPr>
      <w:r>
        <w:rPr>
          <w:rFonts w:ascii="Calibri" w:hAnsi="Calibri"/>
          <w:b w:val="0"/>
          <w:i w:val="0"/>
          <w:color w:val="212121"/>
          <w:sz w:val="21"/>
        </w:rPr>
        <w:t>Severity grades (ANMS/ACG): Grade 1 – mild (symptoms controlled, weight/nutrition maintained); Grade 2 – compensated (moderate symptoms, partial control with medication/diet); Grade 3 – gastric failure (refractory symptoms, unable to maintain hydration/nutrition, recurrent hospitalisation).</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Diabetic autonomic neuropathy: Chronic hyperglycaemia damages the vagus nerve and enteric neurons, blunting antral contractility and pyloro-duodenal coordination — the dominant mechanism in India’s large, often poorly controlled diabetic population.</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Loss of interstitial cells of Cajal (ICC) and nitrergic neurons: Depletion of the gastric pacemaker cells and of nNOS-expressing inhibitory neurons disrupts the 3-cycle/min slow wave and produces gastric dysrhythmias and impaired accommodation.</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Acute hyperglycaemia: Blood glucose above ~200 mg/dL reversibly slows antral motility and gastric emptying, acutely worsening symptoms and creating a vicious glycaemic cycle.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Vagal injury / gastric surgery: Vagotomy, fundoplication, bariatric or oesophageal surgery and pancreatic procedures interrupt vagal innervation and pyloric relaxation.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Motility-slowing drugs: Opioids, GLP-1 receptor agonists and amylin analogues (pramlintide), anticholinergics and calcium-channel blockers delay gastric emptying and can precipitate symptoms.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Idiopathic / post-infectious neuropathy: Many cases follow an episode of viral gastroenteritis or have no identifiable cause, with presumed autoimmune or post-viral enteric neuropathy.</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Systemic and neurological disease: Hypothyroidism, scleroderma/connective-tissue disease and Parkinson’s disease impair gastric smooth-muscle and neural function.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(long-standing diabetics, 40–60 yr)</w:t>
            </w:r>
          </w:p>
        </w:tc>
        <w:tc>
          <w:tcPr>
            <w:tcW w:type="dxa" w:w="4276"/>
            <w:vAlign w:val="top"/>
          </w:tcPr>
          <w:p>
            <w:pPr>
              <w:spacing w:after="60" w:line="259" w:lineRule="auto"/>
            </w:pPr>
            <w:r>
              <w:rPr>
                <w:rFonts w:ascii="Calibri" w:hAnsi="Calibri"/>
                <w:b w:val="0"/>
                <w:i w:val="0"/>
                <w:color w:val="212121"/>
                <w:sz w:val="19"/>
              </w:rPr>
              <w:t>Diabetic gastroparesis characteristically emerges after roughly a decade of hyperglycaemic exposure that damages the vagus nerve and enteric pacemaker cells. Because Asian Indians develop type 2 diabetes a decade earlier than Western populations, motility complications surface in mid-adult working life.</w:t>
            </w:r>
          </w:p>
          <w:p>
            <w:pPr>
              <w:spacing w:after="40" w:before="60" w:line="259" w:lineRule="auto"/>
            </w:pPr>
            <w:r>
              <w:rPr>
                <w:rFonts w:ascii="Calibri" w:hAnsi="Calibri"/>
                <w:b w:val="0"/>
                <w:i w:val="0"/>
                <w:color w:val="212121"/>
                <w:sz w:val="19"/>
              </w:rPr>
              <w:t>In Indian patients with long-standing type 2 diabetes, delayed gastric emptying was found in ≈29% (40/140), with BMI and HbA1c as independent predictors.</w:t>
            </w:r>
          </w:p>
          <w:p>
            <w:pPr>
              <w:spacing w:after="40" w:line="252" w:lineRule="auto"/>
            </w:pPr>
            <w:hyperlink r:id="rId9">
              <w:r>
                <w:rPr>
                  <w:rFonts w:ascii="Calibri" w:hAnsi="Calibri" w:cs="Calibri"/>
                  <w:sz w:val="18"/>
                  <w:color w:val="1155CC"/>
                  <w:u w:val="single"/>
                </w:rPr>
                <w:t xml:space="preserve">pubmed.ncbi.nlm.nih.gov/27667549 — delayed gastric emptying in Indian T2DM</w:t>
              </w:r>
            </w:hyperlink>
          </w:p>
          <w:p>
            <w:pPr>
              <w:spacing w:before="60" w:after="40"/>
            </w:pPr>
            <w:r>
              <w:rPr>
                <w:rFonts w:ascii="Calibri" w:hAnsi="Calibri"/>
                <w:b w:val="0"/>
                <w:i w:val="0"/>
                <w:color w:val="5A5A5A"/>
                <w:sz w:val="18"/>
              </w:rPr>
              <w:t>#diabeticgastroparesis  #vagalneuropathy  #longstandingdiabetes  #HbA1c  #earlyonset</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Cumulative autonomic neuropathy, multiple comorbidities and polypharmacy (opioids, anticholinergics, calcium-channel blockers) compound age-related decline in gastric motility, and malnutrition/dehydration are more dangerous in this group.</w:t>
            </w:r>
          </w:p>
          <w:p>
            <w:pPr>
              <w:spacing w:after="40" w:before="60" w:line="259" w:lineRule="auto"/>
            </w:pPr>
            <w:r>
              <w:rPr>
                <w:rFonts w:ascii="Calibri" w:hAnsi="Calibri"/>
                <w:b w:val="0"/>
                <w:i w:val="0"/>
                <w:color w:val="212121"/>
                <w:sz w:val="19"/>
              </w:rPr>
              <w:t>The incidence of gastroparesis increases with advancing age in both sexes.</w:t>
            </w:r>
          </w:p>
          <w:p>
            <w:pPr>
              <w:spacing w:after="40" w:line="252" w:lineRule="auto"/>
            </w:pPr>
            <w:hyperlink r:id="rId10">
              <w:r>
                <w:rPr>
                  <w:rFonts w:ascii="Calibri" w:hAnsi="Calibri" w:cs="Calibri"/>
                  <w:sz w:val="18"/>
                  <w:color w:val="1155CC"/>
                  <w:u w:val="single"/>
                </w:rPr>
                <w:t xml:space="preserve">ncbi.nlm.nih.gov/books/NBK551528 — gastroparesis epidemiology</w:t>
              </w:r>
            </w:hyperlink>
          </w:p>
          <w:p>
            <w:pPr>
              <w:spacing w:before="60" w:after="40"/>
            </w:pPr>
            <w:r>
              <w:rPr>
                <w:rFonts w:ascii="Calibri" w:hAnsi="Calibri"/>
                <w:b w:val="0"/>
                <w:i w:val="0"/>
                <w:color w:val="5A5A5A"/>
                <w:sz w:val="18"/>
              </w:rPr>
              <w:t>#elderly  #polypharmacy  #malnutrition  #autonomicdysfunction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Women have a marked predominance of both diabetic and idiopathic gastroparesis; female sex hormones (notably progesterone) slow gastric emptying, and idiopathic disease clusters in young and middle-aged women.</w:t>
            </w:r>
          </w:p>
          <w:p>
            <w:pPr>
              <w:spacing w:after="40" w:before="60" w:line="259" w:lineRule="auto"/>
            </w:pPr>
            <w:r>
              <w:rPr>
                <w:rFonts w:ascii="Calibri" w:hAnsi="Calibri"/>
                <w:b w:val="0"/>
                <w:i w:val="0"/>
                <w:color w:val="212121"/>
                <w:sz w:val="19"/>
              </w:rPr>
              <w:t>Roughly 10 men versus 40 women per 100,000 are affected, and incidence in women is about four times that in men.</w:t>
            </w:r>
          </w:p>
          <w:p>
            <w:pPr>
              <w:spacing w:after="40" w:line="252" w:lineRule="auto"/>
            </w:pPr>
            <w:hyperlink r:id="rId11">
              <w:r>
                <w:rPr>
                  <w:rFonts w:ascii="Calibri" w:hAnsi="Calibri" w:cs="Calibri"/>
                  <w:sz w:val="18"/>
                  <w:color w:val="1155CC"/>
                  <w:u w:val="single"/>
                </w:rPr>
                <w:t xml:space="preserve">niddk.nih.gov — gastroparesis (definition &amp; facts)</w:t>
              </w:r>
            </w:hyperlink>
          </w:p>
          <w:p>
            <w:pPr>
              <w:spacing w:before="60" w:after="40"/>
            </w:pPr>
            <w:r>
              <w:rPr>
                <w:rFonts w:ascii="Calibri" w:hAnsi="Calibri"/>
                <w:b w:val="0"/>
                <w:i w:val="0"/>
                <w:color w:val="5A5A5A"/>
                <w:sz w:val="18"/>
              </w:rPr>
              <w:t>#femalepredominance  #hormonalmotility  #idiopathic  #youngwomen</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Asian Indian (South Asian) phenotype</w:t>
            </w:r>
          </w:p>
        </w:tc>
        <w:tc>
          <w:tcPr>
            <w:tcW w:type="dxa" w:w="4276"/>
            <w:vAlign w:val="top"/>
          </w:tcPr>
          <w:p>
            <w:pPr>
              <w:spacing w:after="60" w:line="259" w:lineRule="auto"/>
            </w:pPr>
            <w:r>
              <w:rPr>
                <w:rFonts w:ascii="Calibri" w:hAnsi="Calibri"/>
                <w:b w:val="0"/>
                <w:i w:val="0"/>
                <w:color w:val="212121"/>
                <w:sz w:val="19"/>
              </w:rPr>
              <w:t>The Asian Indian phenotype — early-onset type 2 diabetes, high central adiposity and accelerated microvascular complications — lengthens cumulative exposure to hyperglycaemia and autonomic damage, enlarging the pool at risk for diabetic gastroparesis.</w:t>
            </w:r>
          </w:p>
          <w:p>
            <w:pPr>
              <w:spacing w:after="40" w:before="60" w:line="259" w:lineRule="auto"/>
            </w:pPr>
            <w:r>
              <w:rPr>
                <w:rFonts w:ascii="Calibri" w:hAnsi="Calibri"/>
                <w:b w:val="0"/>
                <w:i w:val="0"/>
                <w:color w:val="212121"/>
                <w:sz w:val="19"/>
              </w:rPr>
              <w:t>India has an estimated 89.8 million adults with diabetes (10.5% prevalence, IDF 2024) — the second-largest diabetic population in the world.</w:t>
            </w:r>
          </w:p>
          <w:p>
            <w:pPr>
              <w:spacing w:after="40" w:line="252" w:lineRule="auto"/>
            </w:pPr>
            <w:hyperlink r:id="rId12">
              <w:r>
                <w:rPr>
                  <w:rFonts w:ascii="Calibri" w:hAnsi="Calibri" w:cs="Calibri"/>
                  <w:sz w:val="18"/>
                  <w:color w:val="1155CC"/>
                  <w:u w:val="single"/>
                </w:rPr>
                <w:t xml:space="preserve">idf.org — India diabetes profile (2024)</w:t>
              </w:r>
            </w:hyperlink>
          </w:p>
          <w:p>
            <w:pPr>
              <w:spacing w:before="60" w:after="40"/>
            </w:pPr>
            <w:r>
              <w:rPr>
                <w:rFonts w:ascii="Calibri" w:hAnsi="Calibri"/>
                <w:b w:val="0"/>
                <w:i w:val="0"/>
                <w:color w:val="5A5A5A"/>
                <w:sz w:val="18"/>
              </w:rPr>
              <w:t>#asianindianphenotype  #diabetescapital  #centraladiposity  #microvascular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 poorly controlled diabetics</w:t>
            </w:r>
          </w:p>
        </w:tc>
        <w:tc>
          <w:tcPr>
            <w:tcW w:type="dxa" w:w="4276"/>
            <w:vAlign w:val="top"/>
          </w:tcPr>
          <w:p>
            <w:pPr>
              <w:spacing w:after="60" w:line="259" w:lineRule="auto"/>
            </w:pPr>
            <w:r>
              <w:rPr>
                <w:rFonts w:ascii="Calibri" w:hAnsi="Calibri"/>
                <w:b w:val="0"/>
                <w:i w:val="0"/>
                <w:color w:val="212121"/>
                <w:sz w:val="19"/>
              </w:rPr>
              <w:t>Limited access to glucose monitoring, specialist motility testing and consistent nutrition means diabetes is detected late and controlled poorly, so neuropathic complications including gastroparesis are more advanced at presentation.</w:t>
            </w:r>
          </w:p>
          <w:p>
            <w:pPr>
              <w:spacing w:after="40" w:before="60" w:line="259" w:lineRule="auto"/>
            </w:pPr>
            <w:r>
              <w:rPr>
                <w:rFonts w:ascii="Calibri" w:hAnsi="Calibri"/>
                <w:b w:val="0"/>
                <w:i w:val="0"/>
                <w:color w:val="212121"/>
                <w:sz w:val="19"/>
              </w:rPr>
              <w:t>HbA1c (a marker of chronic control) was an independent predictor of delayed gastric emptying in Indian diabetics.</w:t>
            </w:r>
          </w:p>
          <w:p>
            <w:pPr>
              <w:spacing w:after="40" w:line="252" w:lineRule="auto"/>
            </w:pPr>
            <w:hyperlink r:id="rId9">
              <w:r>
                <w:rPr>
                  <w:rFonts w:ascii="Calibri" w:hAnsi="Calibri" w:cs="Calibri"/>
                  <w:sz w:val="18"/>
                  <w:color w:val="1155CC"/>
                  <w:u w:val="single"/>
                </w:rPr>
                <w:t xml:space="preserve">pubmed.ncbi.nlm.nih.gov/27667549 — predictors of delayed emptying</w:t>
              </w:r>
            </w:hyperlink>
          </w:p>
          <w:p>
            <w:pPr>
              <w:spacing w:before="60" w:after="40"/>
            </w:pPr>
            <w:r>
              <w:rPr>
                <w:rFonts w:ascii="Calibri" w:hAnsi="Calibri"/>
                <w:b w:val="0"/>
                <w:i w:val="0"/>
                <w:color w:val="5A5A5A"/>
                <w:sz w:val="18"/>
              </w:rPr>
              <w:t>#healthaccess  #poorcontrol  #latediagnosis  #glycemicburden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Office workers, urban sedentary adults</w:t>
            </w:r>
          </w:p>
        </w:tc>
        <w:tc>
          <w:tcPr>
            <w:tcW w:type="dxa" w:w="4276"/>
            <w:vAlign w:val="top"/>
          </w:tcPr>
          <w:p>
            <w:pPr>
              <w:spacing w:after="60" w:line="259" w:lineRule="auto"/>
            </w:pPr>
            <w:r>
              <w:rPr>
                <w:rFonts w:ascii="Calibri" w:hAnsi="Calibri"/>
                <w:b w:val="0"/>
                <w:i w:val="0"/>
                <w:color w:val="212121"/>
                <w:sz w:val="19"/>
              </w:rPr>
              <w:t>Physical inactivity worsens glycaemic control and post-prandial glucose excursions, and the absence of post-meal ambulation removes a simple stimulus that normally accelerates gastric emptying.</w:t>
            </w:r>
          </w:p>
          <w:p>
            <w:pPr>
              <w:spacing w:after="40" w:before="60" w:line="259" w:lineRule="auto"/>
            </w:pPr>
            <w:r>
              <w:rPr>
                <w:rFonts w:ascii="Calibri" w:hAnsi="Calibri"/>
                <w:b w:val="0"/>
                <w:i w:val="0"/>
                <w:color w:val="212121"/>
                <w:sz w:val="19"/>
              </w:rPr>
              <w:t>Post-meal walking and better glycaemic control support gastric emptying; inactivity compounds the diabetic drivers of stasis.</w:t>
            </w:r>
          </w:p>
          <w:p>
            <w:pPr>
              <w:spacing w:before="60" w:after="40"/>
            </w:pPr>
            <w:r>
              <w:rPr>
                <w:rFonts w:ascii="Calibri" w:hAnsi="Calibri"/>
                <w:b w:val="0"/>
                <w:i w:val="0"/>
                <w:color w:val="5A5A5A"/>
                <w:sz w:val="18"/>
              </w:rPr>
              <w:t>#sedentary  #postmealsitting  #glycemiccontrol  #urbanlifestyle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 / bidi users</w:t>
            </w:r>
          </w:p>
        </w:tc>
        <w:tc>
          <w:tcPr>
            <w:tcW w:type="dxa" w:w="4276"/>
            <w:vAlign w:val="top"/>
          </w:tcPr>
          <w:p>
            <w:pPr>
              <w:spacing w:after="60" w:line="259" w:lineRule="auto"/>
            </w:pPr>
            <w:r>
              <w:rPr>
                <w:rFonts w:ascii="Calibri" w:hAnsi="Calibri"/>
                <w:b w:val="0"/>
                <w:i w:val="0"/>
                <w:color w:val="212121"/>
                <w:sz w:val="19"/>
              </w:rPr>
              <w:t>Nicotine acutely delays gastric emptying and, over time, accelerates diabetic autonomic and peripheral neuropathy while worsening glycaemic control — all of which aggravate gastroparesis.</w:t>
            </w:r>
          </w:p>
          <w:p>
            <w:pPr>
              <w:spacing w:after="40" w:before="60" w:line="259" w:lineRule="auto"/>
            </w:pPr>
            <w:r>
              <w:rPr>
                <w:rFonts w:ascii="Calibri" w:hAnsi="Calibri"/>
                <w:b w:val="0"/>
                <w:i w:val="0"/>
                <w:color w:val="212121"/>
                <w:sz w:val="19"/>
              </w:rPr>
              <w:t>Smoking accelerates diabetic vascular and autonomic complications that underlie gastroparesis.</w:t>
            </w:r>
          </w:p>
          <w:p>
            <w:pPr>
              <w:spacing w:before="60" w:after="40"/>
            </w:pPr>
            <w:r>
              <w:rPr>
                <w:rFonts w:ascii="Calibri" w:hAnsi="Calibri"/>
                <w:b w:val="0"/>
                <w:i w:val="0"/>
                <w:color w:val="5A5A5A"/>
                <w:sz w:val="18"/>
              </w:rPr>
              <w:t>#smoking  #nicotine  #autonomicneuropathy  #bidi</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Chronic / heavy drinkers</w:t>
            </w:r>
          </w:p>
        </w:tc>
        <w:tc>
          <w:tcPr>
            <w:tcW w:type="dxa" w:w="4276"/>
            <w:vAlign w:val="top"/>
          </w:tcPr>
          <w:p>
            <w:pPr>
              <w:spacing w:after="60" w:line="259" w:lineRule="auto"/>
            </w:pPr>
            <w:r>
              <w:rPr>
                <w:rFonts w:ascii="Calibri" w:hAnsi="Calibri"/>
                <w:b w:val="0"/>
                <w:i w:val="0"/>
                <w:color w:val="212121"/>
                <w:sz w:val="19"/>
              </w:rPr>
              <w:t>Acute alcohol intake delays gastric emptying, and chronic heavy use causes autonomic and peripheral neuropathy plus mucosal irritation, compounding nausea and stasis.</w:t>
            </w:r>
          </w:p>
          <w:p>
            <w:pPr>
              <w:spacing w:after="40" w:before="60" w:line="259" w:lineRule="auto"/>
            </w:pPr>
            <w:r>
              <w:rPr>
                <w:rFonts w:ascii="Calibri" w:hAnsi="Calibri"/>
                <w:b w:val="0"/>
                <w:i w:val="0"/>
                <w:color w:val="212121"/>
                <w:sz w:val="19"/>
              </w:rPr>
              <w:t>Alcohol is specifically advised against in gastroparesis diets because it slows emptying and irritates the stomach.</w:t>
            </w:r>
          </w:p>
          <w:p>
            <w:pPr>
              <w:spacing w:after="40" w:line="252" w:lineRule="auto"/>
            </w:pPr>
            <w:hyperlink r:id="rId13">
              <w:r>
                <w:rPr>
                  <w:rFonts w:ascii="Calibri" w:hAnsi="Calibri" w:cs="Calibri"/>
                  <w:sz w:val="18"/>
                  <w:color w:val="1155CC"/>
                  <w:u w:val="single"/>
                </w:rPr>
                <w:t xml:space="preserve">niddk.nih.gov — eating, diet &amp; nutrition for gastroparesis</w:t>
              </w:r>
            </w:hyperlink>
          </w:p>
          <w:p>
            <w:pPr>
              <w:spacing w:before="60" w:after="40"/>
            </w:pPr>
            <w:r>
              <w:rPr>
                <w:rFonts w:ascii="Calibri" w:hAnsi="Calibri"/>
                <w:b w:val="0"/>
                <w:i w:val="0"/>
                <w:color w:val="5A5A5A"/>
                <w:sz w:val="18"/>
              </w:rPr>
              <w:t>#alcohol  #neuropathy  #gastricstasis  #nausea</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Merge w:val="restart"/>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High-fat / fried-food consumers</w:t>
            </w:r>
          </w:p>
        </w:tc>
        <w:tc>
          <w:tcPr>
            <w:tcW w:type="dxa" w:w="4276"/>
            <w:vAlign w:val="top"/>
          </w:tcPr>
          <w:p>
            <w:pPr>
              <w:spacing w:after="60" w:line="259" w:lineRule="auto"/>
            </w:pPr>
            <w:r>
              <w:rPr>
                <w:rFonts w:ascii="Calibri" w:hAnsi="Calibri"/>
                <w:b w:val="0"/>
                <w:i w:val="0"/>
                <w:color w:val="212121"/>
                <w:sz w:val="19"/>
              </w:rPr>
              <w:t>Dietary fat is the most powerful physiological brake on gastric emptying (via cholecystokinin), so large, oily or fried meals — common in Indian festive and street food — precipitate fullness, nausea and vomiting in a slow stomach.</w:t>
            </w:r>
          </w:p>
          <w:p>
            <w:pPr>
              <w:spacing w:after="40" w:before="60" w:line="259" w:lineRule="auto"/>
            </w:pPr>
            <w:r>
              <w:rPr>
                <w:rFonts w:ascii="Calibri" w:hAnsi="Calibri"/>
                <w:b w:val="0"/>
                <w:i w:val="0"/>
                <w:color w:val="212121"/>
                <w:sz w:val="19"/>
              </w:rPr>
              <w:t>Gastroparesis diets recommend low-fat foods and small, frequent meals because fat markedly delays emptying.</w:t>
            </w:r>
          </w:p>
          <w:p>
            <w:pPr>
              <w:spacing w:after="40" w:line="252" w:lineRule="auto"/>
            </w:pPr>
            <w:hyperlink r:id="rId13">
              <w:r>
                <w:rPr>
                  <w:rFonts w:ascii="Calibri" w:hAnsi="Calibri" w:cs="Calibri"/>
                  <w:sz w:val="18"/>
                  <w:color w:val="1155CC"/>
                  <w:u w:val="single"/>
                </w:rPr>
                <w:t xml:space="preserve">niddk.nih.gov — eating, diet &amp; nutrition for gastroparesis</w:t>
              </w:r>
            </w:hyperlink>
          </w:p>
          <w:p>
            <w:pPr>
              <w:spacing w:before="60" w:after="40"/>
            </w:pPr>
            <w:r>
              <w:rPr>
                <w:rFonts w:ascii="Calibri" w:hAnsi="Calibri"/>
                <w:b w:val="0"/>
                <w:i w:val="0"/>
                <w:color w:val="5A5A5A"/>
                <w:sz w:val="18"/>
              </w:rPr>
              <w:t>#dietaryfat  #friedfood  #smallmeals  #CCK</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High-fibre vegetarian diets</w:t>
            </w:r>
          </w:p>
        </w:tc>
        <w:tc>
          <w:tcPr>
            <w:tcW w:type="dxa" w:w="4276"/>
            <w:vAlign w:val="top"/>
          </w:tcPr>
          <w:p>
            <w:pPr>
              <w:spacing w:after="60" w:line="259" w:lineRule="auto"/>
            </w:pPr>
            <w:r>
              <w:rPr>
                <w:rFonts w:ascii="Calibri" w:hAnsi="Calibri"/>
                <w:b w:val="0"/>
                <w:i w:val="0"/>
                <w:color w:val="212121"/>
                <w:sz w:val="19"/>
              </w:rPr>
              <w:t>Predominantly vegetarian Indian diets are rich in indigestible fibre and fibrous, pith-laden foods (raw vegetables, guava, unripe fruit, coconut); in a poorly emptying stomach these aggregate into phytobezoars that can obstruct.</w:t>
            </w:r>
          </w:p>
          <w:p>
            <w:pPr>
              <w:spacing w:after="40" w:before="60" w:line="259" w:lineRule="auto"/>
            </w:pPr>
            <w:r>
              <w:rPr>
                <w:rFonts w:ascii="Calibri" w:hAnsi="Calibri"/>
                <w:b w:val="0"/>
                <w:i w:val="0"/>
                <w:color w:val="212121"/>
                <w:sz w:val="19"/>
              </w:rPr>
              <w:t>Low-fibre intake and avoidance of bezoar-forming foods are advised to prevent gastric obstruction in gastroparesis.</w:t>
            </w:r>
          </w:p>
          <w:p>
            <w:pPr>
              <w:spacing w:after="40" w:line="252" w:lineRule="auto"/>
            </w:pPr>
            <w:hyperlink r:id="rId13">
              <w:r>
                <w:rPr>
                  <w:rFonts w:ascii="Calibri" w:hAnsi="Calibri" w:cs="Calibri"/>
                  <w:sz w:val="18"/>
                  <w:color w:val="1155CC"/>
                  <w:u w:val="single"/>
                </w:rPr>
                <w:t xml:space="preserve">niddk.nih.gov — eating, diet &amp; nutrition for gastroparesis</w:t>
              </w:r>
            </w:hyperlink>
          </w:p>
          <w:p>
            <w:pPr>
              <w:spacing w:before="60" w:after="40"/>
            </w:pPr>
            <w:r>
              <w:rPr>
                <w:rFonts w:ascii="Calibri" w:hAnsi="Calibri"/>
                <w:b w:val="0"/>
                <w:i w:val="0"/>
                <w:color w:val="5A5A5A"/>
                <w:sz w:val="18"/>
              </w:rPr>
              <w:t>#highfibre  #phytobezoar  #vegetarian  #bezoarrisk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High BMI adults (Asian cut-off ≥25)</w:t>
            </w:r>
          </w:p>
        </w:tc>
        <w:tc>
          <w:tcPr>
            <w:tcW w:type="dxa" w:w="4276"/>
            <w:vAlign w:val="top"/>
          </w:tcPr>
          <w:p>
            <w:pPr>
              <w:spacing w:after="60" w:line="259" w:lineRule="auto"/>
            </w:pPr>
            <w:r>
              <w:rPr>
                <w:rFonts w:ascii="Calibri" w:hAnsi="Calibri"/>
                <w:b w:val="0"/>
                <w:i w:val="0"/>
                <w:color w:val="212121"/>
                <w:sz w:val="19"/>
              </w:rPr>
              <w:t>Higher body-mass index independently predicted delayed gastric emptying in Indian diabetics; adiposity accompanies insulin resistance, poorer control and greater neuropathic burden.</w:t>
            </w:r>
          </w:p>
          <w:p>
            <w:pPr>
              <w:spacing w:after="40" w:before="60" w:line="259" w:lineRule="auto"/>
            </w:pPr>
            <w:r>
              <w:rPr>
                <w:rFonts w:ascii="Calibri" w:hAnsi="Calibri"/>
                <w:b w:val="0"/>
                <w:i w:val="0"/>
                <w:color w:val="212121"/>
                <w:sz w:val="19"/>
              </w:rPr>
              <w:t>BMI was one of only two independent predictors (with HbA1c) of delayed gastric emptying in Indian long-standing type 2 diabetes.</w:t>
            </w:r>
          </w:p>
          <w:p>
            <w:pPr>
              <w:spacing w:after="40" w:line="252" w:lineRule="auto"/>
            </w:pPr>
            <w:hyperlink r:id="rId9">
              <w:r>
                <w:rPr>
                  <w:rFonts w:ascii="Calibri" w:hAnsi="Calibri" w:cs="Calibri"/>
                  <w:sz w:val="18"/>
                  <w:color w:val="1155CC"/>
                  <w:u w:val="single"/>
                </w:rPr>
                <w:t xml:space="preserve">pubmed.ncbi.nlm.nih.gov/27667549 — BMI predicts delayed emptying</w:t>
              </w:r>
            </w:hyperlink>
          </w:p>
          <w:p>
            <w:pPr>
              <w:spacing w:before="60" w:after="40"/>
            </w:pPr>
            <w:r>
              <w:rPr>
                <w:rFonts w:ascii="Calibri" w:hAnsi="Calibri"/>
                <w:b w:val="0"/>
                <w:i w:val="0"/>
                <w:color w:val="5A5A5A"/>
                <w:sz w:val="18"/>
              </w:rPr>
              <w:t>#highBMI  #asianobesity  #insulinresistance  #adiposity</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Family history of diabetes / autoimmune disease</w:t>
            </w:r>
          </w:p>
        </w:tc>
        <w:tc>
          <w:tcPr>
            <w:tcW w:type="dxa" w:w="4276"/>
            <w:vAlign w:val="top"/>
          </w:tcPr>
          <w:p>
            <w:pPr>
              <w:spacing w:after="60" w:line="259" w:lineRule="auto"/>
            </w:pPr>
            <w:r>
              <w:rPr>
                <w:rFonts w:ascii="Calibri" w:hAnsi="Calibri"/>
                <w:b w:val="0"/>
                <w:i w:val="0"/>
                <w:color w:val="212121"/>
                <w:sz w:val="19"/>
              </w:rPr>
              <w:t>Strong familial clustering of type 2 diabetes leads to earlier onset and longer disease exposure, while an autoimmune predisposition (including autoimmune thyroid disease) underlies some idiopathic and autoimmune gastroparesis.</w:t>
            </w:r>
          </w:p>
          <w:p>
            <w:pPr>
              <w:spacing w:after="40" w:before="60" w:line="259" w:lineRule="auto"/>
            </w:pPr>
            <w:r>
              <w:rPr>
                <w:rFonts w:ascii="Calibri" w:hAnsi="Calibri"/>
                <w:b w:val="0"/>
                <w:i w:val="0"/>
                <w:color w:val="212121"/>
                <w:sz w:val="19"/>
              </w:rPr>
              <w:t>Familial early-onset diabetes lengthens hyperglycaemic exposure, the key driver of diabetic gastroparesis.</w:t>
            </w:r>
          </w:p>
          <w:p>
            <w:pPr>
              <w:spacing w:before="60" w:after="40"/>
            </w:pPr>
            <w:r>
              <w:rPr>
                <w:rFonts w:ascii="Calibri" w:hAnsi="Calibri"/>
                <w:b w:val="0"/>
                <w:i w:val="0"/>
                <w:color w:val="5A5A5A"/>
                <w:sz w:val="18"/>
              </w:rPr>
              <w:t>#familyhistory  #T2DMclustering  #autoimmune  #geneticrisk</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Long-standing diabetes mellitus</w:t>
            </w:r>
          </w:p>
        </w:tc>
        <w:tc>
          <w:tcPr>
            <w:tcW w:type="dxa" w:w="2160"/>
            <w:vAlign w:val="top"/>
          </w:tcPr>
          <w:p>
            <w:pPr>
              <w:spacing w:after="40" w:before="0" w:line="259" w:lineRule="auto"/>
            </w:pPr>
            <w:r>
              <w:rPr>
                <w:rFonts w:ascii="Calibri" w:hAnsi="Calibri"/>
                <w:b w:val="0"/>
                <w:i w:val="0"/>
                <w:color w:val="212121"/>
                <w:sz w:val="19"/>
              </w:rPr>
              <w:t>Type 1 / type 2 diabetics with &gt;10 years disease</w:t>
            </w:r>
          </w:p>
        </w:tc>
        <w:tc>
          <w:tcPr>
            <w:tcW w:type="dxa" w:w="4276"/>
            <w:vAlign w:val="top"/>
          </w:tcPr>
          <w:p>
            <w:pPr>
              <w:spacing w:after="60" w:line="259" w:lineRule="auto"/>
            </w:pPr>
            <w:r>
              <w:rPr>
                <w:rFonts w:ascii="Calibri" w:hAnsi="Calibri"/>
                <w:b w:val="0"/>
                <w:i w:val="0"/>
                <w:color w:val="212121"/>
                <w:sz w:val="19"/>
              </w:rPr>
              <w:t>Duration and severity of hyperglycaemia drive the vagal and enteric neuropathy that causes gastroparesis; it is more frequent and severe in type 1 but far more numerous in type 2 because of the sheer size of that population.</w:t>
            </w:r>
          </w:p>
          <w:p>
            <w:pPr>
              <w:spacing w:after="40" w:before="60" w:line="259" w:lineRule="auto"/>
            </w:pPr>
            <w:r>
              <w:rPr>
                <w:rFonts w:ascii="Calibri" w:hAnsi="Calibri"/>
                <w:b w:val="0"/>
                <w:i w:val="0"/>
                <w:color w:val="212121"/>
                <w:sz w:val="19"/>
              </w:rPr>
              <w:t>Delayed gastric emptying occurs in ≈29% of Indian long-standing T2DM patients and in up to 50% of poorly controlled diabetics internationally.</w:t>
            </w:r>
          </w:p>
          <w:p>
            <w:pPr>
              <w:spacing w:after="40" w:line="252" w:lineRule="auto"/>
            </w:pPr>
            <w:hyperlink r:id="rId9">
              <w:r>
                <w:rPr>
                  <w:rFonts w:ascii="Calibri" w:hAnsi="Calibri" w:cs="Calibri"/>
                  <w:sz w:val="18"/>
                  <w:color w:val="1155CC"/>
                  <w:u w:val="single"/>
                </w:rPr>
                <w:t xml:space="preserve">pubmed.ncbi.nlm.nih.gov/27667549 — delayed emptying in long-standing T2DM</w:t>
              </w:r>
            </w:hyperlink>
          </w:p>
          <w:p>
            <w:pPr>
              <w:spacing w:before="60" w:after="40"/>
            </w:pPr>
            <w:r>
              <w:rPr>
                <w:rFonts w:ascii="Calibri" w:hAnsi="Calibri"/>
                <w:b w:val="0"/>
                <w:i w:val="0"/>
                <w:color w:val="5A5A5A"/>
                <w:sz w:val="18"/>
              </w:rPr>
              <w:t>#longstandingdiabetes  #T1DM  #T2DM  #vagalneuropathy  #poorcontrol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Diabetic microvascular complications</w:t>
            </w:r>
          </w:p>
        </w:tc>
        <w:tc>
          <w:tcPr>
            <w:tcW w:type="dxa" w:w="2160"/>
            <w:vAlign w:val="top"/>
          </w:tcPr>
          <w:p>
            <w:pPr>
              <w:spacing w:after="40" w:before="0" w:line="259" w:lineRule="auto"/>
            </w:pPr>
            <w:r>
              <w:rPr>
                <w:rFonts w:ascii="Calibri" w:hAnsi="Calibri"/>
                <w:b w:val="0"/>
                <w:i w:val="0"/>
                <w:color w:val="212121"/>
                <w:sz w:val="19"/>
              </w:rPr>
              <w:t>Patients with retinopathy, peripheral &amp; autonomic neuropathy</w:t>
            </w:r>
          </w:p>
        </w:tc>
        <w:tc>
          <w:tcPr>
            <w:tcW w:type="dxa" w:w="4276"/>
            <w:vAlign w:val="top"/>
          </w:tcPr>
          <w:p>
            <w:pPr>
              <w:spacing w:after="60" w:line="259" w:lineRule="auto"/>
            </w:pPr>
            <w:r>
              <w:rPr>
                <w:rFonts w:ascii="Calibri" w:hAnsi="Calibri"/>
                <w:b w:val="0"/>
                <w:i w:val="0"/>
                <w:color w:val="212121"/>
                <w:sz w:val="19"/>
              </w:rPr>
              <w:t>Gastroparesis clusters with the other microvascular complications of diabetes; the presence of retinopathy, peripheral neuropathy or autonomic dysfunction (e.g. postural hypotension) flags a stomach likely to be affected too.</w:t>
            </w:r>
          </w:p>
          <w:p>
            <w:pPr>
              <w:spacing w:after="40" w:before="60" w:line="259" w:lineRule="auto"/>
            </w:pPr>
            <w:r>
              <w:rPr>
                <w:rFonts w:ascii="Calibri" w:hAnsi="Calibri"/>
                <w:b w:val="0"/>
                <w:i w:val="0"/>
                <w:color w:val="212121"/>
                <w:sz w:val="19"/>
              </w:rPr>
              <w:t>Delayed gastric emptying was associated with retinopathy, peripheral neuropathy, autonomic dysfunction and coronary artery disease in Indian diabetics.</w:t>
            </w:r>
          </w:p>
          <w:p>
            <w:pPr>
              <w:spacing w:after="40" w:line="252" w:lineRule="auto"/>
            </w:pPr>
            <w:hyperlink r:id="rId9">
              <w:r>
                <w:rPr>
                  <w:rFonts w:ascii="Calibri" w:hAnsi="Calibri" w:cs="Calibri"/>
                  <w:sz w:val="18"/>
                  <w:color w:val="1155CC"/>
                  <w:u w:val="single"/>
                </w:rPr>
                <w:t xml:space="preserve">pubmed.ncbi.nlm.nih.gov/27667549 — clustering with microvascular disease</w:t>
              </w:r>
            </w:hyperlink>
          </w:p>
          <w:p>
            <w:pPr>
              <w:spacing w:before="60" w:after="40"/>
            </w:pPr>
            <w:r>
              <w:rPr>
                <w:rFonts w:ascii="Calibri" w:hAnsi="Calibri"/>
                <w:b w:val="0"/>
                <w:i w:val="0"/>
                <w:color w:val="5A5A5A"/>
                <w:sz w:val="18"/>
              </w:rPr>
              <w:t>#retinopathy  #autonomicneuropathy  #microvascular  #neuropathycluster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Post-surgical / drug-related</w:t>
            </w:r>
          </w:p>
        </w:tc>
        <w:tc>
          <w:tcPr>
            <w:tcW w:type="dxa" w:w="2160"/>
            <w:vAlign w:val="top"/>
          </w:tcPr>
          <w:p>
            <w:pPr>
              <w:spacing w:after="40" w:before="0" w:line="259" w:lineRule="auto"/>
            </w:pPr>
            <w:r>
              <w:rPr>
                <w:rFonts w:ascii="Calibri" w:hAnsi="Calibri"/>
                <w:b w:val="0"/>
                <w:i w:val="0"/>
                <w:color w:val="212121"/>
                <w:sz w:val="19"/>
              </w:rPr>
              <w:t>Post-vagotomy, bariatric, chronic opioid or GLP-1 agonist users</w:t>
            </w:r>
          </w:p>
        </w:tc>
        <w:tc>
          <w:tcPr>
            <w:tcW w:type="dxa" w:w="4276"/>
            <w:vAlign w:val="top"/>
          </w:tcPr>
          <w:p>
            <w:pPr>
              <w:spacing w:after="60" w:line="259" w:lineRule="auto"/>
            </w:pPr>
            <w:r>
              <w:rPr>
                <w:rFonts w:ascii="Calibri" w:hAnsi="Calibri"/>
                <w:b w:val="0"/>
                <w:i w:val="0"/>
                <w:color w:val="212121"/>
                <w:sz w:val="19"/>
              </w:rPr>
              <w:t>Vagal injury during upper-GI or bariatric surgery, and motility-slowing drugs — opioids and increasingly GLP-1 receptor agonists used for diabetes and weight loss — produce or unmask delayed gastric emptying.</w:t>
            </w:r>
          </w:p>
          <w:p>
            <w:pPr>
              <w:spacing w:after="40" w:before="60" w:line="259" w:lineRule="auto"/>
            </w:pPr>
            <w:r>
              <w:rPr>
                <w:rFonts w:ascii="Calibri" w:hAnsi="Calibri"/>
                <w:b w:val="0"/>
                <w:i w:val="0"/>
                <w:color w:val="212121"/>
                <w:sz w:val="19"/>
              </w:rPr>
              <w:t>Opioids, GLP-1 receptor agonists and calcium-channel blockers are recognised iatrogenic causes of delayed gastric emptying.</w:t>
            </w:r>
          </w:p>
          <w:p>
            <w:pPr>
              <w:spacing w:after="40" w:line="252" w:lineRule="auto"/>
            </w:pPr>
            <w:hyperlink r:id="rId10">
              <w:r>
                <w:rPr>
                  <w:rFonts w:ascii="Calibri" w:hAnsi="Calibri" w:cs="Calibri"/>
                  <w:sz w:val="18"/>
                  <w:color w:val="1155CC"/>
                  <w:u w:val="single"/>
                </w:rPr>
                <w:t xml:space="preserve">ncbi.nlm.nih.gov/books/NBK551528 — drug and post-surgical causes</w:t>
              </w:r>
            </w:hyperlink>
          </w:p>
          <w:p>
            <w:pPr>
              <w:spacing w:before="60" w:after="40"/>
            </w:pPr>
            <w:r>
              <w:rPr>
                <w:rFonts w:ascii="Calibri" w:hAnsi="Calibri"/>
                <w:b w:val="0"/>
                <w:i w:val="0"/>
                <w:color w:val="5A5A5A"/>
                <w:sz w:val="18"/>
              </w:rPr>
              <w:t>#postsurgical  #vagotomy  #opioids  #GLP1agonist  #bariatric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Endocrine / connective-tissue disease</w:t>
            </w:r>
          </w:p>
        </w:tc>
        <w:tc>
          <w:tcPr>
            <w:tcW w:type="dxa" w:w="2160"/>
            <w:vAlign w:val="top"/>
          </w:tcPr>
          <w:p>
            <w:pPr>
              <w:spacing w:after="40" w:before="0" w:line="259" w:lineRule="auto"/>
            </w:pPr>
            <w:r>
              <w:rPr>
                <w:rFonts w:ascii="Calibri" w:hAnsi="Calibri"/>
                <w:b w:val="0"/>
                <w:i w:val="0"/>
                <w:color w:val="212121"/>
                <w:sz w:val="19"/>
              </w:rPr>
              <w:t>Hypothyroidism, scleroderma, Parkinson’s disease</w:t>
            </w:r>
          </w:p>
        </w:tc>
        <w:tc>
          <w:tcPr>
            <w:tcW w:type="dxa" w:w="4276"/>
            <w:vAlign w:val="top"/>
          </w:tcPr>
          <w:p>
            <w:pPr>
              <w:spacing w:after="60" w:line="259" w:lineRule="auto"/>
            </w:pPr>
            <w:r>
              <w:rPr>
                <w:rFonts w:ascii="Calibri" w:hAnsi="Calibri"/>
                <w:b w:val="0"/>
                <w:i w:val="0"/>
                <w:color w:val="212121"/>
                <w:sz w:val="19"/>
              </w:rPr>
              <w:t>Untreated hypothyroidism slows whole-gut transit, scleroderma replaces gastric smooth muscle with fibrosis, and Parkinson’s disease impairs enteric and central control of motility — all producing secondary gastroparesis.</w:t>
            </w:r>
          </w:p>
          <w:p>
            <w:pPr>
              <w:spacing w:after="40" w:before="60" w:line="259" w:lineRule="auto"/>
            </w:pPr>
            <w:r>
              <w:rPr>
                <w:rFonts w:ascii="Calibri" w:hAnsi="Calibri"/>
                <w:b w:val="0"/>
                <w:i w:val="0"/>
                <w:color w:val="212121"/>
                <w:sz w:val="19"/>
              </w:rPr>
              <w:t>Hypothyroidism, scleroderma and Parkinson’s disease are established secondary causes of gastroparesis.</w:t>
            </w:r>
          </w:p>
          <w:p>
            <w:pPr>
              <w:spacing w:after="40" w:line="252" w:lineRule="auto"/>
            </w:pPr>
            <w:hyperlink r:id="rId11">
              <w:r>
                <w:rPr>
                  <w:rFonts w:ascii="Calibri" w:hAnsi="Calibri" w:cs="Calibri"/>
                  <w:sz w:val="18"/>
                  <w:color w:val="1155CC"/>
                  <w:u w:val="single"/>
                </w:rPr>
                <w:t xml:space="preserve">niddk.nih.gov — causes of gastroparesis</w:t>
              </w:r>
            </w:hyperlink>
          </w:p>
          <w:p>
            <w:pPr>
              <w:spacing w:before="60" w:after="40"/>
            </w:pPr>
            <w:r>
              <w:rPr>
                <w:rFonts w:ascii="Calibri" w:hAnsi="Calibri"/>
                <w:b w:val="0"/>
                <w:i w:val="0"/>
                <w:color w:val="5A5A5A"/>
                <w:sz w:val="18"/>
              </w:rPr>
              <w:t>#hypothyroidism  #scleroderma  #parkinsons  #secondarygastroparesis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Physical activity improves glycaemic control and reduces the neuropathic burden that drives diabetic gastroparesis, and gentle post-meal ambulation (a 10–15 min walk) can accelerate gastric emptying and blunt post-prandial glucose spikes.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Meal composition is the strongest modifiable lever: dietary fat and indigestible fibre, large meal volume and solid particle size all delay emptying, while small, frequent, low-fat, low-fibre, well-cooked or liquid meals markedly reduce symptoms.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Poor or short sleep worsens glycaemic control and nocturnal reflux and can aggravate nausea, but there is little direct evidence that sleep alters gastric emptying independently.</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Nicotine acutely delays gastric emptying and chronic smoking accelerates diabetic autonomic and peripheral neuropathy and worsens glycaemic control, all of which aggravate gastroparesis.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Acute alcohol slows gastric emptying and irritates the gastric mucosa, and chronic heavy use causes autonomic and peripheral neuropathy; alcohol is specifically advised against in gastroparesis diets.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Anxiety and depression are common in gastroparesis and correlate with symptom severity through the brain–gut axis; chronic nausea, vomiting and dietary restriction in turn worsen mood, a bidirectional relationship.</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Liquids empty largely by gravity and are usually tolerated even when solid emptying is impaired, so adequate hydration and liquid/oral-rehydration nutrition are important in preventing dehydration from vomiting, though water does not treat the underlying dysmotility.</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Evidence is limited and inconsistent; caffeinated and carbonated beverages may aggravate reflux and bloating in some patients, and fizzy drinks are generally discouraged, but a clear effect on emptying is not established.</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Food and hand hygiene reduce viral gastroenteritis, an initiator of post-infectious gastroparesis, and dental/oral hygiene mitigates acid-related enamel erosion and halitosis in patients with chronic vomiting and reflux.</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Acute hyperglycaemia (blood glucose &gt;200 mg/dL), large high-fat meals, carbonated drinks, alcohol and motility-slowing drugs (opioids, GLP-1 receptor agonists, anticholinergics) are well-defined precipitants that acutely worsen delayed emptying and symptoms.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Remaining upright and gently mobile for 1–2 hours after meals assists gravity-dependent emptying and limits reflux; lying supine after eating tends to aggravate fullness, regurgitation and nausea.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(kg/m², Asian cut-offs)</w:t>
            </w:r>
          </w:p>
        </w:tc>
        <w:tc>
          <w:tcPr>
            <w:tcW w:type="dxa" w:w="1655"/>
            <w:vAlign w:val="top"/>
          </w:tcPr>
          <w:p>
            <w:pPr>
              <w:spacing w:after="40" w:before="0" w:line="259" w:lineRule="auto"/>
            </w:pPr>
            <w:r>
              <w:rPr>
                <w:rFonts w:ascii="Calibri" w:hAnsi="Calibri"/>
                <w:b w:val="0"/>
                <w:i w:val="0"/>
                <w:color w:val="212121"/>
                <w:sz w:val="19"/>
              </w:rPr>
              <w:t>Adults with diabetes</w:t>
            </w:r>
          </w:p>
        </w:tc>
        <w:tc>
          <w:tcPr>
            <w:tcW w:type="dxa" w:w="1512"/>
            <w:vAlign w:val="top"/>
          </w:tcPr>
          <w:p>
            <w:pPr>
              <w:spacing w:after="40" w:before="0" w:line="259" w:lineRule="auto"/>
            </w:pPr>
            <w:r>
              <w:rPr>
                <w:rFonts w:ascii="Calibri" w:hAnsi="Calibri"/>
                <w:b w:val="0"/>
                <w:i w:val="0"/>
                <w:color w:val="212121"/>
                <w:sz w:val="19"/>
              </w:rPr>
              <w:t>18.0–22.9 kg/m²</w:t>
            </w:r>
          </w:p>
        </w:tc>
        <w:tc>
          <w:tcPr>
            <w:tcW w:type="dxa" w:w="1512"/>
            <w:vAlign w:val="top"/>
          </w:tcPr>
          <w:p>
            <w:pPr>
              <w:spacing w:after="40" w:before="0" w:line="259" w:lineRule="auto"/>
            </w:pPr>
            <w:r>
              <w:rPr>
                <w:rFonts w:ascii="Calibri" w:hAnsi="Calibri"/>
                <w:b w:val="0"/>
                <w:i w:val="0"/>
                <w:color w:val="212121"/>
                <w:sz w:val="19"/>
              </w:rPr>
              <w:t>≥25 (obese, Asian); ≥23 overweight</w:t>
            </w:r>
          </w:p>
        </w:tc>
        <w:tc>
          <w:tcPr>
            <w:tcW w:type="dxa" w:w="1468"/>
            <w:vAlign w:val="top"/>
          </w:tcPr>
          <w:p>
            <w:pPr>
              <w:spacing w:after="60" w:line="259" w:lineRule="auto"/>
            </w:pPr>
            <w:r>
              <w:rPr>
                <w:rFonts w:ascii="Calibri" w:hAnsi="Calibri"/>
                <w:b w:val="0"/>
                <w:i w:val="0"/>
                <w:color w:val="212121"/>
                <w:sz w:val="19"/>
              </w:rPr>
              <w:t>Higher BMI independently predicted delayed gastric emptying in Indian diabetics</w:t>
            </w:r>
          </w:p>
          <w:p>
            <w:pPr>
              <w:spacing w:after="40" w:line="252" w:lineRule="auto"/>
            </w:pPr>
            <w:hyperlink r:id="rId9">
              <w:r>
                <w:rPr>
                  <w:rFonts w:ascii="Calibri" w:hAnsi="Calibri" w:cs="Calibri"/>
                  <w:sz w:val="18"/>
                  <w:color w:val="1155CC"/>
                  <w:u w:val="single"/>
                </w:rPr>
                <w:t xml:space="preserve">https://pubmed.ncbi.nlm.nih.gov/27667549/</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Post-meal walking (min)</w:t>
            </w:r>
          </w:p>
        </w:tc>
        <w:tc>
          <w:tcPr>
            <w:tcW w:type="dxa" w:w="1655"/>
            <w:vAlign w:val="top"/>
          </w:tcPr>
          <w:p>
            <w:pPr>
              <w:spacing w:after="40" w:before="0" w:line="259" w:lineRule="auto"/>
            </w:pPr>
            <w:r>
              <w:rPr>
                <w:rFonts w:ascii="Calibri" w:hAnsi="Calibri"/>
                <w:b w:val="0"/>
                <w:i w:val="0"/>
                <w:color w:val="212121"/>
                <w:sz w:val="19"/>
              </w:rPr>
              <w:t>Diabetics, gastroparesis patients</w:t>
            </w:r>
          </w:p>
        </w:tc>
        <w:tc>
          <w:tcPr>
            <w:tcW w:type="dxa" w:w="1512"/>
            <w:vAlign w:val="top"/>
          </w:tcPr>
          <w:p>
            <w:pPr>
              <w:spacing w:after="40" w:before="0" w:line="259" w:lineRule="auto"/>
            </w:pPr>
            <w:r>
              <w:rPr>
                <w:rFonts w:ascii="Calibri" w:hAnsi="Calibri"/>
                <w:b w:val="0"/>
                <w:i w:val="0"/>
                <w:color w:val="212121"/>
                <w:sz w:val="19"/>
              </w:rPr>
              <w:t>10–15 min after each meal</w:t>
            </w:r>
          </w:p>
        </w:tc>
        <w:tc>
          <w:tcPr>
            <w:tcW w:type="dxa" w:w="1512"/>
            <w:vAlign w:val="top"/>
          </w:tcPr>
          <w:p>
            <w:pPr>
              <w:spacing w:after="40" w:before="0" w:line="259" w:lineRule="auto"/>
            </w:pPr>
            <w:r>
              <w:rPr>
                <w:rFonts w:ascii="Calibri" w:hAnsi="Calibri"/>
                <w:b w:val="0"/>
                <w:i w:val="0"/>
                <w:color w:val="212121"/>
                <w:sz w:val="19"/>
              </w:rPr>
              <w:t>Prolonged post-meal sitting/lying</w:t>
            </w:r>
          </w:p>
        </w:tc>
        <w:tc>
          <w:tcPr>
            <w:tcW w:type="dxa" w:w="1468"/>
            <w:vAlign w:val="top"/>
          </w:tcPr>
          <w:p>
            <w:pPr>
              <w:spacing w:after="40" w:before="0" w:line="259" w:lineRule="auto"/>
            </w:pPr>
            <w:r>
              <w:rPr>
                <w:rFonts w:ascii="Calibri" w:hAnsi="Calibri"/>
                <w:b w:val="0"/>
                <w:i w:val="0"/>
                <w:color w:val="212121"/>
                <w:sz w:val="19"/>
              </w:rPr>
              <w:t>Gentle ambulation aids gastric emptying and blunts post-prandial glucose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fat per meal</w:t>
            </w:r>
          </w:p>
        </w:tc>
        <w:tc>
          <w:tcPr>
            <w:tcW w:type="dxa" w:w="1655"/>
            <w:vAlign w:val="top"/>
          </w:tcPr>
          <w:p>
            <w:pPr>
              <w:spacing w:after="40" w:before="0" w:line="259" w:lineRule="auto"/>
            </w:pPr>
            <w:r>
              <w:rPr>
                <w:rFonts w:ascii="Calibri" w:hAnsi="Calibri"/>
                <w:b w:val="0"/>
                <w:i w:val="0"/>
                <w:color w:val="212121"/>
                <w:sz w:val="19"/>
              </w:rPr>
              <w:t>Symptomatic patients</w:t>
            </w:r>
          </w:p>
        </w:tc>
        <w:tc>
          <w:tcPr>
            <w:tcW w:type="dxa" w:w="1512"/>
            <w:vAlign w:val="top"/>
          </w:tcPr>
          <w:p>
            <w:pPr>
              <w:spacing w:after="40" w:before="0" w:line="259" w:lineRule="auto"/>
            </w:pPr>
            <w:r>
              <w:rPr>
                <w:rFonts w:ascii="Calibri" w:hAnsi="Calibri"/>
                <w:b w:val="0"/>
                <w:i w:val="0"/>
                <w:color w:val="212121"/>
                <w:sz w:val="19"/>
              </w:rPr>
              <w:t>Low-fat, spread across small meals</w:t>
            </w:r>
          </w:p>
        </w:tc>
        <w:tc>
          <w:tcPr>
            <w:tcW w:type="dxa" w:w="1512"/>
            <w:vAlign w:val="top"/>
          </w:tcPr>
          <w:p>
            <w:pPr>
              <w:spacing w:after="40" w:before="0" w:line="259" w:lineRule="auto"/>
            </w:pPr>
            <w:r>
              <w:rPr>
                <w:rFonts w:ascii="Calibri" w:hAnsi="Calibri"/>
                <w:b w:val="0"/>
                <w:i w:val="0"/>
                <w:color w:val="212121"/>
                <w:sz w:val="19"/>
              </w:rPr>
              <w:t>Large, oily or fried meals</w:t>
            </w:r>
          </w:p>
        </w:tc>
        <w:tc>
          <w:tcPr>
            <w:tcW w:type="dxa" w:w="1468"/>
            <w:vAlign w:val="top"/>
          </w:tcPr>
          <w:p>
            <w:pPr>
              <w:spacing w:after="60" w:line="259" w:lineRule="auto"/>
            </w:pPr>
            <w:r>
              <w:rPr>
                <w:rFonts w:ascii="Calibri" w:hAnsi="Calibri"/>
                <w:b w:val="0"/>
                <w:i w:val="0"/>
                <w:color w:val="212121"/>
                <w:sz w:val="19"/>
              </w:rPr>
              <w:t>Fat is the strongest dietary brake on gastric emptying (CCK-mediated)</w:t>
            </w:r>
          </w:p>
          <w:p>
            <w:pPr>
              <w:spacing w:after="40" w:line="252" w:lineRule="auto"/>
            </w:pPr>
            <w:hyperlink r:id="rId13">
              <w:r>
                <w:rPr>
                  <w:rFonts w:ascii="Calibri" w:hAnsi="Calibri" w:cs="Calibri"/>
                  <w:sz w:val="18"/>
                  <w:color w:val="1155CC"/>
                  <w:u w:val="single"/>
                </w:rPr>
                <w:t xml:space="preserve">https://www.niddk.nih.gov/health-information/digestive-diseases/gastroparesis/eating-diet-nutrition</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Meal size / frequency</w:t>
            </w:r>
          </w:p>
        </w:tc>
        <w:tc>
          <w:tcPr>
            <w:tcW w:type="dxa" w:w="1655"/>
            <w:vAlign w:val="top"/>
          </w:tcPr>
          <w:p>
            <w:pPr>
              <w:spacing w:after="40" w:before="0" w:line="259" w:lineRule="auto"/>
            </w:pPr>
            <w:r>
              <w:rPr>
                <w:rFonts w:ascii="Calibri" w:hAnsi="Calibri"/>
                <w:b w:val="0"/>
                <w:i w:val="0"/>
                <w:color w:val="212121"/>
                <w:sz w:val="19"/>
              </w:rPr>
              <w:t>Gastroparesis patients</w:t>
            </w:r>
          </w:p>
        </w:tc>
        <w:tc>
          <w:tcPr>
            <w:tcW w:type="dxa" w:w="1512"/>
            <w:vAlign w:val="top"/>
          </w:tcPr>
          <w:p>
            <w:pPr>
              <w:spacing w:after="40" w:before="0" w:line="259" w:lineRule="auto"/>
            </w:pPr>
            <w:r>
              <w:rPr>
                <w:rFonts w:ascii="Calibri" w:hAnsi="Calibri"/>
                <w:b w:val="0"/>
                <w:i w:val="0"/>
                <w:color w:val="212121"/>
                <w:sz w:val="19"/>
              </w:rPr>
              <w:t>5–6 small meals/day</w:t>
            </w:r>
          </w:p>
        </w:tc>
        <w:tc>
          <w:tcPr>
            <w:tcW w:type="dxa" w:w="1512"/>
            <w:vAlign w:val="top"/>
          </w:tcPr>
          <w:p>
            <w:pPr>
              <w:spacing w:after="40" w:before="0" w:line="259" w:lineRule="auto"/>
            </w:pPr>
            <w:r>
              <w:rPr>
                <w:rFonts w:ascii="Calibri" w:hAnsi="Calibri"/>
                <w:b w:val="0"/>
                <w:i w:val="0"/>
                <w:color w:val="212121"/>
                <w:sz w:val="19"/>
              </w:rPr>
              <w:t>2–3 large meals/day</w:t>
            </w:r>
          </w:p>
        </w:tc>
        <w:tc>
          <w:tcPr>
            <w:tcW w:type="dxa" w:w="1468"/>
            <w:vAlign w:val="top"/>
          </w:tcPr>
          <w:p>
            <w:pPr>
              <w:spacing w:after="60" w:line="259" w:lineRule="auto"/>
            </w:pPr>
            <w:r>
              <w:rPr>
                <w:rFonts w:ascii="Calibri" w:hAnsi="Calibri"/>
                <w:b w:val="0"/>
                <w:i w:val="0"/>
                <w:color w:val="212121"/>
                <w:sz w:val="19"/>
              </w:rPr>
              <w:t>Small frequent meals reduce gastric distension and symptoms</w:t>
            </w:r>
          </w:p>
          <w:p>
            <w:pPr>
              <w:spacing w:after="40" w:line="252" w:lineRule="auto"/>
            </w:pPr>
            <w:hyperlink r:id="rId13">
              <w:r>
                <w:rPr>
                  <w:rFonts w:ascii="Calibri" w:hAnsi="Calibri" w:cs="Calibri"/>
                  <w:sz w:val="18"/>
                  <w:color w:val="1155CC"/>
                  <w:u w:val="single"/>
                </w:rPr>
                <w:t xml:space="preserve">https://www.niddk.nih.gov/health-information/digestive-diseases/gastroparesis/eating-diet-nutrition</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Dietary fibre / bezoar-forming foods</w:t>
            </w:r>
          </w:p>
        </w:tc>
        <w:tc>
          <w:tcPr>
            <w:tcW w:type="dxa" w:w="1655"/>
            <w:vAlign w:val="top"/>
          </w:tcPr>
          <w:p>
            <w:pPr>
              <w:spacing w:after="40" w:before="0" w:line="259" w:lineRule="auto"/>
            </w:pPr>
            <w:r>
              <w:rPr>
                <w:rFonts w:ascii="Calibri" w:hAnsi="Calibri"/>
                <w:b w:val="0"/>
                <w:i w:val="0"/>
                <w:color w:val="212121"/>
                <w:sz w:val="19"/>
              </w:rPr>
              <w:t>Vegetarian &amp; high-fibre eaters</w:t>
            </w:r>
          </w:p>
        </w:tc>
        <w:tc>
          <w:tcPr>
            <w:tcW w:type="dxa" w:w="1512"/>
            <w:vAlign w:val="top"/>
          </w:tcPr>
          <w:p>
            <w:pPr>
              <w:spacing w:after="40" w:before="0" w:line="259" w:lineRule="auto"/>
            </w:pPr>
            <w:r>
              <w:rPr>
                <w:rFonts w:ascii="Calibri" w:hAnsi="Calibri"/>
                <w:b w:val="0"/>
                <w:i w:val="0"/>
                <w:color w:val="212121"/>
                <w:sz w:val="19"/>
              </w:rPr>
              <w:t>Low insoluble fibre; peeled, well-cooked</w:t>
            </w:r>
          </w:p>
        </w:tc>
        <w:tc>
          <w:tcPr>
            <w:tcW w:type="dxa" w:w="1512"/>
            <w:vAlign w:val="top"/>
          </w:tcPr>
          <w:p>
            <w:pPr>
              <w:spacing w:after="40" w:before="0" w:line="259" w:lineRule="auto"/>
            </w:pPr>
            <w:r>
              <w:rPr>
                <w:rFonts w:ascii="Calibri" w:hAnsi="Calibri"/>
                <w:b w:val="0"/>
                <w:i w:val="0"/>
                <w:color w:val="212121"/>
                <w:sz w:val="19"/>
              </w:rPr>
              <w:t>Raw vegetables, guava, unripe fruit, coconut</w:t>
            </w:r>
          </w:p>
        </w:tc>
        <w:tc>
          <w:tcPr>
            <w:tcW w:type="dxa" w:w="1468"/>
            <w:vAlign w:val="top"/>
          </w:tcPr>
          <w:p>
            <w:pPr>
              <w:spacing w:after="60" w:line="259" w:lineRule="auto"/>
            </w:pPr>
            <w:r>
              <w:rPr>
                <w:rFonts w:ascii="Calibri" w:hAnsi="Calibri"/>
                <w:b w:val="0"/>
                <w:i w:val="0"/>
                <w:color w:val="212121"/>
                <w:sz w:val="19"/>
              </w:rPr>
              <w:t>Indigestible fibre aggregates into phytobezoars in a slow stomach</w:t>
            </w:r>
          </w:p>
          <w:p>
            <w:pPr>
              <w:spacing w:after="40" w:line="252" w:lineRule="auto"/>
            </w:pPr>
            <w:hyperlink r:id="rId13">
              <w:r>
                <w:rPr>
                  <w:rFonts w:ascii="Calibri" w:hAnsi="Calibri" w:cs="Calibri"/>
                  <w:sz w:val="18"/>
                  <w:color w:val="1155CC"/>
                  <w:u w:val="single"/>
                </w:rPr>
                <w:t xml:space="preserve">https://www.niddk.nih.gov/health-information/digestive-diseases/gastroparesis/eating-diet-nutrition</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Glycaemic control (HbA1c)</w:t>
            </w:r>
          </w:p>
        </w:tc>
        <w:tc>
          <w:tcPr>
            <w:tcW w:type="dxa" w:w="1655"/>
            <w:vAlign w:val="top"/>
          </w:tcPr>
          <w:p>
            <w:pPr>
              <w:spacing w:after="40" w:before="0" w:line="259" w:lineRule="auto"/>
            </w:pPr>
            <w:r>
              <w:rPr>
                <w:rFonts w:ascii="Calibri" w:hAnsi="Calibri"/>
                <w:b w:val="0"/>
                <w:i w:val="0"/>
                <w:color w:val="212121"/>
                <w:sz w:val="19"/>
              </w:rPr>
              <w:t>Diabetics</w:t>
            </w:r>
          </w:p>
        </w:tc>
        <w:tc>
          <w:tcPr>
            <w:tcW w:type="dxa" w:w="1512"/>
            <w:vAlign w:val="top"/>
          </w:tcPr>
          <w:p>
            <w:pPr>
              <w:spacing w:after="40" w:before="0" w:line="259" w:lineRule="auto"/>
            </w:pPr>
            <w:r>
              <w:rPr>
                <w:rFonts w:ascii="Calibri" w:hAnsi="Calibri"/>
                <w:b w:val="0"/>
                <w:i w:val="0"/>
                <w:color w:val="212121"/>
                <w:sz w:val="19"/>
              </w:rPr>
              <w:t>&lt;7.0%</w:t>
            </w:r>
          </w:p>
        </w:tc>
        <w:tc>
          <w:tcPr>
            <w:tcW w:type="dxa" w:w="1512"/>
            <w:vAlign w:val="top"/>
          </w:tcPr>
          <w:p>
            <w:pPr>
              <w:spacing w:after="40" w:before="0" w:line="259" w:lineRule="auto"/>
            </w:pPr>
            <w:r>
              <w:rPr>
                <w:rFonts w:ascii="Calibri" w:hAnsi="Calibri"/>
                <w:b w:val="0"/>
                <w:i w:val="0"/>
                <w:color w:val="212121"/>
                <w:sz w:val="19"/>
              </w:rPr>
              <w:t>≥7–8% (poor control)</w:t>
            </w:r>
          </w:p>
        </w:tc>
        <w:tc>
          <w:tcPr>
            <w:tcW w:type="dxa" w:w="1468"/>
            <w:vAlign w:val="top"/>
          </w:tcPr>
          <w:p>
            <w:pPr>
              <w:spacing w:after="60" w:line="259" w:lineRule="auto"/>
            </w:pPr>
            <w:r>
              <w:rPr>
                <w:rFonts w:ascii="Calibri" w:hAnsi="Calibri"/>
                <w:b w:val="0"/>
                <w:i w:val="0"/>
                <w:color w:val="212121"/>
                <w:sz w:val="19"/>
              </w:rPr>
              <w:t>HbA1c independently predicted delayed gastric emptying in Indian T2DM</w:t>
            </w:r>
          </w:p>
          <w:p>
            <w:pPr>
              <w:spacing w:after="40" w:line="252" w:lineRule="auto"/>
            </w:pPr>
            <w:hyperlink r:id="rId9">
              <w:r>
                <w:rPr>
                  <w:rFonts w:ascii="Calibri" w:hAnsi="Calibri" w:cs="Calibri"/>
                  <w:sz w:val="18"/>
                  <w:color w:val="1155CC"/>
                  <w:u w:val="single"/>
                </w:rPr>
                <w:t xml:space="preserve">https://pubmed.ncbi.nlm.nih.gov/27667549/</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Blood glucose at meals / testing</w:t>
            </w:r>
          </w:p>
        </w:tc>
        <w:tc>
          <w:tcPr>
            <w:tcW w:type="dxa" w:w="1655"/>
            <w:vAlign w:val="top"/>
          </w:tcPr>
          <w:p>
            <w:pPr>
              <w:spacing w:after="40" w:before="0" w:line="259" w:lineRule="auto"/>
            </w:pPr>
            <w:r>
              <w:rPr>
                <w:rFonts w:ascii="Calibri" w:hAnsi="Calibri"/>
                <w:b w:val="0"/>
                <w:i w:val="0"/>
                <w:color w:val="212121"/>
                <w:sz w:val="19"/>
              </w:rPr>
              <w:t>Diabetics</w:t>
            </w:r>
          </w:p>
        </w:tc>
        <w:tc>
          <w:tcPr>
            <w:tcW w:type="dxa" w:w="1512"/>
            <w:vAlign w:val="top"/>
          </w:tcPr>
          <w:p>
            <w:pPr>
              <w:spacing w:after="40" w:before="0" w:line="259" w:lineRule="auto"/>
            </w:pPr>
            <w:r>
              <w:rPr>
                <w:rFonts w:ascii="Calibri" w:hAnsi="Calibri"/>
                <w:b w:val="0"/>
                <w:i w:val="0"/>
                <w:color w:val="212121"/>
                <w:sz w:val="19"/>
              </w:rPr>
              <w:t>&lt;180 mg/dL</w:t>
            </w:r>
          </w:p>
        </w:tc>
        <w:tc>
          <w:tcPr>
            <w:tcW w:type="dxa" w:w="1512"/>
            <w:vAlign w:val="top"/>
          </w:tcPr>
          <w:p>
            <w:pPr>
              <w:spacing w:after="40" w:before="0" w:line="259" w:lineRule="auto"/>
            </w:pPr>
            <w:r>
              <w:rPr>
                <w:rFonts w:ascii="Calibri" w:hAnsi="Calibri"/>
                <w:b w:val="0"/>
                <w:i w:val="0"/>
                <w:color w:val="212121"/>
                <w:sz w:val="19"/>
              </w:rPr>
              <w:t>&gt;200 mg/dL</w:t>
            </w:r>
          </w:p>
        </w:tc>
        <w:tc>
          <w:tcPr>
            <w:tcW w:type="dxa" w:w="1468"/>
            <w:vAlign w:val="top"/>
          </w:tcPr>
          <w:p>
            <w:pPr>
              <w:spacing w:after="60" w:line="259" w:lineRule="auto"/>
            </w:pPr>
            <w:r>
              <w:rPr>
                <w:rFonts w:ascii="Calibri" w:hAnsi="Calibri"/>
                <w:b w:val="0"/>
                <w:i w:val="0"/>
                <w:color w:val="212121"/>
                <w:sz w:val="19"/>
              </w:rPr>
              <w:t>Acute hyperglycaemia reversibly delays emptying and can invalidate scintigraphy</w:t>
            </w:r>
          </w:p>
          <w:p>
            <w:pPr>
              <w:spacing w:after="40" w:line="252" w:lineRule="auto"/>
            </w:pPr>
            <w:hyperlink r:id="rId10">
              <w:r>
                <w:rPr>
                  <w:rFonts w:ascii="Calibri" w:hAnsi="Calibri" w:cs="Calibri"/>
                  <w:sz w:val="18"/>
                  <w:color w:val="1155CC"/>
                  <w:u w:val="single"/>
                </w:rPr>
                <w:t xml:space="preserve">https://www.ncbi.nlm.nih.gov/books/NBK551528/</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4-hour gastric retention (scintigraphy)</w:t>
            </w:r>
          </w:p>
        </w:tc>
        <w:tc>
          <w:tcPr>
            <w:tcW w:type="dxa" w:w="1655"/>
            <w:vAlign w:val="top"/>
          </w:tcPr>
          <w:p>
            <w:pPr>
              <w:spacing w:after="40" w:before="0" w:line="259" w:lineRule="auto"/>
            </w:pPr>
            <w:r>
              <w:rPr>
                <w:rFonts w:ascii="Calibri" w:hAnsi="Calibri"/>
                <w:b w:val="0"/>
                <w:i w:val="0"/>
                <w:color w:val="212121"/>
                <w:sz w:val="19"/>
              </w:rPr>
              <w:t>Suspected gastroparesis</w:t>
            </w:r>
          </w:p>
        </w:tc>
        <w:tc>
          <w:tcPr>
            <w:tcW w:type="dxa" w:w="1512"/>
            <w:vAlign w:val="top"/>
          </w:tcPr>
          <w:p>
            <w:pPr>
              <w:spacing w:after="40" w:before="0" w:line="259" w:lineRule="auto"/>
            </w:pPr>
            <w:r>
              <w:rPr>
                <w:rFonts w:ascii="Calibri" w:hAnsi="Calibri"/>
                <w:b w:val="0"/>
                <w:i w:val="0"/>
                <w:color w:val="212121"/>
                <w:sz w:val="19"/>
              </w:rPr>
              <w:t>≤10% retained at 4 h</w:t>
            </w:r>
          </w:p>
        </w:tc>
        <w:tc>
          <w:tcPr>
            <w:tcW w:type="dxa" w:w="1512"/>
            <w:vAlign w:val="top"/>
          </w:tcPr>
          <w:p>
            <w:pPr>
              <w:spacing w:after="40" w:before="0" w:line="259" w:lineRule="auto"/>
            </w:pPr>
            <w:r>
              <w:rPr>
                <w:rFonts w:ascii="Calibri" w:hAnsi="Calibri"/>
                <w:b w:val="0"/>
                <w:i w:val="0"/>
                <w:color w:val="212121"/>
                <w:sz w:val="19"/>
              </w:rPr>
              <w:t>&gt;10% at 4 h (mild &lt;15, moderate 15–35, severe &gt;35%)</w:t>
            </w:r>
          </w:p>
        </w:tc>
        <w:tc>
          <w:tcPr>
            <w:tcW w:type="dxa" w:w="1468"/>
            <w:vAlign w:val="top"/>
          </w:tcPr>
          <w:p>
            <w:pPr>
              <w:spacing w:after="60" w:line="259" w:lineRule="auto"/>
            </w:pPr>
            <w:r>
              <w:rPr>
                <w:rFonts w:ascii="Calibri" w:hAnsi="Calibri"/>
                <w:b w:val="0"/>
                <w:i w:val="0"/>
                <w:color w:val="212121"/>
                <w:sz w:val="19"/>
              </w:rPr>
              <w:t>Objective diagnostic and severity metric</w:t>
            </w:r>
          </w:p>
          <w:p>
            <w:pPr>
              <w:spacing w:after="40" w:line="252" w:lineRule="auto"/>
            </w:pPr>
            <w:hyperlink r:id="rId10">
              <w:r>
                <w:rPr>
                  <w:rFonts w:ascii="Calibri" w:hAnsi="Calibri" w:cs="Calibri"/>
                  <w:sz w:val="18"/>
                  <w:color w:val="1155CC"/>
                  <w:u w:val="single"/>
                </w:rPr>
                <w:t xml:space="preserve">https://www.ncbi.nlm.nih.gov/books/NBK551528/</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Cigarettes/bidis per day</w:t>
            </w:r>
          </w:p>
        </w:tc>
        <w:tc>
          <w:tcPr>
            <w:tcW w:type="dxa" w:w="1655"/>
            <w:vAlign w:val="top"/>
          </w:tcPr>
          <w:p>
            <w:pPr>
              <w:spacing w:after="40" w:before="0" w:line="259" w:lineRule="auto"/>
            </w:pPr>
            <w:r>
              <w:rPr>
                <w:rFonts w:ascii="Calibri" w:hAnsi="Calibri"/>
                <w:b w:val="0"/>
                <w:i w:val="0"/>
                <w:color w:val="212121"/>
                <w:sz w:val="19"/>
              </w:rPr>
              <w:t>Diabetic smokers</w:t>
            </w:r>
          </w:p>
        </w:tc>
        <w:tc>
          <w:tcPr>
            <w:tcW w:type="dxa" w:w="1512"/>
            <w:vAlign w:val="top"/>
          </w:tcPr>
          <w:p>
            <w:pPr>
              <w:spacing w:after="40" w:before="0" w:line="259" w:lineRule="auto"/>
            </w:pPr>
            <w:r>
              <w:rPr>
                <w:rFonts w:ascii="Calibri" w:hAnsi="Calibri"/>
                <w:b w:val="0"/>
                <w:i w:val="0"/>
                <w:color w:val="212121"/>
                <w:sz w:val="19"/>
              </w:rPr>
              <w:t>0/day</w:t>
            </w:r>
          </w:p>
        </w:tc>
        <w:tc>
          <w:tcPr>
            <w:tcW w:type="dxa" w:w="1512"/>
            <w:vAlign w:val="top"/>
          </w:tcPr>
          <w:p>
            <w:pPr>
              <w:spacing w:after="40" w:before="0" w:line="259" w:lineRule="auto"/>
            </w:pPr>
            <w:r>
              <w:rPr>
                <w:rFonts w:ascii="Calibri" w:hAnsi="Calibri"/>
                <w:b w:val="0"/>
                <w:i w:val="0"/>
                <w:color w:val="212121"/>
                <w:sz w:val="19"/>
              </w:rPr>
              <w:t>≥1/day</w:t>
            </w:r>
          </w:p>
        </w:tc>
        <w:tc>
          <w:tcPr>
            <w:tcW w:type="dxa" w:w="1468"/>
            <w:vAlign w:val="top"/>
          </w:tcPr>
          <w:p>
            <w:pPr>
              <w:spacing w:after="40" w:before="0" w:line="259" w:lineRule="auto"/>
            </w:pPr>
            <w:r>
              <w:rPr>
                <w:rFonts w:ascii="Calibri" w:hAnsi="Calibri"/>
                <w:b w:val="0"/>
                <w:i w:val="0"/>
                <w:color w:val="212121"/>
                <w:sz w:val="19"/>
              </w:rPr>
              <w:t>Nicotine delays emptying and accelerates autonomic neuropathy</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Drinks per 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None (advised in gastroparesis)</w:t>
            </w:r>
          </w:p>
        </w:tc>
        <w:tc>
          <w:tcPr>
            <w:tcW w:type="dxa" w:w="1512"/>
            <w:vAlign w:val="top"/>
          </w:tcPr>
          <w:p>
            <w:pPr>
              <w:spacing w:after="40" w:before="0" w:line="259" w:lineRule="auto"/>
            </w:pPr>
            <w:r>
              <w:rPr>
                <w:rFonts w:ascii="Calibri" w:hAnsi="Calibri"/>
                <w:b w:val="0"/>
                <w:i w:val="0"/>
                <w:color w:val="212121"/>
                <w:sz w:val="19"/>
              </w:rPr>
              <w:t>Any regular intake</w:t>
            </w:r>
          </w:p>
        </w:tc>
        <w:tc>
          <w:tcPr>
            <w:tcW w:type="dxa" w:w="1468"/>
            <w:vAlign w:val="top"/>
          </w:tcPr>
          <w:p>
            <w:pPr>
              <w:spacing w:after="60" w:line="259" w:lineRule="auto"/>
            </w:pPr>
            <w:r>
              <w:rPr>
                <w:rFonts w:ascii="Calibri" w:hAnsi="Calibri"/>
                <w:b w:val="0"/>
                <w:i w:val="0"/>
                <w:color w:val="212121"/>
                <w:sz w:val="19"/>
              </w:rPr>
              <w:t>Alcohol slows emptying and irritates the stomach</w:t>
            </w:r>
          </w:p>
          <w:p>
            <w:pPr>
              <w:spacing w:after="40" w:line="252" w:lineRule="auto"/>
            </w:pPr>
            <w:hyperlink r:id="rId13">
              <w:r>
                <w:rPr>
                  <w:rFonts w:ascii="Calibri" w:hAnsi="Calibri" w:cs="Calibri"/>
                  <w:sz w:val="18"/>
                  <w:color w:val="1155CC"/>
                  <w:u w:val="single"/>
                </w:rPr>
                <w:t xml:space="preserve">https://www.niddk.nih.gov/health-information/digestive-diseases/gastroparesis/eating-diet-nutrition</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Unintentional weight loss</w:t>
            </w:r>
          </w:p>
        </w:tc>
        <w:tc>
          <w:tcPr>
            <w:tcW w:type="dxa" w:w="1655"/>
            <w:vAlign w:val="top"/>
          </w:tcPr>
          <w:p>
            <w:pPr>
              <w:spacing w:after="40" w:before="0" w:line="259" w:lineRule="auto"/>
            </w:pPr>
            <w:r>
              <w:rPr>
                <w:rFonts w:ascii="Calibri" w:hAnsi="Calibri"/>
                <w:b w:val="0"/>
                <w:i w:val="0"/>
                <w:color w:val="212121"/>
                <w:sz w:val="19"/>
              </w:rPr>
              <w:t>Severe/refractory patients</w:t>
            </w:r>
          </w:p>
        </w:tc>
        <w:tc>
          <w:tcPr>
            <w:tcW w:type="dxa" w:w="1512"/>
            <w:vAlign w:val="top"/>
          </w:tcPr>
          <w:p>
            <w:pPr>
              <w:spacing w:after="40" w:before="0" w:line="259" w:lineRule="auto"/>
            </w:pPr>
            <w:r>
              <w:rPr>
                <w:rFonts w:ascii="Calibri" w:hAnsi="Calibri"/>
                <w:b w:val="0"/>
                <w:i w:val="0"/>
                <w:color w:val="212121"/>
                <w:sz w:val="19"/>
              </w:rPr>
              <w:t>Stable weight</w:t>
            </w:r>
          </w:p>
        </w:tc>
        <w:tc>
          <w:tcPr>
            <w:tcW w:type="dxa" w:w="1512"/>
            <w:vAlign w:val="top"/>
          </w:tcPr>
          <w:p>
            <w:pPr>
              <w:spacing w:after="40" w:before="0" w:line="259" w:lineRule="auto"/>
            </w:pPr>
            <w:r>
              <w:rPr>
                <w:rFonts w:ascii="Calibri" w:hAnsi="Calibri"/>
                <w:b w:val="0"/>
                <w:i w:val="0"/>
                <w:color w:val="212121"/>
                <w:sz w:val="19"/>
              </w:rPr>
              <w:t>&gt;5% loss in 3–6 months</w:t>
            </w:r>
          </w:p>
        </w:tc>
        <w:tc>
          <w:tcPr>
            <w:tcW w:type="dxa" w:w="1468"/>
            <w:vAlign w:val="top"/>
          </w:tcPr>
          <w:p>
            <w:pPr>
              <w:spacing w:after="40" w:before="0" w:line="259" w:lineRule="auto"/>
            </w:pPr>
            <w:r>
              <w:rPr>
                <w:rFonts w:ascii="Calibri" w:hAnsi="Calibri"/>
                <w:b w:val="0"/>
                <w:i w:val="0"/>
                <w:color w:val="212121"/>
                <w:sz w:val="19"/>
              </w:rPr>
              <w:t>Signals malnutrition and gastric failure needing nutrition support</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Nuclear medicine</w:t>
            </w:r>
          </w:p>
        </w:tc>
        <w:tc>
          <w:tcPr>
            <w:tcW w:type="dxa" w:w="1036"/>
            <w:vAlign w:val="top"/>
          </w:tcPr>
          <w:p>
            <w:pPr>
              <w:spacing w:after="40" w:before="0" w:line="259" w:lineRule="auto"/>
            </w:pPr>
            <w:r>
              <w:rPr>
                <w:rFonts w:ascii="Calibri" w:hAnsi="Calibri"/>
                <w:b w:val="0"/>
                <w:i w:val="0"/>
                <w:color w:val="212121"/>
                <w:sz w:val="16"/>
              </w:rPr>
              <w:t>4-hour gastric retention</w:t>
            </w:r>
          </w:p>
        </w:tc>
        <w:tc>
          <w:tcPr>
            <w:tcW w:type="dxa" w:w="892"/>
            <w:vAlign w:val="top"/>
          </w:tcPr>
          <w:p>
            <w:pPr>
              <w:spacing w:after="40" w:before="0" w:line="259" w:lineRule="auto"/>
            </w:pPr>
            <w:r>
              <w:rPr>
                <w:rFonts w:ascii="Calibri" w:hAnsi="Calibri"/>
                <w:b w:val="0"/>
                <w:i w:val="0"/>
                <w:color w:val="212121"/>
                <w:sz w:val="16"/>
              </w:rPr>
              <w:t>Gastric emptying scintigraphy</w:t>
            </w:r>
          </w:p>
        </w:tc>
        <w:tc>
          <w:tcPr>
            <w:tcW w:type="dxa" w:w="950"/>
            <w:vAlign w:val="top"/>
          </w:tcPr>
          <w:p>
            <w:pPr>
              <w:spacing w:after="40" w:before="0" w:line="259" w:lineRule="auto"/>
            </w:pPr>
            <w:r>
              <w:rPr>
                <w:rFonts w:ascii="Calibri" w:hAnsi="Calibri"/>
                <w:b w:val="0"/>
                <w:i w:val="0"/>
                <w:color w:val="212121"/>
                <w:sz w:val="16"/>
              </w:rPr>
              <w:t>≤10% retained at 4 h</w:t>
            </w:r>
          </w:p>
        </w:tc>
        <w:tc>
          <w:tcPr>
            <w:tcW w:type="dxa" w:w="950"/>
            <w:vAlign w:val="top"/>
          </w:tcPr>
          <w:p>
            <w:pPr>
              <w:spacing w:after="40" w:before="0" w:line="259" w:lineRule="auto"/>
            </w:pPr>
            <w:r>
              <w:rPr>
                <w:rFonts w:ascii="Calibri" w:hAnsi="Calibri"/>
                <w:b w:val="0"/>
                <w:i w:val="0"/>
                <w:color w:val="212121"/>
                <w:sz w:val="16"/>
              </w:rPr>
              <w:t>&gt;10% at 4 h (or &gt;60% at 2 h)</w:t>
            </w:r>
          </w:p>
        </w:tc>
        <w:tc>
          <w:tcPr>
            <w:tcW w:type="dxa" w:w="1036"/>
            <w:vAlign w:val="top"/>
          </w:tcPr>
          <w:p>
            <w:pPr>
              <w:spacing w:after="40" w:before="0" w:line="259" w:lineRule="auto"/>
            </w:pPr>
            <w:r>
              <w:rPr>
                <w:rFonts w:ascii="Calibri" w:hAnsi="Calibri"/>
                <w:b w:val="0"/>
                <w:i w:val="0"/>
                <w:color w:val="212121"/>
                <w:sz w:val="16"/>
              </w:rPr>
              <w:t>Gold-standard confirmation and severity grading (mild &lt;15%, moderate 15–35%, severe &gt;35%)</w:t>
            </w:r>
          </w:p>
        </w:tc>
        <w:tc>
          <w:tcPr>
            <w:tcW w:type="dxa" w:w="1036"/>
            <w:vAlign w:val="top"/>
          </w:tcPr>
          <w:p>
            <w:pPr>
              <w:spacing w:after="40" w:before="0" w:line="259" w:lineRule="auto"/>
            </w:pPr>
            <w:r>
              <w:rPr>
                <w:rFonts w:ascii="Calibri" w:hAnsi="Calibri"/>
                <w:b w:val="0"/>
                <w:i w:val="0"/>
                <w:color w:val="212121"/>
                <w:sz w:val="16"/>
              </w:rPr>
              <w:t>Diabetics with nausea/vomiting, idiopathic dyspepsia, post-surgical patients</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Standardised low-fat egg meal; ensure glucose &lt;180–200 mg/dL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Glycated haemoglobin (HbA1c)</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4.0–5.6%</w:t>
            </w:r>
          </w:p>
        </w:tc>
        <w:tc>
          <w:tcPr>
            <w:tcW w:type="dxa" w:w="950"/>
            <w:vAlign w:val="top"/>
          </w:tcPr>
          <w:p>
            <w:pPr>
              <w:spacing w:after="40" w:before="0" w:line="259" w:lineRule="auto"/>
            </w:pPr>
            <w:r>
              <w:rPr>
                <w:rFonts w:ascii="Calibri" w:hAnsi="Calibri"/>
                <w:b w:val="0"/>
                <w:i w:val="0"/>
                <w:color w:val="212121"/>
                <w:sz w:val="16"/>
              </w:rPr>
              <w:t>≥6.5% (target &lt;7% if diabetic)</w:t>
            </w:r>
          </w:p>
        </w:tc>
        <w:tc>
          <w:tcPr>
            <w:tcW w:type="dxa" w:w="1036"/>
            <w:vAlign w:val="top"/>
          </w:tcPr>
          <w:p>
            <w:pPr>
              <w:spacing w:after="40" w:before="0" w:line="259" w:lineRule="auto"/>
            </w:pPr>
            <w:r>
              <w:rPr>
                <w:rFonts w:ascii="Calibri" w:hAnsi="Calibri"/>
                <w:b w:val="0"/>
                <w:i w:val="0"/>
                <w:color w:val="212121"/>
                <w:sz w:val="16"/>
              </w:rPr>
              <w:t>Chronic glycaemic burden; independent predictor of delayed emptying</w:t>
            </w:r>
          </w:p>
        </w:tc>
        <w:tc>
          <w:tcPr>
            <w:tcW w:type="dxa" w:w="1036"/>
            <w:vAlign w:val="top"/>
          </w:tcPr>
          <w:p>
            <w:pPr>
              <w:spacing w:after="40" w:before="0" w:line="259" w:lineRule="auto"/>
            </w:pPr>
            <w:r>
              <w:rPr>
                <w:rFonts w:ascii="Calibri" w:hAnsi="Calibri"/>
                <w:b w:val="0"/>
                <w:i w:val="0"/>
                <w:color w:val="212121"/>
                <w:sz w:val="16"/>
              </w:rPr>
              <w:t>All diabetic gastroparesis patients</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Higher HbA1c predicted delayed GE in Indian T2DM</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Plasma / capillary glucose</w:t>
            </w:r>
          </w:p>
        </w:tc>
        <w:tc>
          <w:tcPr>
            <w:tcW w:type="dxa" w:w="892"/>
            <w:vAlign w:val="top"/>
          </w:tcPr>
          <w:p>
            <w:pPr>
              <w:spacing w:after="40" w:before="0" w:line="259" w:lineRule="auto"/>
            </w:pPr>
            <w:r>
              <w:rPr>
                <w:rFonts w:ascii="Calibri" w:hAnsi="Calibri"/>
                <w:b w:val="0"/>
                <w:i w:val="0"/>
                <w:color w:val="212121"/>
                <w:sz w:val="16"/>
              </w:rPr>
              <w:t>Blood glucose test</w:t>
            </w:r>
          </w:p>
        </w:tc>
        <w:tc>
          <w:tcPr>
            <w:tcW w:type="dxa" w:w="950"/>
            <w:vAlign w:val="top"/>
          </w:tcPr>
          <w:p>
            <w:pPr>
              <w:spacing w:after="40" w:before="0" w:line="259" w:lineRule="auto"/>
            </w:pPr>
            <w:r>
              <w:rPr>
                <w:rFonts w:ascii="Calibri" w:hAnsi="Calibri"/>
                <w:b w:val="0"/>
                <w:i w:val="0"/>
                <w:color w:val="212121"/>
                <w:sz w:val="16"/>
              </w:rPr>
              <w:t>70–99 mg/dL fasting</w:t>
            </w:r>
          </w:p>
        </w:tc>
        <w:tc>
          <w:tcPr>
            <w:tcW w:type="dxa" w:w="950"/>
            <w:vAlign w:val="top"/>
          </w:tcPr>
          <w:p>
            <w:pPr>
              <w:spacing w:after="40" w:before="0" w:line="259" w:lineRule="auto"/>
            </w:pPr>
            <w:r>
              <w:rPr>
                <w:rFonts w:ascii="Calibri" w:hAnsi="Calibri"/>
                <w:b w:val="0"/>
                <w:i w:val="0"/>
                <w:color w:val="212121"/>
                <w:sz w:val="16"/>
              </w:rPr>
              <w:t>&gt;200 mg/dL</w:t>
            </w:r>
          </w:p>
        </w:tc>
        <w:tc>
          <w:tcPr>
            <w:tcW w:type="dxa" w:w="1036"/>
            <w:vAlign w:val="top"/>
          </w:tcPr>
          <w:p>
            <w:pPr>
              <w:spacing w:after="40" w:before="0" w:line="259" w:lineRule="auto"/>
            </w:pPr>
            <w:r>
              <w:rPr>
                <w:rFonts w:ascii="Calibri" w:hAnsi="Calibri"/>
                <w:b w:val="0"/>
                <w:i w:val="0"/>
                <w:color w:val="212121"/>
                <w:sz w:val="16"/>
              </w:rPr>
              <w:t>Acute hyperglycaemia itself delays emptying; must be corrected before/at testing</w:t>
            </w:r>
          </w:p>
        </w:tc>
        <w:tc>
          <w:tcPr>
            <w:tcW w:type="dxa" w:w="1036"/>
            <w:vAlign w:val="top"/>
          </w:tcPr>
          <w:p>
            <w:pPr>
              <w:spacing w:after="40" w:before="0" w:line="259" w:lineRule="auto"/>
            </w:pPr>
            <w:r>
              <w:rPr>
                <w:rFonts w:ascii="Calibri" w:hAnsi="Calibri"/>
                <w:b w:val="0"/>
                <w:i w:val="0"/>
                <w:color w:val="212121"/>
                <w:sz w:val="16"/>
              </w:rPr>
              <w:t>Diabetics, acutely symptomatic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Avoids false-positive scintigraphy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Endoscopy</w:t>
            </w:r>
          </w:p>
        </w:tc>
        <w:tc>
          <w:tcPr>
            <w:tcW w:type="dxa" w:w="1036"/>
            <w:vAlign w:val="top"/>
          </w:tcPr>
          <w:p>
            <w:pPr>
              <w:spacing w:after="40" w:before="0" w:line="259" w:lineRule="auto"/>
            </w:pPr>
            <w:r>
              <w:rPr>
                <w:rFonts w:ascii="Calibri" w:hAnsi="Calibri"/>
                <w:b w:val="0"/>
                <w:i w:val="0"/>
                <w:color w:val="212121"/>
                <w:sz w:val="16"/>
              </w:rPr>
              <w:t>Mechanical obstruction / retained food</w:t>
            </w:r>
          </w:p>
        </w:tc>
        <w:tc>
          <w:tcPr>
            <w:tcW w:type="dxa" w:w="892"/>
            <w:vAlign w:val="top"/>
          </w:tcPr>
          <w:p>
            <w:pPr>
              <w:spacing w:after="40" w:before="0" w:line="259" w:lineRule="auto"/>
            </w:pPr>
            <w:r>
              <w:rPr>
                <w:rFonts w:ascii="Calibri" w:hAnsi="Calibri"/>
                <w:b w:val="0"/>
                <w:i w:val="0"/>
                <w:color w:val="212121"/>
                <w:sz w:val="16"/>
              </w:rPr>
              <w:t>Upper GI endoscopy</w:t>
            </w:r>
          </w:p>
        </w:tc>
        <w:tc>
          <w:tcPr>
            <w:tcW w:type="dxa" w:w="950"/>
            <w:vAlign w:val="top"/>
          </w:tcPr>
          <w:p>
            <w:pPr>
              <w:spacing w:after="40" w:before="0" w:line="259" w:lineRule="auto"/>
            </w:pPr>
            <w:r>
              <w:rPr>
                <w:rFonts w:ascii="Calibri" w:hAnsi="Calibri"/>
                <w:b w:val="0"/>
                <w:i w:val="0"/>
                <w:color w:val="212121"/>
                <w:sz w:val="16"/>
              </w:rPr>
              <w:t>No obstruction; empty stomach after fasting</w:t>
            </w:r>
          </w:p>
        </w:tc>
        <w:tc>
          <w:tcPr>
            <w:tcW w:type="dxa" w:w="950"/>
            <w:vAlign w:val="top"/>
          </w:tcPr>
          <w:p>
            <w:pPr>
              <w:spacing w:after="40" w:before="0" w:line="259" w:lineRule="auto"/>
            </w:pPr>
            <w:r>
              <w:rPr>
                <w:rFonts w:ascii="Calibri" w:hAnsi="Calibri"/>
                <w:b w:val="0"/>
                <w:i w:val="0"/>
                <w:color w:val="212121"/>
                <w:sz w:val="16"/>
              </w:rPr>
              <w:t>Retained food/bezoar or obstructing lesion</w:t>
            </w:r>
          </w:p>
        </w:tc>
        <w:tc>
          <w:tcPr>
            <w:tcW w:type="dxa" w:w="1036"/>
            <w:vAlign w:val="top"/>
          </w:tcPr>
          <w:p>
            <w:pPr>
              <w:spacing w:after="40" w:before="0" w:line="259" w:lineRule="auto"/>
            </w:pPr>
            <w:r>
              <w:rPr>
                <w:rFonts w:ascii="Calibri" w:hAnsi="Calibri"/>
                <w:b w:val="0"/>
                <w:i w:val="0"/>
                <w:color w:val="212121"/>
                <w:sz w:val="16"/>
              </w:rPr>
              <w:t>Mandatory to exclude gastric-outlet/mechanical obstruction before diagnosing gastroparesis</w:t>
            </w:r>
          </w:p>
        </w:tc>
        <w:tc>
          <w:tcPr>
            <w:tcW w:type="dxa" w:w="1036"/>
            <w:vAlign w:val="top"/>
          </w:tcPr>
          <w:p>
            <w:pPr>
              <w:spacing w:after="40" w:before="0" w:line="259" w:lineRule="auto"/>
            </w:pPr>
            <w:r>
              <w:rPr>
                <w:rFonts w:ascii="Calibri" w:hAnsi="Calibri"/>
                <w:b w:val="0"/>
                <w:i w:val="0"/>
                <w:color w:val="212121"/>
                <w:sz w:val="16"/>
              </w:rPr>
              <w:t>All patients with new upper-GI symptoms, weight loss or vomiting</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Essential (exclusionary)</w:t>
            </w:r>
          </w:p>
        </w:tc>
        <w:tc>
          <w:tcPr>
            <w:tcW w:type="dxa" w:w="720"/>
            <w:vAlign w:val="top"/>
          </w:tcPr>
          <w:p>
            <w:pPr>
              <w:spacing w:after="40" w:before="0" w:line="259" w:lineRule="auto"/>
            </w:pPr>
            <w:r>
              <w:rPr>
                <w:rFonts w:ascii="Calibri" w:hAnsi="Calibri"/>
                <w:b w:val="0"/>
                <w:i w:val="0"/>
                <w:color w:val="212121"/>
                <w:sz w:val="16"/>
              </w:rPr>
              <w:t>Retained food after overnight fast is suggestive of stasis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Thyroid-stimulating hormone (TSH)</w:t>
            </w:r>
          </w:p>
        </w:tc>
        <w:tc>
          <w:tcPr>
            <w:tcW w:type="dxa" w:w="892"/>
            <w:vAlign w:val="top"/>
          </w:tcPr>
          <w:p>
            <w:pPr>
              <w:spacing w:after="40" w:before="0" w:line="259" w:lineRule="auto"/>
            </w:pPr>
            <w:r>
              <w:rPr>
                <w:rFonts w:ascii="Calibri" w:hAnsi="Calibri"/>
                <w:b w:val="0"/>
                <w:i w:val="0"/>
                <w:color w:val="212121"/>
                <w:sz w:val="16"/>
              </w:rPr>
              <w:t>Thyroid function test</w:t>
            </w:r>
          </w:p>
        </w:tc>
        <w:tc>
          <w:tcPr>
            <w:tcW w:type="dxa" w:w="950"/>
            <w:vAlign w:val="top"/>
          </w:tcPr>
          <w:p>
            <w:pPr>
              <w:spacing w:after="40" w:before="0" w:line="259" w:lineRule="auto"/>
            </w:pPr>
            <w:r>
              <w:rPr>
                <w:rFonts w:ascii="Calibri" w:hAnsi="Calibri"/>
                <w:b w:val="0"/>
                <w:i w:val="0"/>
                <w:color w:val="212121"/>
                <w:sz w:val="16"/>
              </w:rPr>
              <w:t>0.4–4.0 mIU/L</w:t>
            </w:r>
          </w:p>
        </w:tc>
        <w:tc>
          <w:tcPr>
            <w:tcW w:type="dxa" w:w="950"/>
            <w:vAlign w:val="top"/>
          </w:tcPr>
          <w:p>
            <w:pPr>
              <w:spacing w:after="40" w:before="0" w:line="259" w:lineRule="auto"/>
            </w:pPr>
            <w:r>
              <w:rPr>
                <w:rFonts w:ascii="Calibri" w:hAnsi="Calibri"/>
                <w:b w:val="0"/>
                <w:i w:val="0"/>
                <w:color w:val="212121"/>
                <w:sz w:val="16"/>
              </w:rPr>
              <w:t>Elevated (hypothyroidism)</w:t>
            </w:r>
          </w:p>
        </w:tc>
        <w:tc>
          <w:tcPr>
            <w:tcW w:type="dxa" w:w="1036"/>
            <w:vAlign w:val="top"/>
          </w:tcPr>
          <w:p>
            <w:pPr>
              <w:spacing w:after="40" w:before="0" w:line="259" w:lineRule="auto"/>
            </w:pPr>
            <w:r>
              <w:rPr>
                <w:rFonts w:ascii="Calibri" w:hAnsi="Calibri"/>
                <w:b w:val="0"/>
                <w:i w:val="0"/>
                <w:color w:val="212121"/>
                <w:sz w:val="16"/>
              </w:rPr>
              <w:t>Screens for hypothyroidism as a reversible secondary cause</w:t>
            </w:r>
          </w:p>
        </w:tc>
        <w:tc>
          <w:tcPr>
            <w:tcW w:type="dxa" w:w="1036"/>
            <w:vAlign w:val="top"/>
          </w:tcPr>
          <w:p>
            <w:pPr>
              <w:spacing w:after="40" w:before="0" w:line="259" w:lineRule="auto"/>
            </w:pPr>
            <w:r>
              <w:rPr>
                <w:rFonts w:ascii="Calibri" w:hAnsi="Calibri"/>
                <w:b w:val="0"/>
                <w:i w:val="0"/>
                <w:color w:val="212121"/>
                <w:sz w:val="16"/>
              </w:rPr>
              <w:t>All new gastroparesis, especially women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Correcting hypothyroidism may improve motility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Electrolytes, urea &amp; creatinine</w:t>
            </w:r>
          </w:p>
        </w:tc>
        <w:tc>
          <w:tcPr>
            <w:tcW w:type="dxa" w:w="892"/>
            <w:vAlign w:val="top"/>
          </w:tcPr>
          <w:p>
            <w:pPr>
              <w:spacing w:after="40" w:before="0" w:line="259" w:lineRule="auto"/>
            </w:pPr>
            <w:r>
              <w:rPr>
                <w:rFonts w:ascii="Calibri" w:hAnsi="Calibri"/>
                <w:b w:val="0"/>
                <w:i w:val="0"/>
                <w:color w:val="212121"/>
                <w:sz w:val="16"/>
              </w:rPr>
              <w:t>Serum chemistry</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Hypokalaemia/hyponatraemia, raised urea (dehydration)</w:t>
            </w:r>
          </w:p>
        </w:tc>
        <w:tc>
          <w:tcPr>
            <w:tcW w:type="dxa" w:w="1036"/>
            <w:vAlign w:val="top"/>
          </w:tcPr>
          <w:p>
            <w:pPr>
              <w:spacing w:after="40" w:before="0" w:line="259" w:lineRule="auto"/>
            </w:pPr>
            <w:r>
              <w:rPr>
                <w:rFonts w:ascii="Calibri" w:hAnsi="Calibri"/>
                <w:b w:val="0"/>
                <w:i w:val="0"/>
                <w:color w:val="212121"/>
                <w:sz w:val="16"/>
              </w:rPr>
              <w:t>Detects consequences of recurrent vomiting and poor intake</w:t>
            </w:r>
          </w:p>
        </w:tc>
        <w:tc>
          <w:tcPr>
            <w:tcW w:type="dxa" w:w="1036"/>
            <w:vAlign w:val="top"/>
          </w:tcPr>
          <w:p>
            <w:pPr>
              <w:spacing w:after="40" w:before="0" w:line="259" w:lineRule="auto"/>
            </w:pPr>
            <w:r>
              <w:rPr>
                <w:rFonts w:ascii="Calibri" w:hAnsi="Calibri"/>
                <w:b w:val="0"/>
                <w:i w:val="0"/>
                <w:color w:val="212121"/>
                <w:sz w:val="16"/>
              </w:rPr>
              <w:t>Vomiting, dehydrated or elderly patients</w:t>
            </w:r>
          </w:p>
        </w:tc>
        <w:tc>
          <w:tcPr>
            <w:tcW w:type="dxa" w:w="720"/>
            <w:vAlign w:val="top"/>
          </w:tcPr>
          <w:p>
            <w:pPr>
              <w:spacing w:after="40" w:before="0" w:line="259" w:lineRule="auto"/>
            </w:pPr>
            <w:r>
              <w:rPr>
                <w:rFonts w:ascii="Calibri" w:hAnsi="Calibri"/>
                <w:b w:val="0"/>
                <w:i w:val="0"/>
                <w:color w:val="212121"/>
                <w:sz w:val="16"/>
              </w:rPr>
              <w:t>Water; Food</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Guides rehydration and electrolyte replacement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 / haematology</w:t>
            </w:r>
          </w:p>
        </w:tc>
        <w:tc>
          <w:tcPr>
            <w:tcW w:type="dxa" w:w="1036"/>
            <w:vAlign w:val="top"/>
          </w:tcPr>
          <w:p>
            <w:pPr>
              <w:spacing w:after="40" w:before="0" w:line="259" w:lineRule="auto"/>
            </w:pPr>
            <w:r>
              <w:rPr>
                <w:rFonts w:ascii="Calibri" w:hAnsi="Calibri"/>
                <w:b w:val="0"/>
                <w:i w:val="0"/>
                <w:color w:val="212121"/>
                <w:sz w:val="16"/>
              </w:rPr>
              <w:t>CBC, serum albumin / prealbumin</w:t>
            </w:r>
          </w:p>
        </w:tc>
        <w:tc>
          <w:tcPr>
            <w:tcW w:type="dxa" w:w="892"/>
            <w:vAlign w:val="top"/>
          </w:tcPr>
          <w:p>
            <w:pPr>
              <w:spacing w:after="40" w:before="0" w:line="259" w:lineRule="auto"/>
            </w:pPr>
            <w:r>
              <w:rPr>
                <w:rFonts w:ascii="Calibri" w:hAnsi="Calibri"/>
                <w:b w:val="0"/>
                <w:i w:val="0"/>
                <w:color w:val="212121"/>
                <w:sz w:val="16"/>
              </w:rPr>
              <w:t>Nutritional labs</w:t>
            </w:r>
          </w:p>
        </w:tc>
        <w:tc>
          <w:tcPr>
            <w:tcW w:type="dxa" w:w="950"/>
            <w:vAlign w:val="top"/>
          </w:tcPr>
          <w:p>
            <w:pPr>
              <w:spacing w:after="40" w:before="0" w:line="259" w:lineRule="auto"/>
            </w:pPr>
            <w:r>
              <w:rPr>
                <w:rFonts w:ascii="Calibri" w:hAnsi="Calibri"/>
                <w:b w:val="0"/>
                <w:i w:val="0"/>
                <w:color w:val="212121"/>
                <w:sz w:val="16"/>
              </w:rPr>
              <w:t>Normal Hb &amp; albumin</w:t>
            </w:r>
          </w:p>
        </w:tc>
        <w:tc>
          <w:tcPr>
            <w:tcW w:type="dxa" w:w="950"/>
            <w:vAlign w:val="top"/>
          </w:tcPr>
          <w:p>
            <w:pPr>
              <w:spacing w:after="40" w:before="0" w:line="259" w:lineRule="auto"/>
            </w:pPr>
            <w:r>
              <w:rPr>
                <w:rFonts w:ascii="Calibri" w:hAnsi="Calibri"/>
                <w:b w:val="0"/>
                <w:i w:val="0"/>
                <w:color w:val="212121"/>
                <w:sz w:val="16"/>
              </w:rPr>
              <w:t>Anaemia, low albumin/prealbumin</w:t>
            </w:r>
          </w:p>
        </w:tc>
        <w:tc>
          <w:tcPr>
            <w:tcW w:type="dxa" w:w="1036"/>
            <w:vAlign w:val="top"/>
          </w:tcPr>
          <w:p>
            <w:pPr>
              <w:spacing w:after="40" w:before="0" w:line="259" w:lineRule="auto"/>
            </w:pPr>
            <w:r>
              <w:rPr>
                <w:rFonts w:ascii="Calibri" w:hAnsi="Calibri"/>
                <w:b w:val="0"/>
                <w:i w:val="0"/>
                <w:color w:val="212121"/>
                <w:sz w:val="16"/>
              </w:rPr>
              <w:t>Assesses protein-calorie malnutrition in chronic/severe disease</w:t>
            </w:r>
          </w:p>
        </w:tc>
        <w:tc>
          <w:tcPr>
            <w:tcW w:type="dxa" w:w="1036"/>
            <w:vAlign w:val="top"/>
          </w:tcPr>
          <w:p>
            <w:pPr>
              <w:spacing w:after="40" w:before="0" w:line="259" w:lineRule="auto"/>
            </w:pPr>
            <w:r>
              <w:rPr>
                <w:rFonts w:ascii="Calibri" w:hAnsi="Calibri"/>
                <w:b w:val="0"/>
                <w:i w:val="0"/>
                <w:color w:val="212121"/>
                <w:sz w:val="16"/>
              </w:rPr>
              <w:t>Severe, refractory or weight-losing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Flags need for nutrition support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Physiology (alternative)</w:t>
            </w:r>
          </w:p>
        </w:tc>
        <w:tc>
          <w:tcPr>
            <w:tcW w:type="dxa" w:w="1036"/>
            <w:vAlign w:val="top"/>
          </w:tcPr>
          <w:p>
            <w:pPr>
              <w:spacing w:after="40" w:before="0" w:line="259" w:lineRule="auto"/>
            </w:pPr>
            <w:r>
              <w:rPr>
                <w:rFonts w:ascii="Calibri" w:hAnsi="Calibri"/>
                <w:b w:val="0"/>
                <w:i w:val="0"/>
                <w:color w:val="212121"/>
                <w:sz w:val="16"/>
              </w:rPr>
              <w:t>Emptying rate / transit</w:t>
            </w:r>
          </w:p>
        </w:tc>
        <w:tc>
          <w:tcPr>
            <w:tcW w:type="dxa" w:w="892"/>
            <w:vAlign w:val="top"/>
          </w:tcPr>
          <w:p>
            <w:pPr>
              <w:spacing w:after="40" w:before="0" w:line="259" w:lineRule="auto"/>
            </w:pPr>
            <w:r>
              <w:rPr>
                <w:rFonts w:ascii="Calibri" w:hAnsi="Calibri"/>
                <w:b w:val="0"/>
                <w:i w:val="0"/>
                <w:color w:val="212121"/>
                <w:sz w:val="16"/>
              </w:rPr>
              <w:t>13C breath test or wireless motility capsule</w:t>
            </w:r>
          </w:p>
        </w:tc>
        <w:tc>
          <w:tcPr>
            <w:tcW w:type="dxa" w:w="950"/>
            <w:vAlign w:val="top"/>
          </w:tcPr>
          <w:p>
            <w:pPr>
              <w:spacing w:after="40" w:before="0" w:line="259" w:lineRule="auto"/>
            </w:pPr>
            <w:r>
              <w:rPr>
                <w:rFonts w:ascii="Calibri" w:hAnsi="Calibri"/>
                <w:b w:val="0"/>
                <w:i w:val="0"/>
                <w:color w:val="212121"/>
                <w:sz w:val="16"/>
              </w:rPr>
              <w:t>Normal emptying half-time / transit</w:t>
            </w:r>
          </w:p>
        </w:tc>
        <w:tc>
          <w:tcPr>
            <w:tcW w:type="dxa" w:w="950"/>
            <w:vAlign w:val="top"/>
          </w:tcPr>
          <w:p>
            <w:pPr>
              <w:spacing w:after="40" w:before="0" w:line="259" w:lineRule="auto"/>
            </w:pPr>
            <w:r>
              <w:rPr>
                <w:rFonts w:ascii="Calibri" w:hAnsi="Calibri"/>
                <w:b w:val="0"/>
                <w:i w:val="0"/>
                <w:color w:val="212121"/>
                <w:sz w:val="16"/>
              </w:rPr>
              <w:t>Prolonged emptying/transit</w:t>
            </w:r>
          </w:p>
        </w:tc>
        <w:tc>
          <w:tcPr>
            <w:tcW w:type="dxa" w:w="1036"/>
            <w:vAlign w:val="top"/>
          </w:tcPr>
          <w:p>
            <w:pPr>
              <w:spacing w:after="40" w:before="0" w:line="259" w:lineRule="auto"/>
            </w:pPr>
            <w:r>
              <w:rPr>
                <w:rFonts w:ascii="Calibri" w:hAnsi="Calibri"/>
                <w:b w:val="0"/>
                <w:i w:val="0"/>
                <w:color w:val="212121"/>
                <w:sz w:val="16"/>
              </w:rPr>
              <w:t>Validated alternatives where scintigraphy is unavailable or radiation is undesirable</w:t>
            </w:r>
          </w:p>
        </w:tc>
        <w:tc>
          <w:tcPr>
            <w:tcW w:type="dxa" w:w="1036"/>
            <w:vAlign w:val="top"/>
          </w:tcPr>
          <w:p>
            <w:pPr>
              <w:spacing w:after="40" w:before="0" w:line="259" w:lineRule="auto"/>
            </w:pPr>
            <w:r>
              <w:rPr>
                <w:rFonts w:ascii="Calibri" w:hAnsi="Calibri"/>
                <w:b w:val="0"/>
                <w:i w:val="0"/>
                <w:color w:val="212121"/>
                <w:sz w:val="16"/>
              </w:rPr>
              <w:t>Pregnant, paediatric or scintigraphy-unavailable settings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Alternative</w:t>
            </w:r>
          </w:p>
        </w:tc>
        <w:tc>
          <w:tcPr>
            <w:tcW w:type="dxa" w:w="720"/>
            <w:vAlign w:val="top"/>
          </w:tcPr>
          <w:p>
            <w:pPr>
              <w:spacing w:after="40" w:before="0" w:line="259" w:lineRule="auto"/>
            </w:pPr>
            <w:r>
              <w:rPr>
                <w:rFonts w:ascii="Calibri" w:hAnsi="Calibri"/>
                <w:b w:val="0"/>
                <w:i w:val="0"/>
                <w:color w:val="212121"/>
                <w:sz w:val="16"/>
              </w:rPr>
              <w:t>Breath test avoids radiation</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 (GCSI)</w:t>
            </w:r>
          </w:p>
        </w:tc>
        <w:tc>
          <w:tcPr>
            <w:tcW w:type="dxa" w:w="979"/>
            <w:vAlign w:val="top"/>
          </w:tcPr>
          <w:p>
            <w:pPr>
              <w:spacing w:after="40" w:before="0" w:line="259" w:lineRule="auto"/>
            </w:pPr>
            <w:r>
              <w:rPr>
                <w:rFonts w:ascii="Calibri" w:hAnsi="Calibri"/>
                <w:b w:val="0"/>
                <w:i w:val="0"/>
                <w:color w:val="212121"/>
                <w:sz w:val="16"/>
              </w:rPr>
              <w:t>Nausea, vomiting, early satiety, post-prandial fullness, bloating</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Chronic symptoms ≥3 months</w:t>
            </w:r>
          </w:p>
        </w:tc>
        <w:tc>
          <w:tcPr>
            <w:tcW w:type="dxa" w:w="1036"/>
            <w:vAlign w:val="top"/>
          </w:tcPr>
          <w:p>
            <w:pPr>
              <w:spacing w:after="40" w:before="0" w:line="259" w:lineRule="auto"/>
            </w:pPr>
            <w:r>
              <w:rPr>
                <w:rFonts w:ascii="Calibri" w:hAnsi="Calibri"/>
                <w:b w:val="0"/>
                <w:i w:val="0"/>
                <w:color w:val="212121"/>
                <w:sz w:val="16"/>
              </w:rPr>
              <w:t>Cardinal symptom cluster; vomiting of undigested food hours after eating is characteristic</w:t>
            </w:r>
          </w:p>
        </w:tc>
        <w:tc>
          <w:tcPr>
            <w:tcW w:type="dxa" w:w="1036"/>
            <w:vAlign w:val="top"/>
          </w:tcPr>
          <w:p>
            <w:pPr>
              <w:spacing w:after="40" w:before="0" w:line="259" w:lineRule="auto"/>
            </w:pPr>
            <w:r>
              <w:rPr>
                <w:rFonts w:ascii="Calibri" w:hAnsi="Calibri"/>
                <w:b w:val="0"/>
                <w:i w:val="0"/>
                <w:color w:val="212121"/>
                <w:sz w:val="16"/>
              </w:rPr>
              <w:t>Diabetics, idiopathic dyspepsia, post-surgical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Quantify with Gastroparesis Cardinal Symptom Index</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Diabetes &amp; glycaemic history</w:t>
            </w:r>
          </w:p>
        </w:tc>
        <w:tc>
          <w:tcPr>
            <w:tcW w:type="dxa" w:w="979"/>
            <w:vAlign w:val="top"/>
          </w:tcPr>
          <w:p>
            <w:pPr>
              <w:spacing w:after="40" w:before="0" w:line="259" w:lineRule="auto"/>
            </w:pPr>
            <w:r>
              <w:rPr>
                <w:rFonts w:ascii="Calibri" w:hAnsi="Calibri"/>
                <w:b w:val="0"/>
                <w:i w:val="0"/>
                <w:color w:val="212121"/>
                <w:sz w:val="16"/>
              </w:rPr>
              <w:t>Duration of diabetes, HbA1c trend, complications</w:t>
            </w:r>
          </w:p>
        </w:tc>
        <w:tc>
          <w:tcPr>
            <w:tcW w:type="dxa" w:w="950"/>
            <w:vAlign w:val="top"/>
          </w:tcPr>
          <w:p>
            <w:pPr>
              <w:spacing w:after="40" w:before="0" w:line="259" w:lineRule="auto"/>
            </w:pPr>
            <w:r>
              <w:rPr>
                <w:rFonts w:ascii="Calibri" w:hAnsi="Calibri"/>
                <w:b w:val="0"/>
                <w:i w:val="0"/>
                <w:color w:val="212121"/>
                <w:sz w:val="16"/>
              </w:rPr>
              <w:t>Short duration, good control, no complications</w:t>
            </w:r>
          </w:p>
        </w:tc>
        <w:tc>
          <w:tcPr>
            <w:tcW w:type="dxa" w:w="950"/>
            <w:vAlign w:val="top"/>
          </w:tcPr>
          <w:p>
            <w:pPr>
              <w:spacing w:after="40" w:before="0" w:line="259" w:lineRule="auto"/>
            </w:pPr>
            <w:r>
              <w:rPr>
                <w:rFonts w:ascii="Calibri" w:hAnsi="Calibri"/>
                <w:b w:val="0"/>
                <w:i w:val="0"/>
                <w:color w:val="212121"/>
                <w:sz w:val="16"/>
              </w:rPr>
              <w:t>&gt;10 yr, poor control, retinopathy/neuropathy</w:t>
            </w:r>
          </w:p>
        </w:tc>
        <w:tc>
          <w:tcPr>
            <w:tcW w:type="dxa" w:w="1036"/>
            <w:vAlign w:val="top"/>
          </w:tcPr>
          <w:p>
            <w:pPr>
              <w:spacing w:after="40" w:before="0" w:line="259" w:lineRule="auto"/>
            </w:pPr>
            <w:r>
              <w:rPr>
                <w:rFonts w:ascii="Calibri" w:hAnsi="Calibri"/>
                <w:b w:val="0"/>
                <w:i w:val="0"/>
                <w:color w:val="212121"/>
                <w:sz w:val="16"/>
              </w:rPr>
              <w:t>Establishes diabetic aetiology and microvascular clustering</w:t>
            </w:r>
          </w:p>
        </w:tc>
        <w:tc>
          <w:tcPr>
            <w:tcW w:type="dxa" w:w="1036"/>
            <w:vAlign w:val="top"/>
          </w:tcPr>
          <w:p>
            <w:pPr>
              <w:spacing w:after="40" w:before="0" w:line="259" w:lineRule="auto"/>
            </w:pPr>
            <w:r>
              <w:rPr>
                <w:rFonts w:ascii="Calibri" w:hAnsi="Calibri"/>
                <w:b w:val="0"/>
                <w:i w:val="0"/>
                <w:color w:val="212121"/>
                <w:sz w:val="16"/>
              </w:rPr>
              <w:t>All diabetic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Note coexisting retinopathy/neuropathy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Drug &amp; surgical history</w:t>
            </w:r>
          </w:p>
        </w:tc>
        <w:tc>
          <w:tcPr>
            <w:tcW w:type="dxa" w:w="979"/>
            <w:vAlign w:val="top"/>
          </w:tcPr>
          <w:p>
            <w:pPr>
              <w:spacing w:after="40" w:before="0" w:line="259" w:lineRule="auto"/>
            </w:pPr>
            <w:r>
              <w:rPr>
                <w:rFonts w:ascii="Calibri" w:hAnsi="Calibri"/>
                <w:b w:val="0"/>
                <w:i w:val="0"/>
                <w:color w:val="212121"/>
                <w:sz w:val="16"/>
              </w:rPr>
              <w:t>Opioids, GLP-1 agonists, anticholinergics; vagotomy/bariatric/fundoplication</w:t>
            </w:r>
          </w:p>
        </w:tc>
        <w:tc>
          <w:tcPr>
            <w:tcW w:type="dxa" w:w="950"/>
            <w:vAlign w:val="top"/>
          </w:tcPr>
          <w:p>
            <w:pPr>
              <w:spacing w:after="40" w:before="0" w:line="259" w:lineRule="auto"/>
            </w:pPr>
            <w:r>
              <w:rPr>
                <w:rFonts w:ascii="Calibri" w:hAnsi="Calibri"/>
                <w:b w:val="0"/>
                <w:i w:val="0"/>
                <w:color w:val="212121"/>
                <w:sz w:val="16"/>
              </w:rPr>
              <w:t>No relevant drugs/surgery</w:t>
            </w:r>
          </w:p>
        </w:tc>
        <w:tc>
          <w:tcPr>
            <w:tcW w:type="dxa" w:w="950"/>
            <w:vAlign w:val="top"/>
          </w:tcPr>
          <w:p>
            <w:pPr>
              <w:spacing w:after="40" w:before="0" w:line="259" w:lineRule="auto"/>
            </w:pPr>
            <w:r>
              <w:rPr>
                <w:rFonts w:ascii="Calibri" w:hAnsi="Calibri"/>
                <w:b w:val="0"/>
                <w:i w:val="0"/>
                <w:color w:val="212121"/>
                <w:sz w:val="16"/>
              </w:rPr>
              <w:t>Motility-slowing drug or vagal-injuring surgery</w:t>
            </w:r>
          </w:p>
        </w:tc>
        <w:tc>
          <w:tcPr>
            <w:tcW w:type="dxa" w:w="1036"/>
            <w:vAlign w:val="top"/>
          </w:tcPr>
          <w:p>
            <w:pPr>
              <w:spacing w:after="40" w:before="0" w:line="259" w:lineRule="auto"/>
            </w:pPr>
            <w:r>
              <w:rPr>
                <w:rFonts w:ascii="Calibri" w:hAnsi="Calibri"/>
                <w:b w:val="0"/>
                <w:i w:val="0"/>
                <w:color w:val="212121"/>
                <w:sz w:val="16"/>
              </w:rPr>
              <w:t>Identifies iatrogenic and post-surgical causes that may be reversible</w:t>
            </w:r>
          </w:p>
        </w:tc>
        <w:tc>
          <w:tcPr>
            <w:tcW w:type="dxa" w:w="1036"/>
            <w:vAlign w:val="top"/>
          </w:tcPr>
          <w:p>
            <w:pPr>
              <w:spacing w:after="40" w:before="0" w:line="259" w:lineRule="auto"/>
            </w:pPr>
            <w:r>
              <w:rPr>
                <w:rFonts w:ascii="Calibri" w:hAnsi="Calibri"/>
                <w:b w:val="0"/>
                <w:i w:val="0"/>
                <w:color w:val="212121"/>
                <w:sz w:val="16"/>
              </w:rPr>
              <w:t>Post-operative, chronic-pain and weight-loss-drug users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Deprescribe offending drugs where possible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Abdominal examination</w:t>
            </w:r>
          </w:p>
        </w:tc>
        <w:tc>
          <w:tcPr>
            <w:tcW w:type="dxa" w:w="979"/>
            <w:vAlign w:val="top"/>
          </w:tcPr>
          <w:p>
            <w:pPr>
              <w:spacing w:after="40" w:before="0" w:line="259" w:lineRule="auto"/>
            </w:pPr>
            <w:r>
              <w:rPr>
                <w:rFonts w:ascii="Calibri" w:hAnsi="Calibri"/>
                <w:b w:val="0"/>
                <w:i w:val="0"/>
                <w:color w:val="212121"/>
                <w:sz w:val="16"/>
              </w:rPr>
              <w:t>Succussion splash, epigastric distension/tenderness</w:t>
            </w:r>
          </w:p>
        </w:tc>
        <w:tc>
          <w:tcPr>
            <w:tcW w:type="dxa" w:w="950"/>
            <w:vAlign w:val="top"/>
          </w:tcPr>
          <w:p>
            <w:pPr>
              <w:spacing w:after="40" w:before="0" w:line="259" w:lineRule="auto"/>
            </w:pPr>
            <w:r>
              <w:rPr>
                <w:rFonts w:ascii="Calibri" w:hAnsi="Calibri"/>
                <w:b w:val="0"/>
                <w:i w:val="0"/>
                <w:color w:val="212121"/>
                <w:sz w:val="16"/>
              </w:rPr>
              <w:t>No splash; soft, non-distended abdomen</w:t>
            </w:r>
          </w:p>
        </w:tc>
        <w:tc>
          <w:tcPr>
            <w:tcW w:type="dxa" w:w="950"/>
            <w:vAlign w:val="top"/>
          </w:tcPr>
          <w:p>
            <w:pPr>
              <w:spacing w:after="40" w:before="0" w:line="259" w:lineRule="auto"/>
            </w:pPr>
            <w:r>
              <w:rPr>
                <w:rFonts w:ascii="Calibri" w:hAnsi="Calibri"/>
                <w:b w:val="0"/>
                <w:i w:val="0"/>
                <w:color w:val="212121"/>
                <w:sz w:val="16"/>
              </w:rPr>
              <w:t>Audible succussion splash &gt;3 h post-meal; epigastric fullness</w:t>
            </w:r>
          </w:p>
        </w:tc>
        <w:tc>
          <w:tcPr>
            <w:tcW w:type="dxa" w:w="1036"/>
            <w:vAlign w:val="top"/>
          </w:tcPr>
          <w:p>
            <w:pPr>
              <w:spacing w:after="40" w:before="0" w:line="259" w:lineRule="auto"/>
            </w:pPr>
            <w:r>
              <w:rPr>
                <w:rFonts w:ascii="Calibri" w:hAnsi="Calibri"/>
                <w:b w:val="0"/>
                <w:i w:val="0"/>
                <w:color w:val="212121"/>
                <w:sz w:val="16"/>
              </w:rPr>
              <w:t>Splash indicates retained gastric fluid; guarding/rigidity should be absent</w:t>
            </w:r>
          </w:p>
        </w:tc>
        <w:tc>
          <w:tcPr>
            <w:tcW w:type="dxa" w:w="1036"/>
            <w:vAlign w:val="top"/>
          </w:tcPr>
          <w:p>
            <w:pPr>
              <w:spacing w:after="40" w:before="0" w:line="259" w:lineRule="auto"/>
            </w:pPr>
            <w:r>
              <w:rPr>
                <w:rFonts w:ascii="Calibri" w:hAnsi="Calibri"/>
                <w:b w:val="0"/>
                <w:i w:val="0"/>
                <w:color w:val="212121"/>
                <w:sz w:val="16"/>
              </w:rPr>
              <w:t>Symptomatic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Absence of peritonism helps exclude acute abdomen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Hydration &amp; nutrition assessment</w:t>
            </w:r>
          </w:p>
        </w:tc>
        <w:tc>
          <w:tcPr>
            <w:tcW w:type="dxa" w:w="979"/>
            <w:vAlign w:val="top"/>
          </w:tcPr>
          <w:p>
            <w:pPr>
              <w:spacing w:after="40" w:before="0" w:line="259" w:lineRule="auto"/>
            </w:pPr>
            <w:r>
              <w:rPr>
                <w:rFonts w:ascii="Calibri" w:hAnsi="Calibri"/>
                <w:b w:val="0"/>
                <w:i w:val="0"/>
                <w:color w:val="212121"/>
                <w:sz w:val="16"/>
              </w:rPr>
              <w:t>Weight trend, mucous membranes, skin turgor</w:t>
            </w:r>
          </w:p>
        </w:tc>
        <w:tc>
          <w:tcPr>
            <w:tcW w:type="dxa" w:w="950"/>
            <w:vAlign w:val="top"/>
          </w:tcPr>
          <w:p>
            <w:pPr>
              <w:spacing w:after="40" w:before="0" w:line="259" w:lineRule="auto"/>
            </w:pPr>
            <w:r>
              <w:rPr>
                <w:rFonts w:ascii="Calibri" w:hAnsi="Calibri"/>
                <w:b w:val="0"/>
                <w:i w:val="0"/>
                <w:color w:val="212121"/>
                <w:sz w:val="16"/>
              </w:rPr>
              <w:t>Stable weight, well hydrated</w:t>
            </w:r>
          </w:p>
        </w:tc>
        <w:tc>
          <w:tcPr>
            <w:tcW w:type="dxa" w:w="950"/>
            <w:vAlign w:val="top"/>
          </w:tcPr>
          <w:p>
            <w:pPr>
              <w:spacing w:after="40" w:before="0" w:line="259" w:lineRule="auto"/>
            </w:pPr>
            <w:r>
              <w:rPr>
                <w:rFonts w:ascii="Calibri" w:hAnsi="Calibri"/>
                <w:b w:val="0"/>
                <w:i w:val="0"/>
                <w:color w:val="212121"/>
                <w:sz w:val="16"/>
              </w:rPr>
              <w:t>Weight loss, dry mucosa, tachycardia</w:t>
            </w:r>
          </w:p>
        </w:tc>
        <w:tc>
          <w:tcPr>
            <w:tcW w:type="dxa" w:w="1036"/>
            <w:vAlign w:val="top"/>
          </w:tcPr>
          <w:p>
            <w:pPr>
              <w:spacing w:after="40" w:before="0" w:line="259" w:lineRule="auto"/>
            </w:pPr>
            <w:r>
              <w:rPr>
                <w:rFonts w:ascii="Calibri" w:hAnsi="Calibri"/>
                <w:b w:val="0"/>
                <w:i w:val="0"/>
                <w:color w:val="212121"/>
                <w:sz w:val="16"/>
              </w:rPr>
              <w:t>Detects dehydration and malnutrition from vomiting and poor intake</w:t>
            </w:r>
          </w:p>
        </w:tc>
        <w:tc>
          <w:tcPr>
            <w:tcW w:type="dxa" w:w="1036"/>
            <w:vAlign w:val="top"/>
          </w:tcPr>
          <w:p>
            <w:pPr>
              <w:spacing w:after="40" w:before="0" w:line="259" w:lineRule="auto"/>
            </w:pPr>
            <w:r>
              <w:rPr>
                <w:rFonts w:ascii="Calibri" w:hAnsi="Calibri"/>
                <w:b w:val="0"/>
                <w:i w:val="0"/>
                <w:color w:val="212121"/>
                <w:sz w:val="16"/>
              </w:rPr>
              <w:t>Severe/recurrent-vomiting patients</w:t>
            </w:r>
          </w:p>
        </w:tc>
        <w:tc>
          <w:tcPr>
            <w:tcW w:type="dxa" w:w="720"/>
            <w:vAlign w:val="top"/>
          </w:tcPr>
          <w:p>
            <w:pPr>
              <w:spacing w:after="40" w:before="0" w:line="259" w:lineRule="auto"/>
            </w:pPr>
            <w:r>
              <w:rPr>
                <w:rFonts w:ascii="Calibri" w:hAnsi="Calibri"/>
                <w:b w:val="0"/>
                <w:i w:val="0"/>
                <w:color w:val="212121"/>
                <w:sz w:val="16"/>
              </w:rPr>
              <w:t>Water; Food</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Triggers escalation to nutrition/IV support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Autonomic assessment</w:t>
            </w:r>
          </w:p>
        </w:tc>
        <w:tc>
          <w:tcPr>
            <w:tcW w:type="dxa" w:w="979"/>
            <w:vAlign w:val="top"/>
          </w:tcPr>
          <w:p>
            <w:pPr>
              <w:spacing w:after="40" w:before="0" w:line="259" w:lineRule="auto"/>
            </w:pPr>
            <w:r>
              <w:rPr>
                <w:rFonts w:ascii="Calibri" w:hAnsi="Calibri"/>
                <w:b w:val="0"/>
                <w:i w:val="0"/>
                <w:color w:val="212121"/>
                <w:sz w:val="16"/>
              </w:rPr>
              <w:t>Postural (orthostatic) blood pressure</w:t>
            </w:r>
          </w:p>
        </w:tc>
        <w:tc>
          <w:tcPr>
            <w:tcW w:type="dxa" w:w="950"/>
            <w:vAlign w:val="top"/>
          </w:tcPr>
          <w:p>
            <w:pPr>
              <w:spacing w:after="40" w:before="0" w:line="259" w:lineRule="auto"/>
            </w:pPr>
            <w:r>
              <w:rPr>
                <w:rFonts w:ascii="Calibri" w:hAnsi="Calibri"/>
                <w:b w:val="0"/>
                <w:i w:val="0"/>
                <w:color w:val="212121"/>
                <w:sz w:val="16"/>
              </w:rPr>
              <w:t>&lt;20 mmHg systolic drop on standing</w:t>
            </w:r>
          </w:p>
        </w:tc>
        <w:tc>
          <w:tcPr>
            <w:tcW w:type="dxa" w:w="950"/>
            <w:vAlign w:val="top"/>
          </w:tcPr>
          <w:p>
            <w:pPr>
              <w:spacing w:after="40" w:before="0" w:line="259" w:lineRule="auto"/>
            </w:pPr>
            <w:r>
              <w:rPr>
                <w:rFonts w:ascii="Calibri" w:hAnsi="Calibri"/>
                <w:b w:val="0"/>
                <w:i w:val="0"/>
                <w:color w:val="212121"/>
                <w:sz w:val="16"/>
              </w:rPr>
              <w:t>≥20 mmHg drop (orthostatic hypotension)</w:t>
            </w:r>
          </w:p>
        </w:tc>
        <w:tc>
          <w:tcPr>
            <w:tcW w:type="dxa" w:w="1036"/>
            <w:vAlign w:val="top"/>
          </w:tcPr>
          <w:p>
            <w:pPr>
              <w:spacing w:after="40" w:before="0" w:line="259" w:lineRule="auto"/>
            </w:pPr>
            <w:r>
              <w:rPr>
                <w:rFonts w:ascii="Calibri" w:hAnsi="Calibri"/>
                <w:b w:val="0"/>
                <w:i w:val="0"/>
                <w:color w:val="212121"/>
                <w:sz w:val="16"/>
              </w:rPr>
              <w:t>Marker of diabetic autonomic neuropathy that accompanies gastroparesis</w:t>
            </w:r>
          </w:p>
        </w:tc>
        <w:tc>
          <w:tcPr>
            <w:tcW w:type="dxa" w:w="1036"/>
            <w:vAlign w:val="top"/>
          </w:tcPr>
          <w:p>
            <w:pPr>
              <w:spacing w:after="40" w:before="0" w:line="259" w:lineRule="auto"/>
            </w:pPr>
            <w:r>
              <w:rPr>
                <w:rFonts w:ascii="Calibri" w:hAnsi="Calibri"/>
                <w:b w:val="0"/>
                <w:i w:val="0"/>
                <w:color w:val="212121"/>
                <w:sz w:val="16"/>
              </w:rPr>
              <w:t>Long-standing diabetics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Correlates with generalised autonomic dysfunction</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Nausea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most frequent symptom; often persistent and worse after meals.</w:t>
            </w:r>
          </w:p>
        </w:tc>
      </w:tr>
      <w:tr>
        <w:trPr>
          <w:cantSplit/>
        </w:trPr>
        <w:tc>
          <w:tcPr>
            <w:tcW w:type="dxa" w:w="2304"/>
            <w:vAlign w:val="top"/>
          </w:tcPr>
          <w:p>
            <w:pPr>
              <w:spacing w:after="40" w:before="0" w:line="259" w:lineRule="auto"/>
            </w:pPr>
            <w:r>
              <w:rPr>
                <w:rFonts w:ascii="Calibri" w:hAnsi="Calibri"/>
                <w:b/>
                <w:i w:val="0"/>
                <w:color w:val="212121"/>
                <w:sz w:val="19"/>
              </w:rPr>
              <w:t>Vomiting of undigested food</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Regurgitation/vomiting of recognisable food eaten hours earlier reflects gastric retention.</w:t>
            </w:r>
          </w:p>
        </w:tc>
      </w:tr>
      <w:tr>
        <w:trPr>
          <w:cantSplit/>
        </w:trPr>
        <w:tc>
          <w:tcPr>
            <w:tcW w:type="dxa" w:w="2304"/>
            <w:vAlign w:val="top"/>
          </w:tcPr>
          <w:p>
            <w:pPr>
              <w:spacing w:after="40" w:before="0" w:line="259" w:lineRule="auto"/>
            </w:pPr>
            <w:r>
              <w:rPr>
                <w:rFonts w:ascii="Calibri" w:hAnsi="Calibri"/>
                <w:b/>
                <w:i w:val="0"/>
                <w:color w:val="212121"/>
                <w:sz w:val="19"/>
              </w:rPr>
              <w:t>Early satiety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Feeling full after only a few mouthfuls due to impaired gastric accommodation and emptying.</w:t>
            </w:r>
          </w:p>
        </w:tc>
      </w:tr>
      <w:tr>
        <w:trPr>
          <w:cantSplit/>
        </w:trPr>
        <w:tc>
          <w:tcPr>
            <w:tcW w:type="dxa" w:w="2304"/>
            <w:vAlign w:val="top"/>
          </w:tcPr>
          <w:p>
            <w:pPr>
              <w:spacing w:after="40" w:before="0" w:line="259" w:lineRule="auto"/>
            </w:pPr>
            <w:r>
              <w:rPr>
                <w:rFonts w:ascii="Calibri" w:hAnsi="Calibri"/>
                <w:b/>
                <w:i w:val="0"/>
                <w:color w:val="212121"/>
                <w:sz w:val="19"/>
              </w:rPr>
              <w:t>Post-prandial fullness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Prolonged heaviness after meals as food lingers in the stomach.</w:t>
            </w:r>
          </w:p>
        </w:tc>
      </w:tr>
      <w:tr>
        <w:trPr>
          <w:cantSplit/>
        </w:trPr>
        <w:tc>
          <w:tcPr>
            <w:tcW w:type="dxa" w:w="2304"/>
            <w:vAlign w:val="top"/>
          </w:tcPr>
          <w:p>
            <w:pPr>
              <w:spacing w:after="40" w:before="0" w:line="259" w:lineRule="auto"/>
            </w:pPr>
            <w:r>
              <w:rPr>
                <w:rFonts w:ascii="Calibri" w:hAnsi="Calibri"/>
                <w:b/>
                <w:i w:val="0"/>
                <w:color w:val="212121"/>
                <w:sz w:val="19"/>
              </w:rPr>
              <w:t>Bloating / abdominal distension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Gaseous distension from stasis and fermentation of retained food.</w:t>
            </w:r>
          </w:p>
        </w:tc>
      </w:tr>
      <w:tr>
        <w:trPr>
          <w:cantSplit/>
        </w:trPr>
        <w:tc>
          <w:tcPr>
            <w:tcW w:type="dxa" w:w="2304"/>
            <w:vAlign w:val="top"/>
          </w:tcPr>
          <w:p>
            <w:pPr>
              <w:spacing w:after="40" w:before="0" w:line="259" w:lineRule="auto"/>
            </w:pPr>
            <w:r>
              <w:rPr>
                <w:rFonts w:ascii="Calibri" w:hAnsi="Calibri"/>
                <w:b/>
                <w:i w:val="0"/>
                <w:color w:val="212121"/>
                <w:sz w:val="19"/>
              </w:rPr>
              <w:t>Upper abdominal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Epigastric pain/discomfort; notably, pain severity does not correlate with emptying delay.</w:t>
            </w:r>
          </w:p>
        </w:tc>
      </w:tr>
      <w:tr>
        <w:trPr>
          <w:cantSplit/>
        </w:trPr>
        <w:tc>
          <w:tcPr>
            <w:tcW w:type="dxa" w:w="2304"/>
            <w:vAlign w:val="top"/>
          </w:tcPr>
          <w:p>
            <w:pPr>
              <w:spacing w:after="40" w:before="0" w:line="259" w:lineRule="auto"/>
            </w:pPr>
            <w:r>
              <w:rPr>
                <w:rFonts w:ascii="Calibri" w:hAnsi="Calibri"/>
                <w:b/>
                <w:i w:val="0"/>
                <w:color w:val="212121"/>
                <w:sz w:val="19"/>
              </w:rPr>
              <w:t>Erratic blood-glucose control</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Unpredictable post-meal hyperglycaemia and unexpected hypoglycaemia in diabetics due to mismatch between insulin and delayed nutrient delivery.</w:t>
            </w:r>
          </w:p>
        </w:tc>
      </w:tr>
      <w:tr>
        <w:trPr>
          <w:cantSplit/>
        </w:trPr>
        <w:tc>
          <w:tcPr>
            <w:tcW w:type="dxa" w:w="2304"/>
            <w:vAlign w:val="top"/>
          </w:tcPr>
          <w:p>
            <w:pPr>
              <w:spacing w:after="40" w:before="0" w:line="259" w:lineRule="auto"/>
            </w:pPr>
            <w:r>
              <w:rPr>
                <w:rFonts w:ascii="Calibri" w:hAnsi="Calibri"/>
                <w:b/>
                <w:i w:val="0"/>
                <w:color w:val="212121"/>
                <w:sz w:val="19"/>
              </w:rPr>
              <w:t>Loss of appetite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intake from persistent fullness and nausea, contributing to weight loss.</w:t>
            </w:r>
          </w:p>
        </w:tc>
      </w:tr>
      <w:tr>
        <w:trPr>
          <w:cantSplit/>
        </w:trPr>
        <w:tc>
          <w:tcPr>
            <w:tcW w:type="dxa" w:w="2304"/>
            <w:vAlign w:val="top"/>
          </w:tcPr>
          <w:p>
            <w:pPr>
              <w:spacing w:after="40" w:before="0" w:line="259" w:lineRule="auto"/>
            </w:pPr>
            <w:r>
              <w:rPr>
                <w:rFonts w:ascii="Calibri" w:hAnsi="Calibri"/>
                <w:b/>
                <w:i w:val="0"/>
                <w:color w:val="212121"/>
                <w:sz w:val="19"/>
              </w:rPr>
              <w:t>Heartburn / regurgitation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Gastro-oesophageal reflux from a full, slowly emptying stomach.</w:t>
            </w:r>
          </w:p>
        </w:tc>
      </w:tr>
      <w:tr>
        <w:trPr>
          <w:cantSplit/>
        </w:trPr>
        <w:tc>
          <w:tcPr>
            <w:tcW w:type="dxa" w:w="2304"/>
            <w:vAlign w:val="top"/>
          </w:tcPr>
          <w:p>
            <w:pPr>
              <w:spacing w:after="40" w:before="0" w:line="259" w:lineRule="auto"/>
            </w:pPr>
            <w:r>
              <w:rPr>
                <w:rFonts w:ascii="Calibri" w:hAnsi="Calibri"/>
                <w:b/>
                <w:i w:val="0"/>
                <w:color w:val="212121"/>
                <w:sz w:val="19"/>
              </w:rPr>
              <w:t>Unintentional weight loss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Progressive weight loss and malnutrition in moderate-to-severe disease.</w:t>
            </w:r>
          </w:p>
        </w:tc>
      </w:tr>
      <w:tr>
        <w:trPr>
          <w:cantSplit/>
        </w:trPr>
        <w:tc>
          <w:tcPr>
            <w:tcW w:type="dxa" w:w="2304"/>
            <w:vAlign w:val="top"/>
          </w:tcPr>
          <w:p>
            <w:pPr>
              <w:spacing w:after="40" w:before="0" w:line="259" w:lineRule="auto"/>
            </w:pPr>
            <w:r>
              <w:rPr>
                <w:rFonts w:ascii="Calibri" w:hAnsi="Calibri"/>
                <w:b/>
                <w:i w:val="0"/>
                <w:color w:val="212121"/>
                <w:sz w:val="19"/>
              </w:rPr>
              <w:t>Belching / halitosis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Eructation and bad breath from fermenting retained food.</w:t>
            </w:r>
          </w:p>
        </w:tc>
      </w:tr>
      <w:tr>
        <w:trPr>
          <w:cantSplit/>
        </w:trPr>
        <w:tc>
          <w:tcPr>
            <w:tcW w:type="dxa" w:w="2304"/>
            <w:vAlign w:val="top"/>
          </w:tcPr>
          <w:p>
            <w:pPr>
              <w:spacing w:after="40" w:before="0" w:line="259" w:lineRule="auto"/>
            </w:pPr>
            <w:r>
              <w:rPr>
                <w:rFonts w:ascii="Calibri" w:hAnsi="Calibri"/>
                <w:b/>
                <w:i w:val="0"/>
                <w:color w:val="212121"/>
                <w:sz w:val="19"/>
              </w:rPr>
              <w:t>Severe dehydration / inability to keep fluids down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Intractable vomiting causing dehydration and electrolyte disturbance, sometimes needing admission.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Succussion splash</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Audible sloshing on shaking the abdomen &gt;3 hours after a meal — classic sign of retained gastric contents.</w:t>
            </w:r>
          </w:p>
        </w:tc>
      </w:tr>
      <w:tr>
        <w:trPr>
          <w:cantSplit/>
        </w:trPr>
        <w:tc>
          <w:tcPr>
            <w:tcW w:type="dxa" w:w="3456"/>
            <w:vAlign w:val="top"/>
          </w:tcPr>
          <w:p>
            <w:pPr>
              <w:spacing w:after="40" w:before="0" w:line="259" w:lineRule="auto"/>
            </w:pPr>
            <w:r>
              <w:rPr>
                <w:rFonts w:ascii="Calibri" w:hAnsi="Calibri"/>
                <w:b/>
                <w:i w:val="0"/>
                <w:color w:val="212121"/>
                <w:sz w:val="19"/>
              </w:rPr>
              <w:t>Epigastric distension / fullness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Visible or palpable upper-abdominal fullness without peritoneal signs.</w:t>
            </w:r>
          </w:p>
        </w:tc>
      </w:tr>
      <w:tr>
        <w:trPr>
          <w:cantSplit/>
        </w:trPr>
        <w:tc>
          <w:tcPr>
            <w:tcW w:type="dxa" w:w="3456"/>
            <w:vAlign w:val="top"/>
          </w:tcPr>
          <w:p>
            <w:pPr>
              <w:spacing w:after="40" w:before="0" w:line="259" w:lineRule="auto"/>
            </w:pPr>
            <w:r>
              <w:rPr>
                <w:rFonts w:ascii="Calibri" w:hAnsi="Calibri"/>
                <w:b/>
                <w:i w:val="0"/>
                <w:color w:val="212121"/>
                <w:sz w:val="19"/>
              </w:rPr>
              <w:t>Mild epigastric tenderness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Non-specific tenderness with characteristic absence of guarding or rigidity.</w:t>
            </w:r>
          </w:p>
        </w:tc>
      </w:tr>
      <w:tr>
        <w:trPr>
          <w:cantSplit/>
        </w:trPr>
        <w:tc>
          <w:tcPr>
            <w:tcW w:type="dxa" w:w="3456"/>
            <w:vAlign w:val="top"/>
          </w:tcPr>
          <w:p>
            <w:pPr>
              <w:spacing w:after="40" w:before="0" w:line="259" w:lineRule="auto"/>
            </w:pPr>
            <w:r>
              <w:rPr>
                <w:rFonts w:ascii="Calibri" w:hAnsi="Calibri"/>
                <w:b/>
                <w:i w:val="0"/>
                <w:color w:val="212121"/>
                <w:sz w:val="19"/>
              </w:rPr>
              <w:t>Signs of dehydration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Dry mucous membranes, reduced skin turgor and tachycardia from recurrent vomiting.</w:t>
            </w:r>
          </w:p>
        </w:tc>
      </w:tr>
      <w:tr>
        <w:trPr>
          <w:cantSplit/>
        </w:trPr>
        <w:tc>
          <w:tcPr>
            <w:tcW w:type="dxa" w:w="3456"/>
            <w:vAlign w:val="top"/>
          </w:tcPr>
          <w:p>
            <w:pPr>
              <w:spacing w:after="40" w:before="0" w:line="259" w:lineRule="auto"/>
            </w:pPr>
            <w:r>
              <w:rPr>
                <w:rFonts w:ascii="Calibri" w:hAnsi="Calibri"/>
                <w:b/>
                <w:i w:val="0"/>
                <w:color w:val="212121"/>
                <w:sz w:val="19"/>
              </w:rPr>
              <w:t>Signs of malnutrition / weight loss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Reduced muscle mass, low BMI and micronutrient-deficiency stigmata in chronic disease.</w:t>
            </w:r>
          </w:p>
        </w:tc>
      </w:tr>
      <w:tr>
        <w:trPr>
          <w:cantSplit/>
        </w:trPr>
        <w:tc>
          <w:tcPr>
            <w:tcW w:type="dxa" w:w="3456"/>
            <w:vAlign w:val="top"/>
          </w:tcPr>
          <w:p>
            <w:pPr>
              <w:spacing w:after="40" w:before="0" w:line="259" w:lineRule="auto"/>
            </w:pPr>
            <w:r>
              <w:rPr>
                <w:rFonts w:ascii="Calibri" w:hAnsi="Calibri"/>
                <w:b/>
                <w:i w:val="0"/>
                <w:color w:val="212121"/>
                <w:sz w:val="19"/>
              </w:rPr>
              <w:t>Orthostatic hypotension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Postural blood-pressure drop indicating coexisting diabetic autonomic neuropathy.</w:t>
            </w:r>
          </w:p>
        </w:tc>
      </w:tr>
      <w:tr>
        <w:trPr>
          <w:cantSplit/>
        </w:trPr>
        <w:tc>
          <w:tcPr>
            <w:tcW w:type="dxa" w:w="3456"/>
            <w:vAlign w:val="top"/>
          </w:tcPr>
          <w:p>
            <w:pPr>
              <w:spacing w:after="40" w:before="0" w:line="259" w:lineRule="auto"/>
            </w:pPr>
            <w:r>
              <w:rPr>
                <w:rFonts w:ascii="Calibri" w:hAnsi="Calibri"/>
                <w:b/>
                <w:i w:val="0"/>
                <w:color w:val="212121"/>
                <w:sz w:val="19"/>
              </w:rPr>
              <w:t>Retained food / bezoar at endoscopy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Food residue or a formed bezoar in the stomach despite an overnight fast.</w:t>
            </w:r>
          </w:p>
        </w:tc>
      </w:tr>
      <w:tr>
        <w:trPr>
          <w:cantSplit/>
        </w:trPr>
        <w:tc>
          <w:tcPr>
            <w:tcW w:type="dxa" w:w="3456"/>
            <w:vAlign w:val="top"/>
          </w:tcPr>
          <w:p>
            <w:pPr>
              <w:spacing w:after="40" w:before="0" w:line="259" w:lineRule="auto"/>
            </w:pPr>
            <w:r>
              <w:rPr>
                <w:rFonts w:ascii="Calibri" w:hAnsi="Calibri"/>
                <w:b/>
                <w:i w:val="0"/>
                <w:color w:val="212121"/>
                <w:sz w:val="19"/>
              </w:rPr>
              <w:t>Dental enamel erosion / halitosis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Acid-related enamel erosion and bad breath from chronic vomiting and reflux.</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Dehydration and electrolyte imbalance (hypokalaemia, hyponatraemia, metabolic alkalosis) from recurrent vomiting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Malnutrition, unintentional weight loss and micronutrient deficiencies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Erratic glycaemic control — unpredictable post-prandial hyperglycaemia and recurrent hypoglycaemia in 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Mallory-Weiss mucosal tears from forceful vomiting</w:t>
            </w:r>
          </w:p>
        </w:tc>
        <w:tc>
          <w:tcPr>
            <w:tcW w:type="dxa" w:w="2980"/>
            <w:vAlign w:val="top"/>
          </w:tcPr>
          <w:p>
            <w:pPr>
              <w:spacing w:after="40" w:before="0" w:line="259" w:lineRule="auto"/>
            </w:pPr>
            <w:r>
              <w:rPr>
                <w:rFonts w:ascii="Calibri" w:hAnsi="Calibri"/>
                <w:b w:val="0"/>
                <w:i w:val="0"/>
                <w:color w:val="212121"/>
                <w:sz w:val="19"/>
              </w:rPr>
              <w:t>Direct consequences of retained gastric contents, vomiting and impaired nutrient delivery</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Bezoar (phytobezoar) formation leading to gastric-outlet obstruction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Reflux oesophagitis and risk of aspiration pneumonia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Small intestinal bacterial overgrowth (SIBO)</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Erratic absorption of oral medications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hospitalisations and rising healthcare burden</w:t>
            </w:r>
          </w:p>
        </w:tc>
        <w:tc>
          <w:tcPr>
            <w:tcW w:type="dxa" w:w="2980"/>
            <w:vAlign w:val="top"/>
          </w:tcPr>
          <w:p>
            <w:pPr>
              <w:spacing w:after="40" w:before="0" w:line="259" w:lineRule="auto"/>
            </w:pPr>
            <w:r>
              <w:rPr>
                <w:rFonts w:ascii="Calibri" w:hAnsi="Calibri"/>
                <w:b w:val="0"/>
                <w:i w:val="0"/>
                <w:color w:val="212121"/>
                <w:sz w:val="19"/>
              </w:rPr>
              <w:t>Result from chronic stasis, reflux and altered luminal environment</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Refractory “gastric failure” requiring enteral (jejunostomy) feeding or parenteral nutrition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protein-calorie malnutrition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Dependence on gastric electrical stimulation, venting gastrostomy, pyloric therapies (G-POEM/pyloroplasty) or gastrectomy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Markedly reduced quality of life with anxiety, depression and disability</w:t>
            </w:r>
          </w:p>
        </w:tc>
        <w:tc>
          <w:tcPr>
            <w:tcW w:type="dxa" w:w="2980"/>
            <w:vAlign w:val="top"/>
          </w:tcPr>
          <w:p>
            <w:pPr>
              <w:spacing w:after="40" w:before="0" w:line="259" w:lineRule="auto"/>
            </w:pPr>
            <w:r>
              <w:rPr>
                <w:rFonts w:ascii="Calibri" w:hAnsi="Calibri"/>
                <w:b w:val="0"/>
                <w:i w:val="0"/>
                <w:color w:val="212121"/>
                <w:sz w:val="19"/>
              </w:rPr>
              <w:t>Irreversible, disabling outcomes of longstanding, treatment-refractory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Diabetes mellitus (long-standing / poorly controlled)</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Gastroparesis is a microvascular/neuropathic complication of diabetes; delayed emptying in turn destabilises glycaemia (post-prandial hyper- and unexpected hypoglycaemia), and glycaemic control modulates emptying — a two-way relationship central to management.</w:t>
            </w:r>
          </w:p>
          <w:p>
            <w:pPr>
              <w:spacing w:after="40" w:before="0" w:line="259" w:lineRule="auto"/>
            </w:pPr>
            <w:r>
              <w:rPr>
                <w:rFonts w:ascii="Calibri" w:hAnsi="Calibri"/>
                <w:b/>
                <w:i w:val="0"/>
                <w:color w:val="212121"/>
                <w:sz w:val="19"/>
              </w:rPr>
              <w:t>≈29% (long-standing T2DM, India)</w:t>
            </w:r>
          </w:p>
        </w:tc>
      </w:tr>
      <w:tr>
        <w:trPr>
          <w:cantSplit/>
        </w:trPr>
        <w:tc>
          <w:tcPr>
            <w:tcW w:type="dxa" w:w="2232"/>
            <w:vAlign w:val="top"/>
          </w:tcPr>
          <w:p>
            <w:pPr>
              <w:spacing w:after="40" w:before="0" w:line="259" w:lineRule="auto"/>
            </w:pPr>
            <w:r>
              <w:rPr>
                <w:rFonts w:ascii="Calibri" w:hAnsi="Calibri"/>
                <w:b/>
                <w:i w:val="0"/>
                <w:color w:val="212121"/>
                <w:sz w:val="19"/>
              </w:rPr>
              <w:t>Diabetic autonomic neuropathy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Vagal/autonomic neuropathy is the shared mechanism underlying diabetic gastroparesis and often coexists with cardiac autonomic dysfunction and orthostatic hypotension.</w:t>
            </w:r>
          </w:p>
        </w:tc>
      </w:tr>
      <w:tr>
        <w:trPr>
          <w:cantSplit/>
        </w:trPr>
        <w:tc>
          <w:tcPr>
            <w:tcW w:type="dxa" w:w="2232"/>
            <w:vAlign w:val="top"/>
          </w:tcPr>
          <w:p>
            <w:pPr>
              <w:spacing w:after="40" w:before="0" w:line="259" w:lineRule="auto"/>
            </w:pPr>
            <w:r>
              <w:rPr>
                <w:rFonts w:ascii="Calibri" w:hAnsi="Calibri"/>
                <w:b/>
                <w:i w:val="0"/>
                <w:color w:val="212121"/>
                <w:sz w:val="19"/>
              </w:rPr>
              <w:t>Diabetic retinopathy &amp; peripheral neuropathy</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Fellow microvascular complications that cluster with gastroparesis; their presence flags a stomach likely to be affected.</w:t>
            </w:r>
          </w:p>
        </w:tc>
      </w:tr>
      <w:tr>
        <w:trPr>
          <w:cantSplit/>
        </w:trPr>
        <w:tc>
          <w:tcPr>
            <w:tcW w:type="dxa" w:w="2232"/>
            <w:vAlign w:val="top"/>
          </w:tcPr>
          <w:p>
            <w:pPr>
              <w:spacing w:after="40" w:before="0" w:line="259" w:lineRule="auto"/>
            </w:pPr>
            <w:r>
              <w:rPr>
                <w:rFonts w:ascii="Calibri" w:hAnsi="Calibri"/>
                <w:b/>
                <w:i w:val="0"/>
                <w:color w:val="212121"/>
                <w:sz w:val="19"/>
              </w:rPr>
              <w:t>Gastro-oesophageal reflux disease (GERD) / oesophagitis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A slowly emptying, distended stomach promotes reflux; the two share dysmotility mechanisms and reflux can complicate gastroparesis.</w:t>
            </w:r>
          </w:p>
        </w:tc>
      </w:tr>
      <w:tr>
        <w:trPr>
          <w:cantSplit/>
        </w:trPr>
        <w:tc>
          <w:tcPr>
            <w:tcW w:type="dxa" w:w="2232"/>
            <w:vAlign w:val="top"/>
          </w:tcPr>
          <w:p>
            <w:pPr>
              <w:spacing w:after="40" w:before="0" w:line="259" w:lineRule="auto"/>
            </w:pPr>
            <w:r>
              <w:rPr>
                <w:rFonts w:ascii="Calibri" w:hAnsi="Calibri"/>
                <w:b/>
                <w:i w:val="0"/>
                <w:color w:val="212121"/>
                <w:sz w:val="19"/>
              </w:rPr>
              <w:t>Functional dyspepsia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Overlaps heavily with idiopathic gastroparesis in symptoms and pathophysiology; the two are increasingly viewed as a spectrum, which affects diagnosis and treatment.</w:t>
            </w:r>
          </w:p>
        </w:tc>
      </w:tr>
      <w:tr>
        <w:trPr>
          <w:cantSplit/>
        </w:trPr>
        <w:tc>
          <w:tcPr>
            <w:tcW w:type="dxa" w:w="2232"/>
            <w:vAlign w:val="top"/>
          </w:tcPr>
          <w:p>
            <w:pPr>
              <w:spacing w:after="40" w:before="0" w:line="259" w:lineRule="auto"/>
            </w:pPr>
            <w:r>
              <w:rPr>
                <w:rFonts w:ascii="Calibri" w:hAnsi="Calibri"/>
                <w:b/>
                <w:i w:val="0"/>
                <w:color w:val="212121"/>
                <w:sz w:val="19"/>
              </w:rPr>
              <w:t>Small intestinal bacterial overgrowth (SIBO)</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Gastric and small-bowel stasis predisposes to bacterial overgrowth, worsening bloating, malabsorption and nausea.</w:t>
            </w:r>
          </w:p>
        </w:tc>
      </w:tr>
      <w:tr>
        <w:trPr>
          <w:cantSplit/>
        </w:trPr>
        <w:tc>
          <w:tcPr>
            <w:tcW w:type="dxa" w:w="2232"/>
            <w:vAlign w:val="top"/>
          </w:tcPr>
          <w:p>
            <w:pPr>
              <w:spacing w:after="40" w:before="0" w:line="259" w:lineRule="auto"/>
            </w:pPr>
            <w:r>
              <w:rPr>
                <w:rFonts w:ascii="Calibri" w:hAnsi="Calibri"/>
                <w:b/>
                <w:i w:val="0"/>
                <w:color w:val="212121"/>
                <w:sz w:val="19"/>
              </w:rPr>
              <w:t>Malnutrition &amp; micronutrient deficiency</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Chronic reduced intake, vomiting and early satiety lead to protein-calorie malnutrition and vitamin/mineral deficiencies.</w:t>
            </w:r>
          </w:p>
        </w:tc>
      </w:tr>
      <w:tr>
        <w:trPr>
          <w:cantSplit/>
        </w:trPr>
        <w:tc>
          <w:tcPr>
            <w:tcW w:type="dxa" w:w="2232"/>
            <w:vAlign w:val="top"/>
          </w:tcPr>
          <w:p>
            <w:pPr>
              <w:spacing w:after="40" w:before="0" w:line="259" w:lineRule="auto"/>
            </w:pPr>
            <w:r>
              <w:rPr>
                <w:rFonts w:ascii="Calibri" w:hAnsi="Calibri"/>
                <w:b/>
                <w:i w:val="0"/>
                <w:color w:val="212121"/>
                <w:sz w:val="19"/>
              </w:rPr>
              <w:t>Hypoglycaemia &amp; glycaemic variability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Mismatch between injected insulin and delayed, unpredictable nutrient absorption produces swings including dangerous hypoglycaemia, complicating diabetes management.</w:t>
            </w:r>
          </w:p>
        </w:tc>
      </w:tr>
      <w:tr>
        <w:trPr>
          <w:cantSplit/>
        </w:trPr>
        <w:tc>
          <w:tcPr>
            <w:tcW w:type="dxa" w:w="2232"/>
            <w:vAlign w:val="top"/>
          </w:tcPr>
          <w:p>
            <w:pPr>
              <w:spacing w:after="40" w:before="0" w:line="259" w:lineRule="auto"/>
            </w:pPr>
            <w:r>
              <w:rPr>
                <w:rFonts w:ascii="Calibri" w:hAnsi="Calibri"/>
                <w:b/>
                <w:i w:val="0"/>
                <w:color w:val="212121"/>
                <w:sz w:val="19"/>
              </w:rPr>
              <w:t>Depression &amp; anxiety</w:t>
            </w:r>
          </w:p>
        </w:tc>
        <w:tc>
          <w:tcPr>
            <w:tcW w:type="dxa" w:w="2520"/>
            <w:vAlign w:val="top"/>
          </w:tcPr>
          <w:p>
            <w:pPr>
              <w:spacing w:after="40" w:before="0" w:line="259" w:lineRule="auto"/>
            </w:pPr>
            <w:r>
              <w:rPr>
                <w:rFonts w:ascii="Calibri" w:hAnsi="Calibri"/>
                <w:b w:val="0"/>
                <w:i w:val="0"/>
                <w:color w:val="212121"/>
                <w:sz w:val="18"/>
              </w:rPr>
              <w:t>Bidirectional Association</w:t>
            </w:r>
          </w:p>
        </w:tc>
        <w:tc>
          <w:tcPr>
            <w:tcW w:type="dxa" w:w="4852"/>
            <w:vAlign w:val="top"/>
          </w:tcPr>
          <w:p>
            <w:pPr>
              <w:spacing w:after="40" w:before="0" w:line="259" w:lineRule="auto"/>
            </w:pPr>
            <w:r>
              <w:rPr>
                <w:rFonts w:ascii="Calibri" w:hAnsi="Calibri"/>
                <w:b w:val="0"/>
                <w:i w:val="0"/>
                <w:color w:val="212121"/>
                <w:sz w:val="19"/>
              </w:rPr>
              <w:t>Chronic nausea, dietary restriction and disability worsen mood, while psychological distress amplifies symptom perception through the brain–gut axis.</w:t>
            </w:r>
          </w:p>
        </w:tc>
      </w:tr>
      <w:tr>
        <w:trPr>
          <w:cantSplit/>
        </w:trPr>
        <w:tc>
          <w:tcPr>
            <w:tcW w:type="dxa" w:w="2232"/>
            <w:vAlign w:val="top"/>
          </w:tcPr>
          <w:p>
            <w:pPr>
              <w:spacing w:after="40" w:before="0" w:line="259" w:lineRule="auto"/>
            </w:pPr>
            <w:r>
              <w:rPr>
                <w:rFonts w:ascii="Calibri" w:hAnsi="Calibri"/>
                <w:b/>
                <w:i w:val="0"/>
                <w:color w:val="212121"/>
                <w:sz w:val="19"/>
              </w:rPr>
              <w:t>Hypothyroidism</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Low thyroid hormone slows gastric and whole-gut motility and is a reversible contributor; screening and correction can improve emptying.</w:t>
            </w:r>
          </w:p>
        </w:tc>
      </w:tr>
      <w:tr>
        <w:trPr>
          <w:cantSplit/>
        </w:trPr>
        <w:tc>
          <w:tcPr>
            <w:tcW w:type="dxa" w:w="2232"/>
            <w:vAlign w:val="top"/>
          </w:tcPr>
          <w:p>
            <w:pPr>
              <w:spacing w:after="40" w:before="0" w:line="259" w:lineRule="auto"/>
            </w:pPr>
            <w:r>
              <w:rPr>
                <w:rFonts w:ascii="Calibri" w:hAnsi="Calibri"/>
                <w:b/>
                <w:i w:val="0"/>
                <w:color w:val="212121"/>
                <w:sz w:val="19"/>
              </w:rPr>
              <w:t>Gastric bezoar / outlet obstruction</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Retained indigestible fibre aggregates into phytobezoars that can obstruct the outlet and require endoscopic or surgical removal.</w:t>
            </w:r>
          </w:p>
        </w:tc>
      </w:tr>
      <w:tr>
        <w:trPr>
          <w:cantSplit/>
        </w:trPr>
        <w:tc>
          <w:tcPr>
            <w:tcW w:type="dxa" w:w="2232"/>
            <w:vAlign w:val="top"/>
          </w:tcPr>
          <w:p>
            <w:pPr>
              <w:spacing w:after="40" w:before="0" w:line="259" w:lineRule="auto"/>
            </w:pPr>
            <w:r>
              <w:rPr>
                <w:rFonts w:ascii="Calibri" w:hAnsi="Calibri"/>
                <w:b/>
                <w:i w:val="0"/>
                <w:color w:val="212121"/>
                <w:sz w:val="19"/>
              </w:rPr>
              <w:t>GLP-1 receptor agonist therapy</w:t>
            </w:r>
          </w:p>
        </w:tc>
        <w:tc>
          <w:tcPr>
            <w:tcW w:type="dxa" w:w="2520"/>
            <w:vAlign w:val="top"/>
          </w:tcPr>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Widely used for diabetes and weight loss, these drugs delay gastric emptying and can precipitate or unmask gastroparesis; coexistence alters drug choice and peri-procedural (aspiration) risk.</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long-standing or poorly controlled diabetes is the leading cause of gastroparesis in India, and that tight glycaemic control is the single best preventive step.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the warning symptoms — persistent nausea, vomiting of undigested food, early satiety, bloating and unexplained glucose swings — and seek evaluation early.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acute high blood sugar (&gt;200 mg/dL) itself slows the stomach, so glucose should be optimised before and around any emptying test.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Review all medications with a clinician, as opioids, GLP-1 receptor agonists and anticholinergics can delay emptying.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vaccinations and food/hand hygiene up to date to reduce viral gastroenteritis that can trigger post-infectious gastroparesis.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Long-standing / poorly controlled 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opioids or GLP-1 agonists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Post-gastric-surgery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5–6 small, low-fat, low-fibre meals daily instead of 2–3 large meals to limit gastric distension.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soft, well-cooked foods; move to purées and nutritious liquids (soups, khichdi, buttermilk, oral rehydration/glucose-electrolyte drinks) when symptoms are severe.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Chew food thoroughly and avoid bezoar-forming items — raw fibrous vegetables, guava, unripe fruit, coconut and pith.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fat and avoid fried and oily foods, which strongly delay emptying; avoid carbonated drinks and alcohol.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Sit upright and take a gentle 10–15 minute walk after meals; do not lie down for 1–2 hours.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most daily calories earlier in the day when emptying tends to be better, and involve a dietitian for tailored, adequate nutrition.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Diagnosed gastroparesis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gastroparesis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Severe/refractory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High-fibre vegetarian eaters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a light post-meal walk (10–15 minutes) to use gravity and activity to aid gastric emptying.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moderate activity (≥150 min/week as tolerated) to improve glycaemic control and reduce neuropathic progression.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vigorous exercise immediately after eating, which can worsen nausea and reflux.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gradual, healthy weight normalisation (Asian BMI target 18.0–22.9) in overweight diabetics.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gastroparesis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physically active to improve insulin sensitivity and blunt post-prandial glucose spikes, lowering long-term neuropathy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Break up prolonged sitting, especially after meals.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office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Prediabetics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smoke; nicotine acutely delays gastric emptying and accelerates the autonomic neuropathy that causes diabetic gastroparesis.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cessation support (counselling, nicotine replacement or pharmacotherapy) — stopping benefits glycaemic control and gut motility.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and smokeless tobacco/bidi use.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autonomic neuropathy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which slows gastric emptying, irritates the stomach and worsens nausea.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chronic heavy drinking causes autonomic and peripheral neuropathy that aggravates gastroparesis.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Gastroparesis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 schedule of 7–9 hours to support glycaemic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large or fatty meals within 3 hours of bedtime and raise the head of the bed to reduce nocturnal reflux and aspiration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lie flat immediately after eating.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Gastroparesis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 with reflux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Night-shift workers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anxiety and depression, which are common and worsen symptom perception through the brain–gut axis.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brain–gut behavioural therapies (CBT, relaxation, gut-directed hypnotherapy) as adjuncts to reduce nausea and improve coping.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dietary and peer support to reduce the psychological burden of chronic dietary restriction.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Chronic/refractory gastroparesis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comorbid anxiety or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 with disease-related distress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Optimise diabetes therapy with the care team to keep HbA1c and post-prandial glucose in target, which improves both symptoms and emptying.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Adjust insulin timing/type to match delayed nutrient absorption and prevent hypoglycaemia; use continuous glucose monitoring where available.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the stepwise treatment ladder — dietary modification, prokinetics (e.g. metoclopramide, domperidone, erythromycin) and antiemetics, then endoscopic/surgical options (botulinum toxin, G-POEM/pyloroplasty, gastric electrical stimulation) for refractory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Have a clear plan for dehydration or intractable vomiting, including when to seek emergency care.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gastroparesis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Refractory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Insulin-treated diabetics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27667549/" TargetMode="External"/><Relationship Id="rId10" Type="http://schemas.openxmlformats.org/officeDocument/2006/relationships/hyperlink" Target="https://www.ncbi.nlm.nih.gov/books/NBK551528/" TargetMode="External"/><Relationship Id="rId11" Type="http://schemas.openxmlformats.org/officeDocument/2006/relationships/hyperlink" Target="https://www.niddk.nih.gov/health-information/digestive-diseases/gastroparesis" TargetMode="External"/><Relationship Id="rId12" Type="http://schemas.openxmlformats.org/officeDocument/2006/relationships/hyperlink" Target="https://idf.org/our-network/regions-and-members/south-east-asia/members/india/" TargetMode="External"/><Relationship Id="rId13" Type="http://schemas.openxmlformats.org/officeDocument/2006/relationships/hyperlink" Target="https://www.niddk.nih.gov/health-information/digestive-diseases/gastroparesis/eating-diet-nutri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