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Achalasia Cardia</w:t>
      </w:r>
    </w:p>
    <w:p>
      <w:pPr>
        <w:spacing w:before="0" w:after="160"/>
      </w:pPr>
      <w:r>
        <w:rPr>
          <w:rFonts w:ascii="Calibri" w:hAnsi="Calibri"/>
          <w:b/>
          <w:i w:val="0"/>
          <w:color w:val="212121"/>
          <w:sz w:val="22"/>
        </w:rPr>
        <w:t xml:space="preserve">AKA </w:t>
      </w:r>
      <w:r>
        <w:rPr>
          <w:rFonts w:ascii="Calibri" w:hAnsi="Calibri"/>
          <w:b w:val="0"/>
          <w:i w:val="0"/>
          <w:color w:val="212121"/>
          <w:sz w:val="22"/>
        </w:rPr>
        <w:t>i.e., Achalasia, Oesophageal achalasia, Cardiospasm, Oesophageal aperistalsis, Failure of LES relaxation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Achalasia cardia is a primary oesophageal motility disorder characterised by failure of the lower oesophageal sphincter (LES) to relax on swallowing, together with complete loss of oesophageal peristalsis. It results from progressive degeneration of inhibitory (nitrergic) ganglion cells in the oesophageal myenteric (Auerbach) plexus, producing a functional obstruction at the gastro-oesophageal junction. Patients develop progressive dysphagia to both solids and liquids, regurgitation of undigested food, chest pain and weight loss. The disease is chronic and incurable; all treatments are palliative and aim to relieve the LES outflow obstruction.</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Achalasia is a rare disorder, with a global incidence of roughly 1-2 per 100,000 people per year and a prevalence of about 10-15 per 100,000. Large population-based Indian incidence data are lacking, but it is the commonest primary oesophageal motility disorder seen at Indian gastroenterology referral centres, where idiopathic achalasia predominates - Chagas-related secondary achalasia, a major cause in South America, is not endemic in India. Indian cohort studies typically report presentation in the third to sixth decades after a long symptom duration, and the incidence appears to be rising as high-resolution manometry becomes more widely available.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Achalasia is diagnosed by high-resolution oesophageal manometry (HRM) interpreted with the Chicago Classification v4.0, after upper GI endoscopy has excluded a mechanical or malignant cause (pseudoachalasia). A barium / timed barium oesophagram and, when HRM is inconclusive, the functional lumen imaging probe (FLIP) provide supporting evidence: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High-resolution manometry (mandatory): median integrated relaxation pressure (IRP) above the upper limit of normal (&gt; 15 mmHg on most systems) with 100% failed peristalsis - the defining criterion of achalasia;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Chicago v4.0 subtype I (classic): absent contractility with no significant oesophageal pressurisation;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Chicago v4.0 subtype II: absent peristalsis with pan-oesophageal pressurisation in &gt;= 20% of swallows (commonest subtype and the best treatment responder);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Chicago v4.0 subtype III (spastic): premature / spastic contractions (distal latency &lt; 4.5 s) in &gt;= 20% of swallows with no normal peristalsis;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Barium / timed barium oesophagram: smooth 'bird-beak' tapering at the gastro-oesophageal junction, a dilated body, absent primary peristalsis and delayed emptying of the barium column;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Upper GI endoscopy with biopsy: to exclude pseudoachalasia (a tumour or infiltration at the GEJ); may show a dilated oesophagus with retained food / saliva and a puckered junction that yields to gentle pressure;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FLIP (adjunct): reduced gastro-oesophageal junction distensibility index with absent or abnormal contractility when HRM is borderline;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Eckardt symptom score (0-12): grades dysphagia, regurgitation, retrosternal pain and weight loss; used for severity and to define treatment success (score &lt;= 3).</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Achalasia is classified manometrically (Chicago Classification v4.0), aetiologically (primary versus secondary) and radiologically by the degree of oesophageal dilatation:</w:t>
      </w:r>
    </w:p>
    <w:p>
      <w:pPr>
        <w:spacing w:before="0" w:after="80"/>
      </w:pPr>
      <w:r>
        <w:rPr>
          <w:rFonts w:ascii="Calibri" w:hAnsi="Calibri"/>
          <w:b w:val="0"/>
          <w:i w:val="0"/>
          <w:color w:val="212121"/>
          <w:sz w:val="21"/>
        </w:rPr>
        <w:t>(1) Chicago subtype I (classic) - absent contractility and no oesophageal pressurisation, often a later, more decompensated stage with a dilated, atonic oesophagus;</w:t>
      </w:r>
    </w:p>
    <w:p>
      <w:pPr>
        <w:spacing w:before="0" w:after="80"/>
      </w:pPr>
      <w:r>
        <w:rPr>
          <w:rFonts w:ascii="Calibri" w:hAnsi="Calibri"/>
          <w:b w:val="0"/>
          <w:i w:val="0"/>
          <w:color w:val="212121"/>
          <w:sz w:val="21"/>
        </w:rPr>
        <w:t>(2) Chicago subtype II - absent peristalsis with pan-oesophageal pressurisation in &gt;= 20% of swallows; the most common subtype and the one with the best response to pneumatic dilation, laparoscopic Heller myotomy and peroral endoscopic myotomy (POEM);</w:t>
      </w:r>
    </w:p>
    <w:p>
      <w:pPr>
        <w:spacing w:before="0" w:after="80"/>
      </w:pPr>
      <w:r>
        <w:rPr>
          <w:rFonts w:ascii="Calibri" w:hAnsi="Calibri"/>
          <w:b w:val="0"/>
          <w:i w:val="0"/>
          <w:color w:val="212121"/>
          <w:sz w:val="21"/>
        </w:rPr>
        <w:t>(3) Chicago subtype III (spastic) - premature / spastic distal contractions with no normal peristalsis; least common, typically presenting with chest pain, and least responsive to therapy (POEM with a longer myotomy is preferred);</w:t>
      </w:r>
    </w:p>
    <w:p>
      <w:pPr>
        <w:spacing w:before="0" w:after="80"/>
      </w:pPr>
      <w:r>
        <w:rPr>
          <w:rFonts w:ascii="Calibri" w:hAnsi="Calibri"/>
          <w:b w:val="0"/>
          <w:i w:val="0"/>
          <w:color w:val="212121"/>
          <w:sz w:val="21"/>
        </w:rPr>
        <w:t>(4) Primary (idiopathic) versus secondary achalasia / pseudoachalasia - the latter mimics achalasia and is caused by gastro-oesophageal junction malignancy, Chagas disease (Trypanosoma cruzi), amyloidosis or infiltrative disease, and must be excluded, especially in older patients with a short history and marked weight loss;</w:t>
      </w:r>
    </w:p>
    <w:p>
      <w:pPr>
        <w:spacing w:before="0" w:after="80"/>
      </w:pPr>
      <w:r>
        <w:rPr>
          <w:rFonts w:ascii="Calibri" w:hAnsi="Calibri"/>
          <w:b w:val="0"/>
          <w:i w:val="0"/>
          <w:color w:val="212121"/>
          <w:sz w:val="21"/>
        </w:rPr>
        <w:t>(5) Radiological stage by oesophageal diameter - Stage I (&lt; 4 cm), II (4-6 cm), III (&gt; 6 cm) and end-stage IV (sigmoid / megaoesophagus, &gt; 7 cm), which guides whether organ-preserving therapy or oesophagectomy is required.</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Idiopathic myenteric neurodegeneration: Progressive loss of inhibitory nitrergic (nitric oxide / VIP) ganglion cells in the oesophageal myenteric plexus removes the signal for LES relaxation and peristalsis - the core defect of primary achalasia.</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Autoimmune mechanism: In genetically susceptible people (HLA-DQ associations such as an HLA-DQbeta1 insertion), inflammatory infiltration and antibodies against myenteric neurons drive neuronal destruction.</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Viral trigger: A latent neurotropic infection - herpes simplex virus type 1, and less often varicella-zoster or measles - is a proposed environmental trigger of the autoimmune response.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and syndromic causes: Familial achalasia, Allgrove (triple-A) syndrome from AAAS gene mutation (achalasia-alacrima-adrenal insufficiency) and Down syndrome carry a markedly higher risk.</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Secondary causes (pseudoachalasia): Chagas disease (T. cruzi destruction of the plexus), malignancy at the gastro-oesophageal junction, amyloidosis and paraneoplastic syndromes produce an achalasia-like picture.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Ageing: Cumulative ganglion-cell loss underlies the peak incidence in the third to sixth decades and a second rise in the elderly.</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(30-60 years)</w:t>
            </w:r>
          </w:p>
        </w:tc>
        <w:tc>
          <w:tcPr>
            <w:tcW w:type="dxa" w:w="4276"/>
            <w:vAlign w:val="top"/>
          </w:tcPr>
          <w:p>
            <w:pPr>
              <w:spacing w:after="60" w:line="259" w:lineRule="auto"/>
            </w:pPr>
            <w:r>
              <w:rPr>
                <w:rFonts w:ascii="Calibri" w:hAnsi="Calibri"/>
                <w:b w:val="0"/>
                <w:i w:val="0"/>
                <w:color w:val="212121"/>
                <w:sz w:val="19"/>
              </w:rPr>
              <w:t>Idiopathic achalasia most often begins in mid-adulthood as progressive myenteric ganglion-cell degeneration reaches a symptomatic threshold. Dysphagia to both solids and liquids develops insidiously, so diagnosis is frequently delayed by months to years.</w:t>
            </w:r>
          </w:p>
          <w:p>
            <w:pPr>
              <w:spacing w:after="40" w:before="60" w:line="259" w:lineRule="auto"/>
            </w:pPr>
            <w:r>
              <w:rPr>
                <w:rFonts w:ascii="Calibri" w:hAnsi="Calibri"/>
                <w:b w:val="0"/>
                <w:i w:val="0"/>
                <w:color w:val="212121"/>
                <w:sz w:val="19"/>
              </w:rPr>
              <w:t>Incidence peaks between the ages of 30 and 60 years; achalasia is rare in children (about 2-5% of cases).</w:t>
            </w:r>
          </w:p>
          <w:p>
            <w:pPr>
              <w:spacing w:after="40" w:line="252" w:lineRule="auto"/>
            </w:pPr>
            <w:hyperlink r:id="rId9">
              <w:r>
                <w:rPr>
                  <w:rFonts w:ascii="Calibri" w:hAnsi="Calibri" w:cs="Calibri"/>
                  <w:sz w:val="18"/>
                  <w:color w:val="1155CC"/>
                  <w:u w:val="single"/>
                </w:rPr>
                <w:t xml:space="preserve">ncbi.nlm.nih.gov — StatPearls: Achalasia</w:t>
              </w:r>
            </w:hyperlink>
          </w:p>
          <w:p>
            <w:pPr>
              <w:spacing w:before="60" w:after="40"/>
            </w:pPr>
            <w:r>
              <w:rPr>
                <w:rFonts w:ascii="Calibri" w:hAnsi="Calibri"/>
                <w:b w:val="0"/>
                <w:i w:val="0"/>
                <w:color w:val="5A5A5A"/>
                <w:sz w:val="18"/>
              </w:rPr>
              <w:t>#achalasia  #dysphagia  #myentericplexus  #middleage  #delayeddiagnosis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60 years)</w:t>
            </w:r>
          </w:p>
        </w:tc>
        <w:tc>
          <w:tcPr>
            <w:tcW w:type="dxa" w:w="4276"/>
            <w:vAlign w:val="top"/>
          </w:tcPr>
          <w:p>
            <w:pPr>
              <w:spacing w:after="60" w:line="259" w:lineRule="auto"/>
            </w:pPr>
            <w:r>
              <w:rPr>
                <w:rFonts w:ascii="Calibri" w:hAnsi="Calibri"/>
                <w:b w:val="0"/>
                <w:i w:val="0"/>
                <w:color w:val="212121"/>
                <w:sz w:val="19"/>
              </w:rPr>
              <w:t>Achalasia has a second, smaller incidence rise in older age, but new dysphagia with rapid weight loss and a short history in the elderly must first raise suspicion of pseudoachalasia from a gastro-oesophageal junction cancer.</w:t>
            </w:r>
          </w:p>
          <w:p>
            <w:pPr>
              <w:spacing w:after="40" w:before="60" w:line="259" w:lineRule="auto"/>
            </w:pPr>
            <w:r>
              <w:rPr>
                <w:rFonts w:ascii="Calibri" w:hAnsi="Calibri"/>
                <w:b w:val="0"/>
                <w:i w:val="0"/>
                <w:color w:val="212121"/>
                <w:sz w:val="19"/>
              </w:rPr>
              <w:t>In older patients a short symptom duration and marked weight loss are red flags mandating endoscopy and imaging to exclude malignant pseudoachalasia.</w:t>
            </w:r>
          </w:p>
          <w:p>
            <w:pPr>
              <w:spacing w:after="40" w:line="252" w:lineRule="auto"/>
            </w:pPr>
            <w:hyperlink r:id="rId9">
              <w:r>
                <w:rPr>
                  <w:rFonts w:ascii="Calibri" w:hAnsi="Calibri" w:cs="Calibri"/>
                  <w:sz w:val="18"/>
                  <w:color w:val="1155CC"/>
                  <w:u w:val="single"/>
                </w:rPr>
                <w:t xml:space="preserve">ncbi.nlm.nih.gov — StatPearls: Achalasia</w:t>
              </w:r>
            </w:hyperlink>
          </w:p>
          <w:p>
            <w:pPr>
              <w:spacing w:before="60" w:after="40"/>
            </w:pPr>
            <w:r>
              <w:rPr>
                <w:rFonts w:ascii="Calibri" w:hAnsi="Calibri"/>
                <w:b w:val="0"/>
                <w:i w:val="0"/>
                <w:color w:val="5A5A5A"/>
                <w:sz w:val="18"/>
              </w:rPr>
              <w:t>#elderly  #pseudoachalasia  #redflags  #weightloss  #malignancy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 and Female (roughly equal)</w:t>
            </w:r>
          </w:p>
        </w:tc>
        <w:tc>
          <w:tcPr>
            <w:tcW w:type="dxa" w:w="4276"/>
            <w:vAlign w:val="top"/>
          </w:tcPr>
          <w:p>
            <w:pPr>
              <w:spacing w:after="60" w:line="259" w:lineRule="auto"/>
            </w:pPr>
            <w:r>
              <w:rPr>
                <w:rFonts w:ascii="Calibri" w:hAnsi="Calibri"/>
                <w:b w:val="0"/>
                <w:i w:val="0"/>
                <w:color w:val="212121"/>
                <w:sz w:val="19"/>
              </w:rPr>
              <w:t>Unlike many gastrointestinal disorders, achalasia shows no strong sex predilection; men and women are affected at broadly similar rates, and management is the same across sexes.</w:t>
            </w:r>
          </w:p>
          <w:p>
            <w:pPr>
              <w:spacing w:after="40" w:before="60" w:line="259" w:lineRule="auto"/>
            </w:pPr>
            <w:r>
              <w:rPr>
                <w:rFonts w:ascii="Calibri" w:hAnsi="Calibri"/>
                <w:b w:val="0"/>
                <w:i w:val="0"/>
                <w:color w:val="212121"/>
                <w:sz w:val="19"/>
              </w:rPr>
              <w:t>Achalasia occurs about equally in both sexes across international series.</w:t>
            </w:r>
          </w:p>
          <w:p>
            <w:pPr>
              <w:spacing w:after="40" w:line="252" w:lineRule="auto"/>
            </w:pPr>
            <w:hyperlink r:id="rId10">
              <w:r>
                <w:rPr>
                  <w:rFonts w:ascii="Calibri" w:hAnsi="Calibri" w:cs="Calibri"/>
                  <w:sz w:val="18"/>
                  <w:color w:val="1155CC"/>
                  <w:u w:val="single"/>
                </w:rPr>
                <w:t xml:space="preserve">emjreviews.com — Achalasia Cardia: comprehensive review</w:t>
              </w:r>
            </w:hyperlink>
          </w:p>
          <w:p>
            <w:pPr>
              <w:spacing w:before="60" w:after="40"/>
            </w:pPr>
            <w:r>
              <w:rPr>
                <w:rFonts w:ascii="Calibri" w:hAnsi="Calibri"/>
                <w:b w:val="0"/>
                <w:i w:val="0"/>
                <w:color w:val="5A5A5A"/>
                <w:sz w:val="18"/>
              </w:rPr>
              <w:t>#equalsexes  #nopredilection  #epidemiology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Lower-income / poor healthcare access</w:t>
            </w:r>
          </w:p>
        </w:tc>
        <w:tc>
          <w:tcPr>
            <w:tcW w:type="dxa" w:w="4276"/>
            <w:vAlign w:val="top"/>
          </w:tcPr>
          <w:p>
            <w:pPr>
              <w:spacing w:after="60" w:line="259" w:lineRule="auto"/>
            </w:pPr>
            <w:r>
              <w:rPr>
                <w:rFonts w:ascii="Calibri" w:hAnsi="Calibri"/>
                <w:b w:val="0"/>
                <w:i w:val="0"/>
                <w:color w:val="212121"/>
                <w:sz w:val="19"/>
              </w:rPr>
              <w:t>Limited access to high-resolution manometry and endoscopy delays diagnosis, so patients present later with more advanced dilatation, greater weight loss and nutritional compromise. Symptoms are often misattributed to acid reflux for years before referral.</w:t>
            </w:r>
          </w:p>
          <w:p>
            <w:pPr>
              <w:spacing w:before="60" w:after="40"/>
            </w:pPr>
            <w:r>
              <w:rPr>
                <w:rFonts w:ascii="Calibri" w:hAnsi="Calibri"/>
                <w:b w:val="0"/>
                <w:i w:val="0"/>
                <w:color w:val="5A5A5A"/>
                <w:sz w:val="18"/>
              </w:rPr>
              <w:t>#accessgap  #delayedcare  #advanceddisease  #nutrition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endemicity</w:t>
            </w:r>
          </w:p>
        </w:tc>
        <w:tc>
          <w:tcPr>
            <w:tcW w:type="dxa" w:w="2160"/>
            <w:vAlign w:val="top"/>
          </w:tcPr>
          <w:p>
            <w:pPr>
              <w:spacing w:after="40" w:before="0" w:line="259" w:lineRule="auto"/>
            </w:pPr>
            <w:r>
              <w:rPr>
                <w:rFonts w:ascii="Calibri" w:hAnsi="Calibri"/>
                <w:b w:val="0"/>
                <w:i w:val="0"/>
                <w:color w:val="212121"/>
                <w:sz w:val="19"/>
              </w:rPr>
              <w:t>India (idiopathic-predominant, non-Chagas)</w:t>
            </w:r>
          </w:p>
        </w:tc>
        <w:tc>
          <w:tcPr>
            <w:tcW w:type="dxa" w:w="4276"/>
            <w:vAlign w:val="top"/>
          </w:tcPr>
          <w:p>
            <w:pPr>
              <w:spacing w:after="60" w:line="259" w:lineRule="auto"/>
            </w:pPr>
            <w:r>
              <w:rPr>
                <w:rFonts w:ascii="Calibri" w:hAnsi="Calibri"/>
                <w:b w:val="0"/>
                <w:i w:val="0"/>
                <w:color w:val="212121"/>
                <w:sz w:val="19"/>
              </w:rPr>
              <w:t>In India achalasia is almost always idiopathic. Chagas disease, a leading cause of secondary achalasia in South America through Trypanosoma cruzi destruction of the myenteric plexus, is not endemic in India, so the Chagas differential is rarely relevant locally.</w:t>
            </w:r>
          </w:p>
          <w:p>
            <w:pPr>
              <w:spacing w:after="40" w:before="60" w:line="259" w:lineRule="auto"/>
            </w:pPr>
            <w:r>
              <w:rPr>
                <w:rFonts w:ascii="Calibri" w:hAnsi="Calibri"/>
                <w:b w:val="0"/>
                <w:i w:val="0"/>
                <w:color w:val="212121"/>
                <w:sz w:val="19"/>
              </w:rPr>
              <w:t>Chagas-related achalasia is a major cause in Trypanosoma cruzi-endemic South America but not in India.</w:t>
            </w:r>
          </w:p>
          <w:p>
            <w:pPr>
              <w:spacing w:after="40" w:line="252" w:lineRule="auto"/>
            </w:pPr>
            <w:hyperlink r:id="rId10">
              <w:r>
                <w:rPr>
                  <w:rFonts w:ascii="Calibri" w:hAnsi="Calibri" w:cs="Calibri"/>
                  <w:sz w:val="18"/>
                  <w:color w:val="1155CC"/>
                  <w:u w:val="single"/>
                </w:rPr>
                <w:t xml:space="preserve">emjreviews.com — Achalasia Cardia: comprehensive review</w:t>
              </w:r>
            </w:hyperlink>
          </w:p>
          <w:p>
            <w:pPr>
              <w:spacing w:before="60" w:after="40"/>
            </w:pPr>
            <w:r>
              <w:rPr>
                <w:rFonts w:ascii="Calibri" w:hAnsi="Calibri"/>
                <w:b w:val="0"/>
                <w:i w:val="0"/>
                <w:color w:val="5A5A5A"/>
                <w:sz w:val="18"/>
              </w:rPr>
              <w:t>#india  #idiopathic  #chagas  #Tcruzi  #geography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Access to care</w:t>
            </w:r>
          </w:p>
        </w:tc>
        <w:tc>
          <w:tcPr>
            <w:tcW w:type="dxa" w:w="2160"/>
            <w:vAlign w:val="top"/>
          </w:tcPr>
          <w:p>
            <w:pPr>
              <w:spacing w:after="40" w:before="0" w:line="259" w:lineRule="auto"/>
            </w:pPr>
            <w:r>
              <w:rPr>
                <w:rFonts w:ascii="Calibri" w:hAnsi="Calibri"/>
                <w:b w:val="0"/>
                <w:i w:val="0"/>
                <w:color w:val="212121"/>
                <w:sz w:val="19"/>
              </w:rPr>
              <w:t>Tertiary-referral catchment (urban India)</w:t>
            </w:r>
          </w:p>
        </w:tc>
        <w:tc>
          <w:tcPr>
            <w:tcW w:type="dxa" w:w="4276"/>
            <w:vAlign w:val="top"/>
          </w:tcPr>
          <w:p>
            <w:pPr>
              <w:spacing w:after="60" w:line="259" w:lineRule="auto"/>
            </w:pPr>
            <w:r>
              <w:rPr>
                <w:rFonts w:ascii="Calibri" w:hAnsi="Calibri"/>
                <w:b w:val="0"/>
                <w:i w:val="0"/>
                <w:color w:val="212121"/>
                <w:sz w:val="19"/>
              </w:rPr>
              <w:t>High-resolution manometry, pneumatic dilation, laparoscopic Heller myotomy and POEM are concentrated at Indian tertiary and academic centres, so most confirmed cases are managed there while rural patients face long referral chains.</w:t>
            </w:r>
          </w:p>
          <w:p>
            <w:pPr>
              <w:spacing w:after="40" w:before="60" w:line="259" w:lineRule="auto"/>
            </w:pPr>
            <w:r>
              <w:rPr>
                <w:rFonts w:ascii="Calibri" w:hAnsi="Calibri"/>
                <w:b w:val="0"/>
                <w:i w:val="0"/>
                <w:color w:val="212121"/>
                <w:sz w:val="19"/>
              </w:rPr>
              <w:t>Indian cohort studies of achalasia are drawn from tertiary-care gastroenterology units, reflecting where diagnostic manometry and definitive therapy are available.</w:t>
            </w:r>
          </w:p>
          <w:p>
            <w:pPr>
              <w:spacing w:after="40" w:line="252" w:lineRule="auto"/>
            </w:pPr>
            <w:hyperlink r:id="rId11">
              <w:r>
                <w:rPr>
                  <w:rFonts w:ascii="Calibri" w:hAnsi="Calibri" w:cs="Calibri"/>
                  <w:sz w:val="18"/>
                  <w:color w:val="1155CC"/>
                  <w:u w:val="single"/>
                </w:rPr>
                <w:t xml:space="preserve">pubmed.ncbi.nlm.nih.gov/33102755 — Indian achalasia cohort</w:t>
              </w:r>
            </w:hyperlink>
          </w:p>
          <w:p>
            <w:pPr>
              <w:spacing w:before="60" w:after="40"/>
            </w:pPr>
            <w:r>
              <w:rPr>
                <w:rFonts w:ascii="Calibri" w:hAnsi="Calibri"/>
                <w:b w:val="0"/>
                <w:i w:val="0"/>
                <w:color w:val="5A5A5A"/>
                <w:sz w:val="18"/>
              </w:rPr>
              <w:t>#tertiarycare  #manometry  #POEM  #referral  #india</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Tobacco users (smoked or chewed) with achalasia</w:t>
            </w:r>
          </w:p>
        </w:tc>
        <w:tc>
          <w:tcPr>
            <w:tcW w:type="dxa" w:w="4276"/>
            <w:vAlign w:val="top"/>
          </w:tcPr>
          <w:p>
            <w:pPr>
              <w:spacing w:after="60" w:line="259" w:lineRule="auto"/>
            </w:pPr>
            <w:r>
              <w:rPr>
                <w:rFonts w:ascii="Calibri" w:hAnsi="Calibri"/>
                <w:b w:val="0"/>
                <w:i w:val="0"/>
                <w:color w:val="212121"/>
                <w:sz w:val="19"/>
              </w:rPr>
              <w:t>Smoking does not cause achalasia, but the stagnant, chronically inflamed oesophagus is highly vulnerable to co-carcinogens. Tobacco (including India's widely used smokeless / areca products) compounds an already large squamous-cancer risk.</w:t>
            </w:r>
          </w:p>
          <w:p>
            <w:pPr>
              <w:spacing w:after="40" w:before="60" w:line="259" w:lineRule="auto"/>
            </w:pPr>
            <w:r>
              <w:rPr>
                <w:rFonts w:ascii="Calibri" w:hAnsi="Calibri"/>
                <w:b w:val="0"/>
                <w:i w:val="0"/>
                <w:color w:val="212121"/>
                <w:sz w:val="19"/>
              </w:rPr>
              <w:t>Achalasia carries roughly a 50-fold higher risk of oesophageal squamous cell carcinoma, on which tobacco acts as an additive co-carcinogen.</w:t>
            </w:r>
          </w:p>
          <w:p>
            <w:pPr>
              <w:spacing w:after="40" w:line="252" w:lineRule="auto"/>
            </w:pPr>
            <w:hyperlink r:id="rId12">
              <w:r>
                <w:rPr>
                  <w:rFonts w:ascii="Calibri" w:hAnsi="Calibri" w:cs="Calibri"/>
                  <w:sz w:val="18"/>
                  <w:color w:val="1155CC"/>
                  <w:u w:val="single"/>
                </w:rPr>
                <w:t xml:space="preserve">dovepress.com — achalasia and esophageal cancer</w:t>
              </w:r>
            </w:hyperlink>
          </w:p>
          <w:p>
            <w:pPr>
              <w:spacing w:before="60" w:after="40"/>
            </w:pPr>
            <w:r>
              <w:rPr>
                <w:rFonts w:ascii="Calibri" w:hAnsi="Calibri"/>
                <w:b w:val="0"/>
                <w:i w:val="0"/>
                <w:color w:val="5A5A5A"/>
                <w:sz w:val="18"/>
              </w:rPr>
              <w:t>#smoking  #smokelesstobacco  #cocarcinogen  #ESCC  #stasis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Regular / heavy drinkers with achalasia</w:t>
            </w:r>
          </w:p>
        </w:tc>
        <w:tc>
          <w:tcPr>
            <w:tcW w:type="dxa" w:w="4276"/>
            <w:vAlign w:val="top"/>
          </w:tcPr>
          <w:p>
            <w:pPr>
              <w:spacing w:after="60" w:line="259" w:lineRule="auto"/>
            </w:pPr>
            <w:r>
              <w:rPr>
                <w:rFonts w:ascii="Calibri" w:hAnsi="Calibri"/>
                <w:b w:val="0"/>
                <w:i w:val="0"/>
                <w:color w:val="212121"/>
                <w:sz w:val="19"/>
              </w:rPr>
              <w:t>Alcohol is a mucosal irritant and an established oesophageal carcinogen. In a stasis oesophagus that already retains fermenting food, regular intake adds to malignant risk and can worsen reflux after myotomy; it offers no benefit for swallowing.</w:t>
            </w:r>
          </w:p>
          <w:p>
            <w:pPr>
              <w:spacing w:before="60" w:after="40"/>
            </w:pPr>
            <w:r>
              <w:rPr>
                <w:rFonts w:ascii="Calibri" w:hAnsi="Calibri"/>
                <w:b w:val="0"/>
                <w:i w:val="0"/>
                <w:color w:val="5A5A5A"/>
                <w:sz w:val="18"/>
              </w:rPr>
              <w:t>#alcohol  #carcinogen  #mucosalirritant  #refluxrisk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Eating behaviour</w:t>
            </w:r>
          </w:p>
        </w:tc>
        <w:tc>
          <w:tcPr>
            <w:tcW w:type="dxa" w:w="2160"/>
            <w:vAlign w:val="top"/>
          </w:tcPr>
          <w:p>
            <w:pPr>
              <w:spacing w:after="40" w:before="0" w:line="259" w:lineRule="auto"/>
            </w:pPr>
            <w:r>
              <w:rPr>
                <w:rFonts w:ascii="Calibri" w:hAnsi="Calibri"/>
                <w:b w:val="0"/>
                <w:i w:val="0"/>
                <w:color w:val="212121"/>
                <w:sz w:val="19"/>
              </w:rPr>
              <w:t>Rapid eaters / eating while supine</w:t>
            </w:r>
          </w:p>
        </w:tc>
        <w:tc>
          <w:tcPr>
            <w:tcW w:type="dxa" w:w="4276"/>
            <w:vAlign w:val="top"/>
          </w:tcPr>
          <w:p>
            <w:pPr>
              <w:spacing w:after="60" w:line="259" w:lineRule="auto"/>
            </w:pPr>
            <w:r>
              <w:rPr>
                <w:rFonts w:ascii="Calibri" w:hAnsi="Calibri"/>
                <w:b w:val="0"/>
                <w:i w:val="0"/>
                <w:color w:val="212121"/>
                <w:sz w:val="19"/>
              </w:rPr>
              <w:t>Because peristalsis is absent, bolus transit depends on gravity and hydrostatic pressure. Eating quickly, taking large dry boluses or lying down after meals provokes dysphagia, chest pain and nocturnal regurgitation - these behaviours worsen symptoms rather than cause the disease.</w:t>
            </w:r>
          </w:p>
          <w:p>
            <w:pPr>
              <w:spacing w:before="60" w:after="40"/>
            </w:pPr>
            <w:r>
              <w:rPr>
                <w:rFonts w:ascii="Calibri" w:hAnsi="Calibri"/>
                <w:b w:val="0"/>
                <w:i w:val="0"/>
                <w:color w:val="5A5A5A"/>
                <w:sz w:val="18"/>
              </w:rPr>
              <w:t>#eatingbehaviour  #gravitydependent  #regurgitation  #posture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Food consistency</w:t>
            </w:r>
          </w:p>
        </w:tc>
        <w:tc>
          <w:tcPr>
            <w:tcW w:type="dxa" w:w="2160"/>
            <w:vAlign w:val="top"/>
          </w:tcPr>
          <w:p>
            <w:pPr>
              <w:spacing w:after="40" w:before="0" w:line="259" w:lineRule="auto"/>
            </w:pPr>
            <w:r>
              <w:rPr>
                <w:rFonts w:ascii="Calibri" w:hAnsi="Calibri"/>
                <w:b w:val="0"/>
                <w:i w:val="0"/>
                <w:color w:val="212121"/>
                <w:sz w:val="19"/>
              </w:rPr>
              <w:t>Solid / dry-food dominant diets</w:t>
            </w:r>
          </w:p>
        </w:tc>
        <w:tc>
          <w:tcPr>
            <w:tcW w:type="dxa" w:w="4276"/>
            <w:vAlign w:val="top"/>
          </w:tcPr>
          <w:p>
            <w:pPr>
              <w:spacing w:after="60" w:line="259" w:lineRule="auto"/>
            </w:pPr>
            <w:r>
              <w:rPr>
                <w:rFonts w:ascii="Calibri" w:hAnsi="Calibri"/>
                <w:b w:val="0"/>
                <w:i w:val="0"/>
                <w:color w:val="212121"/>
                <w:sz w:val="19"/>
              </w:rPr>
              <w:t>Dry, bulky solids clear poorly through the non-relaxing sphincter, so dysphagia is worst with breads, meats and rice; patients often drift toward soft foods and liquids and reduce total intake, contributing to weight loss.</w:t>
            </w:r>
          </w:p>
          <w:p>
            <w:pPr>
              <w:spacing w:before="60" w:after="40"/>
            </w:pPr>
            <w:r>
              <w:rPr>
                <w:rFonts w:ascii="Calibri" w:hAnsi="Calibri"/>
                <w:b w:val="0"/>
                <w:i w:val="0"/>
                <w:color w:val="5A5A5A"/>
                <w:sz w:val="18"/>
              </w:rPr>
              <w:t>#foodtexture  #solids  #dysphagia  #weightloss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Dietary carcinogens</w:t>
            </w:r>
          </w:p>
        </w:tc>
        <w:tc>
          <w:tcPr>
            <w:tcW w:type="dxa" w:w="2160"/>
            <w:vAlign w:val="top"/>
          </w:tcPr>
          <w:p>
            <w:pPr>
              <w:spacing w:after="40" w:before="0" w:line="259" w:lineRule="auto"/>
            </w:pPr>
            <w:r>
              <w:rPr>
                <w:rFonts w:ascii="Calibri" w:hAnsi="Calibri"/>
                <w:b w:val="0"/>
                <w:i w:val="0"/>
                <w:color w:val="212121"/>
                <w:sz w:val="19"/>
              </w:rPr>
              <w:t>Hot beverages, tobacco-chewing, low fruit/veg (India)</w:t>
            </w:r>
          </w:p>
        </w:tc>
        <w:tc>
          <w:tcPr>
            <w:tcW w:type="dxa" w:w="4276"/>
            <w:vAlign w:val="top"/>
          </w:tcPr>
          <w:p>
            <w:pPr>
              <w:spacing w:after="60" w:line="259" w:lineRule="auto"/>
            </w:pPr>
            <w:r>
              <w:rPr>
                <w:rFonts w:ascii="Calibri" w:hAnsi="Calibri"/>
                <w:b w:val="0"/>
                <w:i w:val="0"/>
                <w:color w:val="212121"/>
                <w:sz w:val="19"/>
              </w:rPr>
              <w:t>Habits common in parts of India - very hot tea, betel-quid / smokeless tobacco and a diet low in fresh fruit and vegetables - are recognised oesophageal carcinogens that add to the stasis-related cancer risk of long-standing achalasia.</w:t>
            </w:r>
          </w:p>
          <w:p>
            <w:pPr>
              <w:spacing w:before="60" w:after="40"/>
            </w:pPr>
            <w:r>
              <w:rPr>
                <w:rFonts w:ascii="Calibri" w:hAnsi="Calibri"/>
                <w:b w:val="0"/>
                <w:i w:val="0"/>
                <w:color w:val="5A5A5A"/>
                <w:sz w:val="18"/>
              </w:rPr>
              <w:t>#hotbeverages  #betelquid  #lowfruitveg  #ESCCrisk  #india</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consanguinity</w:t>
            </w:r>
          </w:p>
        </w:tc>
        <w:tc>
          <w:tcPr>
            <w:tcW w:type="dxa" w:w="2160"/>
            <w:vAlign w:val="top"/>
          </w:tcPr>
          <w:p>
            <w:pPr>
              <w:spacing w:after="40" w:before="0" w:line="259" w:lineRule="auto"/>
            </w:pPr>
            <w:r>
              <w:rPr>
                <w:rFonts w:ascii="Calibri" w:hAnsi="Calibri"/>
                <w:b w:val="0"/>
                <w:i w:val="0"/>
                <w:color w:val="212121"/>
                <w:sz w:val="19"/>
              </w:rPr>
              <w:t>Familial achalasia and Allgrove syndrome</w:t>
            </w:r>
          </w:p>
        </w:tc>
        <w:tc>
          <w:tcPr>
            <w:tcW w:type="dxa" w:w="4276"/>
            <w:vAlign w:val="top"/>
          </w:tcPr>
          <w:p>
            <w:pPr>
              <w:spacing w:after="60" w:line="259" w:lineRule="auto"/>
            </w:pPr>
            <w:r>
              <w:rPr>
                <w:rFonts w:ascii="Calibri" w:hAnsi="Calibri"/>
                <w:b w:val="0"/>
                <w:i w:val="0"/>
                <w:color w:val="212121"/>
                <w:sz w:val="19"/>
              </w:rPr>
              <w:t>Achalasia is usually sporadic, but rare familial clustering exists and Allgrove (triple-A) syndrome is autosomal recessive - so consanguineous families (relevant in parts of India) have higher risk of syndromic disease presenting in childhood.</w:t>
            </w:r>
          </w:p>
          <w:p>
            <w:pPr>
              <w:spacing w:after="40" w:before="60" w:line="259" w:lineRule="auto"/>
            </w:pPr>
            <w:r>
              <w:rPr>
                <w:rFonts w:ascii="Calibri" w:hAnsi="Calibri"/>
                <w:b w:val="0"/>
                <w:i w:val="0"/>
                <w:color w:val="212121"/>
                <w:sz w:val="19"/>
              </w:rPr>
              <w:t>Allgrove (triple-A) syndrome is an autosomal recessive AAAS-gene disorder combining achalasia, alacrima and adrenal insufficiency.</w:t>
            </w:r>
          </w:p>
          <w:p>
            <w:pPr>
              <w:spacing w:after="40" w:line="252" w:lineRule="auto"/>
            </w:pPr>
            <w:hyperlink r:id="rId10">
              <w:r>
                <w:rPr>
                  <w:rFonts w:ascii="Calibri" w:hAnsi="Calibri" w:cs="Calibri"/>
                  <w:sz w:val="18"/>
                  <w:color w:val="1155CC"/>
                  <w:u w:val="single"/>
                </w:rPr>
                <w:t xml:space="preserve">emjreviews.com — Achalasia Cardia: comprehensive review</w:t>
              </w:r>
            </w:hyperlink>
          </w:p>
          <w:p>
            <w:pPr>
              <w:spacing w:before="60" w:after="40"/>
            </w:pPr>
            <w:r>
              <w:rPr>
                <w:rFonts w:ascii="Calibri" w:hAnsi="Calibri"/>
                <w:b w:val="0"/>
                <w:i w:val="0"/>
                <w:color w:val="5A5A5A"/>
                <w:sz w:val="18"/>
              </w:rPr>
              <w:t>#familial  #Allgrove  #tripleA  #AAAS  #consanguinity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HLA association</w:t>
            </w:r>
          </w:p>
        </w:tc>
        <w:tc>
          <w:tcPr>
            <w:tcW w:type="dxa" w:w="2160"/>
            <w:vAlign w:val="top"/>
          </w:tcPr>
          <w:p>
            <w:pPr>
              <w:spacing w:after="40" w:before="0" w:line="259" w:lineRule="auto"/>
            </w:pPr>
            <w:r>
              <w:rPr>
                <w:rFonts w:ascii="Calibri" w:hAnsi="Calibri"/>
                <w:b w:val="0"/>
                <w:i w:val="0"/>
                <w:color w:val="212121"/>
                <w:sz w:val="19"/>
              </w:rPr>
              <w:t>Carriers of susceptibility HLA-DQ variants</w:t>
            </w:r>
          </w:p>
        </w:tc>
        <w:tc>
          <w:tcPr>
            <w:tcW w:type="dxa" w:w="4276"/>
            <w:vAlign w:val="top"/>
          </w:tcPr>
          <w:p>
            <w:pPr>
              <w:spacing w:after="60" w:line="259" w:lineRule="auto"/>
            </w:pPr>
            <w:r>
              <w:rPr>
                <w:rFonts w:ascii="Calibri" w:hAnsi="Calibri"/>
                <w:b w:val="0"/>
                <w:i w:val="0"/>
                <w:color w:val="212121"/>
                <w:sz w:val="19"/>
              </w:rPr>
              <w:t>Specific class-II HLA-DQ variants are the strongest identified genetic risk factor, supporting an autoimmune pathogenesis in which a viral trigger drives neuronal destruction in genetically primed individuals.</w:t>
            </w:r>
          </w:p>
          <w:p>
            <w:pPr>
              <w:spacing w:after="40" w:before="60" w:line="259" w:lineRule="auto"/>
            </w:pPr>
            <w:r>
              <w:rPr>
                <w:rFonts w:ascii="Calibri" w:hAnsi="Calibri"/>
                <w:b w:val="0"/>
                <w:i w:val="0"/>
                <w:color w:val="212121"/>
                <w:sz w:val="19"/>
              </w:rPr>
              <w:t>An HLA-DQbeta1 insertion is described as the strongest genetic risk factor for achalasia.</w:t>
            </w:r>
          </w:p>
          <w:p>
            <w:pPr>
              <w:spacing w:after="40" w:line="252" w:lineRule="auto"/>
            </w:pPr>
            <w:hyperlink r:id="rId9">
              <w:r>
                <w:rPr>
                  <w:rFonts w:ascii="Calibri" w:hAnsi="Calibri" w:cs="Calibri"/>
                  <w:sz w:val="18"/>
                  <w:color w:val="1155CC"/>
                  <w:u w:val="single"/>
                </w:rPr>
                <w:t xml:space="preserve">ncbi.nlm.nih.gov — StatPearls: Achalasia</w:t>
              </w:r>
            </w:hyperlink>
          </w:p>
          <w:p>
            <w:pPr>
              <w:spacing w:before="60" w:after="40"/>
            </w:pPr>
            <w:r>
              <w:rPr>
                <w:rFonts w:ascii="Calibri" w:hAnsi="Calibri"/>
                <w:b w:val="0"/>
                <w:i w:val="0"/>
                <w:color w:val="5A5A5A"/>
                <w:sz w:val="18"/>
              </w:rPr>
              <w:t>#HLA  #DQbeta1  #autoimmune  #genetics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Chromosomal syndrome</w:t>
            </w:r>
          </w:p>
        </w:tc>
        <w:tc>
          <w:tcPr>
            <w:tcW w:type="dxa" w:w="2160"/>
            <w:vAlign w:val="top"/>
          </w:tcPr>
          <w:p>
            <w:pPr>
              <w:spacing w:after="40" w:before="0" w:line="259" w:lineRule="auto"/>
            </w:pPr>
            <w:r>
              <w:rPr>
                <w:rFonts w:ascii="Calibri" w:hAnsi="Calibri"/>
                <w:b w:val="0"/>
                <w:i w:val="0"/>
                <w:color w:val="212121"/>
                <w:sz w:val="19"/>
              </w:rPr>
              <w:t>Down syndrome (trisomy 21)</w:t>
            </w:r>
          </w:p>
        </w:tc>
        <w:tc>
          <w:tcPr>
            <w:tcW w:type="dxa" w:w="4276"/>
            <w:vAlign w:val="top"/>
          </w:tcPr>
          <w:p>
            <w:pPr>
              <w:spacing w:after="60" w:line="259" w:lineRule="auto"/>
            </w:pPr>
            <w:r>
              <w:rPr>
                <w:rFonts w:ascii="Calibri" w:hAnsi="Calibri"/>
                <w:b w:val="0"/>
                <w:i w:val="0"/>
                <w:color w:val="212121"/>
                <w:sz w:val="19"/>
              </w:rPr>
              <w:t>Down syndrome is associated with a higher prevalence of achalasia, which may present in childhood; feeding difficulty and recurrent chest infection in an affected child should prompt evaluation for oesophageal dysmotility.</w:t>
            </w:r>
          </w:p>
          <w:p>
            <w:pPr>
              <w:spacing w:before="60" w:after="40"/>
            </w:pPr>
            <w:r>
              <w:rPr>
                <w:rFonts w:ascii="Calibri" w:hAnsi="Calibri"/>
                <w:b w:val="0"/>
                <w:i w:val="0"/>
                <w:color w:val="5A5A5A"/>
                <w:sz w:val="18"/>
              </w:rPr>
              <w:t>#Downsyndrome  #trisomy21  #paediatric  #dysmotility</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Autoimmune / thyroid disease</w:t>
            </w:r>
          </w:p>
        </w:tc>
        <w:tc>
          <w:tcPr>
            <w:tcW w:type="dxa" w:w="2160"/>
            <w:vAlign w:val="top"/>
          </w:tcPr>
          <w:p>
            <w:pPr>
              <w:spacing w:after="40" w:before="0" w:line="259" w:lineRule="auto"/>
            </w:pPr>
            <w:r>
              <w:rPr>
                <w:rFonts w:ascii="Calibri" w:hAnsi="Calibri"/>
                <w:b w:val="0"/>
                <w:i w:val="0"/>
                <w:color w:val="212121"/>
                <w:sz w:val="19"/>
              </w:rPr>
              <w:t>Patients with autoimmune thyroid disease</w:t>
            </w:r>
          </w:p>
        </w:tc>
        <w:tc>
          <w:tcPr>
            <w:tcW w:type="dxa" w:w="4276"/>
            <w:vAlign w:val="top"/>
          </w:tcPr>
          <w:p>
            <w:pPr>
              <w:spacing w:after="60" w:line="259" w:lineRule="auto"/>
            </w:pPr>
            <w:r>
              <w:rPr>
                <w:rFonts w:ascii="Calibri" w:hAnsi="Calibri"/>
                <w:b w:val="0"/>
                <w:i w:val="0"/>
                <w:color w:val="212121"/>
                <w:sz w:val="19"/>
              </w:rPr>
              <w:t>A shared autoimmune tendency links achalasia with thyroid and other organ-specific autoimmune conditions; coexisting hypothyroidism should be screened for and treated.</w:t>
            </w:r>
          </w:p>
          <w:p>
            <w:pPr>
              <w:spacing w:after="40" w:before="60" w:line="259" w:lineRule="auto"/>
            </w:pPr>
            <w:r>
              <w:rPr>
                <w:rFonts w:ascii="Calibri" w:hAnsi="Calibri"/>
                <w:b w:val="0"/>
                <w:i w:val="0"/>
                <w:color w:val="212121"/>
                <w:sz w:val="19"/>
              </w:rPr>
              <w:t>About a quarter of achalasia patients have concurrent thyroid disease, most often hypothyroidism.</w:t>
            </w:r>
          </w:p>
          <w:p>
            <w:pPr>
              <w:spacing w:after="40" w:line="252" w:lineRule="auto"/>
            </w:pPr>
            <w:hyperlink r:id="rId13">
              <w:r>
                <w:rPr>
                  <w:rFonts w:ascii="Calibri" w:hAnsi="Calibri" w:cs="Calibri"/>
                  <w:sz w:val="18"/>
                  <w:color w:val="1155CC"/>
                  <w:u w:val="single"/>
                </w:rPr>
                <w:t xml:space="preserve">aem-sbem.com — achalasia and thyroid disease</w:t>
              </w:r>
            </w:hyperlink>
          </w:p>
          <w:p>
            <w:pPr>
              <w:spacing w:before="60" w:after="40"/>
            </w:pPr>
            <w:r>
              <w:rPr>
                <w:rFonts w:ascii="Calibri" w:hAnsi="Calibri"/>
                <w:b w:val="0"/>
                <w:i w:val="0"/>
                <w:color w:val="5A5A5A"/>
                <w:sz w:val="18"/>
              </w:rPr>
              <w:t>#autoimmune  #thyroid  #hypothyroidism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Chagas disease</w:t>
            </w:r>
          </w:p>
        </w:tc>
        <w:tc>
          <w:tcPr>
            <w:tcW w:type="dxa" w:w="2160"/>
            <w:vAlign w:val="top"/>
          </w:tcPr>
          <w:p>
            <w:pPr>
              <w:spacing w:after="40" w:before="0" w:line="259" w:lineRule="auto"/>
            </w:pPr>
            <w:r>
              <w:rPr>
                <w:rFonts w:ascii="Calibri" w:hAnsi="Calibri"/>
                <w:b w:val="0"/>
                <w:i w:val="0"/>
                <w:color w:val="212121"/>
                <w:sz w:val="19"/>
              </w:rPr>
              <w:t>Trypanosoma cruzi infection (secondary achalasia)</w:t>
            </w:r>
          </w:p>
        </w:tc>
        <w:tc>
          <w:tcPr>
            <w:tcW w:type="dxa" w:w="4276"/>
            <w:vAlign w:val="top"/>
          </w:tcPr>
          <w:p>
            <w:pPr>
              <w:spacing w:after="60" w:line="259" w:lineRule="auto"/>
            </w:pPr>
            <w:r>
              <w:rPr>
                <w:rFonts w:ascii="Calibri" w:hAnsi="Calibri"/>
                <w:b w:val="0"/>
                <w:i w:val="0"/>
                <w:color w:val="212121"/>
                <w:sz w:val="19"/>
              </w:rPr>
              <w:t>Chagas disease destroys the myenteric plexus and produces a picture indistinguishable from primary achalasia. Though not endemic in India, it remains the classic secondary cause and part of the differential in patients with relevant travel or residence history.</w:t>
            </w:r>
          </w:p>
          <w:p>
            <w:pPr>
              <w:spacing w:after="40" w:before="60" w:line="259" w:lineRule="auto"/>
            </w:pPr>
            <w:r>
              <w:rPr>
                <w:rFonts w:ascii="Calibri" w:hAnsi="Calibri"/>
                <w:b w:val="0"/>
                <w:i w:val="0"/>
                <w:color w:val="212121"/>
                <w:sz w:val="19"/>
              </w:rPr>
              <w:t>Chagas disease (T. cruzi) is the principal cause of secondary achalasia in endemic regions.</w:t>
            </w:r>
          </w:p>
          <w:p>
            <w:pPr>
              <w:spacing w:after="40" w:line="252" w:lineRule="auto"/>
            </w:pPr>
            <w:hyperlink r:id="rId9">
              <w:r>
                <w:rPr>
                  <w:rFonts w:ascii="Calibri" w:hAnsi="Calibri" w:cs="Calibri"/>
                  <w:sz w:val="18"/>
                  <w:color w:val="1155CC"/>
                  <w:u w:val="single"/>
                </w:rPr>
                <w:t xml:space="preserve">ncbi.nlm.nih.gov — StatPearls: Achalasia</w:t>
              </w:r>
            </w:hyperlink>
          </w:p>
          <w:p>
            <w:pPr>
              <w:spacing w:before="60" w:after="40"/>
            </w:pPr>
            <w:r>
              <w:rPr>
                <w:rFonts w:ascii="Calibri" w:hAnsi="Calibri"/>
                <w:b w:val="0"/>
                <w:i w:val="0"/>
                <w:color w:val="5A5A5A"/>
                <w:sz w:val="18"/>
              </w:rPr>
              <w:t>#Chagas  #Tcruzi  #secondaryachalasia  #differential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GEJ malignancy (pseudoachalasia)</w:t>
            </w:r>
          </w:p>
        </w:tc>
        <w:tc>
          <w:tcPr>
            <w:tcW w:type="dxa" w:w="2160"/>
            <w:vAlign w:val="top"/>
          </w:tcPr>
          <w:p>
            <w:pPr>
              <w:spacing w:after="40" w:before="0" w:line="259" w:lineRule="auto"/>
            </w:pPr>
            <w:r>
              <w:rPr>
                <w:rFonts w:ascii="Calibri" w:hAnsi="Calibri"/>
                <w:b w:val="0"/>
                <w:i w:val="0"/>
                <w:color w:val="212121"/>
                <w:sz w:val="19"/>
              </w:rPr>
              <w:t>Older patients with short-history dysphagia</w:t>
            </w:r>
          </w:p>
        </w:tc>
        <w:tc>
          <w:tcPr>
            <w:tcW w:type="dxa" w:w="4276"/>
            <w:vAlign w:val="top"/>
          </w:tcPr>
          <w:p>
            <w:pPr>
              <w:spacing w:after="60" w:line="259" w:lineRule="auto"/>
            </w:pPr>
            <w:r>
              <w:rPr>
                <w:rFonts w:ascii="Calibri" w:hAnsi="Calibri"/>
                <w:b w:val="0"/>
                <w:i w:val="0"/>
                <w:color w:val="212121"/>
                <w:sz w:val="19"/>
              </w:rPr>
              <w:t>A tumour infiltrating the gastro-oesophageal junction can mimic achalasia on manometry and barium study. Endoscopic (and if needed EUS / CT) exclusion of malignancy is mandatory before any myotomy or dilation.</w:t>
            </w:r>
          </w:p>
          <w:p>
            <w:pPr>
              <w:spacing w:after="40" w:before="60" w:line="259" w:lineRule="auto"/>
            </w:pPr>
            <w:r>
              <w:rPr>
                <w:rFonts w:ascii="Calibri" w:hAnsi="Calibri"/>
                <w:b w:val="0"/>
                <w:i w:val="0"/>
                <w:color w:val="212121"/>
                <w:sz w:val="19"/>
              </w:rPr>
              <w:t>Pseudoachalasia from malignancy must be excluded, particularly with age &gt; 55, short duration and rapid weight loss.</w:t>
            </w:r>
          </w:p>
          <w:p>
            <w:pPr>
              <w:spacing w:after="40" w:line="252" w:lineRule="auto"/>
            </w:pPr>
            <w:hyperlink r:id="rId9">
              <w:r>
                <w:rPr>
                  <w:rFonts w:ascii="Calibri" w:hAnsi="Calibri" w:cs="Calibri"/>
                  <w:sz w:val="18"/>
                  <w:color w:val="1155CC"/>
                  <w:u w:val="single"/>
                </w:rPr>
                <w:t xml:space="preserve">ncbi.nlm.nih.gov — StatPearls: Achalasia</w:t>
              </w:r>
            </w:hyperlink>
          </w:p>
          <w:p>
            <w:pPr>
              <w:spacing w:before="60" w:after="40"/>
            </w:pPr>
            <w:r>
              <w:rPr>
                <w:rFonts w:ascii="Calibri" w:hAnsi="Calibri"/>
                <w:b w:val="0"/>
                <w:i w:val="0"/>
                <w:color w:val="5A5A5A"/>
                <w:sz w:val="18"/>
              </w:rPr>
              <w:t>#pseudoachalasia  #malignancy  #GEJcancer  #ruleout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Depression / poor quality of life</w:t>
            </w:r>
          </w:p>
        </w:tc>
        <w:tc>
          <w:tcPr>
            <w:tcW w:type="dxa" w:w="2160"/>
            <w:vAlign w:val="top"/>
          </w:tcPr>
          <w:p>
            <w:pPr>
              <w:spacing w:after="40" w:before="0" w:line="259" w:lineRule="auto"/>
            </w:pPr>
            <w:r>
              <w:rPr>
                <w:rFonts w:ascii="Calibri" w:hAnsi="Calibri"/>
                <w:b w:val="0"/>
                <w:i w:val="0"/>
                <w:color w:val="212121"/>
                <w:sz w:val="19"/>
              </w:rPr>
              <w:t>Patients with long-standing achalasia</w:t>
            </w:r>
          </w:p>
        </w:tc>
        <w:tc>
          <w:tcPr>
            <w:tcW w:type="dxa" w:w="4276"/>
            <w:vAlign w:val="top"/>
          </w:tcPr>
          <w:p>
            <w:pPr>
              <w:spacing w:after="60" w:line="259" w:lineRule="auto"/>
            </w:pPr>
            <w:r>
              <w:rPr>
                <w:rFonts w:ascii="Calibri" w:hAnsi="Calibri"/>
                <w:b w:val="0"/>
                <w:i w:val="0"/>
                <w:color w:val="212121"/>
                <w:sz w:val="19"/>
              </w:rPr>
              <w:t>Chronic dysphagia, social restriction around eating and unpredictable regurgitation take a psychological toll; depression is significantly more common after an achalasia diagnosis and should be actively screened for.</w:t>
            </w:r>
          </w:p>
          <w:p>
            <w:pPr>
              <w:spacing w:after="40" w:before="60" w:line="259" w:lineRule="auto"/>
            </w:pPr>
            <w:r>
              <w:rPr>
                <w:rFonts w:ascii="Calibri" w:hAnsi="Calibri"/>
                <w:b w:val="0"/>
                <w:i w:val="0"/>
                <w:color w:val="212121"/>
                <w:sz w:val="19"/>
              </w:rPr>
              <w:t>New depression within one year of diagnosis was more frequent in achalasia patients than controls (4.5% vs 2.7%; OR 1.66).</w:t>
            </w:r>
          </w:p>
          <w:p>
            <w:pPr>
              <w:spacing w:after="40" w:line="252" w:lineRule="auto"/>
            </w:pPr>
            <w:hyperlink r:id="rId14">
              <w:r>
                <w:rPr>
                  <w:rFonts w:ascii="Calibri" w:hAnsi="Calibri" w:cs="Calibri"/>
                  <w:sz w:val="18"/>
                  <w:color w:val="1155CC"/>
                  <w:u w:val="single"/>
                </w:rPr>
                <w:t xml:space="preserve">journals.plos.org — achalasia and depression</w:t>
              </w:r>
            </w:hyperlink>
          </w:p>
          <w:p>
            <w:pPr>
              <w:spacing w:before="60" w:after="40"/>
            </w:pPr>
            <w:r>
              <w:rPr>
                <w:rFonts w:ascii="Calibri" w:hAnsi="Calibri"/>
                <w:b w:val="0"/>
                <w:i w:val="0"/>
                <w:color w:val="5A5A5A"/>
                <w:sz w:val="18"/>
              </w:rPr>
              <w:t>#depression  #qualityoflife  #mentalhealth  #chronicillness</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Physical activity neither causes nor prevents achalasia, but maintaining fitness and muscle mass supports nutrition and recovery after myotomy/POEM in patients limited by weight loss.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Food consistency and eating technique strongly shape symptom burden: small, well-chewed semi-solid meals taken upright clear better through the non-relaxing sphincter, whereas large dry boluses provoke dysphagia and impaction.</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Supine posture removes the gravity that a peristalsis-less oesophagus depends on; eating close to bedtime causes nocturnal regurgitation and aspiration, so meal timing and head-of-bed elevation matter.</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does not trigger achalasia but is a co-carcinogen in the stasis oesophagus, adding to an already ~50-fold higher squamous cancer risk; smokeless/areca products are relevant in India.</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Alcohol is a mucosal irritant and oesophageal carcinogen that compounds stasis-related cancer risk and can aggravate reflux after LES-disrupting therapy.</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dysphagia and regurgitation impair quality of life; new depression is significantly more common after diagnosis (OR 1.66), and stress can heighten chest-pain perception.</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Sipping warm water during meals helps wash boluses through the sphincter and maintains hydration when intake is poor, though it does not modify the underlying disease.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Hot caffeinated beverages have only minor, transient effects on sphincter tone; very hot drinks are more relevant as an oesophageal carcinogen than as a motility factor.</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Oral and dental hygiene matter because retained, fermenting food causes halitosis, dental erosion and a reservoir for aspiration; good hygiene reduces these secondary problems.</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Cold or carbonated drinks, emotional stress, rapid eating and large dry boluses can acutely provoke dysphagia and spastic chest pain, particularly in subtype III.</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Because peristalsis is absent, upright posture during and after meals and elevation of the head of the bed use gravity to aid oesophageal emptying and cut regurgitation and aspiration.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(kg/m2)</w:t>
            </w:r>
          </w:p>
        </w:tc>
        <w:tc>
          <w:tcPr>
            <w:tcW w:type="dxa" w:w="1655"/>
            <w:vAlign w:val="top"/>
          </w:tcPr>
          <w:p>
            <w:pPr>
              <w:spacing w:after="40" w:before="0" w:line="259" w:lineRule="auto"/>
            </w:pPr>
            <w:r>
              <w:rPr>
                <w:rFonts w:ascii="Calibri" w:hAnsi="Calibri"/>
                <w:b w:val="0"/>
                <w:i w:val="0"/>
                <w:color w:val="212121"/>
                <w:sz w:val="19"/>
              </w:rPr>
              <w:t>Achalasia patients with dysphagia</w:t>
            </w:r>
          </w:p>
        </w:tc>
        <w:tc>
          <w:tcPr>
            <w:tcW w:type="dxa" w:w="1512"/>
            <w:vAlign w:val="top"/>
          </w:tcPr>
          <w:p>
            <w:pPr>
              <w:spacing w:after="40" w:before="0" w:line="259" w:lineRule="auto"/>
            </w:pPr>
            <w:r>
              <w:rPr>
                <w:rFonts w:ascii="Calibri" w:hAnsi="Calibri"/>
                <w:b w:val="0"/>
                <w:i w:val="0"/>
                <w:color w:val="212121"/>
                <w:sz w:val="19"/>
              </w:rPr>
              <w:t>18.5-24.9 kg/m2</w:t>
            </w:r>
          </w:p>
        </w:tc>
        <w:tc>
          <w:tcPr>
            <w:tcW w:type="dxa" w:w="1512"/>
            <w:vAlign w:val="top"/>
          </w:tcPr>
          <w:p>
            <w:pPr>
              <w:spacing w:after="40" w:before="0" w:line="259" w:lineRule="auto"/>
            </w:pPr>
            <w:r>
              <w:rPr>
                <w:rFonts w:ascii="Calibri" w:hAnsi="Calibri"/>
                <w:b w:val="0"/>
                <w:i w:val="0"/>
                <w:color w:val="212121"/>
                <w:sz w:val="19"/>
              </w:rPr>
              <w:t>&lt; 18.5 or a falling BMI</w:t>
            </w:r>
          </w:p>
        </w:tc>
        <w:tc>
          <w:tcPr>
            <w:tcW w:type="dxa" w:w="1468"/>
            <w:vAlign w:val="top"/>
          </w:tcPr>
          <w:p>
            <w:pPr>
              <w:spacing w:after="40" w:before="0" w:line="259" w:lineRule="auto"/>
            </w:pPr>
            <w:r>
              <w:rPr>
                <w:rFonts w:ascii="Calibri" w:hAnsi="Calibri"/>
                <w:b w:val="0"/>
                <w:i w:val="0"/>
                <w:color w:val="212121"/>
                <w:sz w:val="19"/>
              </w:rPr>
              <w:t>Progressive weight loss reflects worsening bolus transit and signals a need for intervention and nutritional support.</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Unintentional weight loss (% body weight)</w:t>
            </w:r>
          </w:p>
        </w:tc>
        <w:tc>
          <w:tcPr>
            <w:tcW w:type="dxa" w:w="1655"/>
            <w:vAlign w:val="top"/>
          </w:tcPr>
          <w:p>
            <w:pPr>
              <w:spacing w:after="40" w:before="0" w:line="259" w:lineRule="auto"/>
            </w:pPr>
            <w:r>
              <w:rPr>
                <w:rFonts w:ascii="Calibri" w:hAnsi="Calibri"/>
                <w:b w:val="0"/>
                <w:i w:val="0"/>
                <w:color w:val="212121"/>
                <w:sz w:val="19"/>
              </w:rPr>
              <w:t>All symptomatic patients</w:t>
            </w:r>
          </w:p>
        </w:tc>
        <w:tc>
          <w:tcPr>
            <w:tcW w:type="dxa" w:w="1512"/>
            <w:vAlign w:val="top"/>
          </w:tcPr>
          <w:p>
            <w:pPr>
              <w:spacing w:after="40" w:before="0" w:line="259" w:lineRule="auto"/>
            </w:pPr>
            <w:r>
              <w:rPr>
                <w:rFonts w:ascii="Calibri" w:hAnsi="Calibri"/>
                <w:b w:val="0"/>
                <w:i w:val="0"/>
                <w:color w:val="212121"/>
                <w:sz w:val="19"/>
              </w:rPr>
              <w:t>0% / weight stable</w:t>
            </w:r>
          </w:p>
        </w:tc>
        <w:tc>
          <w:tcPr>
            <w:tcW w:type="dxa" w:w="1512"/>
            <w:vAlign w:val="top"/>
          </w:tcPr>
          <w:p>
            <w:pPr>
              <w:spacing w:after="40" w:before="0" w:line="259" w:lineRule="auto"/>
            </w:pPr>
            <w:r>
              <w:rPr>
                <w:rFonts w:ascii="Calibri" w:hAnsi="Calibri"/>
                <w:b w:val="0"/>
                <w:i w:val="0"/>
                <w:color w:val="212121"/>
                <w:sz w:val="19"/>
              </w:rPr>
              <w:t>&gt; 5-10% loss</w:t>
            </w:r>
          </w:p>
        </w:tc>
        <w:tc>
          <w:tcPr>
            <w:tcW w:type="dxa" w:w="1468"/>
            <w:vAlign w:val="top"/>
          </w:tcPr>
          <w:p>
            <w:pPr>
              <w:spacing w:after="40" w:before="0" w:line="259" w:lineRule="auto"/>
            </w:pPr>
            <w:r>
              <w:rPr>
                <w:rFonts w:ascii="Calibri" w:hAnsi="Calibri"/>
                <w:b w:val="0"/>
                <w:i w:val="0"/>
                <w:color w:val="212121"/>
                <w:sz w:val="19"/>
              </w:rPr>
              <w:t>A component of the Eckardt score; marks disease severity and malnutrition risk.</w:t>
            </w:r>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Head-of-bed elevation</w:t>
            </w:r>
          </w:p>
        </w:tc>
        <w:tc>
          <w:tcPr>
            <w:tcW w:type="dxa" w:w="1655"/>
            <w:vAlign w:val="top"/>
          </w:tcPr>
          <w:p>
            <w:pPr>
              <w:spacing w:after="40" w:before="0" w:line="259" w:lineRule="auto"/>
            </w:pPr>
            <w:r>
              <w:rPr>
                <w:rFonts w:ascii="Calibri" w:hAnsi="Calibri"/>
                <w:b w:val="0"/>
                <w:i w:val="0"/>
                <w:color w:val="212121"/>
                <w:sz w:val="19"/>
              </w:rPr>
              <w:t>Nocturnal regurgitators, advanced disease</w:t>
            </w:r>
          </w:p>
        </w:tc>
        <w:tc>
          <w:tcPr>
            <w:tcW w:type="dxa" w:w="1512"/>
            <w:vAlign w:val="top"/>
          </w:tcPr>
          <w:p>
            <w:pPr>
              <w:spacing w:after="40" w:before="0" w:line="259" w:lineRule="auto"/>
            </w:pPr>
            <w:r>
              <w:rPr>
                <w:rFonts w:ascii="Calibri" w:hAnsi="Calibri"/>
                <w:b w:val="0"/>
                <w:i w:val="0"/>
                <w:color w:val="212121"/>
                <w:sz w:val="19"/>
              </w:rPr>
              <w:t>Elevated 15-20 cm / sleeping propped up</w:t>
            </w:r>
          </w:p>
        </w:tc>
        <w:tc>
          <w:tcPr>
            <w:tcW w:type="dxa" w:w="1512"/>
            <w:vAlign w:val="top"/>
          </w:tcPr>
          <w:p>
            <w:pPr>
              <w:spacing w:after="40" w:before="0" w:line="259" w:lineRule="auto"/>
            </w:pPr>
            <w:r>
              <w:rPr>
                <w:rFonts w:ascii="Calibri" w:hAnsi="Calibri"/>
                <w:b w:val="0"/>
                <w:i w:val="0"/>
                <w:color w:val="212121"/>
                <w:sz w:val="19"/>
              </w:rPr>
              <w:t>Flat, fully supine sleeping</w:t>
            </w:r>
          </w:p>
        </w:tc>
        <w:tc>
          <w:tcPr>
            <w:tcW w:type="dxa" w:w="1468"/>
            <w:vAlign w:val="top"/>
          </w:tcPr>
          <w:p>
            <w:pPr>
              <w:spacing w:after="40" w:before="0" w:line="259" w:lineRule="auto"/>
            </w:pPr>
            <w:r>
              <w:rPr>
                <w:rFonts w:ascii="Calibri" w:hAnsi="Calibri"/>
                <w:b w:val="0"/>
                <w:i w:val="0"/>
                <w:color w:val="212121"/>
                <w:sz w:val="19"/>
              </w:rPr>
              <w:t>Gravity aids emptying of the aperistaltic oesophagus and reduces nocturnal regurgitation and aspiration.</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Last meal-to-sleep interval (hours)</w:t>
            </w:r>
          </w:p>
        </w:tc>
        <w:tc>
          <w:tcPr>
            <w:tcW w:type="dxa" w:w="1655"/>
            <w:vAlign w:val="top"/>
          </w:tcPr>
          <w:p>
            <w:pPr>
              <w:spacing w:after="40" w:before="0" w:line="259" w:lineRule="auto"/>
            </w:pPr>
            <w:r>
              <w:rPr>
                <w:rFonts w:ascii="Calibri" w:hAnsi="Calibri"/>
                <w:b w:val="0"/>
                <w:i w:val="0"/>
                <w:color w:val="212121"/>
                <w:sz w:val="19"/>
              </w:rPr>
              <w:t>All patients</w:t>
            </w:r>
          </w:p>
        </w:tc>
        <w:tc>
          <w:tcPr>
            <w:tcW w:type="dxa" w:w="1512"/>
            <w:vAlign w:val="top"/>
          </w:tcPr>
          <w:p>
            <w:pPr>
              <w:spacing w:after="40" w:before="0" w:line="259" w:lineRule="auto"/>
            </w:pPr>
            <w:r>
              <w:rPr>
                <w:rFonts w:ascii="Calibri" w:hAnsi="Calibri"/>
                <w:b w:val="0"/>
                <w:i w:val="0"/>
                <w:color w:val="212121"/>
                <w:sz w:val="19"/>
              </w:rPr>
              <w:t>&gt;= 3 hours; empty oesophagus before lying down</w:t>
            </w:r>
          </w:p>
        </w:tc>
        <w:tc>
          <w:tcPr>
            <w:tcW w:type="dxa" w:w="1512"/>
            <w:vAlign w:val="top"/>
          </w:tcPr>
          <w:p>
            <w:pPr>
              <w:spacing w:after="40" w:before="0" w:line="259" w:lineRule="auto"/>
            </w:pPr>
            <w:r>
              <w:rPr>
                <w:rFonts w:ascii="Calibri" w:hAnsi="Calibri"/>
                <w:b w:val="0"/>
                <w:i w:val="0"/>
                <w:color w:val="212121"/>
                <w:sz w:val="19"/>
              </w:rPr>
              <w:t>&lt; 3 hours / eating just before bed</w:t>
            </w:r>
          </w:p>
        </w:tc>
        <w:tc>
          <w:tcPr>
            <w:tcW w:type="dxa" w:w="1468"/>
            <w:vAlign w:val="top"/>
          </w:tcPr>
          <w:p>
            <w:pPr>
              <w:spacing w:after="40" w:before="0" w:line="259" w:lineRule="auto"/>
            </w:pPr>
            <w:r>
              <w:rPr>
                <w:rFonts w:ascii="Calibri" w:hAnsi="Calibri"/>
                <w:b w:val="0"/>
                <w:i w:val="0"/>
                <w:color w:val="212121"/>
                <w:sz w:val="19"/>
              </w:rPr>
              <w:t>Retained food regurgitates when supine, causing cough and aspiration pneumonia.</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 tobacco use per day</w:t>
            </w:r>
          </w:p>
        </w:tc>
        <w:tc>
          <w:tcPr>
            <w:tcW w:type="dxa" w:w="1655"/>
            <w:vAlign w:val="top"/>
          </w:tcPr>
          <w:p>
            <w:pPr>
              <w:spacing w:after="40" w:before="0" w:line="259" w:lineRule="auto"/>
            </w:pPr>
            <w:r>
              <w:rPr>
                <w:rFonts w:ascii="Calibri" w:hAnsi="Calibri"/>
                <w:b w:val="0"/>
                <w:i w:val="0"/>
                <w:color w:val="212121"/>
                <w:sz w:val="19"/>
              </w:rPr>
              <w:t>Tobacco users</w:t>
            </w:r>
          </w:p>
        </w:tc>
        <w:tc>
          <w:tcPr>
            <w:tcW w:type="dxa" w:w="1512"/>
            <w:vAlign w:val="top"/>
          </w:tcPr>
          <w:p>
            <w:pPr>
              <w:spacing w:after="40" w:before="0" w:line="259" w:lineRule="auto"/>
            </w:pPr>
            <w:r>
              <w:rPr>
                <w:rFonts w:ascii="Calibri" w:hAnsi="Calibri"/>
                <w:b w:val="0"/>
                <w:i w:val="0"/>
                <w:color w:val="212121"/>
                <w:sz w:val="19"/>
              </w:rPr>
              <w:t>0 / day (smoked and smokeless)</w:t>
            </w:r>
          </w:p>
        </w:tc>
        <w:tc>
          <w:tcPr>
            <w:tcW w:type="dxa" w:w="1512"/>
            <w:vAlign w:val="top"/>
          </w:tcPr>
          <w:p>
            <w:pPr>
              <w:spacing w:after="40" w:before="0" w:line="259" w:lineRule="auto"/>
            </w:pPr>
            <w:r>
              <w:rPr>
                <w:rFonts w:ascii="Calibri" w:hAnsi="Calibri"/>
                <w:b w:val="0"/>
                <w:i w:val="0"/>
                <w:color w:val="212121"/>
                <w:sz w:val="19"/>
              </w:rPr>
              <w:t>&gt;= 1 / day</w:t>
            </w:r>
          </w:p>
        </w:tc>
        <w:tc>
          <w:tcPr>
            <w:tcW w:type="dxa" w:w="1468"/>
            <w:vAlign w:val="top"/>
          </w:tcPr>
          <w:p>
            <w:pPr>
              <w:spacing w:after="60" w:line="259" w:lineRule="auto"/>
            </w:pPr>
            <w:r>
              <w:rPr>
                <w:rFonts w:ascii="Calibri" w:hAnsi="Calibri"/>
                <w:b w:val="0"/>
                <w:i w:val="0"/>
                <w:color w:val="212121"/>
                <w:sz w:val="19"/>
              </w:rPr>
              <w:t>Tobacco is a co-carcinogen; achalasia already raises oesophageal squamous cancer risk about 50-fold.</w:t>
            </w:r>
          </w:p>
          <w:p>
            <w:pPr>
              <w:spacing w:after="40" w:line="252" w:lineRule="auto"/>
            </w:pPr>
            <w:hyperlink r:id="rId12">
              <w:r>
                <w:rPr>
                  <w:rFonts w:ascii="Calibri" w:hAnsi="Calibri" w:cs="Calibri"/>
                  <w:sz w:val="18"/>
                  <w:color w:val="1155CC"/>
                  <w:u w:val="single"/>
                </w:rPr>
                <w:t xml:space="preserve">https://www.dovepress.com/achalasia-and-esophageal-cancer-risks-and-links-peer-reviewed-fulltext-article-CEG</w:t>
              </w:r>
            </w:hyperlink>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w:t>
            </w:r>
          </w:p>
        </w:tc>
        <w:tc>
          <w:tcPr>
            <w:tcW w:type="dxa" w:w="1655"/>
            <w:vAlign w:val="top"/>
          </w:tcPr>
          <w:p>
            <w:pPr>
              <w:spacing w:after="40" w:before="0" w:line="259" w:lineRule="auto"/>
            </w:pPr>
            <w:r>
              <w:rPr>
                <w:rFonts w:ascii="Calibri" w:hAnsi="Calibri"/>
                <w:b w:val="0"/>
                <w:i w:val="0"/>
                <w:color w:val="212121"/>
                <w:sz w:val="19"/>
              </w:rPr>
              <w:t>Drinkers</w:t>
            </w:r>
          </w:p>
        </w:tc>
        <w:tc>
          <w:tcPr>
            <w:tcW w:type="dxa" w:w="1512"/>
            <w:vAlign w:val="top"/>
          </w:tcPr>
          <w:p>
            <w:pPr>
              <w:spacing w:after="40" w:before="0" w:line="259" w:lineRule="auto"/>
            </w:pPr>
            <w:r>
              <w:rPr>
                <w:rFonts w:ascii="Calibri" w:hAnsi="Calibri"/>
                <w:b w:val="0"/>
                <w:i w:val="0"/>
                <w:color w:val="212121"/>
                <w:sz w:val="19"/>
              </w:rPr>
              <w:t>None / minimal</w:t>
            </w:r>
          </w:p>
        </w:tc>
        <w:tc>
          <w:tcPr>
            <w:tcW w:type="dxa" w:w="1512"/>
            <w:vAlign w:val="top"/>
          </w:tcPr>
          <w:p>
            <w:pPr>
              <w:spacing w:after="40" w:before="0" w:line="259" w:lineRule="auto"/>
            </w:pPr>
            <w:r>
              <w:rPr>
                <w:rFonts w:ascii="Calibri" w:hAnsi="Calibri"/>
                <w:b w:val="0"/>
                <w:i w:val="0"/>
                <w:color w:val="212121"/>
                <w:sz w:val="19"/>
              </w:rPr>
              <w:t>Regular or heavy intake</w:t>
            </w:r>
          </w:p>
        </w:tc>
        <w:tc>
          <w:tcPr>
            <w:tcW w:type="dxa" w:w="1468"/>
            <w:vAlign w:val="top"/>
          </w:tcPr>
          <w:p>
            <w:pPr>
              <w:spacing w:after="40" w:before="0" w:line="259" w:lineRule="auto"/>
            </w:pPr>
            <w:r>
              <w:rPr>
                <w:rFonts w:ascii="Calibri" w:hAnsi="Calibri"/>
                <w:b w:val="0"/>
                <w:i w:val="0"/>
                <w:color w:val="212121"/>
                <w:sz w:val="19"/>
              </w:rPr>
              <w:t>Mucosal irritant and oesophageal carcinogen compounding stasis-related cancer risk.</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Depression screen (PHQ-9)</w:t>
            </w:r>
          </w:p>
        </w:tc>
        <w:tc>
          <w:tcPr>
            <w:tcW w:type="dxa" w:w="1655"/>
            <w:vAlign w:val="top"/>
          </w:tcPr>
          <w:p>
            <w:pPr>
              <w:spacing w:after="40" w:before="0" w:line="259" w:lineRule="auto"/>
            </w:pPr>
            <w:r>
              <w:rPr>
                <w:rFonts w:ascii="Calibri" w:hAnsi="Calibri"/>
                <w:b w:val="0"/>
                <w:i w:val="0"/>
                <w:color w:val="212121"/>
                <w:sz w:val="19"/>
              </w:rPr>
              <w:t>Chronic / long-standing achalasia</w:t>
            </w:r>
          </w:p>
        </w:tc>
        <w:tc>
          <w:tcPr>
            <w:tcW w:type="dxa" w:w="1512"/>
            <w:vAlign w:val="top"/>
          </w:tcPr>
          <w:p>
            <w:pPr>
              <w:spacing w:after="40" w:before="0" w:line="259" w:lineRule="auto"/>
            </w:pPr>
            <w:r>
              <w:rPr>
                <w:rFonts w:ascii="Calibri" w:hAnsi="Calibri"/>
                <w:b w:val="0"/>
                <w:i w:val="0"/>
                <w:color w:val="212121"/>
                <w:sz w:val="19"/>
              </w:rPr>
              <w:t>&lt; 5 (minimal)</w:t>
            </w:r>
          </w:p>
        </w:tc>
        <w:tc>
          <w:tcPr>
            <w:tcW w:type="dxa" w:w="1512"/>
            <w:vAlign w:val="top"/>
          </w:tcPr>
          <w:p>
            <w:pPr>
              <w:spacing w:after="40" w:before="0" w:line="259" w:lineRule="auto"/>
            </w:pPr>
            <w:r>
              <w:rPr>
                <w:rFonts w:ascii="Calibri" w:hAnsi="Calibri"/>
                <w:b w:val="0"/>
                <w:i w:val="0"/>
                <w:color w:val="212121"/>
                <w:sz w:val="19"/>
              </w:rPr>
              <w:t>&gt;= 10 (moderate or higher)</w:t>
            </w:r>
          </w:p>
        </w:tc>
        <w:tc>
          <w:tcPr>
            <w:tcW w:type="dxa" w:w="1468"/>
            <w:vAlign w:val="top"/>
          </w:tcPr>
          <w:p>
            <w:pPr>
              <w:spacing w:after="60" w:line="259" w:lineRule="auto"/>
            </w:pPr>
            <w:r>
              <w:rPr>
                <w:rFonts w:ascii="Calibri" w:hAnsi="Calibri"/>
                <w:b w:val="0"/>
                <w:i w:val="0"/>
                <w:color w:val="212121"/>
                <w:sz w:val="19"/>
              </w:rPr>
              <w:t>New depression is significantly more common after an achalasia diagnosis (OR 1.66).</w:t>
            </w:r>
          </w:p>
          <w:p>
            <w:pPr>
              <w:spacing w:after="40" w:line="252" w:lineRule="auto"/>
            </w:pPr>
            <w:hyperlink r:id="rId14">
              <w:r>
                <w:rPr>
                  <w:rFonts w:ascii="Calibri" w:hAnsi="Calibri" w:cs="Calibri"/>
                  <w:sz w:val="18"/>
                  <w:color w:val="1155CC"/>
                  <w:u w:val="single"/>
                </w:rPr>
                <w:t xml:space="preserve">https://journals.plos.org/plosone/article?id=10.1371%2Fjournal.pone.0250503</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Bolus-clearance behaviour (upright, warm-water washdown)</w:t>
            </w:r>
          </w:p>
        </w:tc>
        <w:tc>
          <w:tcPr>
            <w:tcW w:type="dxa" w:w="1655"/>
            <w:vAlign w:val="top"/>
          </w:tcPr>
          <w:p>
            <w:pPr>
              <w:spacing w:after="40" w:before="0" w:line="259" w:lineRule="auto"/>
            </w:pPr>
            <w:r>
              <w:rPr>
                <w:rFonts w:ascii="Calibri" w:hAnsi="Calibri"/>
                <w:b w:val="0"/>
                <w:i w:val="0"/>
                <w:color w:val="212121"/>
                <w:sz w:val="19"/>
              </w:rPr>
              <w:t>Symptomatic patients</w:t>
            </w:r>
          </w:p>
        </w:tc>
        <w:tc>
          <w:tcPr>
            <w:tcW w:type="dxa" w:w="1512"/>
            <w:vAlign w:val="top"/>
          </w:tcPr>
          <w:p>
            <w:pPr>
              <w:spacing w:after="40" w:before="0" w:line="259" w:lineRule="auto"/>
            </w:pPr>
            <w:r>
              <w:rPr>
                <w:rFonts w:ascii="Calibri" w:hAnsi="Calibri"/>
                <w:b w:val="0"/>
                <w:i w:val="0"/>
                <w:color w:val="212121"/>
                <w:sz w:val="19"/>
              </w:rPr>
              <w:t>Small semi-solid meals, upright, sip warm water</w:t>
            </w:r>
          </w:p>
        </w:tc>
        <w:tc>
          <w:tcPr>
            <w:tcW w:type="dxa" w:w="1512"/>
            <w:vAlign w:val="top"/>
          </w:tcPr>
          <w:p>
            <w:pPr>
              <w:spacing w:after="40" w:before="0" w:line="259" w:lineRule="auto"/>
            </w:pPr>
            <w:r>
              <w:rPr>
                <w:rFonts w:ascii="Calibri" w:hAnsi="Calibri"/>
                <w:b w:val="0"/>
                <w:i w:val="0"/>
                <w:color w:val="212121"/>
                <w:sz w:val="19"/>
              </w:rPr>
              <w:t>Large dry solids, rapid eating, eating supine</w:t>
            </w:r>
          </w:p>
        </w:tc>
        <w:tc>
          <w:tcPr>
            <w:tcW w:type="dxa" w:w="1468"/>
            <w:vAlign w:val="top"/>
          </w:tcPr>
          <w:p>
            <w:pPr>
              <w:spacing w:after="40" w:before="0" w:line="259" w:lineRule="auto"/>
            </w:pPr>
            <w:r>
              <w:rPr>
                <w:rFonts w:ascii="Calibri" w:hAnsi="Calibri"/>
                <w:b w:val="0"/>
                <w:i w:val="0"/>
                <w:color w:val="212121"/>
                <w:sz w:val="19"/>
              </w:rPr>
              <w:t>Behavioural measures reduce dysphagia and food impaction between definitive treatments.</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Manometry</w:t>
            </w:r>
          </w:p>
        </w:tc>
        <w:tc>
          <w:tcPr>
            <w:tcW w:type="dxa" w:w="1036"/>
            <w:vAlign w:val="top"/>
          </w:tcPr>
          <w:p>
            <w:pPr>
              <w:spacing w:after="40" w:before="0" w:line="259" w:lineRule="auto"/>
            </w:pPr>
            <w:r>
              <w:rPr>
                <w:rFonts w:ascii="Calibri" w:hAnsi="Calibri"/>
                <w:b w:val="0"/>
                <w:i w:val="0"/>
                <w:color w:val="212121"/>
                <w:sz w:val="16"/>
              </w:rPr>
              <w:t>Integrated Relaxation Pressure (IRP)</w:t>
            </w:r>
          </w:p>
        </w:tc>
        <w:tc>
          <w:tcPr>
            <w:tcW w:type="dxa" w:w="892"/>
            <w:vAlign w:val="top"/>
          </w:tcPr>
          <w:p>
            <w:pPr>
              <w:spacing w:after="40" w:before="0" w:line="259" w:lineRule="auto"/>
            </w:pPr>
            <w:r>
              <w:rPr>
                <w:rFonts w:ascii="Calibri" w:hAnsi="Calibri"/>
                <w:b w:val="0"/>
                <w:i w:val="0"/>
                <w:color w:val="212121"/>
                <w:sz w:val="16"/>
              </w:rPr>
              <w:t>High-resolution oesophageal manometry</w:t>
            </w:r>
          </w:p>
        </w:tc>
        <w:tc>
          <w:tcPr>
            <w:tcW w:type="dxa" w:w="950"/>
            <w:vAlign w:val="top"/>
          </w:tcPr>
          <w:p>
            <w:pPr>
              <w:spacing w:after="40" w:before="0" w:line="259" w:lineRule="auto"/>
            </w:pPr>
            <w:r>
              <w:rPr>
                <w:rFonts w:ascii="Calibri" w:hAnsi="Calibri"/>
                <w:b w:val="0"/>
                <w:i w:val="0"/>
                <w:color w:val="212121"/>
                <w:sz w:val="16"/>
              </w:rPr>
              <w:t>&lt;= 15 mmHg (median IRP)</w:t>
            </w:r>
          </w:p>
        </w:tc>
        <w:tc>
          <w:tcPr>
            <w:tcW w:type="dxa" w:w="950"/>
            <w:vAlign w:val="top"/>
          </w:tcPr>
          <w:p>
            <w:pPr>
              <w:spacing w:after="40" w:before="0" w:line="259" w:lineRule="auto"/>
            </w:pPr>
            <w:r>
              <w:rPr>
                <w:rFonts w:ascii="Calibri" w:hAnsi="Calibri"/>
                <w:b w:val="0"/>
                <w:i w:val="0"/>
                <w:color w:val="212121"/>
                <w:sz w:val="16"/>
              </w:rPr>
              <w:t>&gt; 15 mmHg with 100% failed peristalsis</w:t>
            </w:r>
          </w:p>
        </w:tc>
        <w:tc>
          <w:tcPr>
            <w:tcW w:type="dxa" w:w="1036"/>
            <w:vAlign w:val="top"/>
          </w:tcPr>
          <w:p>
            <w:pPr>
              <w:spacing w:after="40" w:before="0" w:line="259" w:lineRule="auto"/>
            </w:pPr>
            <w:r>
              <w:rPr>
                <w:rFonts w:ascii="Calibri" w:hAnsi="Calibri"/>
                <w:b w:val="0"/>
                <w:i w:val="0"/>
                <w:color w:val="212121"/>
                <w:sz w:val="16"/>
              </w:rPr>
              <w:t>Impaired LES relaxation plus absent peristalsis confirms achalasia; contractile pattern assigns the subtype</w:t>
            </w:r>
          </w:p>
        </w:tc>
        <w:tc>
          <w:tcPr>
            <w:tcW w:type="dxa" w:w="1036"/>
            <w:vAlign w:val="top"/>
          </w:tcPr>
          <w:p>
            <w:pPr>
              <w:spacing w:after="40" w:before="0" w:line="259" w:lineRule="auto"/>
            </w:pPr>
            <w:r>
              <w:rPr>
                <w:rFonts w:ascii="Calibri" w:hAnsi="Calibri"/>
                <w:b w:val="0"/>
                <w:i w:val="0"/>
                <w:color w:val="212121"/>
                <w:sz w:val="16"/>
              </w:rPr>
              <w:t>All suspected achalasia</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Interpreted with Chicago Classification v4.0</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Radiology</w:t>
            </w:r>
          </w:p>
        </w:tc>
        <w:tc>
          <w:tcPr>
            <w:tcW w:type="dxa" w:w="1036"/>
            <w:vAlign w:val="top"/>
          </w:tcPr>
          <w:p>
            <w:pPr>
              <w:spacing w:after="40" w:before="0" w:line="259" w:lineRule="auto"/>
            </w:pPr>
            <w:r>
              <w:rPr>
                <w:rFonts w:ascii="Calibri" w:hAnsi="Calibri"/>
                <w:b w:val="0"/>
                <w:i w:val="0"/>
                <w:color w:val="212121"/>
                <w:sz w:val="16"/>
              </w:rPr>
              <w:t>Barium column height / GEJ contour</w:t>
            </w:r>
          </w:p>
        </w:tc>
        <w:tc>
          <w:tcPr>
            <w:tcW w:type="dxa" w:w="892"/>
            <w:vAlign w:val="top"/>
          </w:tcPr>
          <w:p>
            <w:pPr>
              <w:spacing w:after="40" w:before="0" w:line="259" w:lineRule="auto"/>
            </w:pPr>
            <w:r>
              <w:rPr>
                <w:rFonts w:ascii="Calibri" w:hAnsi="Calibri"/>
                <w:b w:val="0"/>
                <w:i w:val="0"/>
                <w:color w:val="212121"/>
                <w:sz w:val="16"/>
              </w:rPr>
              <w:t>Timed barium oesophagram</w:t>
            </w:r>
          </w:p>
        </w:tc>
        <w:tc>
          <w:tcPr>
            <w:tcW w:type="dxa" w:w="950"/>
            <w:vAlign w:val="top"/>
          </w:tcPr>
          <w:p>
            <w:pPr>
              <w:spacing w:after="40" w:before="0" w:line="259" w:lineRule="auto"/>
            </w:pPr>
            <w:r>
              <w:rPr>
                <w:rFonts w:ascii="Calibri" w:hAnsi="Calibri"/>
                <w:b w:val="0"/>
                <w:i w:val="0"/>
                <w:color w:val="212121"/>
                <w:sz w:val="16"/>
              </w:rPr>
              <w:t>Near-complete emptying by 5 minutes</w:t>
            </w:r>
          </w:p>
        </w:tc>
        <w:tc>
          <w:tcPr>
            <w:tcW w:type="dxa" w:w="950"/>
            <w:vAlign w:val="top"/>
          </w:tcPr>
          <w:p>
            <w:pPr>
              <w:spacing w:after="40" w:before="0" w:line="259" w:lineRule="auto"/>
            </w:pPr>
            <w:r>
              <w:rPr>
                <w:rFonts w:ascii="Calibri" w:hAnsi="Calibri"/>
                <w:b w:val="0"/>
                <w:i w:val="0"/>
                <w:color w:val="212121"/>
                <w:sz w:val="16"/>
              </w:rPr>
              <w:t>Retained barium column at 1/2/5 min; bird-beak GEJ; dilated body</w:t>
            </w:r>
          </w:p>
        </w:tc>
        <w:tc>
          <w:tcPr>
            <w:tcW w:type="dxa" w:w="1036"/>
            <w:vAlign w:val="top"/>
          </w:tcPr>
          <w:p>
            <w:pPr>
              <w:spacing w:after="40" w:before="0" w:line="259" w:lineRule="auto"/>
            </w:pPr>
            <w:r>
              <w:rPr>
                <w:rFonts w:ascii="Calibri" w:hAnsi="Calibri"/>
                <w:b w:val="0"/>
                <w:i w:val="0"/>
                <w:color w:val="212121"/>
                <w:sz w:val="16"/>
              </w:rPr>
              <w:t>Quantifies oesophageal stasis and emptying; used at diagnosis and to monitor treatment response</w:t>
            </w:r>
          </w:p>
        </w:tc>
        <w:tc>
          <w:tcPr>
            <w:tcW w:type="dxa" w:w="1036"/>
            <w:vAlign w:val="top"/>
          </w:tcPr>
          <w:p>
            <w:pPr>
              <w:spacing w:after="40" w:before="0" w:line="259" w:lineRule="auto"/>
            </w:pPr>
            <w:r>
              <w:rPr>
                <w:rFonts w:ascii="Calibri" w:hAnsi="Calibri"/>
                <w:b w:val="0"/>
                <w:i w:val="0"/>
                <w:color w:val="212121"/>
                <w:sz w:val="16"/>
              </w:rPr>
              <w:t>Diagnosis and follow-up</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Supportive / monitoring</w:t>
            </w:r>
          </w:p>
        </w:tc>
        <w:tc>
          <w:tcPr>
            <w:tcW w:type="dxa" w:w="720"/>
            <w:vAlign w:val="top"/>
          </w:tcPr>
          <w:p>
            <w:pPr>
              <w:spacing w:after="40" w:before="0" w:line="259" w:lineRule="auto"/>
            </w:pPr>
            <w:r>
              <w:rPr>
                <w:rFonts w:ascii="Calibri" w:hAnsi="Calibri"/>
                <w:b w:val="0"/>
                <w:i w:val="0"/>
                <w:color w:val="212121"/>
                <w:sz w:val="16"/>
              </w:rPr>
              <w:t>Absent primary peristalsis on fluoroscopy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Endoscopy</w:t>
            </w:r>
          </w:p>
        </w:tc>
        <w:tc>
          <w:tcPr>
            <w:tcW w:type="dxa" w:w="1036"/>
            <w:vAlign w:val="top"/>
          </w:tcPr>
          <w:p>
            <w:pPr>
              <w:spacing w:after="40" w:before="0" w:line="259" w:lineRule="auto"/>
            </w:pPr>
            <w:r>
              <w:rPr>
                <w:rFonts w:ascii="Calibri" w:hAnsi="Calibri"/>
                <w:b w:val="0"/>
                <w:i w:val="0"/>
                <w:color w:val="212121"/>
                <w:sz w:val="16"/>
              </w:rPr>
              <w:t>Mucosa, GEJ, retained contents (with biopsy)</w:t>
            </w:r>
          </w:p>
        </w:tc>
        <w:tc>
          <w:tcPr>
            <w:tcW w:type="dxa" w:w="892"/>
            <w:vAlign w:val="top"/>
          </w:tcPr>
          <w:p>
            <w:pPr>
              <w:spacing w:after="40" w:before="0" w:line="259" w:lineRule="auto"/>
            </w:pPr>
            <w:r>
              <w:rPr>
                <w:rFonts w:ascii="Calibri" w:hAnsi="Calibri"/>
                <w:b w:val="0"/>
                <w:i w:val="0"/>
                <w:color w:val="212121"/>
                <w:sz w:val="16"/>
              </w:rPr>
              <w:t>Upper GI endoscopy + biopsy</w:t>
            </w:r>
          </w:p>
        </w:tc>
        <w:tc>
          <w:tcPr>
            <w:tcW w:type="dxa" w:w="950"/>
            <w:vAlign w:val="top"/>
          </w:tcPr>
          <w:p>
            <w:pPr>
              <w:spacing w:after="40" w:before="0" w:line="259" w:lineRule="auto"/>
            </w:pPr>
            <w:r>
              <w:rPr>
                <w:rFonts w:ascii="Calibri" w:hAnsi="Calibri"/>
                <w:b w:val="0"/>
                <w:i w:val="0"/>
                <w:color w:val="212121"/>
                <w:sz w:val="16"/>
              </w:rPr>
              <w:t>Normal GEJ, no retained food, normal mucosa</w:t>
            </w:r>
          </w:p>
        </w:tc>
        <w:tc>
          <w:tcPr>
            <w:tcW w:type="dxa" w:w="950"/>
            <w:vAlign w:val="top"/>
          </w:tcPr>
          <w:p>
            <w:pPr>
              <w:spacing w:after="40" w:before="0" w:line="259" w:lineRule="auto"/>
            </w:pPr>
            <w:r>
              <w:rPr>
                <w:rFonts w:ascii="Calibri" w:hAnsi="Calibri"/>
                <w:b w:val="0"/>
                <w:i w:val="0"/>
                <w:color w:val="212121"/>
                <w:sz w:val="16"/>
              </w:rPr>
              <w:t>Dilated oesophagus, retained food/saliva, puckered GEJ; suspicious mass/infiltration</w:t>
            </w:r>
          </w:p>
        </w:tc>
        <w:tc>
          <w:tcPr>
            <w:tcW w:type="dxa" w:w="1036"/>
            <w:vAlign w:val="top"/>
          </w:tcPr>
          <w:p>
            <w:pPr>
              <w:spacing w:after="40" w:before="0" w:line="259" w:lineRule="auto"/>
            </w:pPr>
            <w:r>
              <w:rPr>
                <w:rFonts w:ascii="Calibri" w:hAnsi="Calibri"/>
                <w:b w:val="0"/>
                <w:i w:val="0"/>
                <w:color w:val="212121"/>
                <w:sz w:val="16"/>
              </w:rPr>
              <w:t>Mandatory to exclude pseudoachalasia (malignancy) and to detect stasis / candida oesophagitis or eosinophilic oesophagitis</w:t>
            </w:r>
          </w:p>
        </w:tc>
        <w:tc>
          <w:tcPr>
            <w:tcW w:type="dxa" w:w="1036"/>
            <w:vAlign w:val="top"/>
          </w:tcPr>
          <w:p>
            <w:pPr>
              <w:spacing w:after="40" w:before="0" w:line="259" w:lineRule="auto"/>
            </w:pPr>
            <w:r>
              <w:rPr>
                <w:rFonts w:ascii="Calibri" w:hAnsi="Calibri"/>
                <w:b w:val="0"/>
                <w:i w:val="0"/>
                <w:color w:val="212121"/>
                <w:sz w:val="16"/>
              </w:rPr>
              <w:t>All patients before therapy; elderly with red flags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Mandatory (rule-out)</w:t>
            </w:r>
          </w:p>
        </w:tc>
        <w:tc>
          <w:tcPr>
            <w:tcW w:type="dxa" w:w="720"/>
            <w:vAlign w:val="top"/>
          </w:tcPr>
          <w:p>
            <w:pPr>
              <w:spacing w:after="40" w:before="0" w:line="259" w:lineRule="auto"/>
            </w:pPr>
            <w:r>
              <w:rPr>
                <w:rFonts w:ascii="Calibri" w:hAnsi="Calibri"/>
                <w:b w:val="0"/>
                <w:i w:val="0"/>
                <w:color w:val="212121"/>
                <w:sz w:val="16"/>
              </w:rPr>
              <w:t>Low sensitivity in early disease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Physiology</w:t>
            </w:r>
          </w:p>
        </w:tc>
        <w:tc>
          <w:tcPr>
            <w:tcW w:type="dxa" w:w="1036"/>
            <w:vAlign w:val="top"/>
          </w:tcPr>
          <w:p>
            <w:pPr>
              <w:spacing w:after="40" w:before="0" w:line="259" w:lineRule="auto"/>
            </w:pPr>
            <w:r>
              <w:rPr>
                <w:rFonts w:ascii="Calibri" w:hAnsi="Calibri"/>
                <w:b w:val="0"/>
                <w:i w:val="0"/>
                <w:color w:val="212121"/>
                <w:sz w:val="16"/>
              </w:rPr>
              <w:t>GEJ distensibility index</w:t>
            </w:r>
          </w:p>
        </w:tc>
        <w:tc>
          <w:tcPr>
            <w:tcW w:type="dxa" w:w="892"/>
            <w:vAlign w:val="top"/>
          </w:tcPr>
          <w:p>
            <w:pPr>
              <w:spacing w:after="40" w:before="0" w:line="259" w:lineRule="auto"/>
            </w:pPr>
            <w:r>
              <w:rPr>
                <w:rFonts w:ascii="Calibri" w:hAnsi="Calibri"/>
                <w:b w:val="0"/>
                <w:i w:val="0"/>
                <w:color w:val="212121"/>
                <w:sz w:val="16"/>
              </w:rPr>
              <w:t>Functional lumen imaging probe (FLIP)</w:t>
            </w:r>
          </w:p>
        </w:tc>
        <w:tc>
          <w:tcPr>
            <w:tcW w:type="dxa" w:w="950"/>
            <w:vAlign w:val="top"/>
          </w:tcPr>
          <w:p>
            <w:pPr>
              <w:spacing w:after="40" w:before="0" w:line="259" w:lineRule="auto"/>
            </w:pPr>
            <w:r>
              <w:rPr>
                <w:rFonts w:ascii="Calibri" w:hAnsi="Calibri"/>
                <w:b w:val="0"/>
                <w:i w:val="0"/>
                <w:color w:val="212121"/>
                <w:sz w:val="16"/>
              </w:rPr>
              <w:t>Normal distensibility and contractility</w:t>
            </w:r>
          </w:p>
        </w:tc>
        <w:tc>
          <w:tcPr>
            <w:tcW w:type="dxa" w:w="950"/>
            <w:vAlign w:val="top"/>
          </w:tcPr>
          <w:p>
            <w:pPr>
              <w:spacing w:after="40" w:before="0" w:line="259" w:lineRule="auto"/>
            </w:pPr>
            <w:r>
              <w:rPr>
                <w:rFonts w:ascii="Calibri" w:hAnsi="Calibri"/>
                <w:b w:val="0"/>
                <w:i w:val="0"/>
                <w:color w:val="212121"/>
                <w:sz w:val="16"/>
              </w:rPr>
              <w:t>Reduced distensibility index; absent / abnormal contractility</w:t>
            </w:r>
          </w:p>
        </w:tc>
        <w:tc>
          <w:tcPr>
            <w:tcW w:type="dxa" w:w="1036"/>
            <w:vAlign w:val="top"/>
          </w:tcPr>
          <w:p>
            <w:pPr>
              <w:spacing w:after="40" w:before="0" w:line="259" w:lineRule="auto"/>
            </w:pPr>
            <w:r>
              <w:rPr>
                <w:rFonts w:ascii="Calibri" w:hAnsi="Calibri"/>
                <w:b w:val="0"/>
                <w:i w:val="0"/>
                <w:color w:val="212121"/>
                <w:sz w:val="16"/>
              </w:rPr>
              <w:t>Adjunct that confirms a non-relaxing, poorly distensible junction when manometry is equivocal</w:t>
            </w:r>
          </w:p>
        </w:tc>
        <w:tc>
          <w:tcPr>
            <w:tcW w:type="dxa" w:w="1036"/>
            <w:vAlign w:val="top"/>
          </w:tcPr>
          <w:p>
            <w:pPr>
              <w:spacing w:after="40" w:before="0" w:line="259" w:lineRule="auto"/>
            </w:pPr>
            <w:r>
              <w:rPr>
                <w:rFonts w:ascii="Calibri" w:hAnsi="Calibri"/>
                <w:b w:val="0"/>
                <w:i w:val="0"/>
                <w:color w:val="212121"/>
                <w:sz w:val="16"/>
              </w:rPr>
              <w:t>Patients with inconclusive HRM</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Also used intra-operatively in some centres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albumin, haemoglobin, body weight</w:t>
            </w:r>
          </w:p>
        </w:tc>
        <w:tc>
          <w:tcPr>
            <w:tcW w:type="dxa" w:w="892"/>
            <w:vAlign w:val="top"/>
          </w:tcPr>
          <w:p>
            <w:pPr>
              <w:spacing w:after="40" w:before="0" w:line="259" w:lineRule="auto"/>
            </w:pPr>
            <w:r>
              <w:rPr>
                <w:rFonts w:ascii="Calibri" w:hAnsi="Calibri"/>
                <w:b w:val="0"/>
                <w:i w:val="0"/>
                <w:color w:val="212121"/>
                <w:sz w:val="16"/>
              </w:rPr>
              <w:t>Nutritional assessment</w:t>
            </w:r>
          </w:p>
        </w:tc>
        <w:tc>
          <w:tcPr>
            <w:tcW w:type="dxa" w:w="950"/>
            <w:vAlign w:val="top"/>
          </w:tcPr>
          <w:p>
            <w:pPr>
              <w:spacing w:after="40" w:before="0" w:line="259" w:lineRule="auto"/>
            </w:pPr>
            <w:r>
              <w:rPr>
                <w:rFonts w:ascii="Calibri" w:hAnsi="Calibri"/>
                <w:b w:val="0"/>
                <w:i w:val="0"/>
                <w:color w:val="212121"/>
                <w:sz w:val="16"/>
              </w:rPr>
              <w:t>Albumin 3.5-5.0 g/dL; stable weight; normal Hb</w:t>
            </w:r>
          </w:p>
        </w:tc>
        <w:tc>
          <w:tcPr>
            <w:tcW w:type="dxa" w:w="950"/>
            <w:vAlign w:val="top"/>
          </w:tcPr>
          <w:p>
            <w:pPr>
              <w:spacing w:after="40" w:before="0" w:line="259" w:lineRule="auto"/>
            </w:pPr>
            <w:r>
              <w:rPr>
                <w:rFonts w:ascii="Calibri" w:hAnsi="Calibri"/>
                <w:b w:val="0"/>
                <w:i w:val="0"/>
                <w:color w:val="212121"/>
                <w:sz w:val="16"/>
              </w:rPr>
              <w:t>Hypoalbuminaemia, anaemia, ongoing weight loss</w:t>
            </w:r>
          </w:p>
        </w:tc>
        <w:tc>
          <w:tcPr>
            <w:tcW w:type="dxa" w:w="1036"/>
            <w:vAlign w:val="top"/>
          </w:tcPr>
          <w:p>
            <w:pPr>
              <w:spacing w:after="40" w:before="0" w:line="259" w:lineRule="auto"/>
            </w:pPr>
            <w:r>
              <w:rPr>
                <w:rFonts w:ascii="Calibri" w:hAnsi="Calibri"/>
                <w:b w:val="0"/>
                <w:i w:val="0"/>
                <w:color w:val="212121"/>
                <w:sz w:val="16"/>
              </w:rPr>
              <w:t>Quantifies malnutrition from chronic dysphagia and guides peri-procedural optimisation</w:t>
            </w:r>
          </w:p>
        </w:tc>
        <w:tc>
          <w:tcPr>
            <w:tcW w:type="dxa" w:w="1036"/>
            <w:vAlign w:val="top"/>
          </w:tcPr>
          <w:p>
            <w:pPr>
              <w:spacing w:after="40" w:before="0" w:line="259" w:lineRule="auto"/>
            </w:pPr>
            <w:r>
              <w:rPr>
                <w:rFonts w:ascii="Calibri" w:hAnsi="Calibri"/>
                <w:b w:val="0"/>
                <w:i w:val="0"/>
                <w:color w:val="212121"/>
                <w:sz w:val="16"/>
              </w:rPr>
              <w:t>Advanced / long-standing disease,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Correct deficiencies before intervention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Imaging</w:t>
            </w:r>
          </w:p>
        </w:tc>
        <w:tc>
          <w:tcPr>
            <w:tcW w:type="dxa" w:w="1036"/>
            <w:vAlign w:val="top"/>
          </w:tcPr>
          <w:p>
            <w:pPr>
              <w:spacing w:after="40" w:before="0" w:line="259" w:lineRule="auto"/>
            </w:pPr>
            <w:r>
              <w:rPr>
                <w:rFonts w:ascii="Calibri" w:hAnsi="Calibri"/>
                <w:b w:val="0"/>
                <w:i w:val="0"/>
                <w:color w:val="212121"/>
                <w:sz w:val="16"/>
              </w:rPr>
              <w:t>Oesophageal diameter / mediastinum</w:t>
            </w:r>
          </w:p>
        </w:tc>
        <w:tc>
          <w:tcPr>
            <w:tcW w:type="dxa" w:w="892"/>
            <w:vAlign w:val="top"/>
          </w:tcPr>
          <w:p>
            <w:pPr>
              <w:spacing w:after="40" w:before="0" w:line="259" w:lineRule="auto"/>
            </w:pPr>
            <w:r>
              <w:rPr>
                <w:rFonts w:ascii="Calibri" w:hAnsi="Calibri"/>
                <w:b w:val="0"/>
                <w:i w:val="0"/>
                <w:color w:val="212121"/>
                <w:sz w:val="16"/>
              </w:rPr>
              <w:t>CT thorax</w:t>
            </w:r>
          </w:p>
        </w:tc>
        <w:tc>
          <w:tcPr>
            <w:tcW w:type="dxa" w:w="950"/>
            <w:vAlign w:val="top"/>
          </w:tcPr>
          <w:p>
            <w:pPr>
              <w:spacing w:after="40" w:before="0" w:line="259" w:lineRule="auto"/>
            </w:pPr>
            <w:r>
              <w:rPr>
                <w:rFonts w:ascii="Calibri" w:hAnsi="Calibri"/>
                <w:b w:val="0"/>
                <w:i w:val="0"/>
                <w:color w:val="212121"/>
                <w:sz w:val="16"/>
              </w:rPr>
              <w:t>Non-dilated oesophagus, no mass</w:t>
            </w:r>
          </w:p>
        </w:tc>
        <w:tc>
          <w:tcPr>
            <w:tcW w:type="dxa" w:w="950"/>
            <w:vAlign w:val="top"/>
          </w:tcPr>
          <w:p>
            <w:pPr>
              <w:spacing w:after="40" w:before="0" w:line="259" w:lineRule="auto"/>
            </w:pPr>
            <w:r>
              <w:rPr>
                <w:rFonts w:ascii="Calibri" w:hAnsi="Calibri"/>
                <w:b w:val="0"/>
                <w:i w:val="0"/>
                <w:color w:val="212121"/>
                <w:sz w:val="16"/>
              </w:rPr>
              <w:t>Megaoesophagus (&gt; 7 cm), sigmoid oesophagus; mediastinal or GEJ mass</w:t>
            </w:r>
          </w:p>
        </w:tc>
        <w:tc>
          <w:tcPr>
            <w:tcW w:type="dxa" w:w="1036"/>
            <w:vAlign w:val="top"/>
          </w:tcPr>
          <w:p>
            <w:pPr>
              <w:spacing w:after="40" w:before="0" w:line="259" w:lineRule="auto"/>
            </w:pPr>
            <w:r>
              <w:rPr>
                <w:rFonts w:ascii="Calibri" w:hAnsi="Calibri"/>
                <w:b w:val="0"/>
                <w:i w:val="0"/>
                <w:color w:val="212121"/>
                <w:sz w:val="16"/>
              </w:rPr>
              <w:t>Stages dilatation and screens for pseudoachalasia and complications</w:t>
            </w:r>
          </w:p>
        </w:tc>
        <w:tc>
          <w:tcPr>
            <w:tcW w:type="dxa" w:w="1036"/>
            <w:vAlign w:val="top"/>
          </w:tcPr>
          <w:p>
            <w:pPr>
              <w:spacing w:after="40" w:before="0" w:line="259" w:lineRule="auto"/>
            </w:pPr>
            <w:r>
              <w:rPr>
                <w:rFonts w:ascii="Calibri" w:hAnsi="Calibri"/>
                <w:b w:val="0"/>
                <w:i w:val="0"/>
                <w:color w:val="212121"/>
                <w:sz w:val="16"/>
              </w:rPr>
              <w:t>Advanced disease; suspected malignancy</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Helps decide organ-preservation versus oesophagectomy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Thyroid function (TSH) / autoimmune screen</w:t>
            </w:r>
          </w:p>
        </w:tc>
        <w:tc>
          <w:tcPr>
            <w:tcW w:type="dxa" w:w="892"/>
            <w:vAlign w:val="top"/>
          </w:tcPr>
          <w:p>
            <w:pPr>
              <w:spacing w:after="40" w:before="0" w:line="259" w:lineRule="auto"/>
            </w:pPr>
            <w:r>
              <w:rPr>
                <w:rFonts w:ascii="Calibri" w:hAnsi="Calibri"/>
                <w:b w:val="0"/>
                <w:i w:val="0"/>
                <w:color w:val="212121"/>
                <w:sz w:val="16"/>
              </w:rPr>
              <w:t>Blood tests</w:t>
            </w:r>
          </w:p>
        </w:tc>
        <w:tc>
          <w:tcPr>
            <w:tcW w:type="dxa" w:w="950"/>
            <w:vAlign w:val="top"/>
          </w:tcPr>
          <w:p>
            <w:pPr>
              <w:spacing w:after="40" w:before="0" w:line="259" w:lineRule="auto"/>
            </w:pPr>
            <w:r>
              <w:rPr>
                <w:rFonts w:ascii="Calibri" w:hAnsi="Calibri"/>
                <w:b w:val="0"/>
                <w:i w:val="0"/>
                <w:color w:val="212121"/>
                <w:sz w:val="16"/>
              </w:rPr>
              <w:t>Euthyroid; screen negative</w:t>
            </w:r>
          </w:p>
        </w:tc>
        <w:tc>
          <w:tcPr>
            <w:tcW w:type="dxa" w:w="950"/>
            <w:vAlign w:val="top"/>
          </w:tcPr>
          <w:p>
            <w:pPr>
              <w:spacing w:after="40" w:before="0" w:line="259" w:lineRule="auto"/>
            </w:pPr>
            <w:r>
              <w:rPr>
                <w:rFonts w:ascii="Calibri" w:hAnsi="Calibri"/>
                <w:b w:val="0"/>
                <w:i w:val="0"/>
                <w:color w:val="212121"/>
                <w:sz w:val="16"/>
              </w:rPr>
              <w:t>Hypothyroidism / autoimmune positivity</w:t>
            </w:r>
          </w:p>
        </w:tc>
        <w:tc>
          <w:tcPr>
            <w:tcW w:type="dxa" w:w="1036"/>
            <w:vAlign w:val="top"/>
          </w:tcPr>
          <w:p>
            <w:pPr>
              <w:spacing w:after="40" w:before="0" w:line="259" w:lineRule="auto"/>
            </w:pPr>
            <w:r>
              <w:rPr>
                <w:rFonts w:ascii="Calibri" w:hAnsi="Calibri"/>
                <w:b w:val="0"/>
                <w:i w:val="0"/>
                <w:color w:val="212121"/>
                <w:sz w:val="16"/>
              </w:rPr>
              <w:t>Detects the frequently associated autoimmune and thyroid disease</w:t>
            </w:r>
          </w:p>
        </w:tc>
        <w:tc>
          <w:tcPr>
            <w:tcW w:type="dxa" w:w="1036"/>
            <w:vAlign w:val="top"/>
          </w:tcPr>
          <w:p>
            <w:pPr>
              <w:spacing w:after="40" w:before="0" w:line="259" w:lineRule="auto"/>
            </w:pPr>
            <w:r>
              <w:rPr>
                <w:rFonts w:ascii="Calibri" w:hAnsi="Calibri"/>
                <w:b w:val="0"/>
                <w:i w:val="0"/>
                <w:color w:val="212121"/>
                <w:sz w:val="16"/>
              </w:rPr>
              <w:t>Achalasia with autoimmune features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About 25% have concurrent thyroid disease</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Dysphagia to solids AND liquids, regurgitation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Progressive dysphagia to both solids and liquids, with regurgitation</w:t>
            </w:r>
          </w:p>
        </w:tc>
        <w:tc>
          <w:tcPr>
            <w:tcW w:type="dxa" w:w="1036"/>
            <w:vAlign w:val="top"/>
          </w:tcPr>
          <w:p>
            <w:pPr>
              <w:spacing w:after="40" w:before="0" w:line="259" w:lineRule="auto"/>
            </w:pPr>
            <w:r>
              <w:rPr>
                <w:rFonts w:ascii="Calibri" w:hAnsi="Calibri"/>
                <w:b w:val="0"/>
                <w:i w:val="0"/>
                <w:color w:val="212121"/>
                <w:sz w:val="16"/>
              </w:rPr>
              <w:t>Hallmark presentation; difficulty with liquids from onset distinguishes achalasia from a mechanical stricture</w:t>
            </w:r>
          </w:p>
        </w:tc>
        <w:tc>
          <w:tcPr>
            <w:tcW w:type="dxa" w:w="1036"/>
            <w:vAlign w:val="top"/>
          </w:tcPr>
          <w:p>
            <w:pPr>
              <w:spacing w:after="40" w:before="0" w:line="259" w:lineRule="auto"/>
            </w:pPr>
            <w:r>
              <w:rPr>
                <w:rFonts w:ascii="Calibri" w:hAnsi="Calibri"/>
                <w:b w:val="0"/>
                <w:i w:val="0"/>
                <w:color w:val="212121"/>
                <w:sz w:val="16"/>
              </w:rPr>
              <w:t>Adults, typically 30-60 years</w:t>
            </w:r>
          </w:p>
        </w:tc>
        <w:tc>
          <w:tcPr>
            <w:tcW w:type="dxa" w:w="720"/>
            <w:vAlign w:val="top"/>
          </w:tcPr>
          <w:p>
            <w:pPr>
              <w:spacing w:after="40" w:before="0" w:line="259" w:lineRule="auto"/>
            </w:pPr>
            <w:r>
              <w:rPr>
                <w:rFonts w:ascii="Calibri" w:hAnsi="Calibri"/>
                <w:b w:val="0"/>
                <w:i w:val="0"/>
                <w:color w:val="212121"/>
                <w:sz w:val="16"/>
              </w:rPr>
              <w:t>Food; Posture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Often mislabelled as GERD for years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Eckardt symptom score</w:t>
            </w:r>
          </w:p>
        </w:tc>
        <w:tc>
          <w:tcPr>
            <w:tcW w:type="dxa" w:w="979"/>
            <w:vAlign w:val="top"/>
          </w:tcPr>
          <w:p>
            <w:pPr>
              <w:spacing w:after="40" w:before="0" w:line="259" w:lineRule="auto"/>
            </w:pPr>
            <w:r>
              <w:rPr>
                <w:rFonts w:ascii="Calibri" w:hAnsi="Calibri"/>
                <w:b w:val="0"/>
                <w:i w:val="0"/>
                <w:color w:val="212121"/>
                <w:sz w:val="16"/>
              </w:rPr>
              <w:t>Dysphagia, regurgitation, chest pain, weight loss (0-12)</w:t>
            </w:r>
          </w:p>
        </w:tc>
        <w:tc>
          <w:tcPr>
            <w:tcW w:type="dxa" w:w="950"/>
            <w:vAlign w:val="top"/>
          </w:tcPr>
          <w:p>
            <w:pPr>
              <w:spacing w:after="40" w:before="0" w:line="259" w:lineRule="auto"/>
            </w:pPr>
            <w:r>
              <w:rPr>
                <w:rFonts w:ascii="Calibri" w:hAnsi="Calibri"/>
                <w:b w:val="0"/>
                <w:i w:val="0"/>
                <w:color w:val="212121"/>
                <w:sz w:val="16"/>
              </w:rPr>
              <w:t>0</w:t>
            </w:r>
          </w:p>
        </w:tc>
        <w:tc>
          <w:tcPr>
            <w:tcW w:type="dxa" w:w="950"/>
            <w:vAlign w:val="top"/>
          </w:tcPr>
          <w:p>
            <w:pPr>
              <w:spacing w:after="40" w:before="0" w:line="259" w:lineRule="auto"/>
            </w:pPr>
            <w:r>
              <w:rPr>
                <w:rFonts w:ascii="Calibri" w:hAnsi="Calibri"/>
                <w:b w:val="0"/>
                <w:i w:val="0"/>
                <w:color w:val="212121"/>
                <w:sz w:val="16"/>
              </w:rPr>
              <w:t>&gt; 3</w:t>
            </w:r>
          </w:p>
        </w:tc>
        <w:tc>
          <w:tcPr>
            <w:tcW w:type="dxa" w:w="1036"/>
            <w:vAlign w:val="top"/>
          </w:tcPr>
          <w:p>
            <w:pPr>
              <w:spacing w:after="40" w:before="0" w:line="259" w:lineRule="auto"/>
            </w:pPr>
            <w:r>
              <w:rPr>
                <w:rFonts w:ascii="Calibri" w:hAnsi="Calibri"/>
                <w:b w:val="0"/>
                <w:i w:val="0"/>
                <w:color w:val="212121"/>
                <w:sz w:val="16"/>
              </w:rPr>
              <w:t>Grades severity and defines treatment success (&lt;= 3)</w:t>
            </w:r>
          </w:p>
        </w:tc>
        <w:tc>
          <w:tcPr>
            <w:tcW w:type="dxa" w:w="1036"/>
            <w:vAlign w:val="top"/>
          </w:tcPr>
          <w:p>
            <w:pPr>
              <w:spacing w:after="40" w:before="0" w:line="259" w:lineRule="auto"/>
            </w:pPr>
            <w:r>
              <w:rPr>
                <w:rFonts w:ascii="Calibri" w:hAnsi="Calibri"/>
                <w:b w:val="0"/>
                <w:i w:val="0"/>
                <w:color w:val="212121"/>
                <w:sz w:val="16"/>
              </w:rPr>
              <w:t>All patients, before and after therapy</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 / monitoring</w:t>
            </w:r>
          </w:p>
        </w:tc>
        <w:tc>
          <w:tcPr>
            <w:tcW w:type="dxa" w:w="720"/>
            <w:vAlign w:val="top"/>
          </w:tcPr>
          <w:p>
            <w:pPr>
              <w:spacing w:after="40" w:before="0" w:line="259" w:lineRule="auto"/>
            </w:pPr>
            <w:r>
              <w:rPr>
                <w:rFonts w:ascii="Calibri" w:hAnsi="Calibri"/>
                <w:b w:val="0"/>
                <w:i w:val="0"/>
                <w:color w:val="212121"/>
                <w:sz w:val="16"/>
              </w:rPr>
              <w:t>Primary clinical outcome measure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Red-flag screen for pseudoachalasia</w:t>
            </w:r>
          </w:p>
        </w:tc>
        <w:tc>
          <w:tcPr>
            <w:tcW w:type="dxa" w:w="979"/>
            <w:vAlign w:val="top"/>
          </w:tcPr>
          <w:p>
            <w:pPr>
              <w:spacing w:after="40" w:before="0" w:line="259" w:lineRule="auto"/>
            </w:pPr>
            <w:r>
              <w:rPr>
                <w:rFonts w:ascii="Calibri" w:hAnsi="Calibri"/>
                <w:b w:val="0"/>
                <w:i w:val="0"/>
                <w:color w:val="212121"/>
                <w:sz w:val="16"/>
              </w:rPr>
              <w:t>Age &gt; 55, short history (&lt; 6-12 months), rapid marked weight loss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Raises suspicion of malignant pseudoachalasia and prompts CT/EUS and repeat biopsy</w:t>
            </w:r>
          </w:p>
        </w:tc>
        <w:tc>
          <w:tcPr>
            <w:tcW w:type="dxa" w:w="1036"/>
            <w:vAlign w:val="top"/>
          </w:tcPr>
          <w:p>
            <w:pPr>
              <w:spacing w:after="40" w:before="0" w:line="259" w:lineRule="auto"/>
            </w:pPr>
            <w:r>
              <w:rPr>
                <w:rFonts w:ascii="Calibri" w:hAnsi="Calibri"/>
                <w:b w:val="0"/>
                <w:i w:val="0"/>
                <w:color w:val="212121"/>
                <w:sz w:val="16"/>
              </w:rPr>
              <w:t>Elderly; rapid weight loss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Do not attribute to primary achalasia until malignancy excluded</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Respiratory / aspiration history</w:t>
            </w:r>
          </w:p>
        </w:tc>
        <w:tc>
          <w:tcPr>
            <w:tcW w:type="dxa" w:w="979"/>
            <w:vAlign w:val="top"/>
          </w:tcPr>
          <w:p>
            <w:pPr>
              <w:spacing w:after="40" w:before="0" w:line="259" w:lineRule="auto"/>
            </w:pPr>
            <w:r>
              <w:rPr>
                <w:rFonts w:ascii="Calibri" w:hAnsi="Calibri"/>
                <w:b w:val="0"/>
                <w:i w:val="0"/>
                <w:color w:val="212121"/>
                <w:sz w:val="16"/>
              </w:rPr>
              <w:t>Nocturnal cough, choking, recurrent chest infection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Indicates aspiration of retained oesophageal contents and warrants treatment escalation</w:t>
            </w:r>
          </w:p>
        </w:tc>
        <w:tc>
          <w:tcPr>
            <w:tcW w:type="dxa" w:w="1036"/>
            <w:vAlign w:val="top"/>
          </w:tcPr>
          <w:p>
            <w:pPr>
              <w:spacing w:after="40" w:before="0" w:line="259" w:lineRule="auto"/>
            </w:pPr>
            <w:r>
              <w:rPr>
                <w:rFonts w:ascii="Calibri" w:hAnsi="Calibri"/>
                <w:b w:val="0"/>
                <w:i w:val="0"/>
                <w:color w:val="212121"/>
                <w:sz w:val="16"/>
              </w:rPr>
              <w:t>Long-standing / advanced disease</w:t>
            </w:r>
          </w:p>
        </w:tc>
        <w:tc>
          <w:tcPr>
            <w:tcW w:type="dxa" w:w="720"/>
            <w:vAlign w:val="top"/>
          </w:tcPr>
          <w:p>
            <w:pPr>
              <w:spacing w:after="40" w:before="0" w:line="259" w:lineRule="auto"/>
            </w:pPr>
            <w:r>
              <w:rPr>
                <w:rFonts w:ascii="Calibri" w:hAnsi="Calibri"/>
                <w:b w:val="0"/>
                <w:i w:val="0"/>
                <w:color w:val="212121"/>
                <w:sz w:val="16"/>
              </w:rPr>
              <w:t>Sleep; Posture</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Aspiration pneumonia occurs in roughly 8-10%</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 syndromic history</w:t>
            </w:r>
          </w:p>
        </w:tc>
        <w:tc>
          <w:tcPr>
            <w:tcW w:type="dxa" w:w="979"/>
            <w:vAlign w:val="top"/>
          </w:tcPr>
          <w:p>
            <w:pPr>
              <w:spacing w:after="40" w:before="0" w:line="259" w:lineRule="auto"/>
            </w:pPr>
            <w:r>
              <w:rPr>
                <w:rFonts w:ascii="Calibri" w:hAnsi="Calibri"/>
                <w:b w:val="0"/>
                <w:i w:val="0"/>
                <w:color w:val="212121"/>
                <w:sz w:val="16"/>
              </w:rPr>
              <w:t>Consanguinity, alacrima, adrenal insufficiency (Allgrove), Down syndrome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Positive</w:t>
            </w:r>
          </w:p>
        </w:tc>
        <w:tc>
          <w:tcPr>
            <w:tcW w:type="dxa" w:w="1036"/>
            <w:vAlign w:val="top"/>
          </w:tcPr>
          <w:p>
            <w:pPr>
              <w:spacing w:after="40" w:before="0" w:line="259" w:lineRule="auto"/>
            </w:pPr>
            <w:r>
              <w:rPr>
                <w:rFonts w:ascii="Calibri" w:hAnsi="Calibri"/>
                <w:b w:val="0"/>
                <w:i w:val="0"/>
                <w:color w:val="212121"/>
                <w:sz w:val="16"/>
              </w:rPr>
              <w:t>Suggests familial or syndromic achalasia (e.g. AAAS-gene triple-A syndrome)</w:t>
            </w:r>
          </w:p>
        </w:tc>
        <w:tc>
          <w:tcPr>
            <w:tcW w:type="dxa" w:w="1036"/>
            <w:vAlign w:val="top"/>
          </w:tcPr>
          <w:p>
            <w:pPr>
              <w:spacing w:after="40" w:before="0" w:line="259" w:lineRule="auto"/>
            </w:pPr>
            <w:r>
              <w:rPr>
                <w:rFonts w:ascii="Calibri" w:hAnsi="Calibri"/>
                <w:b w:val="0"/>
                <w:i w:val="0"/>
                <w:color w:val="212121"/>
                <w:sz w:val="16"/>
              </w:rPr>
              <w:t>Children / young adults, consanguineous families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Consider multidisciplinary evaluation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Nutritional and general examination</w:t>
            </w:r>
          </w:p>
        </w:tc>
        <w:tc>
          <w:tcPr>
            <w:tcW w:type="dxa" w:w="979"/>
            <w:vAlign w:val="top"/>
          </w:tcPr>
          <w:p>
            <w:pPr>
              <w:spacing w:after="40" w:before="0" w:line="259" w:lineRule="auto"/>
            </w:pPr>
            <w:r>
              <w:rPr>
                <w:rFonts w:ascii="Calibri" w:hAnsi="Calibri"/>
                <w:b w:val="0"/>
                <w:i w:val="0"/>
                <w:color w:val="212121"/>
                <w:sz w:val="16"/>
              </w:rPr>
              <w:t>Weight, BMI, muscle mass, hydration, oral hygiene</w:t>
            </w:r>
          </w:p>
        </w:tc>
        <w:tc>
          <w:tcPr>
            <w:tcW w:type="dxa" w:w="950"/>
            <w:vAlign w:val="top"/>
          </w:tcPr>
          <w:p>
            <w:pPr>
              <w:spacing w:after="40" w:before="0" w:line="259" w:lineRule="auto"/>
            </w:pPr>
            <w:r>
              <w:rPr>
                <w:rFonts w:ascii="Calibri" w:hAnsi="Calibri"/>
                <w:b w:val="0"/>
                <w:i w:val="0"/>
                <w:color w:val="212121"/>
                <w:sz w:val="16"/>
              </w:rPr>
              <w:t>Well-nourished, hydrated</w:t>
            </w:r>
          </w:p>
        </w:tc>
        <w:tc>
          <w:tcPr>
            <w:tcW w:type="dxa" w:w="950"/>
            <w:vAlign w:val="top"/>
          </w:tcPr>
          <w:p>
            <w:pPr>
              <w:spacing w:after="40" w:before="0" w:line="259" w:lineRule="auto"/>
            </w:pPr>
            <w:r>
              <w:rPr>
                <w:rFonts w:ascii="Calibri" w:hAnsi="Calibri"/>
                <w:b w:val="0"/>
                <w:i w:val="0"/>
                <w:color w:val="212121"/>
                <w:sz w:val="16"/>
              </w:rPr>
              <w:t>Weight loss, cachexia, dehydration, halitosis</w:t>
            </w:r>
          </w:p>
        </w:tc>
        <w:tc>
          <w:tcPr>
            <w:tcW w:type="dxa" w:w="1036"/>
            <w:vAlign w:val="top"/>
          </w:tcPr>
          <w:p>
            <w:pPr>
              <w:spacing w:after="40" w:before="0" w:line="259" w:lineRule="auto"/>
            </w:pPr>
            <w:r>
              <w:rPr>
                <w:rFonts w:ascii="Calibri" w:hAnsi="Calibri"/>
                <w:b w:val="0"/>
                <w:i w:val="0"/>
                <w:color w:val="212121"/>
                <w:sz w:val="16"/>
              </w:rPr>
              <w:t>Reflects chronicity and severity; exam is otherwise often unremarkable</w:t>
            </w:r>
          </w:p>
        </w:tc>
        <w:tc>
          <w:tcPr>
            <w:tcW w:type="dxa" w:w="1036"/>
            <w:vAlign w:val="top"/>
          </w:tcPr>
          <w:p>
            <w:pPr>
              <w:spacing w:after="40" w:before="0" w:line="259" w:lineRule="auto"/>
            </w:pPr>
            <w:r>
              <w:rPr>
                <w:rFonts w:ascii="Calibri" w:hAnsi="Calibri"/>
                <w:b w:val="0"/>
                <w:i w:val="0"/>
                <w:color w:val="212121"/>
                <w:sz w:val="16"/>
              </w:rPr>
              <w:t>Advanced disease, elderly</w:t>
            </w:r>
          </w:p>
        </w:tc>
        <w:tc>
          <w:tcPr>
            <w:tcW w:type="dxa" w:w="720"/>
            <w:vAlign w:val="top"/>
          </w:tcPr>
          <w:p>
            <w:pPr>
              <w:spacing w:after="40" w:before="0" w:line="259" w:lineRule="auto"/>
            </w:pPr>
            <w:r>
              <w:rPr>
                <w:rFonts w:ascii="Calibri" w:hAnsi="Calibri"/>
                <w:b w:val="0"/>
                <w:i w:val="0"/>
                <w:color w:val="212121"/>
                <w:sz w:val="16"/>
              </w:rPr>
              <w:t>Food; Water</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Look for signs of aspiration on chest auscultation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Dysphagia to solids AND liquids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Cardinal symptom; difficulty with both solids and liquids from onset distinguishes achalasia from mechanical strictures.</w:t>
            </w:r>
          </w:p>
        </w:tc>
      </w:tr>
      <w:tr>
        <w:trPr>
          <w:cantSplit/>
        </w:trPr>
        <w:tc>
          <w:tcPr>
            <w:tcW w:type="dxa" w:w="2304"/>
            <w:vAlign w:val="top"/>
          </w:tcPr>
          <w:p>
            <w:pPr>
              <w:spacing w:after="40" w:before="0" w:line="259" w:lineRule="auto"/>
            </w:pPr>
            <w:r>
              <w:rPr>
                <w:rFonts w:ascii="Calibri" w:hAnsi="Calibri"/>
                <w:b/>
                <w:i w:val="0"/>
                <w:color w:val="212121"/>
                <w:sz w:val="19"/>
              </w:rPr>
              <w:t>Regurgitation of undigested food / saliva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Bland, non-acidic regurgitation of retained food, often nocturnal; a classic feature.</w:t>
            </w:r>
          </w:p>
        </w:tc>
      </w:tr>
      <w:tr>
        <w:trPr>
          <w:cantSplit/>
        </w:trPr>
        <w:tc>
          <w:tcPr>
            <w:tcW w:type="dxa" w:w="2304"/>
            <w:vAlign w:val="top"/>
          </w:tcPr>
          <w:p>
            <w:pPr>
              <w:spacing w:after="40" w:before="0" w:line="259" w:lineRule="auto"/>
            </w:pPr>
            <w:r>
              <w:rPr>
                <w:rFonts w:ascii="Calibri" w:hAnsi="Calibri"/>
                <w:b/>
                <w:i w:val="0"/>
                <w:color w:val="212121"/>
                <w:sz w:val="19"/>
              </w:rPr>
              <w:t>Retrosternal chest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Cramping or spastic chest pain, most pronounced in subtype III; can mimic cardiac pain.</w:t>
            </w:r>
          </w:p>
        </w:tc>
      </w:tr>
      <w:tr>
        <w:trPr>
          <w:cantSplit/>
        </w:trPr>
        <w:tc>
          <w:tcPr>
            <w:tcW w:type="dxa" w:w="2304"/>
            <w:vAlign w:val="top"/>
          </w:tcPr>
          <w:p>
            <w:pPr>
              <w:spacing w:after="40" w:before="0" w:line="259" w:lineRule="auto"/>
            </w:pPr>
            <w:r>
              <w:rPr>
                <w:rFonts w:ascii="Calibri" w:hAnsi="Calibri"/>
                <w:b/>
                <w:i w:val="0"/>
                <w:color w:val="212121"/>
                <w:sz w:val="19"/>
              </w:rPr>
              <w:t>Heartburn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Arises from fermentation and stasis of retained food rather than acid reflux, and frequently leads to a mistaken GERD diagnosis.</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Progressive, from reduced intake and impaired transit; a red flag for pseudoachalasia when rapid.</w:t>
            </w:r>
          </w:p>
        </w:tc>
      </w:tr>
      <w:tr>
        <w:trPr>
          <w:cantSplit/>
        </w:trPr>
        <w:tc>
          <w:tcPr>
            <w:tcW w:type="dxa" w:w="2304"/>
            <w:vAlign w:val="top"/>
          </w:tcPr>
          <w:p>
            <w:pPr>
              <w:spacing w:after="40" w:before="0" w:line="259" w:lineRule="auto"/>
            </w:pPr>
            <w:r>
              <w:rPr>
                <w:rFonts w:ascii="Calibri" w:hAnsi="Calibri"/>
                <w:b/>
                <w:i w:val="0"/>
                <w:color w:val="212121"/>
                <w:sz w:val="19"/>
              </w:rPr>
              <w:t>Slow eating / swallowing manoeuvres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Patients eat slowly, drink to wash food down, or arch the neck / perform Valsalva to aid oesophageal emptying.</w:t>
            </w:r>
          </w:p>
        </w:tc>
      </w:tr>
      <w:tr>
        <w:trPr>
          <w:cantSplit/>
        </w:trPr>
        <w:tc>
          <w:tcPr>
            <w:tcW w:type="dxa" w:w="2304"/>
            <w:vAlign w:val="top"/>
          </w:tcPr>
          <w:p>
            <w:pPr>
              <w:spacing w:after="40" w:before="0" w:line="259" w:lineRule="auto"/>
            </w:pPr>
            <w:r>
              <w:rPr>
                <w:rFonts w:ascii="Calibri" w:hAnsi="Calibri"/>
                <w:b/>
                <w:i w:val="0"/>
                <w:color w:val="212121"/>
                <w:sz w:val="19"/>
              </w:rPr>
              <w:t>Nocturnal cough</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Regurgitation while supine irritates the airway and risks aspiration.</w:t>
            </w:r>
          </w:p>
        </w:tc>
      </w:tr>
      <w:tr>
        <w:trPr>
          <w:cantSplit/>
        </w:trPr>
        <w:tc>
          <w:tcPr>
            <w:tcW w:type="dxa" w:w="2304"/>
            <w:vAlign w:val="top"/>
          </w:tcPr>
          <w:p>
            <w:pPr>
              <w:spacing w:after="40" w:before="0" w:line="259" w:lineRule="auto"/>
            </w:pPr>
            <w:r>
              <w:rPr>
                <w:rFonts w:ascii="Calibri" w:hAnsi="Calibri"/>
                <w:b/>
                <w:i w:val="0"/>
                <w:color w:val="212121"/>
                <w:sz w:val="19"/>
              </w:rPr>
              <w:t>Odynophagia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Painful swallowing, sometimes with stasis or candida oesophagitis.</w:t>
            </w:r>
          </w:p>
        </w:tc>
      </w:tr>
      <w:tr>
        <w:trPr>
          <w:cantSplit/>
        </w:trPr>
        <w:tc>
          <w:tcPr>
            <w:tcW w:type="dxa" w:w="2304"/>
            <w:vAlign w:val="top"/>
          </w:tcPr>
          <w:p>
            <w:pPr>
              <w:spacing w:after="40" w:before="0" w:line="259" w:lineRule="auto"/>
            </w:pPr>
            <w:r>
              <w:rPr>
                <w:rFonts w:ascii="Calibri" w:hAnsi="Calibri"/>
                <w:b/>
                <w:i w:val="0"/>
                <w:color w:val="212121"/>
                <w:sz w:val="19"/>
              </w:rPr>
              <w:t>Halitosis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Fermentation of retained food produces foul breath.</w:t>
            </w:r>
          </w:p>
        </w:tc>
      </w:tr>
      <w:tr>
        <w:trPr>
          <w:cantSplit/>
        </w:trPr>
        <w:tc>
          <w:tcPr>
            <w:tcW w:type="dxa" w:w="2304"/>
            <w:vAlign w:val="top"/>
          </w:tcPr>
          <w:p>
            <w:pPr>
              <w:spacing w:after="40" w:before="0" w:line="259" w:lineRule="auto"/>
            </w:pPr>
            <w:r>
              <w:rPr>
                <w:rFonts w:ascii="Calibri" w:hAnsi="Calibri"/>
                <w:b/>
                <w:i w:val="0"/>
                <w:color w:val="212121"/>
                <w:sz w:val="19"/>
              </w:rPr>
              <w:t>Globus sensation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Persistent feeling of a lump or fullness in the throat or chest.</w:t>
            </w:r>
          </w:p>
        </w:tc>
      </w:tr>
      <w:tr>
        <w:trPr>
          <w:cantSplit/>
        </w:trPr>
        <w:tc>
          <w:tcPr>
            <w:tcW w:type="dxa" w:w="2304"/>
            <w:vAlign w:val="top"/>
          </w:tcPr>
          <w:p>
            <w:pPr>
              <w:spacing w:after="40" w:before="0" w:line="259" w:lineRule="auto"/>
            </w:pPr>
            <w:r>
              <w:rPr>
                <w:rFonts w:ascii="Calibri" w:hAnsi="Calibri"/>
                <w:b/>
                <w:i w:val="0"/>
                <w:color w:val="212121"/>
                <w:sz w:val="19"/>
              </w:rPr>
              <w:t>Recurrent respiratory infections / aspiration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Chronic microaspiration causes pneumonia and, rarely, bronchiectasis.</w:t>
            </w:r>
          </w:p>
        </w:tc>
      </w:tr>
      <w:tr>
        <w:trPr>
          <w:cantSplit/>
        </w:trPr>
        <w:tc>
          <w:tcPr>
            <w:tcW w:type="dxa" w:w="2304"/>
            <w:vAlign w:val="top"/>
          </w:tcPr>
          <w:p>
            <w:pPr>
              <w:spacing w:after="40" w:before="0" w:line="259" w:lineRule="auto"/>
            </w:pPr>
            <w:r>
              <w:rPr>
                <w:rFonts w:ascii="Calibri" w:hAnsi="Calibri"/>
                <w:b/>
                <w:i w:val="0"/>
                <w:color w:val="212121"/>
                <w:sz w:val="19"/>
              </w:rPr>
              <w:t>Hiccups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From distension of the oesophagus by retained contents.</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Weight loss / cachexia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undernutrition from chronic reduced intake and impaired transit.</w:t>
            </w:r>
          </w:p>
        </w:tc>
      </w:tr>
      <w:tr>
        <w:trPr>
          <w:cantSplit/>
        </w:trPr>
        <w:tc>
          <w:tcPr>
            <w:tcW w:type="dxa" w:w="3456"/>
            <w:vAlign w:val="top"/>
          </w:tcPr>
          <w:p>
            <w:pPr>
              <w:spacing w:after="40" w:before="0" w:line="259" w:lineRule="auto"/>
            </w:pPr>
            <w:r>
              <w:rPr>
                <w:rFonts w:ascii="Calibri" w:hAnsi="Calibri"/>
                <w:b/>
                <w:i w:val="0"/>
                <w:color w:val="212121"/>
                <w:sz w:val="19"/>
              </w:rPr>
              <w:t>Halitosis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Foul breath from fermenting retained oesophageal food.</w:t>
            </w:r>
          </w:p>
        </w:tc>
      </w:tr>
      <w:tr>
        <w:trPr>
          <w:cantSplit/>
        </w:trPr>
        <w:tc>
          <w:tcPr>
            <w:tcW w:type="dxa" w:w="3456"/>
            <w:vAlign w:val="top"/>
          </w:tcPr>
          <w:p>
            <w:pPr>
              <w:spacing w:after="40" w:before="0" w:line="259" w:lineRule="auto"/>
            </w:pPr>
            <w:r>
              <w:rPr>
                <w:rFonts w:ascii="Calibri" w:hAnsi="Calibri"/>
                <w:b/>
                <w:i w:val="0"/>
                <w:color w:val="212121"/>
                <w:sz w:val="19"/>
              </w:rPr>
              <w:t>Retained food / saliva in a dilated oesophagus (endoscopy)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Undigested food and frothy saliva sit above a non-relaxing gastro-oesophageal junction.</w:t>
            </w:r>
          </w:p>
        </w:tc>
      </w:tr>
      <w:tr>
        <w:trPr>
          <w:cantSplit/>
        </w:trPr>
        <w:tc>
          <w:tcPr>
            <w:tcW w:type="dxa" w:w="3456"/>
            <w:vAlign w:val="top"/>
          </w:tcPr>
          <w:p>
            <w:pPr>
              <w:spacing w:after="40" w:before="0" w:line="259" w:lineRule="auto"/>
            </w:pPr>
            <w:r>
              <w:rPr>
                <w:rFonts w:ascii="Calibri" w:hAnsi="Calibri"/>
                <w:b/>
                <w:i w:val="0"/>
                <w:color w:val="212121"/>
                <w:sz w:val="19"/>
              </w:rPr>
              <w:t>Bird-beak tapering at the GEJ (barium)</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Smooth, symmetrical narrowing with proximal dilatation on the oesophagram.</w:t>
            </w:r>
          </w:p>
        </w:tc>
      </w:tr>
      <w:tr>
        <w:trPr>
          <w:cantSplit/>
        </w:trPr>
        <w:tc>
          <w:tcPr>
            <w:tcW w:type="dxa" w:w="3456"/>
            <w:vAlign w:val="top"/>
          </w:tcPr>
          <w:p>
            <w:pPr>
              <w:spacing w:after="40" w:before="0" w:line="259" w:lineRule="auto"/>
            </w:pPr>
            <w:r>
              <w:rPr>
                <w:rFonts w:ascii="Calibri" w:hAnsi="Calibri"/>
                <w:b/>
                <w:i w:val="0"/>
                <w:color w:val="212121"/>
                <w:sz w:val="19"/>
              </w:rPr>
              <w:t>Absent peristalsis with failed LES relaxation (manometry)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Defining manometric sign: IRP &gt; 15 mmHg with 100% failed peristalsis.</w:t>
            </w:r>
          </w:p>
        </w:tc>
      </w:tr>
      <w:tr>
        <w:trPr>
          <w:cantSplit/>
        </w:trPr>
        <w:tc>
          <w:tcPr>
            <w:tcW w:type="dxa" w:w="3456"/>
            <w:vAlign w:val="top"/>
          </w:tcPr>
          <w:p>
            <w:pPr>
              <w:spacing w:after="40" w:before="0" w:line="259" w:lineRule="auto"/>
            </w:pPr>
            <w:r>
              <w:rPr>
                <w:rFonts w:ascii="Calibri" w:hAnsi="Calibri"/>
                <w:b/>
                <w:i w:val="0"/>
                <w:color w:val="212121"/>
                <w:sz w:val="19"/>
              </w:rPr>
              <w:t>Basal crackles / signs of aspiration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From chronic microaspiration of regurgitated contents.</w:t>
            </w:r>
          </w:p>
        </w:tc>
      </w:tr>
      <w:tr>
        <w:trPr>
          <w:cantSplit/>
        </w:trPr>
        <w:tc>
          <w:tcPr>
            <w:tcW w:type="dxa" w:w="3456"/>
            <w:vAlign w:val="top"/>
          </w:tcPr>
          <w:p>
            <w:pPr>
              <w:spacing w:after="40" w:before="0" w:line="259" w:lineRule="auto"/>
            </w:pPr>
            <w:r>
              <w:rPr>
                <w:rFonts w:ascii="Calibri" w:hAnsi="Calibri"/>
                <w:b/>
                <w:i w:val="0"/>
                <w:color w:val="212121"/>
                <w:sz w:val="19"/>
              </w:rPr>
              <w:t>Dental erosions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Chronic regurgitation of stagnant material can damage tooth enamel.</w:t>
            </w:r>
          </w:p>
        </w:tc>
      </w:tr>
      <w:tr>
        <w:trPr>
          <w:cantSplit/>
        </w:trPr>
        <w:tc>
          <w:tcPr>
            <w:tcW w:type="dxa" w:w="3456"/>
            <w:vAlign w:val="top"/>
          </w:tcPr>
          <w:p>
            <w:pPr>
              <w:spacing w:after="40" w:before="0" w:line="259" w:lineRule="auto"/>
            </w:pPr>
            <w:r>
              <w:rPr>
                <w:rFonts w:ascii="Calibri" w:hAnsi="Calibri"/>
                <w:b/>
                <w:i w:val="0"/>
                <w:color w:val="212121"/>
                <w:sz w:val="19"/>
              </w:rPr>
              <w:t>Succussion splash over the chest</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Audible splash from retained fluid and air in a grossly dilated oesophagus.</w:t>
            </w:r>
          </w:p>
        </w:tc>
      </w:tr>
      <w:tr>
        <w:trPr>
          <w:cantSplit/>
        </w:trPr>
        <w:tc>
          <w:tcPr>
            <w:tcW w:type="dxa" w:w="3456"/>
            <w:vAlign w:val="top"/>
          </w:tcPr>
          <w:p>
            <w:pPr>
              <w:spacing w:after="40" w:before="0" w:line="259" w:lineRule="auto"/>
            </w:pPr>
            <w:r>
              <w:rPr>
                <w:rFonts w:ascii="Calibri" w:hAnsi="Calibri"/>
                <w:b/>
                <w:i w:val="0"/>
                <w:color w:val="212121"/>
                <w:sz w:val="19"/>
              </w:rPr>
              <w:t>Sigmoid / megaoesophagus on imaging</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End-stage tortuous, massively dilated oesophagus.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progressive dysphagia with inability to maintain oral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and unintentional weight loss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Acute food-bolus impaction / oesophageal obstruction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Oesophageal stasis with fermentation and dehydration</w:t>
            </w:r>
          </w:p>
        </w:tc>
        <w:tc>
          <w:tcPr>
            <w:tcW w:type="dxa" w:w="2980"/>
            <w:vAlign w:val="top"/>
          </w:tcPr>
          <w:p>
            <w:pPr>
              <w:spacing w:after="40" w:before="0" w:line="259" w:lineRule="auto"/>
            </w:pPr>
            <w:r>
              <w:rPr>
                <w:rFonts w:ascii="Calibri" w:hAnsi="Calibri"/>
                <w:b w:val="0"/>
                <w:i w:val="0"/>
                <w:color w:val="212121"/>
                <w:sz w:val="19"/>
              </w:rPr>
              <w:t>Direct consequences of the LES outflow obstruction and loss of peristalsis.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Regurgitation with aspiration pneumonia and recurrent respiratory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Megaoesophagus / sigmoid oesophagus (end-stage dilatation)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Stasis or candida oesophagitis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Post-treatment gastro-oesophageal reflux disease and reflux oesophagitis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Barrett's oesophagus, especially with post-myotomy reflux</w:t>
            </w:r>
          </w:p>
        </w:tc>
        <w:tc>
          <w:tcPr>
            <w:tcW w:type="dxa" w:w="2980"/>
            <w:vAlign w:val="top"/>
          </w:tcPr>
          <w:p>
            <w:pPr>
              <w:spacing w:after="40" w:before="0" w:line="259" w:lineRule="auto"/>
            </w:pPr>
            <w:r>
              <w:rPr>
                <w:rFonts w:ascii="Calibri" w:hAnsi="Calibri"/>
                <w:b w:val="0"/>
                <w:i w:val="0"/>
                <w:color w:val="212121"/>
                <w:sz w:val="19"/>
              </w:rPr>
              <w:t>Arise from chronic stasis and aspiration, and from iatrogenic reflux after LES-disrupting therapy.</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Oesophageal squamous cell carcinoma (and, less often, adenocarcinoma)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End-stage megaoesophagus requiring oesophagectomy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respiratory disease / bronchiectasis from repeated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Treatment-refractory or recurrent disease needing repeat intervention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aspiration, malnutrition or malignancy</w:t>
            </w:r>
          </w:p>
        </w:tc>
        <w:tc>
          <w:tcPr>
            <w:tcW w:type="dxa" w:w="2980"/>
            <w:vAlign w:val="top"/>
          </w:tcPr>
          <w:p>
            <w:pPr>
              <w:spacing w:after="40" w:before="0" w:line="259" w:lineRule="auto"/>
            </w:pPr>
            <w:r>
              <w:rPr>
                <w:rFonts w:ascii="Calibri" w:hAnsi="Calibri"/>
                <w:b w:val="0"/>
                <w:i w:val="0"/>
                <w:color w:val="212121"/>
                <w:sz w:val="19"/>
              </w:rPr>
              <w:t>Irreversible, life-threatening outcomes of long-standing disease; cancer risk warrants endoscopic surveillance after 10-15 years.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Post-treatment gastro-oesophageal reflux disease (GERD)</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Treatment Interaction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Disrupting the LES to relieve obstruction allows acid reflux; objective GERD is found in up to two-thirds after POEM and is often asymptomatic yet causes erosive oesophagitis (~56% in an Indian series).</w:t>
            </w:r>
          </w:p>
          <w:p>
            <w:pPr>
              <w:spacing w:after="40" w:before="0" w:line="259" w:lineRule="auto"/>
            </w:pPr>
            <w:r>
              <w:rPr>
                <w:rFonts w:ascii="Calibri" w:hAnsi="Calibri"/>
                <w:b/>
                <w:i w:val="0"/>
                <w:color w:val="212121"/>
                <w:sz w:val="19"/>
              </w:rPr>
              <w:t>Up to ~66%</w:t>
            </w:r>
          </w:p>
        </w:tc>
      </w:tr>
      <w:tr>
        <w:trPr>
          <w:cantSplit/>
        </w:trPr>
        <w:tc>
          <w:tcPr>
            <w:tcW w:type="dxa" w:w="2232"/>
            <w:vAlign w:val="top"/>
          </w:tcPr>
          <w:p>
            <w:pPr>
              <w:spacing w:after="40" w:before="0" w:line="259" w:lineRule="auto"/>
            </w:pPr>
            <w:r>
              <w:rPr>
                <w:rFonts w:ascii="Calibri" w:hAnsi="Calibri"/>
                <w:b/>
                <w:i w:val="0"/>
                <w:color w:val="212121"/>
                <w:sz w:val="19"/>
              </w:rPr>
              <w:t>Oesophageal squamous cell carcinoma</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stasis and inflammation drive roughly a 50-fold higher squamous-cancer risk (about 26 cases per 1000 patients); surveillance endoscopy is advised after 10-15 years of disease.</w:t>
            </w:r>
          </w:p>
          <w:p>
            <w:pPr>
              <w:spacing w:after="40" w:before="0" w:line="259" w:lineRule="auto"/>
            </w:pPr>
            <w:r>
              <w:rPr>
                <w:rFonts w:ascii="Calibri" w:hAnsi="Calibri"/>
                <w:b/>
                <w:i w:val="0"/>
                <w:color w:val="212121"/>
                <w:sz w:val="19"/>
              </w:rPr>
              <w:t>~2.6% (26 per 1000)</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Regurgitation of retained oesophageal contents, especially at night, causes recurrent pneumonia and can lead to bronchiectasis.</w:t>
            </w:r>
          </w:p>
          <w:p>
            <w:pPr>
              <w:spacing w:after="40" w:before="0" w:line="259" w:lineRule="auto"/>
            </w:pPr>
            <w:r>
              <w:rPr>
                <w:rFonts w:ascii="Calibri" w:hAnsi="Calibri"/>
                <w:b/>
                <w:i w:val="0"/>
                <w:color w:val="212121"/>
                <w:sz w:val="19"/>
              </w:rPr>
              <w:t>~8-10%</w:t>
            </w:r>
          </w:p>
        </w:tc>
      </w:tr>
      <w:tr>
        <w:trPr>
          <w:cantSplit/>
        </w:trPr>
        <w:tc>
          <w:tcPr>
            <w:tcW w:type="dxa" w:w="2232"/>
            <w:vAlign w:val="top"/>
          </w:tcPr>
          <w:p>
            <w:pPr>
              <w:spacing w:after="40" w:before="0" w:line="259" w:lineRule="auto"/>
            </w:pPr>
            <w:r>
              <w:rPr>
                <w:rFonts w:ascii="Calibri" w:hAnsi="Calibri"/>
                <w:b/>
                <w:i w:val="0"/>
                <w:color w:val="212121"/>
                <w:sz w:val="19"/>
              </w:rPr>
              <w:t>Autoimmune thyroid disease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shared autoimmune tendency links the two; about a quarter of patients have concurrent thyroid disease, mainly hypothyroidism, which should be screened for.</w:t>
            </w:r>
          </w:p>
          <w:p>
            <w:pPr>
              <w:spacing w:after="40" w:before="0" w:line="259" w:lineRule="auto"/>
            </w:pPr>
            <w:r>
              <w:rPr>
                <w:rFonts w:ascii="Calibri" w:hAnsi="Calibri"/>
                <w:b/>
                <w:i w:val="0"/>
                <w:color w:val="212121"/>
                <w:sz w:val="19"/>
              </w:rPr>
              <w:t>~25%</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dysphagia and impaired quality of life raise psychological morbidity; new depression is significantly more common after diagnosis (OR 1.66).</w:t>
            </w:r>
          </w:p>
        </w:tc>
      </w:tr>
      <w:tr>
        <w:trPr>
          <w:cantSplit/>
        </w:trPr>
        <w:tc>
          <w:tcPr>
            <w:tcW w:type="dxa" w:w="2232"/>
            <w:vAlign w:val="top"/>
          </w:tcPr>
          <w:p>
            <w:pPr>
              <w:spacing w:after="40" w:before="0" w:line="259" w:lineRule="auto"/>
            </w:pPr>
            <w:r>
              <w:rPr>
                <w:rFonts w:ascii="Calibri" w:hAnsi="Calibri"/>
                <w:b/>
                <w:i w:val="0"/>
                <w:color w:val="212121"/>
                <w:sz w:val="19"/>
              </w:rPr>
              <w:t>Barrett's oesophagus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consequence of post-myotomy or post-dilation acid reflux; requires endoscopic surveillance, and hiatal hernia further raises the risk.</w:t>
            </w:r>
          </w:p>
        </w:tc>
      </w:tr>
      <w:tr>
        <w:trPr>
          <w:cantSplit/>
        </w:trPr>
        <w:tc>
          <w:tcPr>
            <w:tcW w:type="dxa" w:w="2232"/>
            <w:vAlign w:val="top"/>
          </w:tcPr>
          <w:p>
            <w:pPr>
              <w:spacing w:after="40" w:before="0" w:line="259" w:lineRule="auto"/>
            </w:pPr>
            <w:r>
              <w:rPr>
                <w:rFonts w:ascii="Calibri" w:hAnsi="Calibri"/>
                <w:b/>
                <w:i w:val="0"/>
                <w:color w:val="212121"/>
                <w:sz w:val="19"/>
              </w:rPr>
              <w:t>Malnutrition / weight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bolus transit reduces intake, producing hypoalbuminaemia and sarcopenia that must be corrected before intervention.</w:t>
            </w:r>
          </w:p>
        </w:tc>
      </w:tr>
      <w:tr>
        <w:trPr>
          <w:cantSplit/>
        </w:trPr>
        <w:tc>
          <w:tcPr>
            <w:tcW w:type="dxa" w:w="2232"/>
            <w:vAlign w:val="top"/>
          </w:tcPr>
          <w:p>
            <w:pPr>
              <w:spacing w:after="40" w:before="0" w:line="259" w:lineRule="auto"/>
            </w:pPr>
            <w:r>
              <w:rPr>
                <w:rFonts w:ascii="Calibri" w:hAnsi="Calibri"/>
                <w:b/>
                <w:i w:val="0"/>
                <w:color w:val="212121"/>
                <w:sz w:val="19"/>
              </w:rPr>
              <w:t>Allgrove (triple-A) syndrome</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Autosomal recessive AAAS-gene disorder causing achalasia with alacrima and adrenal insufficiency; relevant in consanguineous families and paediatric presentations.</w:t>
            </w:r>
          </w:p>
        </w:tc>
      </w:tr>
      <w:tr>
        <w:trPr>
          <w:cantSplit/>
        </w:trPr>
        <w:tc>
          <w:tcPr>
            <w:tcW w:type="dxa" w:w="2232"/>
            <w:vAlign w:val="top"/>
          </w:tcPr>
          <w:p>
            <w:pPr>
              <w:spacing w:after="40" w:before="0" w:line="259" w:lineRule="auto"/>
            </w:pPr>
            <w:r>
              <w:rPr>
                <w:rFonts w:ascii="Calibri" w:hAnsi="Calibri"/>
                <w:b/>
                <w:i w:val="0"/>
                <w:color w:val="212121"/>
                <w:sz w:val="19"/>
              </w:rPr>
              <w:t>Down syndrome (trisomy 21)</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Associated with a higher prevalence of achalasia, often presenting in childhood with feeding difficulty and chest infection.</w:t>
            </w:r>
          </w:p>
        </w:tc>
      </w:tr>
      <w:tr>
        <w:trPr>
          <w:cantSplit/>
        </w:trPr>
        <w:tc>
          <w:tcPr>
            <w:tcW w:type="dxa" w:w="2232"/>
            <w:vAlign w:val="top"/>
          </w:tcPr>
          <w:p>
            <w:pPr>
              <w:spacing w:after="40" w:before="0" w:line="259" w:lineRule="auto"/>
            </w:pPr>
            <w:r>
              <w:rPr>
                <w:rFonts w:ascii="Calibri" w:hAnsi="Calibri"/>
                <w:b/>
                <w:i w:val="0"/>
                <w:color w:val="212121"/>
                <w:sz w:val="19"/>
              </w:rPr>
              <w:t>Chagas disease (secondary achalasia)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Trypanosoma cruzi destroys the myenteric plexus to produce an identical picture; a key differential rather than a true comorbidity, and not endemic in India.</w:t>
            </w:r>
          </w:p>
        </w:tc>
      </w:tr>
      <w:tr>
        <w:trPr>
          <w:cantSplit/>
        </w:trPr>
        <w:tc>
          <w:tcPr>
            <w:tcW w:type="dxa" w:w="2232"/>
            <w:vAlign w:val="top"/>
          </w:tcPr>
          <w:p>
            <w:pPr>
              <w:spacing w:after="40" w:before="0" w:line="259" w:lineRule="auto"/>
            </w:pPr>
            <w:r>
              <w:rPr>
                <w:rFonts w:ascii="Calibri" w:hAnsi="Calibri"/>
                <w:b/>
                <w:i w:val="0"/>
                <w:color w:val="212121"/>
                <w:sz w:val="19"/>
              </w:rPr>
              <w:t>Parkinson's disease / neurodegeneration</w:t>
            </w:r>
          </w:p>
        </w:tc>
        <w:tc>
          <w:tcPr>
            <w:tcW w:type="dxa" w:w="2520"/>
            <w:vAlign w:val="top"/>
          </w:tcPr>
          <w:p>
            <w:pPr>
              <w:spacing w:after="40" w:before="0" w:line="259" w:lineRule="auto"/>
            </w:pPr>
            <w:r>
              <w:rPr>
                <w:rFonts w:ascii="Calibri" w:hAnsi="Calibri"/>
                <w:b w:val="0"/>
                <w:i w:val="0"/>
                <w:color w:val="212121"/>
                <w:sz w:val="18"/>
              </w:rPr>
              <w:t>Shared Pathophysiology</w:t>
            </w:r>
          </w:p>
        </w:tc>
        <w:tc>
          <w:tcPr>
            <w:tcW w:type="dxa" w:w="4852"/>
            <w:vAlign w:val="top"/>
          </w:tcPr>
          <w:p>
            <w:pPr>
              <w:spacing w:after="40" w:before="0" w:line="259" w:lineRule="auto"/>
            </w:pPr>
            <w:r>
              <w:rPr>
                <w:rFonts w:ascii="Calibri" w:hAnsi="Calibri"/>
                <w:b w:val="0"/>
                <w:i w:val="0"/>
                <w:color w:val="212121"/>
                <w:sz w:val="19"/>
              </w:rPr>
              <w:t>Shared ganglion-cell degeneration, with Lewy bodies described in myenteric neurons, links the two disorders.</w:t>
            </w:r>
          </w:p>
        </w:tc>
      </w:tr>
      <w:tr>
        <w:trPr>
          <w:cantSplit/>
        </w:trPr>
        <w:tc>
          <w:tcPr>
            <w:tcW w:type="dxa" w:w="2232"/>
            <w:vAlign w:val="top"/>
          </w:tcPr>
          <w:p>
            <w:pPr>
              <w:spacing w:after="40" w:before="0" w:line="259" w:lineRule="auto"/>
            </w:pPr>
            <w:r>
              <w:rPr>
                <w:rFonts w:ascii="Calibri" w:hAnsi="Calibri"/>
                <w:b/>
                <w:i w:val="0"/>
                <w:color w:val="212121"/>
                <w:sz w:val="19"/>
              </w:rPr>
              <w:t>Pseudoachalasia from GEJ malignancy</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tumour at the cardia mimics achalasia and must be excluded, particularly in older patients with a short history and rapid weight loss.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warning triad - difficulty swallowing BOTH solids and liquids, regurgitation of undigested food, and unexplained weight loss - and seek gastroenterology assessment early rather than treating it as ordinary acid reflux.</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'GERD' not responding to acid-suppression may actually be achalasia and needs high-resolution manometry to diagnose.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Know that achalasia is chronic and that treatments (pneumatic dilation, laparoscopic Heller myotomy, POEM) are palliative - they relieve the obstruction rather than restore the lost nerves.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long-term follow-up and agree to endoscopic surveillance after 10-15 years because of the increased oesophageal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new or worsening chest pain, rapid weight loss, difficulty even with liquids, or bleeding promptly, as these may signal complications or malignancy.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labelled as refractory GERD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 advanced achalasia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with syndromic achalasia</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slowly and chew thoroughly, taking small, frequent semi-solid meals rather than large dry-solid boluses.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Sit fully upright while eating and for 30-60 minutes afterwards, and sip warm water to help wash the bolus through the non-relaxing sphincter.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very cold or carbonated drinks and any foods that reliably provoke chest pain or spasm.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Finish the last meal at least 3 hours before lying down and empty the oesophagus before sleep to prevent nocturnal regurgitation.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oral nutritional supplements and seek dietitian input if weight loss or malnutrition develops.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symptomatic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 malnourished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Nocturnal regurgitators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awaiting definitive therapy</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Sleep with the head of the bed elevated by 15-20 cm (or on a wedge) so gravity helps empty the oesophagus.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eating within 3 hours of bedtime to reduce retained food that can regurgitate when supine.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Report nocturnal cough or choking, which indicate aspiration and warrant escalation of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Nocturnal regurgitators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disease / megaoesophagus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symptoms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light-to-moderate activity to preserve muscle mass and general fitness despite reduced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mobilisation and recovery after Heller myotomy or POEM as advised by the treating team.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vigorous exercise immediately after meals, which can worsen regurgitation.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Post-procedure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Deconditioned / undernourished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all tobacco - smoked and smokeless / chewed - because it is a co-carcinogen that compounds the already elevated oesophageal squamous-cancer risk in the stasis oesophagus.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cessation support (counselling, nicotine replacement) and remain in the cancer-surveillance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oral and oesophageal pre-cancer, particularly in long-standing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 especially long-standing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 areca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cancer surveillance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or minimise alcohol, a mucosal irritant and oesophageal carcinogen that adds to stasis-related cancer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that alcohol offers no benefit for swallowing and can worsen reflux after myotomy.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alcohol reduction with tobacco cessation, as their carcinogenic effects are additive.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under cancer surveillance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which are more common after an achalasia diagnosis and worsen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counselling, peer support and, where needed, referral for psychological or psychiatric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social impact of eating difficulty - such as avoiding meals out - as part of holistic care.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Long-standing / chronic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Those with poor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aged 51-60 (higher depression risk)</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cbi.nlm.nih.gov/books/NBK519515/" TargetMode="External"/><Relationship Id="rId10" Type="http://schemas.openxmlformats.org/officeDocument/2006/relationships/hyperlink" Target="https://www.emjreviews.com/gastroenterology/article/achalasia-cardia-a-comprehensive-review/" TargetMode="External"/><Relationship Id="rId11" Type="http://schemas.openxmlformats.org/officeDocument/2006/relationships/hyperlink" Target="https://pubmed.ncbi.nlm.nih.gov/33102755/" TargetMode="External"/><Relationship Id="rId12" Type="http://schemas.openxmlformats.org/officeDocument/2006/relationships/hyperlink" Target="https://www.dovepress.com/achalasia-and-esophageal-cancer-risks-and-links-peer-reviewed-fulltext-article-CEG" TargetMode="External"/><Relationship Id="rId13" Type="http://schemas.openxmlformats.org/officeDocument/2006/relationships/hyperlink" Target="https://www.aem-sbem.com/article/achalasia-and-thyroid-disease-possible-autoimmune-connection/" TargetMode="External"/><Relationship Id="rId14" Type="http://schemas.openxmlformats.org/officeDocument/2006/relationships/hyperlink" Target="https://journals.plos.org/plosone/article?id=10.1371%2Fjournal.pone.02505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