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Esophageal Stricture</w:t>
      </w:r>
    </w:p>
    <w:p>
      <w:pPr>
        <w:spacing w:before="0" w:after="160"/>
      </w:pPr>
      <w:r>
        <w:rPr>
          <w:rFonts w:ascii="Calibri" w:hAnsi="Calibri"/>
          <w:b/>
          <w:i w:val="0"/>
          <w:color w:val="212121"/>
          <w:sz w:val="22"/>
        </w:rPr>
        <w:t xml:space="preserve">AKA </w:t>
      </w:r>
      <w:r>
        <w:rPr>
          <w:rFonts w:ascii="Calibri" w:hAnsi="Calibri"/>
          <w:b w:val="0"/>
          <w:i w:val="0"/>
          <w:color w:val="212121"/>
          <w:sz w:val="22"/>
        </w:rPr>
        <w:t>i.e., Oesophageal stricture, Esophageal narrowing/stenosis, Food-pipe narrowing, Benign (peptic) stricture, Corrosive stricture</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Esophageal stricture is an abnormal, fixed narrowing of the esophageal lumen produced by inflammation, fibrosis and scarring (benign) or by tumour infiltration (malignant), which mechanically obstructs the passage of food. The normal adult esophagus admits up to about 30 mm in diameter; a clinically significant stricture typically narrows the lumen to 13 mm or less, at which point solid-food dysphagia begins. In India the commonest benign varieties are peptic (chronic acid reflux) and corrosive (caustic ingestion) strictures, while malignant strictures usually reflect esophageal squamous-cell carcinoma.</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Benign esophageal strictures affect roughly 1.1 per 10,000 person-years and rise steeply with age. Peptic (reflux-related) strictures account for about 70-80% of adult benign strictures, and gastro-esophageal reflux disease (GERD) - their main precursor - has a pooled prevalence near 15.6% in the Indian population. Corrosive (acid/alkali) ingestion is a disproportionately large cause of stricture in India and other developing countries: about a quarter of hospitalised corrosive-injury survivors go on to develop an esophageal stricture.</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Esophageal stricture is suspected in any patient with progressive, mechanical dysphagia (solids first, then liquids) and is confirmed by direct visualisation and contrast studies, with histology mandatory to separate benign from malignant disease: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progressive dysphagia to solids, often with a history of GERD, caustic ingestion, prior radiotherapy, esophageal surgery or long-term pill use;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upper GI endoscopy (primary modality) demonstrating luminal narrowing that will not admit a standard 9-10 mm gastroscope, with the stricture level, length and diameter documented;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targeted biopsy of the stricture to exclude malignancy and to look for eosinophilic esophagitis (peak &gt;= 15 eosinophils per high-power field);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barium (or water-soluble) contrast esophagogram - about 95% sensitive - to map the level, length, calibre and complexity of the narrowing, preferred first when the stricture is tight, tortuous or post-caustic;</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endoscopic ultrasound (EUS) where wall stratification is needed to distinguish benign (preserved layers) from malignant (thickened, disrupted wall) strictures.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resting luminal diameter &lt;= 13 mm with corresponding dysphagia supports a clinically significant, obstructing stricture.</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Esophageal strictures are classified by their nature, their morphology (which drives endoscopic management) and their underlying cause:</w:t>
      </w:r>
    </w:p>
    <w:p>
      <w:pPr>
        <w:spacing w:before="0" w:after="80"/>
      </w:pPr>
      <w:r>
        <w:rPr>
          <w:rFonts w:ascii="Calibri" w:hAnsi="Calibri"/>
          <w:b w:val="0"/>
          <w:i w:val="0"/>
          <w:color w:val="212121"/>
          <w:sz w:val="21"/>
        </w:rPr>
        <w:t>(1) Benign versus Malignant - benign strictures follow a slow, insidious course over months to years, whereas malignant strictures (usually squamous-cell carcinoma in India, adenocarcinoma in Barrett-related disease) evolve rapidly and are accompanied by weight loss and constitutional symptoms;</w:t>
      </w:r>
    </w:p>
    <w:p>
      <w:pPr>
        <w:spacing w:before="0" w:after="80"/>
      </w:pPr>
      <w:r>
        <w:rPr>
          <w:rFonts w:ascii="Calibri" w:hAnsi="Calibri"/>
          <w:b w:val="0"/>
          <w:i w:val="0"/>
          <w:color w:val="212121"/>
          <w:sz w:val="21"/>
        </w:rPr>
        <w:t>(2) Simple versus Complex - simple strictures are short (&lt; 2 cm), straight, concentric and readily traversed by the endoscope, while complex strictures are long (&gt; 2 cm), angulated, tortuous or very narrow and are harder to dilate and more prone to recurrence;</w:t>
      </w:r>
    </w:p>
    <w:p>
      <w:pPr>
        <w:spacing w:before="0" w:after="80"/>
      </w:pPr>
      <w:r>
        <w:rPr>
          <w:rFonts w:ascii="Calibri" w:hAnsi="Calibri"/>
          <w:b w:val="0"/>
          <w:i w:val="0"/>
          <w:color w:val="212121"/>
          <w:sz w:val="21"/>
        </w:rPr>
        <w:t>(3) Recurrent versus Refractory - a recurrent stricture cannot maintain a satisfactory diameter for 4 weeks after reaching a 14 mm target, whereas a refractory stricture cannot reach 14 mm despite five dilation sessions at 2-week intervals;</w:t>
      </w:r>
    </w:p>
    <w:p>
      <w:pPr>
        <w:spacing w:before="0" w:after="80"/>
      </w:pPr>
      <w:r>
        <w:rPr>
          <w:rFonts w:ascii="Calibri" w:hAnsi="Calibri"/>
          <w:b w:val="0"/>
          <w:i w:val="0"/>
          <w:color w:val="212121"/>
          <w:sz w:val="21"/>
        </w:rPr>
        <w:t>(4) By etiology - peptic (GERD), corrosive/caustic, eosinophilic (EoE), radiation-induced, anastomotic (post-esophagectomy), pill-induced, Schatzki ring/web (including Plummer-Vinson), infective and malignant strictures, each with distinct location, morphology and management.</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Chronic acid reflux (GERD): Repeated acid-peptic injury to the distal esophageal mucosa drives chronic inflammation, fibrosis and a short concentric peptic stricture; hiatal hernia is present in up to 85% of GERD patients who form strictures.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Corrosive/caustic ingestion: Accidental (children) or suicidal (young adults) ingestion of acids (toilet/hard-water cleaners) or alkalis (lye) causes transmural burns and dense circumferential fibrosis, often producing long, complex, refractory strictures - a major cause in India.</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Eosinophilic esophagitis (EoE): Chronic Th2/allergen-driven eosinophilic inflammation remodels the esophageal wall into fibrostenotic rings and strictures; stricture prevalence rises with untreated disease duration (about 17% early to 71% after two decades).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Radiation and post-surgical injury: Head-neck or thoracic radiotherapy and esophageal/bariatric anastomoses cause ischaemic-fibrotic narrowing; anastomotic strictures follow 22-50% of esophagectomies.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Pill-induced (medication) esophagitis: NSAIDs, potassium chloride, tetracyclines, bisphosphonates and iron taken with too little water or before lying down cause focal chemical burns and stricture.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Malignancy: Esophageal squamous-cell carcinoma (dominant in India) or adenocarcinoma infiltrates and constricts the lumen, producing a rapidly progressive malignant stricture.</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Rare/mechanical causes: Schatzki ring and webs (including iron-deficiency Plummer-Vinson syndrome), scleroderma, infective esophagitis (Candida, HSV, CMV, TB), Crohn disease and prolonged nasogastric intubation.</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(40-60 years)</w:t>
            </w:r>
          </w:p>
        </w:tc>
        <w:tc>
          <w:tcPr>
            <w:tcW w:type="dxa" w:w="4276"/>
            <w:vAlign w:val="top"/>
          </w:tcPr>
          <w:p>
            <w:pPr>
              <w:spacing w:after="60" w:line="259" w:lineRule="auto"/>
            </w:pPr>
            <w:r>
              <w:rPr>
                <w:rFonts w:ascii="Calibri" w:hAnsi="Calibri"/>
                <w:b w:val="0"/>
                <w:i w:val="0"/>
                <w:color w:val="212121"/>
                <w:sz w:val="19"/>
              </w:rPr>
              <w:t>Middle-aged adults accumulate years of acid reflux, so peptic strictures - the commonest benign type - cluster in this group as chronic GERD scars the distal esophagus.</w:t>
            </w:r>
          </w:p>
          <w:p>
            <w:pPr>
              <w:spacing w:after="40" w:before="60" w:line="259" w:lineRule="auto"/>
            </w:pPr>
            <w:r>
              <w:rPr>
                <w:rFonts w:ascii="Calibri" w:hAnsi="Calibri"/>
                <w:b w:val="0"/>
                <w:i w:val="0"/>
                <w:color w:val="212121"/>
                <w:sz w:val="19"/>
              </w:rPr>
              <w:t>Peptic strictures account for about 70-80% of adult benign esophageal strictures.</w:t>
            </w:r>
          </w:p>
          <w:p>
            <w:pPr>
              <w:spacing w:after="40" w:line="252" w:lineRule="auto"/>
            </w:pPr>
            <w:hyperlink r:id="rId9">
              <w:r>
                <w:rPr>
                  <w:rFonts w:ascii="Calibri" w:hAnsi="Calibri" w:cs="Calibri"/>
                  <w:sz w:val="18"/>
                  <w:color w:val="1155CC"/>
                  <w:u w:val="single"/>
                </w:rPr>
                <w:t xml:space="preserve">ncbi.nlm.nih.gov — Esophageal Stricture (StatPearls)</w:t>
              </w:r>
            </w:hyperlink>
          </w:p>
          <w:p>
            <w:pPr>
              <w:spacing w:before="60" w:after="40"/>
            </w:pPr>
            <w:r>
              <w:rPr>
                <w:rFonts w:ascii="Calibri" w:hAnsi="Calibri"/>
                <w:b w:val="0"/>
                <w:i w:val="0"/>
                <w:color w:val="5A5A5A"/>
                <w:sz w:val="18"/>
              </w:rPr>
              <w:t>#peptic  #GERD  #dysphagia  #fibrosis  #acidreflux</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(&gt; 60 years)</w:t>
            </w:r>
          </w:p>
        </w:tc>
        <w:tc>
          <w:tcPr>
            <w:tcW w:type="dxa" w:w="4276"/>
            <w:vAlign w:val="top"/>
          </w:tcPr>
          <w:p>
            <w:pPr>
              <w:spacing w:after="60" w:line="259" w:lineRule="auto"/>
            </w:pPr>
            <w:r>
              <w:rPr>
                <w:rFonts w:ascii="Calibri" w:hAnsi="Calibri"/>
                <w:b w:val="0"/>
                <w:i w:val="0"/>
                <w:color w:val="212121"/>
                <w:sz w:val="19"/>
              </w:rPr>
              <w:t>With age, cumulative reflux, polypharmacy (pill esophagitis), reduced saliva and the rising incidence of esophageal cancer combine, so strictures become more frequent and more often malignant.</w:t>
            </w:r>
          </w:p>
          <w:p>
            <w:pPr>
              <w:spacing w:after="40" w:before="60" w:line="259" w:lineRule="auto"/>
            </w:pPr>
            <w:r>
              <w:rPr>
                <w:rFonts w:ascii="Calibri" w:hAnsi="Calibri"/>
                <w:b w:val="0"/>
                <w:i w:val="0"/>
                <w:color w:val="212121"/>
                <w:sz w:val="19"/>
              </w:rPr>
              <w:t>Esophageal-stricture incidence (~1.1 per 10,000 person-years) increases with age, and esophageal cancer is the 5th commonest cancer in Indian men and 6th in women.</w:t>
            </w:r>
          </w:p>
          <w:p>
            <w:pPr>
              <w:spacing w:after="40" w:line="252" w:lineRule="auto"/>
            </w:pPr>
            <w:hyperlink r:id="rId10">
              <w:r>
                <w:rPr>
                  <w:rFonts w:ascii="Calibri" w:hAnsi="Calibri" w:cs="Calibri"/>
                  <w:sz w:val="18"/>
                  <w:color w:val="1155CC"/>
                  <w:u w:val="single"/>
                </w:rPr>
                <w:t xml:space="preserve">ijmpo.org — Esophagus SCC in India</w:t>
              </w:r>
            </w:hyperlink>
          </w:p>
          <w:p>
            <w:pPr>
              <w:spacing w:before="60" w:after="40"/>
            </w:pPr>
            <w:r>
              <w:rPr>
                <w:rFonts w:ascii="Calibri" w:hAnsi="Calibri"/>
                <w:b w:val="0"/>
                <w:i w:val="0"/>
                <w:color w:val="5A5A5A"/>
                <w:sz w:val="18"/>
              </w:rPr>
              <w:t>#elderly  #malignant  #polypharmacy  #carcinoma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Men have higher rates of erosive reflux and far higher rates of esophageal squamous-cell carcinoma (driven by tobacco and alcohol), so both peptic and malignant strictures predominate in males.</w:t>
            </w:r>
          </w:p>
          <w:p>
            <w:pPr>
              <w:spacing w:after="40" w:before="60" w:line="259" w:lineRule="auto"/>
            </w:pPr>
            <w:r>
              <w:rPr>
                <w:rFonts w:ascii="Calibri" w:hAnsi="Calibri"/>
                <w:b w:val="0"/>
                <w:i w:val="0"/>
                <w:color w:val="212121"/>
                <w:sz w:val="19"/>
              </w:rPr>
              <w:t>The male-to-female ratio for esophageal cancer in India is about 2.4:1.</w:t>
            </w:r>
          </w:p>
          <w:p>
            <w:pPr>
              <w:spacing w:after="40" w:line="252" w:lineRule="auto"/>
            </w:pPr>
            <w:hyperlink r:id="rId10">
              <w:r>
                <w:rPr>
                  <w:rFonts w:ascii="Calibri" w:hAnsi="Calibri" w:cs="Calibri"/>
                  <w:sz w:val="18"/>
                  <w:color w:val="1155CC"/>
                  <w:u w:val="single"/>
                </w:rPr>
                <w:t xml:space="preserve">ijmpo.org — Esophagus SCC in India</w:t>
              </w:r>
            </w:hyperlink>
          </w:p>
          <w:p>
            <w:pPr>
              <w:spacing w:before="60" w:after="40"/>
            </w:pPr>
            <w:r>
              <w:rPr>
                <w:rFonts w:ascii="Calibri" w:hAnsi="Calibri"/>
                <w:b w:val="0"/>
                <w:i w:val="0"/>
                <w:color w:val="5A5A5A"/>
                <w:sz w:val="18"/>
              </w:rPr>
              <w:t>#male  #tobacco  #alcohol  #SCC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Lower-income / limited-access populations</w:t>
            </w:r>
          </w:p>
        </w:tc>
        <w:tc>
          <w:tcPr>
            <w:tcW w:type="dxa" w:w="4276"/>
            <w:vAlign w:val="top"/>
          </w:tcPr>
          <w:p>
            <w:pPr>
              <w:spacing w:after="60" w:line="259" w:lineRule="auto"/>
            </w:pPr>
            <w:r>
              <w:rPr>
                <w:rFonts w:ascii="Calibri" w:hAnsi="Calibri"/>
                <w:b w:val="0"/>
                <w:i w:val="0"/>
                <w:color w:val="212121"/>
                <w:sz w:val="19"/>
              </w:rPr>
              <w:t>Poverty is linked to unsafe home storage of caustic cleaners (corrosive injury), delayed GERD treatment, tobacco/alcohol use and late cancer presentation - all of which increase stricture risk and severity.</w:t>
            </w:r>
          </w:p>
          <w:p>
            <w:pPr>
              <w:spacing w:after="40" w:before="60" w:line="259" w:lineRule="auto"/>
            </w:pPr>
            <w:r>
              <w:rPr>
                <w:rFonts w:ascii="Calibri" w:hAnsi="Calibri"/>
                <w:b w:val="0"/>
                <w:i w:val="0"/>
                <w:color w:val="212121"/>
                <w:sz w:val="19"/>
              </w:rPr>
              <w:t>70-80% of esophageal cancers in India are diagnosed at an inoperable stage, reflecting delayed access to care.</w:t>
            </w:r>
          </w:p>
          <w:p>
            <w:pPr>
              <w:spacing w:after="40" w:line="252" w:lineRule="auto"/>
            </w:pPr>
            <w:hyperlink r:id="rId10">
              <w:r>
                <w:rPr>
                  <w:rFonts w:ascii="Calibri" w:hAnsi="Calibri" w:cs="Calibri"/>
                  <w:sz w:val="18"/>
                  <w:color w:val="1155CC"/>
                  <w:u w:val="single"/>
                </w:rPr>
                <w:t xml:space="preserve">ijmpo.org — Esophagus SCC in India</w:t>
              </w:r>
            </w:hyperlink>
          </w:p>
          <w:p>
            <w:pPr>
              <w:spacing w:before="60" w:after="40"/>
            </w:pPr>
            <w:r>
              <w:rPr>
                <w:rFonts w:ascii="Calibri" w:hAnsi="Calibri"/>
                <w:b w:val="0"/>
                <w:i w:val="0"/>
                <w:color w:val="5A5A5A"/>
                <w:sz w:val="18"/>
              </w:rPr>
              <w:t>#socioeconomic  #access  #latediagnosis  #corrosive</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Ethnicity</w:t>
            </w:r>
          </w:p>
        </w:tc>
        <w:tc>
          <w:tcPr>
            <w:tcW w:type="dxa" w:w="2160"/>
            <w:vAlign w:val="top"/>
          </w:tcPr>
          <w:p>
            <w:pPr>
              <w:spacing w:after="40" w:before="0" w:line="259" w:lineRule="auto"/>
            </w:pPr>
            <w:r>
              <w:rPr>
                <w:rFonts w:ascii="Calibri" w:hAnsi="Calibri"/>
                <w:b w:val="0"/>
                <w:i w:val="0"/>
                <w:color w:val="212121"/>
                <w:sz w:val="19"/>
              </w:rPr>
              <w:t>Kashmir Valley &amp; North-East India</w:t>
            </w:r>
          </w:p>
        </w:tc>
        <w:tc>
          <w:tcPr>
            <w:tcW w:type="dxa" w:w="4276"/>
            <w:vAlign w:val="top"/>
          </w:tcPr>
          <w:p>
            <w:pPr>
              <w:spacing w:after="60" w:line="259" w:lineRule="auto"/>
            </w:pPr>
            <w:r>
              <w:rPr>
                <w:rFonts w:ascii="Calibri" w:hAnsi="Calibri"/>
                <w:b w:val="0"/>
                <w:i w:val="0"/>
                <w:color w:val="212121"/>
                <w:sz w:val="19"/>
              </w:rPr>
              <w:t>The Kashmir valley and North-Eastern states form an esophageal-cancer belt (hot salt tea, sun-dried/smoked foods, tobacco, areca), so malignant strictures are over-represented in these populations.</w:t>
            </w:r>
          </w:p>
          <w:p>
            <w:pPr>
              <w:spacing w:after="40" w:before="60" w:line="259" w:lineRule="auto"/>
            </w:pPr>
            <w:r>
              <w:rPr>
                <w:rFonts w:ascii="Calibri" w:hAnsi="Calibri"/>
                <w:b w:val="0"/>
                <w:i w:val="0"/>
                <w:color w:val="212121"/>
                <w:sz w:val="19"/>
              </w:rPr>
              <w:t>Mizoram, Kamrup (urban), Cachar, Sikkim and Tripura record India's highest esophageal-cancer incidence.</w:t>
            </w:r>
          </w:p>
          <w:p>
            <w:pPr>
              <w:spacing w:after="40" w:line="252" w:lineRule="auto"/>
            </w:pPr>
            <w:hyperlink r:id="rId10">
              <w:r>
                <w:rPr>
                  <w:rFonts w:ascii="Calibri" w:hAnsi="Calibri" w:cs="Calibri"/>
                  <w:sz w:val="18"/>
                  <w:color w:val="1155CC"/>
                  <w:u w:val="single"/>
                </w:rPr>
                <w:t xml:space="preserve">ijmpo.org — Esophagus SCC in India</w:t>
              </w:r>
            </w:hyperlink>
          </w:p>
          <w:p>
            <w:pPr>
              <w:spacing w:before="60" w:after="40"/>
            </w:pPr>
            <w:r>
              <w:rPr>
                <w:rFonts w:ascii="Calibri" w:hAnsi="Calibri"/>
                <w:b w:val="0"/>
                <w:i w:val="0"/>
                <w:color w:val="5A5A5A"/>
                <w:sz w:val="18"/>
              </w:rPr>
              <w:t>#Kashmir  #northeast  #cancerbelt  #hotbeverage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Setting</w:t>
            </w:r>
          </w:p>
        </w:tc>
        <w:tc>
          <w:tcPr>
            <w:tcW w:type="dxa" w:w="2160"/>
            <w:vAlign w:val="top"/>
          </w:tcPr>
          <w:p>
            <w:pPr>
              <w:spacing w:after="40" w:before="0" w:line="259" w:lineRule="auto"/>
            </w:pPr>
            <w:r>
              <w:rPr>
                <w:rFonts w:ascii="Calibri" w:hAnsi="Calibri"/>
                <w:b w:val="0"/>
                <w:i w:val="0"/>
                <w:color w:val="212121"/>
                <w:sz w:val="19"/>
              </w:rPr>
              <w:t>Rural / developing-country households</w:t>
            </w:r>
          </w:p>
        </w:tc>
        <w:tc>
          <w:tcPr>
            <w:tcW w:type="dxa" w:w="4276"/>
            <w:vAlign w:val="top"/>
          </w:tcPr>
          <w:p>
            <w:pPr>
              <w:spacing w:after="60" w:line="259" w:lineRule="auto"/>
            </w:pPr>
            <w:r>
              <w:rPr>
                <w:rFonts w:ascii="Calibri" w:hAnsi="Calibri"/>
                <w:b w:val="0"/>
                <w:i w:val="0"/>
                <w:color w:val="212121"/>
                <w:sz w:val="19"/>
              </w:rPr>
              <w:t>Where strong acids and alkalis are decanted into unlabelled bottles and stored within reach, accidental and suicidal caustic ingestion is common, making corrosive stricture a leading benign cause in India.</w:t>
            </w:r>
          </w:p>
          <w:p>
            <w:pPr>
              <w:spacing w:after="40" w:before="60" w:line="259" w:lineRule="auto"/>
            </w:pPr>
            <w:r>
              <w:rPr>
                <w:rFonts w:ascii="Calibri" w:hAnsi="Calibri"/>
                <w:b w:val="0"/>
                <w:i w:val="0"/>
                <w:color w:val="212121"/>
                <w:sz w:val="19"/>
              </w:rPr>
              <w:t>About 26% of hospitalised corrosive-ingestion survivors develop an esophageal stricture.</w:t>
            </w:r>
          </w:p>
          <w:p>
            <w:pPr>
              <w:spacing w:after="40" w:line="252" w:lineRule="auto"/>
            </w:pPr>
            <w:hyperlink r:id="rId11">
              <w:r>
                <w:rPr>
                  <w:rFonts w:ascii="Calibri" w:hAnsi="Calibri" w:cs="Calibri"/>
                  <w:sz w:val="18"/>
                  <w:color w:val="1155CC"/>
                  <w:u w:val="single"/>
                </w:rPr>
                <w:t xml:space="preserve">Indian J Gastroenterol — corrosive ingestion outcome</w:t>
              </w:r>
            </w:hyperlink>
          </w:p>
          <w:p>
            <w:pPr>
              <w:spacing w:before="60" w:after="40"/>
            </w:pPr>
            <w:r>
              <w:rPr>
                <w:rFonts w:ascii="Calibri" w:hAnsi="Calibri"/>
                <w:b w:val="0"/>
                <w:i w:val="0"/>
                <w:color w:val="5A5A5A"/>
                <w:sz w:val="18"/>
              </w:rPr>
              <w:t>#corrosive  #rural  #caustic  #developingcountry</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Tobacco smokers &amp; chewers</w:t>
            </w:r>
          </w:p>
        </w:tc>
        <w:tc>
          <w:tcPr>
            <w:tcW w:type="dxa" w:w="4276"/>
            <w:vAlign w:val="top"/>
          </w:tcPr>
          <w:p>
            <w:pPr>
              <w:spacing w:after="60" w:line="259" w:lineRule="auto"/>
            </w:pPr>
            <w:r>
              <w:rPr>
                <w:rFonts w:ascii="Calibri" w:hAnsi="Calibri"/>
                <w:b w:val="0"/>
                <w:i w:val="0"/>
                <w:color w:val="212121"/>
                <w:sz w:val="19"/>
              </w:rPr>
              <w:t>Tobacco relaxes the lower esophageal sphincter (worsening reflux) and is a potent esophageal carcinogen, so smokers/chewers face both peptic and malignant stricture risk.</w:t>
            </w:r>
          </w:p>
          <w:p>
            <w:pPr>
              <w:spacing w:after="40" w:before="60" w:line="259" w:lineRule="auto"/>
            </w:pPr>
            <w:r>
              <w:rPr>
                <w:rFonts w:ascii="Calibri" w:hAnsi="Calibri"/>
                <w:b w:val="0"/>
                <w:i w:val="0"/>
                <w:color w:val="212121"/>
                <w:sz w:val="19"/>
              </w:rPr>
              <w:t>Tobacco use raises esophageal squamous-cell carcinoma risk by roughly 2-7 fold.</w:t>
            </w:r>
          </w:p>
          <w:p>
            <w:pPr>
              <w:spacing w:after="40" w:line="252" w:lineRule="auto"/>
            </w:pPr>
            <w:hyperlink r:id="rId10">
              <w:r>
                <w:rPr>
                  <w:rFonts w:ascii="Calibri" w:hAnsi="Calibri" w:cs="Calibri"/>
                  <w:sz w:val="18"/>
                  <w:color w:val="1155CC"/>
                  <w:u w:val="single"/>
                </w:rPr>
                <w:t xml:space="preserve">ijmpo.org — Esophagus SCC in India</w:t>
              </w:r>
            </w:hyperlink>
          </w:p>
          <w:p>
            <w:pPr>
              <w:spacing w:before="60" w:after="40"/>
            </w:pPr>
            <w:r>
              <w:rPr>
                <w:rFonts w:ascii="Calibri" w:hAnsi="Calibri"/>
                <w:b w:val="0"/>
                <w:i w:val="0"/>
                <w:color w:val="5A5A5A"/>
                <w:sz w:val="18"/>
              </w:rPr>
              <w:t>#smoking  #tobacco  #LES  #carcinogen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Regular / heavy drinkers</w:t>
            </w:r>
          </w:p>
        </w:tc>
        <w:tc>
          <w:tcPr>
            <w:tcW w:type="dxa" w:w="4276"/>
            <w:vAlign w:val="top"/>
          </w:tcPr>
          <w:p>
            <w:pPr>
              <w:spacing w:after="60" w:line="259" w:lineRule="auto"/>
            </w:pPr>
            <w:r>
              <w:rPr>
                <w:rFonts w:ascii="Calibri" w:hAnsi="Calibri"/>
                <w:b w:val="0"/>
                <w:i w:val="0"/>
                <w:color w:val="212121"/>
                <w:sz w:val="19"/>
              </w:rPr>
              <w:t>Alcohol directly injures esophageal mucosa, promotes reflux and is an independent risk factor for squamous-cell carcinoma, compounding stricture risk.</w:t>
            </w:r>
          </w:p>
          <w:p>
            <w:pPr>
              <w:spacing w:after="40" w:before="60" w:line="259" w:lineRule="auto"/>
            </w:pPr>
            <w:r>
              <w:rPr>
                <w:rFonts w:ascii="Calibri" w:hAnsi="Calibri"/>
                <w:b w:val="0"/>
                <w:i w:val="0"/>
                <w:color w:val="212121"/>
                <w:sz w:val="19"/>
              </w:rPr>
              <w:t>Ever-drinkers show an odds ratio of about 2.21 for esophageal cancer in Indian studies.</w:t>
            </w:r>
          </w:p>
          <w:p>
            <w:pPr>
              <w:spacing w:after="40" w:line="252" w:lineRule="auto"/>
            </w:pPr>
            <w:hyperlink r:id="rId10">
              <w:r>
                <w:rPr>
                  <w:rFonts w:ascii="Calibri" w:hAnsi="Calibri" w:cs="Calibri"/>
                  <w:sz w:val="18"/>
                  <w:color w:val="1155CC"/>
                  <w:u w:val="single"/>
                </w:rPr>
                <w:t xml:space="preserve">ijmpo.org — Esophagus SCC in India</w:t>
              </w:r>
            </w:hyperlink>
          </w:p>
          <w:p>
            <w:pPr>
              <w:spacing w:before="60" w:after="40"/>
            </w:pPr>
            <w:r>
              <w:rPr>
                <w:rFonts w:ascii="Calibri" w:hAnsi="Calibri"/>
                <w:b w:val="0"/>
                <w:i w:val="0"/>
                <w:color w:val="5A5A5A"/>
                <w:sz w:val="18"/>
              </w:rPr>
              <w:t>#alcohol  #mucosalinjury  #SCC  #reflux</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 / Obese</w:t>
            </w:r>
          </w:p>
        </w:tc>
        <w:tc>
          <w:tcPr>
            <w:tcW w:type="dxa" w:w="2160"/>
            <w:vAlign w:val="top"/>
          </w:tcPr>
          <w:p>
            <w:pPr>
              <w:spacing w:after="40" w:before="0" w:line="259" w:lineRule="auto"/>
            </w:pPr>
            <w:r>
              <w:rPr>
                <w:rFonts w:ascii="Calibri" w:hAnsi="Calibri"/>
                <w:b w:val="0"/>
                <w:i w:val="0"/>
                <w:color w:val="212121"/>
                <w:sz w:val="19"/>
              </w:rPr>
              <w:t>Central (abdominal) obesity</w:t>
            </w:r>
          </w:p>
        </w:tc>
        <w:tc>
          <w:tcPr>
            <w:tcW w:type="dxa" w:w="4276"/>
            <w:vAlign w:val="top"/>
          </w:tcPr>
          <w:p>
            <w:pPr>
              <w:spacing w:after="60" w:line="259" w:lineRule="auto"/>
            </w:pPr>
            <w:r>
              <w:rPr>
                <w:rFonts w:ascii="Calibri" w:hAnsi="Calibri"/>
                <w:b w:val="0"/>
                <w:i w:val="0"/>
                <w:color w:val="212121"/>
                <w:sz w:val="19"/>
              </w:rPr>
              <w:t>Increased intra-abdominal pressure and hiatal hernia promote acid reflux, and chronic GERD is the pathway to peptic stricture; obesity is a recognised GERD risk factor in India.</w:t>
            </w:r>
          </w:p>
          <w:p>
            <w:pPr>
              <w:spacing w:after="40" w:before="60" w:line="259" w:lineRule="auto"/>
            </w:pPr>
            <w:r>
              <w:rPr>
                <w:rFonts w:ascii="Calibri" w:hAnsi="Calibri"/>
                <w:b w:val="0"/>
                <w:i w:val="0"/>
                <w:color w:val="212121"/>
                <w:sz w:val="19"/>
              </w:rPr>
              <w:t>GERD - the main precursor of peptic stricture - has a pooled prevalence of about 15.6% in India, with BMI a significant risk factor.</w:t>
            </w:r>
          </w:p>
          <w:p>
            <w:pPr>
              <w:spacing w:after="40" w:line="252" w:lineRule="auto"/>
            </w:pPr>
            <w:hyperlink r:id="rId12">
              <w:r>
                <w:rPr>
                  <w:rFonts w:ascii="Calibri" w:hAnsi="Calibri" w:cs="Calibri"/>
                  <w:sz w:val="18"/>
                  <w:color w:val="1155CC"/>
                  <w:u w:val="single"/>
                </w:rPr>
                <w:t xml:space="preserve">Indian J Gastroenterol — GERD prevalence meta-analysis</w:t>
              </w:r>
            </w:hyperlink>
          </w:p>
          <w:p>
            <w:pPr>
              <w:spacing w:before="60" w:after="40"/>
            </w:pPr>
            <w:r>
              <w:rPr>
                <w:rFonts w:ascii="Calibri" w:hAnsi="Calibri"/>
                <w:b w:val="0"/>
                <w:i w:val="0"/>
                <w:color w:val="5A5A5A"/>
                <w:sz w:val="18"/>
              </w:rPr>
              <w:t>#obesity  #GERD  #hiatalhernia  #refluxstricture</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Hot beverages / dietary preference</w:t>
            </w:r>
          </w:p>
        </w:tc>
        <w:tc>
          <w:tcPr>
            <w:tcW w:type="dxa" w:w="2160"/>
            <w:vAlign w:val="top"/>
          </w:tcPr>
          <w:p>
            <w:pPr>
              <w:spacing w:after="40" w:before="0" w:line="259" w:lineRule="auto"/>
            </w:pPr>
            <w:r>
              <w:rPr>
                <w:rFonts w:ascii="Calibri" w:hAnsi="Calibri"/>
                <w:b w:val="0"/>
                <w:i w:val="0"/>
                <w:color w:val="212121"/>
                <w:sz w:val="19"/>
              </w:rPr>
              <w:t>Very hot tea/beverage drinkers</w:t>
            </w:r>
          </w:p>
        </w:tc>
        <w:tc>
          <w:tcPr>
            <w:tcW w:type="dxa" w:w="4276"/>
            <w:vAlign w:val="top"/>
          </w:tcPr>
          <w:p>
            <w:pPr>
              <w:spacing w:after="60" w:line="259" w:lineRule="auto"/>
            </w:pPr>
            <w:r>
              <w:rPr>
                <w:rFonts w:ascii="Calibri" w:hAnsi="Calibri"/>
                <w:b w:val="0"/>
                <w:i w:val="0"/>
                <w:color w:val="212121"/>
                <w:sz w:val="19"/>
              </w:rPr>
              <w:t>Repeated thermal injury from very hot beverages damages the esophageal mucosa and is an established risk factor for squamous-cell carcinoma and consequent malignant stricture.</w:t>
            </w:r>
          </w:p>
          <w:p>
            <w:pPr>
              <w:spacing w:after="40" w:before="60" w:line="259" w:lineRule="auto"/>
            </w:pPr>
            <w:r>
              <w:rPr>
                <w:rFonts w:ascii="Calibri" w:hAnsi="Calibri"/>
                <w:b w:val="0"/>
                <w:i w:val="0"/>
                <w:color w:val="212121"/>
                <w:sz w:val="19"/>
              </w:rPr>
              <w:t>Very hot beverage consumption is a recognised risk factor for esophageal cancer in high-incidence Indian regions.</w:t>
            </w:r>
          </w:p>
          <w:p>
            <w:pPr>
              <w:spacing w:after="40" w:line="252" w:lineRule="auto"/>
            </w:pPr>
            <w:hyperlink r:id="rId10">
              <w:r>
                <w:rPr>
                  <w:rFonts w:ascii="Calibri" w:hAnsi="Calibri" w:cs="Calibri"/>
                  <w:sz w:val="18"/>
                  <w:color w:val="1155CC"/>
                  <w:u w:val="single"/>
                </w:rPr>
                <w:t xml:space="preserve">ijmpo.org — Esophagus SCC in India</w:t>
              </w:r>
            </w:hyperlink>
          </w:p>
          <w:p>
            <w:pPr>
              <w:spacing w:before="60" w:after="40"/>
            </w:pPr>
            <w:r>
              <w:rPr>
                <w:rFonts w:ascii="Calibri" w:hAnsi="Calibri"/>
                <w:b w:val="0"/>
                <w:i w:val="0"/>
                <w:color w:val="5A5A5A"/>
                <w:sz w:val="18"/>
              </w:rPr>
              <w:t>#hottea  #thermalinjury  #SCC  #mucosa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High-fat, spicy, non-vegetarian, late-night eaters</w:t>
            </w:r>
          </w:p>
        </w:tc>
        <w:tc>
          <w:tcPr>
            <w:tcW w:type="dxa" w:w="4276"/>
            <w:vAlign w:val="top"/>
          </w:tcPr>
          <w:p>
            <w:pPr>
              <w:spacing w:after="60" w:line="259" w:lineRule="auto"/>
            </w:pPr>
            <w:r>
              <w:rPr>
                <w:rFonts w:ascii="Calibri" w:hAnsi="Calibri"/>
                <w:b w:val="0"/>
                <w:i w:val="0"/>
                <w:color w:val="212121"/>
                <w:sz w:val="19"/>
              </w:rPr>
              <w:t>Fatty/spicy meals, large late dinners and non-vegetarian diets delay gastric emptying and lower sphincter tone, driving the chronic reflux that scars into peptic stricture.</w:t>
            </w:r>
          </w:p>
          <w:p>
            <w:pPr>
              <w:spacing w:after="40" w:before="60" w:line="259" w:lineRule="auto"/>
            </w:pPr>
            <w:r>
              <w:rPr>
                <w:rFonts w:ascii="Calibri" w:hAnsi="Calibri"/>
                <w:b w:val="0"/>
                <w:i w:val="0"/>
                <w:color w:val="212121"/>
                <w:sz w:val="19"/>
              </w:rPr>
              <w:t>Non-vegetarian diet and tea/coffee intake were significant GERD risk factors in the Indian meta-analysis (pooled GERD 15.6%).</w:t>
            </w:r>
          </w:p>
          <w:p>
            <w:pPr>
              <w:spacing w:after="40" w:line="252" w:lineRule="auto"/>
            </w:pPr>
            <w:hyperlink r:id="rId12">
              <w:r>
                <w:rPr>
                  <w:rFonts w:ascii="Calibri" w:hAnsi="Calibri" w:cs="Calibri"/>
                  <w:sz w:val="18"/>
                  <w:color w:val="1155CC"/>
                  <w:u w:val="single"/>
                </w:rPr>
                <w:t xml:space="preserve">Indian J Gastroenterol — GERD prevalence meta-analysis</w:t>
              </w:r>
            </w:hyperlink>
          </w:p>
          <w:p>
            <w:pPr>
              <w:spacing w:before="60" w:after="40"/>
            </w:pPr>
            <w:r>
              <w:rPr>
                <w:rFonts w:ascii="Calibri" w:hAnsi="Calibri"/>
                <w:b w:val="0"/>
                <w:i w:val="0"/>
                <w:color w:val="5A5A5A"/>
                <w:sz w:val="18"/>
              </w:rPr>
              <w:t>#diet  #spicy  #latemeal  #refluxdiet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Iron-deficiency diet</w:t>
            </w:r>
          </w:p>
        </w:tc>
        <w:tc>
          <w:tcPr>
            <w:tcW w:type="dxa" w:w="2160"/>
            <w:vAlign w:val="top"/>
          </w:tcPr>
          <w:p>
            <w:pPr>
              <w:spacing w:after="40" w:before="0" w:line="259" w:lineRule="auto"/>
            </w:pPr>
            <w:r>
              <w:rPr>
                <w:rFonts w:ascii="Calibri" w:hAnsi="Calibri"/>
                <w:b w:val="0"/>
                <w:i w:val="0"/>
                <w:color w:val="212121"/>
                <w:sz w:val="19"/>
              </w:rPr>
              <w:t>Iron-deficient women (Plummer-Vinson)</w:t>
            </w:r>
          </w:p>
        </w:tc>
        <w:tc>
          <w:tcPr>
            <w:tcW w:type="dxa" w:w="4276"/>
            <w:vAlign w:val="top"/>
          </w:tcPr>
          <w:p>
            <w:pPr>
              <w:spacing w:after="60" w:line="259" w:lineRule="auto"/>
            </w:pPr>
            <w:r>
              <w:rPr>
                <w:rFonts w:ascii="Calibri" w:hAnsi="Calibri"/>
                <w:b w:val="0"/>
                <w:i w:val="0"/>
                <w:color w:val="212121"/>
                <w:sz w:val="19"/>
              </w:rPr>
              <w:t>Chronic iron-deficiency anaemia can produce upper-esophageal webs (Plummer-Vinson syndrome), a mechanical narrowing that causes dysphagia and a small premalignant risk.</w:t>
            </w:r>
          </w:p>
          <w:p>
            <w:pPr>
              <w:spacing w:after="40" w:before="60" w:line="259" w:lineRule="auto"/>
            </w:pPr>
            <w:r>
              <w:rPr>
                <w:rFonts w:ascii="Calibri" w:hAnsi="Calibri"/>
                <w:b w:val="0"/>
                <w:i w:val="0"/>
                <w:color w:val="212121"/>
                <w:sz w:val="19"/>
              </w:rPr>
              <w:t>Plummer-Vinson syndrome classically affects middle-aged, iron-deficient women with the triad of dysphagia, iron-deficiency anaemia and esophageal webs.</w:t>
            </w:r>
          </w:p>
          <w:p>
            <w:pPr>
              <w:spacing w:after="40" w:line="252" w:lineRule="auto"/>
            </w:pPr>
            <w:hyperlink r:id="rId13">
              <w:r>
                <w:rPr>
                  <w:rFonts w:ascii="Calibri" w:hAnsi="Calibri" w:cs="Calibri"/>
                  <w:sz w:val="18"/>
                  <w:color w:val="1155CC"/>
                  <w:u w:val="single"/>
                </w:rPr>
                <w:t xml:space="preserve">ncbi.nlm.nih.gov — Plummer-Vinson Syndrome (StatPearls)</w:t>
              </w:r>
            </w:hyperlink>
          </w:p>
          <w:p>
            <w:pPr>
              <w:spacing w:before="60" w:after="40"/>
            </w:pPr>
            <w:r>
              <w:rPr>
                <w:rFonts w:ascii="Calibri" w:hAnsi="Calibri"/>
                <w:b w:val="0"/>
                <w:i w:val="0"/>
                <w:color w:val="5A5A5A"/>
                <w:sz w:val="18"/>
              </w:rPr>
              <w:t>#irondeficiency  #PlummerVinson  #web  #anaemia</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Atopy / Family history</w:t>
            </w:r>
          </w:p>
        </w:tc>
        <w:tc>
          <w:tcPr>
            <w:tcW w:type="dxa" w:w="2160"/>
            <w:vAlign w:val="top"/>
          </w:tcPr>
          <w:p>
            <w:pPr>
              <w:spacing w:after="40" w:before="0" w:line="259" w:lineRule="auto"/>
            </w:pPr>
            <w:r>
              <w:rPr>
                <w:rFonts w:ascii="Calibri" w:hAnsi="Calibri"/>
                <w:b w:val="0"/>
                <w:i w:val="0"/>
                <w:color w:val="212121"/>
                <w:sz w:val="19"/>
              </w:rPr>
              <w:t>Atopic individuals with eosinophilic esophagitis</w:t>
            </w:r>
          </w:p>
        </w:tc>
        <w:tc>
          <w:tcPr>
            <w:tcW w:type="dxa" w:w="4276"/>
            <w:vAlign w:val="top"/>
          </w:tcPr>
          <w:p>
            <w:pPr>
              <w:spacing w:after="60" w:line="259" w:lineRule="auto"/>
            </w:pPr>
            <w:r>
              <w:rPr>
                <w:rFonts w:ascii="Calibri" w:hAnsi="Calibri"/>
                <w:b w:val="0"/>
                <w:i w:val="0"/>
                <w:color w:val="212121"/>
                <w:sz w:val="19"/>
              </w:rPr>
              <w:t>A personal or family history of allergy (asthma, eczema, food allergy) underlies eosinophilic esophagitis, whose chronic inflammation remodels the esophagus into fibrostenotic rings and strictures.</w:t>
            </w:r>
          </w:p>
          <w:p>
            <w:pPr>
              <w:spacing w:after="40" w:before="60" w:line="259" w:lineRule="auto"/>
            </w:pPr>
            <w:r>
              <w:rPr>
                <w:rFonts w:ascii="Calibri" w:hAnsi="Calibri"/>
                <w:b w:val="0"/>
                <w:i w:val="0"/>
                <w:color w:val="212121"/>
                <w:sz w:val="19"/>
              </w:rPr>
              <w:t>EoE was found in 3.2% of North-Indian patients with reflux symptoms, with allergy history and PPI non-response as key predictors.</w:t>
            </w:r>
          </w:p>
          <w:p>
            <w:pPr>
              <w:spacing w:after="40" w:line="252" w:lineRule="auto"/>
            </w:pPr>
            <w:hyperlink r:id="rId14">
              <w:r>
                <w:rPr>
                  <w:rFonts w:ascii="Calibri" w:hAnsi="Calibri" w:cs="Calibri"/>
                  <w:sz w:val="18"/>
                  <w:color w:val="1155CC"/>
                  <w:u w:val="single"/>
                </w:rPr>
                <w:t xml:space="preserve">Indian J Gastroenterol — EoE in GERD symptoms (AIIMS)</w:t>
              </w:r>
            </w:hyperlink>
          </w:p>
          <w:p>
            <w:pPr>
              <w:spacing w:before="60" w:after="40"/>
            </w:pPr>
            <w:r>
              <w:rPr>
                <w:rFonts w:ascii="Calibri" w:hAnsi="Calibri"/>
                <w:b w:val="0"/>
                <w:i w:val="0"/>
                <w:color w:val="5A5A5A"/>
                <w:sz w:val="18"/>
              </w:rPr>
              <w:t>#EoE  #atopy  #allergy  #fibrostenosis</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GERD</w:t>
            </w:r>
          </w:p>
        </w:tc>
        <w:tc>
          <w:tcPr>
            <w:tcW w:type="dxa" w:w="2160"/>
            <w:vAlign w:val="top"/>
          </w:tcPr>
          <w:p>
            <w:pPr>
              <w:spacing w:after="40" w:before="0" w:line="259" w:lineRule="auto"/>
            </w:pPr>
            <w:r>
              <w:rPr>
                <w:rFonts w:ascii="Calibri" w:hAnsi="Calibri"/>
                <w:b w:val="0"/>
                <w:i w:val="0"/>
                <w:color w:val="212121"/>
                <w:sz w:val="19"/>
              </w:rPr>
              <w:t>Patients with chronic reflux disease</w:t>
            </w:r>
          </w:p>
        </w:tc>
        <w:tc>
          <w:tcPr>
            <w:tcW w:type="dxa" w:w="4276"/>
            <w:vAlign w:val="top"/>
          </w:tcPr>
          <w:p>
            <w:pPr>
              <w:spacing w:after="60" w:line="259" w:lineRule="auto"/>
            </w:pPr>
            <w:r>
              <w:rPr>
                <w:rFonts w:ascii="Calibri" w:hAnsi="Calibri"/>
                <w:b w:val="0"/>
                <w:i w:val="0"/>
                <w:color w:val="212121"/>
                <w:sz w:val="19"/>
              </w:rPr>
              <w:t>Longstanding acid-peptic injury is the direct pathway to peptic stricture; the risk is amplified by co-existing hiatal hernia.</w:t>
            </w:r>
          </w:p>
          <w:p>
            <w:pPr>
              <w:spacing w:after="40" w:before="60" w:line="259" w:lineRule="auto"/>
            </w:pPr>
            <w:r>
              <w:rPr>
                <w:rFonts w:ascii="Calibri" w:hAnsi="Calibri"/>
                <w:b w:val="0"/>
                <w:i w:val="0"/>
                <w:color w:val="212121"/>
                <w:sz w:val="19"/>
              </w:rPr>
              <w:t>Hiatal hernia is present in up to 85% of GERD patients who develop strictures.</w:t>
            </w:r>
          </w:p>
          <w:p>
            <w:pPr>
              <w:spacing w:after="40" w:line="252" w:lineRule="auto"/>
            </w:pPr>
            <w:hyperlink r:id="rId9">
              <w:r>
                <w:rPr>
                  <w:rFonts w:ascii="Calibri" w:hAnsi="Calibri" w:cs="Calibri"/>
                  <w:sz w:val="18"/>
                  <w:color w:val="1155CC"/>
                  <w:u w:val="single"/>
                </w:rPr>
                <w:t xml:space="preserve">ncbi.nlm.nih.gov — Esophageal Stricture (StatPearls)</w:t>
              </w:r>
            </w:hyperlink>
          </w:p>
          <w:p>
            <w:pPr>
              <w:spacing w:before="60" w:after="40"/>
            </w:pPr>
            <w:r>
              <w:rPr>
                <w:rFonts w:ascii="Calibri" w:hAnsi="Calibri"/>
                <w:b w:val="0"/>
                <w:i w:val="0"/>
                <w:color w:val="5A5A5A"/>
                <w:sz w:val="18"/>
              </w:rPr>
              <w:t>#GERD  #hiatalhernia  #peptic  #acidinjury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Corrosive injury</w:t>
            </w:r>
          </w:p>
        </w:tc>
        <w:tc>
          <w:tcPr>
            <w:tcW w:type="dxa" w:w="2160"/>
            <w:vAlign w:val="top"/>
          </w:tcPr>
          <w:p>
            <w:pPr>
              <w:spacing w:after="40" w:before="0" w:line="259" w:lineRule="auto"/>
            </w:pPr>
            <w:r>
              <w:rPr>
                <w:rFonts w:ascii="Calibri" w:hAnsi="Calibri"/>
                <w:b w:val="0"/>
                <w:i w:val="0"/>
                <w:color w:val="212121"/>
                <w:sz w:val="19"/>
              </w:rPr>
              <w:t>Caustic-ingestion survivors</w:t>
            </w:r>
          </w:p>
        </w:tc>
        <w:tc>
          <w:tcPr>
            <w:tcW w:type="dxa" w:w="4276"/>
            <w:vAlign w:val="top"/>
          </w:tcPr>
          <w:p>
            <w:pPr>
              <w:spacing w:after="60" w:line="259" w:lineRule="auto"/>
            </w:pPr>
            <w:r>
              <w:rPr>
                <w:rFonts w:ascii="Calibri" w:hAnsi="Calibri"/>
                <w:b w:val="0"/>
                <w:i w:val="0"/>
                <w:color w:val="212121"/>
                <w:sz w:val="19"/>
              </w:rPr>
              <w:t>Deep alkaline liquefactive or acid coagulative burns heal by dense circumferential fibrosis, producing long, complex, often refractory strictures weeks to months after ingestion.</w:t>
            </w:r>
          </w:p>
          <w:p>
            <w:pPr>
              <w:spacing w:after="40" w:before="60" w:line="259" w:lineRule="auto"/>
            </w:pPr>
            <w:r>
              <w:rPr>
                <w:rFonts w:ascii="Calibri" w:hAnsi="Calibri"/>
                <w:b w:val="0"/>
                <w:i w:val="0"/>
                <w:color w:val="212121"/>
                <w:sz w:val="19"/>
              </w:rPr>
              <w:t>Roughly 26% of corrosive-ingestion survivors develop esophageal stricture; high-grade mucosal injury markedly raises the risk (p = 0.02).</w:t>
            </w:r>
          </w:p>
          <w:p>
            <w:pPr>
              <w:spacing w:after="40" w:line="252" w:lineRule="auto"/>
            </w:pPr>
            <w:hyperlink r:id="rId11">
              <w:r>
                <w:rPr>
                  <w:rFonts w:ascii="Calibri" w:hAnsi="Calibri" w:cs="Calibri"/>
                  <w:sz w:val="18"/>
                  <w:color w:val="1155CC"/>
                  <w:u w:val="single"/>
                </w:rPr>
                <w:t xml:space="preserve">Indian J Gastroenterol — corrosive ingestion outcome</w:t>
              </w:r>
            </w:hyperlink>
          </w:p>
          <w:p>
            <w:pPr>
              <w:spacing w:before="60" w:after="40"/>
            </w:pPr>
            <w:r>
              <w:rPr>
                <w:rFonts w:ascii="Calibri" w:hAnsi="Calibri"/>
                <w:b w:val="0"/>
                <w:i w:val="0"/>
                <w:color w:val="5A5A5A"/>
                <w:sz w:val="18"/>
              </w:rPr>
              <w:t>#corrosive  #refractory  #fibrosis  #caustic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Esophageal carcinoma</w:t>
            </w:r>
          </w:p>
        </w:tc>
        <w:tc>
          <w:tcPr>
            <w:tcW w:type="dxa" w:w="2160"/>
            <w:vAlign w:val="top"/>
          </w:tcPr>
          <w:p>
            <w:pPr>
              <w:spacing w:after="40" w:before="0" w:line="259" w:lineRule="auto"/>
            </w:pPr>
            <w:r>
              <w:rPr>
                <w:rFonts w:ascii="Calibri" w:hAnsi="Calibri"/>
                <w:b w:val="0"/>
                <w:i w:val="0"/>
                <w:color w:val="212121"/>
                <w:sz w:val="19"/>
              </w:rPr>
              <w:t>Patients with esophageal cancer</w:t>
            </w:r>
          </w:p>
        </w:tc>
        <w:tc>
          <w:tcPr>
            <w:tcW w:type="dxa" w:w="4276"/>
            <w:vAlign w:val="top"/>
          </w:tcPr>
          <w:p>
            <w:pPr>
              <w:spacing w:after="60" w:line="259" w:lineRule="auto"/>
            </w:pPr>
            <w:r>
              <w:rPr>
                <w:rFonts w:ascii="Calibri" w:hAnsi="Calibri"/>
                <w:b w:val="0"/>
                <w:i w:val="0"/>
                <w:color w:val="212121"/>
                <w:sz w:val="19"/>
              </w:rPr>
              <w:t>Tumour infiltration narrows the lumen to cause a rapidly progressive malignant stricture with weight loss; corrosive strictures also carry a long-term risk of squamous-cell carcinoma decades later.</w:t>
            </w:r>
          </w:p>
          <w:p>
            <w:pPr>
              <w:spacing w:after="40" w:before="60" w:line="259" w:lineRule="auto"/>
            </w:pPr>
            <w:r>
              <w:rPr>
                <w:rFonts w:ascii="Calibri" w:hAnsi="Calibri"/>
                <w:b w:val="0"/>
                <w:i w:val="0"/>
                <w:color w:val="212121"/>
                <w:sz w:val="19"/>
              </w:rPr>
              <w:t>Squamous-cell carcinoma comprises about 90% of esophageal cancers, with poor ~16.9% five-year survival in India.</w:t>
            </w:r>
          </w:p>
          <w:p>
            <w:pPr>
              <w:spacing w:after="40" w:line="252" w:lineRule="auto"/>
            </w:pPr>
            <w:hyperlink r:id="rId10">
              <w:r>
                <w:rPr>
                  <w:rFonts w:ascii="Calibri" w:hAnsi="Calibri" w:cs="Calibri"/>
                  <w:sz w:val="18"/>
                  <w:color w:val="1155CC"/>
                  <w:u w:val="single"/>
                </w:rPr>
                <w:t xml:space="preserve">ijmpo.org — Esophagus SCC in India</w:t>
              </w:r>
            </w:hyperlink>
          </w:p>
          <w:p>
            <w:pPr>
              <w:spacing w:before="60" w:after="40"/>
            </w:pPr>
            <w:r>
              <w:rPr>
                <w:rFonts w:ascii="Calibri" w:hAnsi="Calibri"/>
                <w:b w:val="0"/>
                <w:i w:val="0"/>
                <w:color w:val="5A5A5A"/>
                <w:sz w:val="18"/>
              </w:rPr>
              <w:t>#malignant  #SCC  #weightloss  #biopsy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Post-esophagectomy / anastomosis</w:t>
            </w:r>
          </w:p>
        </w:tc>
        <w:tc>
          <w:tcPr>
            <w:tcW w:type="dxa" w:w="2160"/>
            <w:vAlign w:val="top"/>
          </w:tcPr>
          <w:p>
            <w:pPr>
              <w:spacing w:after="40" w:before="0" w:line="259" w:lineRule="auto"/>
            </w:pPr>
            <w:r>
              <w:rPr>
                <w:rFonts w:ascii="Calibri" w:hAnsi="Calibri"/>
                <w:b w:val="0"/>
                <w:i w:val="0"/>
                <w:color w:val="212121"/>
                <w:sz w:val="19"/>
              </w:rPr>
              <w:t>Patients after esophageal surgery</w:t>
            </w:r>
          </w:p>
        </w:tc>
        <w:tc>
          <w:tcPr>
            <w:tcW w:type="dxa" w:w="4276"/>
            <w:vAlign w:val="top"/>
          </w:tcPr>
          <w:p>
            <w:pPr>
              <w:spacing w:after="60" w:line="259" w:lineRule="auto"/>
            </w:pPr>
            <w:r>
              <w:rPr>
                <w:rFonts w:ascii="Calibri" w:hAnsi="Calibri"/>
                <w:b w:val="0"/>
                <w:i w:val="0"/>
                <w:color w:val="212121"/>
                <w:sz w:val="19"/>
              </w:rPr>
              <w:t>Ischaemia and tension at a surgical anastomosis provoke fibrotic narrowing, one of the commonest benign strictures in surgical practice, usually appearing within the first months.</w:t>
            </w:r>
          </w:p>
          <w:p>
            <w:pPr>
              <w:spacing w:after="40" w:before="60" w:line="259" w:lineRule="auto"/>
            </w:pPr>
            <w:r>
              <w:rPr>
                <w:rFonts w:ascii="Calibri" w:hAnsi="Calibri"/>
                <w:b w:val="0"/>
                <w:i w:val="0"/>
                <w:color w:val="212121"/>
                <w:sz w:val="19"/>
              </w:rPr>
              <w:t>Anastomotic strictures occur in about 22-50% of esophagectomy cases.</w:t>
            </w:r>
          </w:p>
          <w:p>
            <w:pPr>
              <w:spacing w:after="40" w:line="252" w:lineRule="auto"/>
            </w:pPr>
            <w:hyperlink r:id="rId9">
              <w:r>
                <w:rPr>
                  <w:rFonts w:ascii="Calibri" w:hAnsi="Calibri" w:cs="Calibri"/>
                  <w:sz w:val="18"/>
                  <w:color w:val="1155CC"/>
                  <w:u w:val="single"/>
                </w:rPr>
                <w:t xml:space="preserve">ncbi.nlm.nih.gov — Esophageal Stricture (StatPearls)</w:t>
              </w:r>
            </w:hyperlink>
          </w:p>
          <w:p>
            <w:pPr>
              <w:spacing w:before="60" w:after="40"/>
            </w:pPr>
            <w:r>
              <w:rPr>
                <w:rFonts w:ascii="Calibri" w:hAnsi="Calibri"/>
                <w:b w:val="0"/>
                <w:i w:val="0"/>
                <w:color w:val="5A5A5A"/>
                <w:sz w:val="18"/>
              </w:rPr>
              <w:t>#anastomotic  #postsurgical  #ischaemia  #dilation</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Physical inactivity and central obesity raise intra-abdominal pressure and promote hiatal hernia and GERD, the main pathway to peptic stricture; regular activity and weight loss reduce reflux burden. There is no direct effect on established fibrosis.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Diet is central: acidic/spicy/fatty meals and very hot beverages injure the mucosa and drive reflux and thermal/carcinomatous change, while ingested caustics cause the burns that scar into corrosive stricture. Food texture also determines symptom severity in an existing stricture.</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Late-night eating and a supine position promote nocturnal acid reflux, prolonging esophageal acid exposure and accelerating peptic scarring; leaving a 3-hour meal-to-sleep gap and elevating the head of the bed reduce this.</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Tobacco lowers lower-esophageal-sphincter tone (worsening reflux) and is a strong esophageal carcinogen, raising squamous-cell carcinoma risk about 2-7 fold and thus both peptic and malignant stricture risk.</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Alcohol directly injures esophageal mucosa, relaxes the sphincter and is an independent carcinogen (odds ratio ~2.21 in Indian data), compounding reflux and malignant stricture risk.</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Suicidal intent underlies a large share of corrosive ingestions - a leading cause of severe stricture in young Indian adults - and chronic dysphagia, repeated dilations and malnutrition markedly impair quality of life and mood.</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Taking tablets (NSAIDs, doxycycline, potassium, bisphosphonates, iron) with too little water and lying down afterwards causes pill lodgement and focal chemical burns that scar into short strictures; a full glass of water and staying upright prevents this.</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Caffeine and coffee relax the lower esophageal sphincter and can aggravate reflux symptoms, a modest contributor to peptic-stricture risk rather than a primary driver.</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Poor oral hygiene is an associated risk factor for esophageal squamous-cell carcinoma; good oral care and food hygiene also reduce infective esophagitis in immunocompromised patients.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Discrete events precipitate stricture or acute obstruction: caustic ingestion, pill impaction, radiotherapy, esophageal surgery and bolus food impaction on a pre-existing narrowing. Safe storage of chemicals and careful pill-taking are directly preventive.</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 supine or stooped posture (especially after meals or after swallowing tablets) prolongs esophageal acid and pill contact; upright posture and head-of-bed elevation limit reflux-driven and pill-induced injury.</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Dysphagia score (Mellow-Pinkas 0-4)</w:t>
            </w:r>
          </w:p>
        </w:tc>
        <w:tc>
          <w:tcPr>
            <w:tcW w:type="dxa" w:w="1655"/>
            <w:vAlign w:val="top"/>
          </w:tcPr>
          <w:p>
            <w:pPr>
              <w:spacing w:after="40" w:before="0" w:line="259" w:lineRule="auto"/>
            </w:pPr>
            <w:r>
              <w:rPr>
                <w:rFonts w:ascii="Calibri" w:hAnsi="Calibri"/>
                <w:b w:val="0"/>
                <w:i w:val="0"/>
                <w:color w:val="212121"/>
                <w:sz w:val="19"/>
              </w:rPr>
              <w:t>Patients with dysphagia</w:t>
            </w:r>
          </w:p>
        </w:tc>
        <w:tc>
          <w:tcPr>
            <w:tcW w:type="dxa" w:w="1512"/>
            <w:vAlign w:val="top"/>
          </w:tcPr>
          <w:p>
            <w:pPr>
              <w:spacing w:after="40" w:before="0" w:line="259" w:lineRule="auto"/>
            </w:pPr>
            <w:r>
              <w:rPr>
                <w:rFonts w:ascii="Calibri" w:hAnsi="Calibri"/>
                <w:b w:val="0"/>
                <w:i w:val="0"/>
                <w:color w:val="212121"/>
                <w:sz w:val="19"/>
              </w:rPr>
              <w:t>0 (normal diet)</w:t>
            </w:r>
          </w:p>
        </w:tc>
        <w:tc>
          <w:tcPr>
            <w:tcW w:type="dxa" w:w="1512"/>
            <w:vAlign w:val="top"/>
          </w:tcPr>
          <w:p>
            <w:pPr>
              <w:spacing w:after="40" w:before="0" w:line="259" w:lineRule="auto"/>
            </w:pPr>
            <w:r>
              <w:rPr>
                <w:rFonts w:ascii="Calibri" w:hAnsi="Calibri"/>
                <w:b w:val="0"/>
                <w:i w:val="0"/>
                <w:color w:val="212121"/>
                <w:sz w:val="19"/>
              </w:rPr>
              <w:t>&gt;= 2 (semi-solids/liquids only)</w:t>
            </w:r>
          </w:p>
        </w:tc>
        <w:tc>
          <w:tcPr>
            <w:tcW w:type="dxa" w:w="1468"/>
            <w:vAlign w:val="top"/>
          </w:tcPr>
          <w:p>
            <w:pPr>
              <w:spacing w:after="60" w:line="259" w:lineRule="auto"/>
            </w:pPr>
            <w:r>
              <w:rPr>
                <w:rFonts w:ascii="Calibri" w:hAnsi="Calibri"/>
                <w:b w:val="0"/>
                <w:i w:val="0"/>
                <w:color w:val="212121"/>
                <w:sz w:val="19"/>
              </w:rPr>
              <w:t>Score &gt;= 2 persisting despite adequate dilation defines refractory stricture</w:t>
            </w:r>
          </w:p>
          <w:p>
            <w:pPr>
              <w:spacing w:after="40" w:line="252" w:lineRule="auto"/>
            </w:pPr>
            <w:hyperlink r:id="rId9">
              <w:r>
                <w:rPr>
                  <w:rFonts w:ascii="Calibri" w:hAnsi="Calibri" w:cs="Calibri"/>
                  <w:sz w:val="18"/>
                  <w:color w:val="1155CC"/>
                  <w:u w:val="single"/>
                </w:rPr>
                <w:t xml:space="preserve">https://www.ncbi.nlm.nih.gov/books/NBK542209/</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Luminal diameter (endoscopy/barium)</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~20-30 mm (patent)</w:t>
            </w:r>
          </w:p>
        </w:tc>
        <w:tc>
          <w:tcPr>
            <w:tcW w:type="dxa" w:w="1512"/>
            <w:vAlign w:val="top"/>
          </w:tcPr>
          <w:p>
            <w:pPr>
              <w:spacing w:after="40" w:before="0" w:line="259" w:lineRule="auto"/>
            </w:pPr>
            <w:r>
              <w:rPr>
                <w:rFonts w:ascii="Calibri" w:hAnsi="Calibri"/>
                <w:b w:val="0"/>
                <w:i w:val="0"/>
                <w:color w:val="212121"/>
                <w:sz w:val="19"/>
              </w:rPr>
              <w:t>&lt;= 13 mm (solid-food dysphagia)</w:t>
            </w:r>
          </w:p>
        </w:tc>
        <w:tc>
          <w:tcPr>
            <w:tcW w:type="dxa" w:w="1468"/>
            <w:vAlign w:val="top"/>
          </w:tcPr>
          <w:p>
            <w:pPr>
              <w:spacing w:after="60" w:line="259" w:lineRule="auto"/>
            </w:pPr>
            <w:r>
              <w:rPr>
                <w:rFonts w:ascii="Calibri" w:hAnsi="Calibri"/>
                <w:b w:val="0"/>
                <w:i w:val="0"/>
                <w:color w:val="212121"/>
                <w:sz w:val="19"/>
              </w:rPr>
              <w:t>Target of therapeutic dilation is &gt;= 14-16 mm to relieve dysphagia</w:t>
            </w:r>
          </w:p>
          <w:p>
            <w:pPr>
              <w:spacing w:after="40" w:line="252" w:lineRule="auto"/>
            </w:pPr>
            <w:hyperlink r:id="rId9">
              <w:r>
                <w:rPr>
                  <w:rFonts w:ascii="Calibri" w:hAnsi="Calibri" w:cs="Calibri"/>
                  <w:sz w:val="18"/>
                  <w:color w:val="1155CC"/>
                  <w:u w:val="single"/>
                </w:rPr>
                <w:t xml:space="preserve">https://www.ncbi.nlm.nih.gov/books/NBK542209/</w:t>
              </w:r>
            </w:hyperlink>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(kg/m2)</w:t>
            </w:r>
          </w:p>
        </w:tc>
        <w:tc>
          <w:tcPr>
            <w:tcW w:type="dxa" w:w="1655"/>
            <w:vAlign w:val="top"/>
          </w:tcPr>
          <w:p>
            <w:pPr>
              <w:spacing w:after="40" w:before="0" w:line="259" w:lineRule="auto"/>
            </w:pPr>
            <w:r>
              <w:rPr>
                <w:rFonts w:ascii="Calibri" w:hAnsi="Calibri"/>
                <w:b w:val="0"/>
                <w:i w:val="0"/>
                <w:color w:val="212121"/>
                <w:sz w:val="19"/>
              </w:rPr>
              <w:t>Adults with reflux</w:t>
            </w:r>
          </w:p>
        </w:tc>
        <w:tc>
          <w:tcPr>
            <w:tcW w:type="dxa" w:w="1512"/>
            <w:vAlign w:val="top"/>
          </w:tcPr>
          <w:p>
            <w:pPr>
              <w:spacing w:after="40" w:before="0" w:line="259" w:lineRule="auto"/>
            </w:pPr>
            <w:r>
              <w:rPr>
                <w:rFonts w:ascii="Calibri" w:hAnsi="Calibri"/>
                <w:b w:val="0"/>
                <w:i w:val="0"/>
                <w:color w:val="212121"/>
                <w:sz w:val="19"/>
              </w:rPr>
              <w:t>18.5-24.9 kg/m2</w:t>
            </w:r>
          </w:p>
        </w:tc>
        <w:tc>
          <w:tcPr>
            <w:tcW w:type="dxa" w:w="1512"/>
            <w:vAlign w:val="top"/>
          </w:tcPr>
          <w:p>
            <w:pPr>
              <w:spacing w:after="40" w:before="0" w:line="259" w:lineRule="auto"/>
            </w:pPr>
            <w:r>
              <w:rPr>
                <w:rFonts w:ascii="Calibri" w:hAnsi="Calibri"/>
                <w:b w:val="0"/>
                <w:i w:val="0"/>
                <w:color w:val="212121"/>
                <w:sz w:val="19"/>
              </w:rPr>
              <w:t>&gt;= 25 (overweight); &gt;= 30 (obesity)</w:t>
            </w:r>
          </w:p>
        </w:tc>
        <w:tc>
          <w:tcPr>
            <w:tcW w:type="dxa" w:w="1468"/>
            <w:vAlign w:val="top"/>
          </w:tcPr>
          <w:p>
            <w:pPr>
              <w:spacing w:after="60" w:line="259" w:lineRule="auto"/>
            </w:pPr>
            <w:r>
              <w:rPr>
                <w:rFonts w:ascii="Calibri" w:hAnsi="Calibri"/>
                <w:b w:val="0"/>
                <w:i w:val="0"/>
                <w:color w:val="212121"/>
                <w:sz w:val="19"/>
              </w:rPr>
              <w:t>Higher BMI is a significant GERD risk factor in India, driving peptic stricture</w:t>
            </w:r>
          </w:p>
          <w:p>
            <w:pPr>
              <w:spacing w:after="40" w:line="252" w:lineRule="auto"/>
            </w:pPr>
            <w:hyperlink r:id="rId12">
              <w:r>
                <w:rPr>
                  <w:rFonts w:ascii="Calibri" w:hAnsi="Calibri" w:cs="Calibri"/>
                  <w:sz w:val="18"/>
                  <w:color w:val="1155CC"/>
                  <w:u w:val="single"/>
                </w:rPr>
                <w:t xml:space="preserve">https://link.springer.com/article/10.1007/s12664-020-01104-0</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Waist circumference</w:t>
            </w:r>
          </w:p>
        </w:tc>
        <w:tc>
          <w:tcPr>
            <w:tcW w:type="dxa" w:w="1655"/>
            <w:vAlign w:val="top"/>
          </w:tcPr>
          <w:p>
            <w:pPr>
              <w:spacing w:after="40" w:before="0" w:line="259" w:lineRule="auto"/>
            </w:pPr>
            <w:r>
              <w:rPr>
                <w:rFonts w:ascii="Calibri" w:hAnsi="Calibri"/>
                <w:b w:val="0"/>
                <w:i w:val="0"/>
                <w:color w:val="212121"/>
                <w:sz w:val="19"/>
              </w:rPr>
              <w:t>Adults with reflux</w:t>
            </w:r>
          </w:p>
        </w:tc>
        <w:tc>
          <w:tcPr>
            <w:tcW w:type="dxa" w:w="1512"/>
            <w:vAlign w:val="top"/>
          </w:tcPr>
          <w:p>
            <w:pPr>
              <w:spacing w:after="40" w:before="0" w:line="259" w:lineRule="auto"/>
            </w:pPr>
            <w:r>
              <w:rPr>
                <w:rFonts w:ascii="Calibri" w:hAnsi="Calibri"/>
                <w:b w:val="0"/>
                <w:i w:val="0"/>
                <w:color w:val="212121"/>
                <w:sz w:val="19"/>
              </w:rPr>
              <w:t>M &lt; 90 cm; F &lt; 80 cm (Asian cut-off)</w:t>
            </w:r>
          </w:p>
        </w:tc>
        <w:tc>
          <w:tcPr>
            <w:tcW w:type="dxa" w:w="1512"/>
            <w:vAlign w:val="top"/>
          </w:tcPr>
          <w:p>
            <w:pPr>
              <w:spacing w:after="40" w:before="0" w:line="259" w:lineRule="auto"/>
            </w:pPr>
            <w:r>
              <w:rPr>
                <w:rFonts w:ascii="Calibri" w:hAnsi="Calibri"/>
                <w:b w:val="0"/>
                <w:i w:val="0"/>
                <w:color w:val="212121"/>
                <w:sz w:val="19"/>
              </w:rPr>
              <w:t>M &gt;= 90 cm; F &gt;= 80 cm</w:t>
            </w:r>
          </w:p>
        </w:tc>
        <w:tc>
          <w:tcPr>
            <w:tcW w:type="dxa" w:w="1468"/>
            <w:vAlign w:val="top"/>
          </w:tcPr>
          <w:p>
            <w:pPr>
              <w:spacing w:after="60" w:line="259" w:lineRule="auto"/>
            </w:pPr>
            <w:r>
              <w:rPr>
                <w:rFonts w:ascii="Calibri" w:hAnsi="Calibri"/>
                <w:b w:val="0"/>
                <w:i w:val="0"/>
                <w:color w:val="212121"/>
                <w:sz w:val="19"/>
              </w:rPr>
              <w:t>Central obesity raises intra-abdominal pressure and reflux</w:t>
            </w:r>
          </w:p>
          <w:p>
            <w:pPr>
              <w:spacing w:after="40" w:line="252" w:lineRule="auto"/>
            </w:pPr>
            <w:hyperlink r:id="rId12">
              <w:r>
                <w:rPr>
                  <w:rFonts w:ascii="Calibri" w:hAnsi="Calibri" w:cs="Calibri"/>
                  <w:sz w:val="18"/>
                  <w:color w:val="1155CC"/>
                  <w:u w:val="single"/>
                </w:rPr>
                <w:t xml:space="preserve">https://link.springer.com/article/10.1007/s12664-020-01104-0</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Tobacco use (cigarettes/bidis or chewing)</w:t>
            </w:r>
          </w:p>
        </w:tc>
        <w:tc>
          <w:tcPr>
            <w:tcW w:type="dxa" w:w="1655"/>
            <w:vAlign w:val="top"/>
          </w:tcPr>
          <w:p>
            <w:pPr>
              <w:spacing w:after="40" w:before="0" w:line="259" w:lineRule="auto"/>
            </w:pPr>
            <w:r>
              <w:rPr>
                <w:rFonts w:ascii="Calibri" w:hAnsi="Calibri"/>
                <w:b w:val="0"/>
                <w:i w:val="0"/>
                <w:color w:val="212121"/>
                <w:sz w:val="19"/>
              </w:rPr>
              <w:t>Adolescents, adults, elderly</w:t>
            </w:r>
          </w:p>
        </w:tc>
        <w:tc>
          <w:tcPr>
            <w:tcW w:type="dxa" w:w="1512"/>
            <w:vAlign w:val="top"/>
          </w:tcPr>
          <w:p>
            <w:pPr>
              <w:spacing w:after="40" w:before="0" w:line="259" w:lineRule="auto"/>
            </w:pPr>
            <w:r>
              <w:rPr>
                <w:rFonts w:ascii="Calibri" w:hAnsi="Calibri"/>
                <w:b w:val="0"/>
                <w:i w:val="0"/>
                <w:color w:val="212121"/>
                <w:sz w:val="19"/>
              </w:rPr>
              <w:t>0 (no tobacco)</w:t>
            </w:r>
          </w:p>
        </w:tc>
        <w:tc>
          <w:tcPr>
            <w:tcW w:type="dxa" w:w="1512"/>
            <w:vAlign w:val="top"/>
          </w:tcPr>
          <w:p>
            <w:pPr>
              <w:spacing w:after="40" w:before="0" w:line="259" w:lineRule="auto"/>
            </w:pPr>
            <w:r>
              <w:rPr>
                <w:rFonts w:ascii="Calibri" w:hAnsi="Calibri"/>
                <w:b w:val="0"/>
                <w:i w:val="0"/>
                <w:color w:val="212121"/>
                <w:sz w:val="19"/>
              </w:rPr>
              <w:t>Any current use</w:t>
            </w:r>
          </w:p>
        </w:tc>
        <w:tc>
          <w:tcPr>
            <w:tcW w:type="dxa" w:w="1468"/>
            <w:vAlign w:val="top"/>
          </w:tcPr>
          <w:p>
            <w:pPr>
              <w:spacing w:after="60" w:line="259" w:lineRule="auto"/>
            </w:pPr>
            <w:r>
              <w:rPr>
                <w:rFonts w:ascii="Calibri" w:hAnsi="Calibri"/>
                <w:b w:val="0"/>
                <w:i w:val="0"/>
                <w:color w:val="212121"/>
                <w:sz w:val="19"/>
              </w:rPr>
              <w:t>Tobacco lowers sphincter tone and raises SCC risk ~2-7 fold</w:t>
            </w:r>
          </w:p>
          <w:p>
            <w:pPr>
              <w:spacing w:after="40" w:line="252" w:lineRule="auto"/>
            </w:pPr>
            <w:hyperlink r:id="rId10">
              <w:r>
                <w:rPr>
                  <w:rFonts w:ascii="Calibri" w:hAnsi="Calibri" w:cs="Calibri"/>
                  <w:sz w:val="18"/>
                  <w:color w:val="1155CC"/>
                  <w:u w:val="single"/>
                </w:rPr>
                <w:t xml:space="preserve">https://www.ijmpo.org/ejournals/topic/epidemiological-review-esophagus-squamous-cell-carcinoma-in-india</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w:t>
            </w:r>
          </w:p>
        </w:tc>
        <w:tc>
          <w:tcPr>
            <w:tcW w:type="dxa" w:w="1655"/>
            <w:vAlign w:val="top"/>
          </w:tcPr>
          <w:p>
            <w:pPr>
              <w:spacing w:after="40" w:before="0" w:line="259" w:lineRule="auto"/>
            </w:pPr>
            <w:r>
              <w:rPr>
                <w:rFonts w:ascii="Calibri" w:hAnsi="Calibri"/>
                <w:b w:val="0"/>
                <w:i w:val="0"/>
                <w:color w:val="212121"/>
                <w:sz w:val="19"/>
              </w:rPr>
              <w:t>Adults, heavy drinkers</w:t>
            </w:r>
          </w:p>
        </w:tc>
        <w:tc>
          <w:tcPr>
            <w:tcW w:type="dxa" w:w="1512"/>
            <w:vAlign w:val="top"/>
          </w:tcPr>
          <w:p>
            <w:pPr>
              <w:spacing w:after="40" w:before="0" w:line="259" w:lineRule="auto"/>
            </w:pPr>
            <w:r>
              <w:rPr>
                <w:rFonts w:ascii="Calibri" w:hAnsi="Calibri"/>
                <w:b w:val="0"/>
                <w:i w:val="0"/>
                <w:color w:val="212121"/>
                <w:sz w:val="19"/>
              </w:rPr>
              <w:t>Nil / minimal</w:t>
            </w:r>
          </w:p>
        </w:tc>
        <w:tc>
          <w:tcPr>
            <w:tcW w:type="dxa" w:w="1512"/>
            <w:vAlign w:val="top"/>
          </w:tcPr>
          <w:p>
            <w:pPr>
              <w:spacing w:after="40" w:before="0" w:line="259" w:lineRule="auto"/>
            </w:pPr>
            <w:r>
              <w:rPr>
                <w:rFonts w:ascii="Calibri" w:hAnsi="Calibri"/>
                <w:b w:val="0"/>
                <w:i w:val="0"/>
                <w:color w:val="212121"/>
                <w:sz w:val="19"/>
              </w:rPr>
              <w:t>Regular / heavy use</w:t>
            </w:r>
          </w:p>
        </w:tc>
        <w:tc>
          <w:tcPr>
            <w:tcW w:type="dxa" w:w="1468"/>
            <w:vAlign w:val="top"/>
          </w:tcPr>
          <w:p>
            <w:pPr>
              <w:spacing w:after="60" w:line="259" w:lineRule="auto"/>
            </w:pPr>
            <w:r>
              <w:rPr>
                <w:rFonts w:ascii="Calibri" w:hAnsi="Calibri"/>
                <w:b w:val="0"/>
                <w:i w:val="0"/>
                <w:color w:val="212121"/>
                <w:sz w:val="19"/>
              </w:rPr>
              <w:t>Ever-drinking carries an esophageal-cancer odds ratio ~2.21 in Indian data</w:t>
            </w:r>
          </w:p>
          <w:p>
            <w:pPr>
              <w:spacing w:after="40" w:line="252" w:lineRule="auto"/>
            </w:pPr>
            <w:hyperlink r:id="rId10">
              <w:r>
                <w:rPr>
                  <w:rFonts w:ascii="Calibri" w:hAnsi="Calibri" w:cs="Calibri"/>
                  <w:sz w:val="18"/>
                  <w:color w:val="1155CC"/>
                  <w:u w:val="single"/>
                </w:rPr>
                <w:t xml:space="preserve">https://www.ijmpo.org/ejournals/topic/epidemiological-review-esophagus-squamous-cell-carcinoma-in-india</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Meal-to-sleep interval</w:t>
            </w:r>
          </w:p>
        </w:tc>
        <w:tc>
          <w:tcPr>
            <w:tcW w:type="dxa" w:w="1655"/>
            <w:vAlign w:val="top"/>
          </w:tcPr>
          <w:p>
            <w:pPr>
              <w:spacing w:after="40" w:before="0" w:line="259" w:lineRule="auto"/>
            </w:pPr>
            <w:r>
              <w:rPr>
                <w:rFonts w:ascii="Calibri" w:hAnsi="Calibri"/>
                <w:b w:val="0"/>
                <w:i w:val="0"/>
                <w:color w:val="212121"/>
                <w:sz w:val="19"/>
              </w:rPr>
              <w:t>GERD patients</w:t>
            </w:r>
          </w:p>
        </w:tc>
        <w:tc>
          <w:tcPr>
            <w:tcW w:type="dxa" w:w="1512"/>
            <w:vAlign w:val="top"/>
          </w:tcPr>
          <w:p>
            <w:pPr>
              <w:spacing w:after="40" w:before="0" w:line="259" w:lineRule="auto"/>
            </w:pPr>
            <w:r>
              <w:rPr>
                <w:rFonts w:ascii="Calibri" w:hAnsi="Calibri"/>
                <w:b w:val="0"/>
                <w:i w:val="0"/>
                <w:color w:val="212121"/>
                <w:sz w:val="19"/>
              </w:rPr>
              <w:t>&gt;= 3 hours before lying down</w:t>
            </w:r>
          </w:p>
        </w:tc>
        <w:tc>
          <w:tcPr>
            <w:tcW w:type="dxa" w:w="1512"/>
            <w:vAlign w:val="top"/>
          </w:tcPr>
          <w:p>
            <w:pPr>
              <w:spacing w:after="40" w:before="0" w:line="259" w:lineRule="auto"/>
            </w:pPr>
            <w:r>
              <w:rPr>
                <w:rFonts w:ascii="Calibri" w:hAnsi="Calibri"/>
                <w:b w:val="0"/>
                <w:i w:val="0"/>
                <w:color w:val="212121"/>
                <w:sz w:val="19"/>
              </w:rPr>
              <w:t>&lt; 2 hours; late-night eating</w:t>
            </w:r>
          </w:p>
        </w:tc>
        <w:tc>
          <w:tcPr>
            <w:tcW w:type="dxa" w:w="1468"/>
            <w:vAlign w:val="top"/>
          </w:tcPr>
          <w:p>
            <w:pPr>
              <w:spacing w:after="60" w:line="259" w:lineRule="auto"/>
            </w:pPr>
            <w:r>
              <w:rPr>
                <w:rFonts w:ascii="Calibri" w:hAnsi="Calibri"/>
                <w:b w:val="0"/>
                <w:i w:val="0"/>
                <w:color w:val="212121"/>
                <w:sz w:val="19"/>
              </w:rPr>
              <w:t>Short interval prolongs nocturnal acid exposure and peptic scarring</w:t>
            </w:r>
          </w:p>
          <w:p>
            <w:pPr>
              <w:spacing w:after="40" w:line="252" w:lineRule="auto"/>
            </w:pPr>
            <w:hyperlink r:id="rId9">
              <w:r>
                <w:rPr>
                  <w:rFonts w:ascii="Calibri" w:hAnsi="Calibri" w:cs="Calibri"/>
                  <w:sz w:val="18"/>
                  <w:color w:val="1155CC"/>
                  <w:u w:val="single"/>
                </w:rPr>
                <w:t xml:space="preserve">https://www.ncbi.nlm.nih.gov/books/NBK542209/</w:t>
              </w:r>
            </w:hyperlink>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Fluid taken with tablets</w:t>
            </w:r>
          </w:p>
        </w:tc>
        <w:tc>
          <w:tcPr>
            <w:tcW w:type="dxa" w:w="1655"/>
            <w:vAlign w:val="top"/>
          </w:tcPr>
          <w:p>
            <w:pPr>
              <w:spacing w:after="40" w:before="0" w:line="259" w:lineRule="auto"/>
            </w:pPr>
            <w:r>
              <w:rPr>
                <w:rFonts w:ascii="Calibri" w:hAnsi="Calibri"/>
                <w:b w:val="0"/>
                <w:i w:val="0"/>
                <w:color w:val="212121"/>
                <w:sz w:val="19"/>
              </w:rPr>
              <w:t>Patients on NSAIDs/doxycycline/KCl/iron/bisphosphonates</w:t>
            </w:r>
          </w:p>
        </w:tc>
        <w:tc>
          <w:tcPr>
            <w:tcW w:type="dxa" w:w="1512"/>
            <w:vAlign w:val="top"/>
          </w:tcPr>
          <w:p>
            <w:pPr>
              <w:spacing w:after="40" w:before="0" w:line="259" w:lineRule="auto"/>
            </w:pPr>
            <w:r>
              <w:rPr>
                <w:rFonts w:ascii="Calibri" w:hAnsi="Calibri"/>
                <w:b w:val="0"/>
                <w:i w:val="0"/>
                <w:color w:val="212121"/>
                <w:sz w:val="19"/>
              </w:rPr>
              <w:t>Full glass (150-250 mL), stay upright 30 min</w:t>
            </w:r>
          </w:p>
        </w:tc>
        <w:tc>
          <w:tcPr>
            <w:tcW w:type="dxa" w:w="1512"/>
            <w:vAlign w:val="top"/>
          </w:tcPr>
          <w:p>
            <w:pPr>
              <w:spacing w:after="40" w:before="0" w:line="259" w:lineRule="auto"/>
            </w:pPr>
            <w:r>
              <w:rPr>
                <w:rFonts w:ascii="Calibri" w:hAnsi="Calibri"/>
                <w:b w:val="0"/>
                <w:i w:val="0"/>
                <w:color w:val="212121"/>
                <w:sz w:val="19"/>
              </w:rPr>
              <w:t>Sips only or lying down after pills</w:t>
            </w:r>
          </w:p>
        </w:tc>
        <w:tc>
          <w:tcPr>
            <w:tcW w:type="dxa" w:w="1468"/>
            <w:vAlign w:val="top"/>
          </w:tcPr>
          <w:p>
            <w:pPr>
              <w:spacing w:after="60" w:line="259" w:lineRule="auto"/>
            </w:pPr>
            <w:r>
              <w:rPr>
                <w:rFonts w:ascii="Calibri" w:hAnsi="Calibri"/>
                <w:b w:val="0"/>
                <w:i w:val="0"/>
                <w:color w:val="212121"/>
                <w:sz w:val="19"/>
              </w:rPr>
              <w:t>Prevents pill lodgement and drug-induced stricture</w:t>
            </w:r>
          </w:p>
          <w:p>
            <w:pPr>
              <w:spacing w:after="40" w:line="252" w:lineRule="auto"/>
            </w:pPr>
            <w:hyperlink r:id="rId9">
              <w:r>
                <w:rPr>
                  <w:rFonts w:ascii="Calibri" w:hAnsi="Calibri" w:cs="Calibri"/>
                  <w:sz w:val="18"/>
                  <w:color w:val="1155CC"/>
                  <w:u w:val="single"/>
                </w:rPr>
                <w:t xml:space="preserve">https://www.ncbi.nlm.nih.gov/books/NBK542209/</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Esophageal (peak) eosinophil count</w:t>
            </w:r>
          </w:p>
        </w:tc>
        <w:tc>
          <w:tcPr>
            <w:tcW w:type="dxa" w:w="1655"/>
            <w:vAlign w:val="top"/>
          </w:tcPr>
          <w:p>
            <w:pPr>
              <w:spacing w:after="40" w:before="0" w:line="259" w:lineRule="auto"/>
            </w:pPr>
            <w:r>
              <w:rPr>
                <w:rFonts w:ascii="Calibri" w:hAnsi="Calibri"/>
                <w:b w:val="0"/>
                <w:i w:val="0"/>
                <w:color w:val="212121"/>
                <w:sz w:val="19"/>
              </w:rPr>
              <w:t>Suspected eosinophilic esophagitis</w:t>
            </w:r>
          </w:p>
        </w:tc>
        <w:tc>
          <w:tcPr>
            <w:tcW w:type="dxa" w:w="1512"/>
            <w:vAlign w:val="top"/>
          </w:tcPr>
          <w:p>
            <w:pPr>
              <w:spacing w:after="40" w:before="0" w:line="259" w:lineRule="auto"/>
            </w:pPr>
            <w:r>
              <w:rPr>
                <w:rFonts w:ascii="Calibri" w:hAnsi="Calibri"/>
                <w:b w:val="0"/>
                <w:i w:val="0"/>
                <w:color w:val="212121"/>
                <w:sz w:val="19"/>
              </w:rPr>
              <w:t>&lt; 15 eos/HPF</w:t>
            </w:r>
          </w:p>
        </w:tc>
        <w:tc>
          <w:tcPr>
            <w:tcW w:type="dxa" w:w="1512"/>
            <w:vAlign w:val="top"/>
          </w:tcPr>
          <w:p>
            <w:pPr>
              <w:spacing w:after="40" w:before="0" w:line="259" w:lineRule="auto"/>
            </w:pPr>
            <w:r>
              <w:rPr>
                <w:rFonts w:ascii="Calibri" w:hAnsi="Calibri"/>
                <w:b w:val="0"/>
                <w:i w:val="0"/>
                <w:color w:val="212121"/>
                <w:sz w:val="19"/>
              </w:rPr>
              <w:t>&gt;= 15 eos/HPF on biopsy</w:t>
            </w:r>
          </w:p>
        </w:tc>
        <w:tc>
          <w:tcPr>
            <w:tcW w:type="dxa" w:w="1468"/>
            <w:vAlign w:val="top"/>
          </w:tcPr>
          <w:p>
            <w:pPr>
              <w:spacing w:after="60" w:line="259" w:lineRule="auto"/>
            </w:pPr>
            <w:r>
              <w:rPr>
                <w:rFonts w:ascii="Calibri" w:hAnsi="Calibri"/>
                <w:b w:val="0"/>
                <w:i w:val="0"/>
                <w:color w:val="212121"/>
                <w:sz w:val="19"/>
              </w:rPr>
              <w:t>Confirms EoE as the cause of a fibrostenotic stricture</w:t>
            </w:r>
          </w:p>
          <w:p>
            <w:pPr>
              <w:spacing w:after="40" w:line="252" w:lineRule="auto"/>
            </w:pPr>
            <w:hyperlink r:id="rId14">
              <w:r>
                <w:rPr>
                  <w:rFonts w:ascii="Calibri" w:hAnsi="Calibri" w:cs="Calibri"/>
                  <w:sz w:val="18"/>
                  <w:color w:val="1155CC"/>
                  <w:u w:val="single"/>
                </w:rPr>
                <w:t xml:space="preserve">https://link.springer.com/article/10.1007/s12664-017-0789-6</w:t>
              </w:r>
            </w:hyperlink>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Body weight change</w:t>
            </w:r>
          </w:p>
        </w:tc>
        <w:tc>
          <w:tcPr>
            <w:tcW w:type="dxa" w:w="1655"/>
            <w:vAlign w:val="top"/>
          </w:tcPr>
          <w:p>
            <w:pPr>
              <w:spacing w:after="40" w:before="0" w:line="259" w:lineRule="auto"/>
            </w:pPr>
            <w:r>
              <w:rPr>
                <w:rFonts w:ascii="Calibri" w:hAnsi="Calibri"/>
                <w:b w:val="0"/>
                <w:i w:val="0"/>
                <w:color w:val="212121"/>
                <w:sz w:val="19"/>
              </w:rPr>
              <w:t>Stricture patients</w:t>
            </w:r>
          </w:p>
        </w:tc>
        <w:tc>
          <w:tcPr>
            <w:tcW w:type="dxa" w:w="1512"/>
            <w:vAlign w:val="top"/>
          </w:tcPr>
          <w:p>
            <w:pPr>
              <w:spacing w:after="40" w:before="0" w:line="259" w:lineRule="auto"/>
            </w:pPr>
            <w:r>
              <w:rPr>
                <w:rFonts w:ascii="Calibri" w:hAnsi="Calibri"/>
                <w:b w:val="0"/>
                <w:i w:val="0"/>
                <w:color w:val="212121"/>
                <w:sz w:val="19"/>
              </w:rPr>
              <w:t>Stable weight</w:t>
            </w:r>
          </w:p>
        </w:tc>
        <w:tc>
          <w:tcPr>
            <w:tcW w:type="dxa" w:w="1512"/>
            <w:vAlign w:val="top"/>
          </w:tcPr>
          <w:p>
            <w:pPr>
              <w:spacing w:after="40" w:before="0" w:line="259" w:lineRule="auto"/>
            </w:pPr>
            <w:r>
              <w:rPr>
                <w:rFonts w:ascii="Calibri" w:hAnsi="Calibri"/>
                <w:b w:val="0"/>
                <w:i w:val="0"/>
                <w:color w:val="212121"/>
                <w:sz w:val="19"/>
              </w:rPr>
              <w:t>Unintentional loss &gt; 5% (red flag)</w:t>
            </w:r>
          </w:p>
        </w:tc>
        <w:tc>
          <w:tcPr>
            <w:tcW w:type="dxa" w:w="1468"/>
            <w:vAlign w:val="top"/>
          </w:tcPr>
          <w:p>
            <w:pPr>
              <w:spacing w:after="60" w:line="259" w:lineRule="auto"/>
            </w:pPr>
            <w:r>
              <w:rPr>
                <w:rFonts w:ascii="Calibri" w:hAnsi="Calibri"/>
                <w:b w:val="0"/>
                <w:i w:val="0"/>
                <w:color w:val="212121"/>
                <w:sz w:val="19"/>
              </w:rPr>
              <w:t>Progressive weight loss suggests malignant or refractory stricture</w:t>
            </w:r>
          </w:p>
          <w:p>
            <w:pPr>
              <w:spacing w:after="40" w:line="252" w:lineRule="auto"/>
            </w:pPr>
            <w:hyperlink r:id="rId9">
              <w:r>
                <w:rPr>
                  <w:rFonts w:ascii="Calibri" w:hAnsi="Calibri" w:cs="Calibri"/>
                  <w:sz w:val="18"/>
                  <w:color w:val="1155CC"/>
                  <w:u w:val="single"/>
                </w:rPr>
                <w:t xml:space="preserve">https://www.ncbi.nlm.nih.gov/books/NBK542209/</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Endoscopy</w:t>
            </w:r>
          </w:p>
        </w:tc>
        <w:tc>
          <w:tcPr>
            <w:tcW w:type="dxa" w:w="1036"/>
            <w:vAlign w:val="top"/>
          </w:tcPr>
          <w:p>
            <w:pPr>
              <w:spacing w:after="40" w:before="0" w:line="259" w:lineRule="auto"/>
            </w:pPr>
            <w:r>
              <w:rPr>
                <w:rFonts w:ascii="Calibri" w:hAnsi="Calibri"/>
                <w:b w:val="0"/>
                <w:i w:val="0"/>
                <w:color w:val="212121"/>
                <w:sz w:val="16"/>
              </w:rPr>
              <w:t>Luminal narrowing &amp; mucosa</w:t>
            </w:r>
          </w:p>
        </w:tc>
        <w:tc>
          <w:tcPr>
            <w:tcW w:type="dxa" w:w="892"/>
            <w:vAlign w:val="top"/>
          </w:tcPr>
          <w:p>
            <w:pPr>
              <w:spacing w:after="40" w:before="0" w:line="259" w:lineRule="auto"/>
            </w:pPr>
            <w:r>
              <w:rPr>
                <w:rFonts w:ascii="Calibri" w:hAnsi="Calibri"/>
                <w:b w:val="0"/>
                <w:i w:val="0"/>
                <w:color w:val="212121"/>
                <w:sz w:val="16"/>
              </w:rPr>
              <w:t>Upper GI Endoscopy (OGD)</w:t>
            </w:r>
          </w:p>
        </w:tc>
        <w:tc>
          <w:tcPr>
            <w:tcW w:type="dxa" w:w="950"/>
            <w:vAlign w:val="top"/>
          </w:tcPr>
          <w:p>
            <w:pPr>
              <w:spacing w:after="40" w:before="0" w:line="259" w:lineRule="auto"/>
            </w:pPr>
            <w:r>
              <w:rPr>
                <w:rFonts w:ascii="Calibri" w:hAnsi="Calibri"/>
                <w:b w:val="0"/>
                <w:i w:val="0"/>
                <w:color w:val="212121"/>
                <w:sz w:val="16"/>
              </w:rPr>
              <w:t>Patent lumen, admits gastroscope</w:t>
            </w:r>
          </w:p>
        </w:tc>
        <w:tc>
          <w:tcPr>
            <w:tcW w:type="dxa" w:w="950"/>
            <w:vAlign w:val="top"/>
          </w:tcPr>
          <w:p>
            <w:pPr>
              <w:spacing w:after="40" w:before="0" w:line="259" w:lineRule="auto"/>
            </w:pPr>
            <w:r>
              <w:rPr>
                <w:rFonts w:ascii="Calibri" w:hAnsi="Calibri"/>
                <w:b w:val="0"/>
                <w:i w:val="0"/>
                <w:color w:val="212121"/>
                <w:sz w:val="16"/>
              </w:rPr>
              <w:t>Narrowing not admitting a 9-10 mm scope</w:t>
            </w:r>
          </w:p>
        </w:tc>
        <w:tc>
          <w:tcPr>
            <w:tcW w:type="dxa" w:w="1036"/>
            <w:vAlign w:val="top"/>
          </w:tcPr>
          <w:p>
            <w:pPr>
              <w:spacing w:after="40" w:before="0" w:line="259" w:lineRule="auto"/>
            </w:pPr>
            <w:r>
              <w:rPr>
                <w:rFonts w:ascii="Calibri" w:hAnsi="Calibri"/>
                <w:b w:val="0"/>
                <w:i w:val="0"/>
                <w:color w:val="212121"/>
                <w:sz w:val="16"/>
              </w:rPr>
              <w:t>Confirms stricture, defines level/length, allows biopsy and dilation</w:t>
            </w:r>
          </w:p>
        </w:tc>
        <w:tc>
          <w:tcPr>
            <w:tcW w:type="dxa" w:w="1036"/>
            <w:vAlign w:val="top"/>
          </w:tcPr>
          <w:p>
            <w:pPr>
              <w:spacing w:after="40" w:before="0" w:line="259" w:lineRule="auto"/>
            </w:pPr>
            <w:r>
              <w:rPr>
                <w:rFonts w:ascii="Calibri" w:hAnsi="Calibri"/>
                <w:b w:val="0"/>
                <w:i w:val="0"/>
                <w:color w:val="212121"/>
                <w:sz w:val="16"/>
              </w:rPr>
              <w:t>All patients with mechanical dysphagia</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Also therapeutic (dilation in same sitting)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Radiology</w:t>
            </w:r>
          </w:p>
        </w:tc>
        <w:tc>
          <w:tcPr>
            <w:tcW w:type="dxa" w:w="1036"/>
            <w:vAlign w:val="top"/>
          </w:tcPr>
          <w:p>
            <w:pPr>
              <w:spacing w:after="40" w:before="0" w:line="259" w:lineRule="auto"/>
            </w:pPr>
            <w:r>
              <w:rPr>
                <w:rFonts w:ascii="Calibri" w:hAnsi="Calibri"/>
                <w:b w:val="0"/>
                <w:i w:val="0"/>
                <w:color w:val="212121"/>
                <w:sz w:val="16"/>
              </w:rPr>
              <w:t>Level, length, calibre</w:t>
            </w:r>
          </w:p>
        </w:tc>
        <w:tc>
          <w:tcPr>
            <w:tcW w:type="dxa" w:w="892"/>
            <w:vAlign w:val="top"/>
          </w:tcPr>
          <w:p>
            <w:pPr>
              <w:spacing w:after="40" w:before="0" w:line="259" w:lineRule="auto"/>
            </w:pPr>
            <w:r>
              <w:rPr>
                <w:rFonts w:ascii="Calibri" w:hAnsi="Calibri"/>
                <w:b w:val="0"/>
                <w:i w:val="0"/>
                <w:color w:val="212121"/>
                <w:sz w:val="16"/>
              </w:rPr>
              <w:t>Barium / water-soluble esophagogram</w:t>
            </w:r>
          </w:p>
        </w:tc>
        <w:tc>
          <w:tcPr>
            <w:tcW w:type="dxa" w:w="950"/>
            <w:vAlign w:val="top"/>
          </w:tcPr>
          <w:p>
            <w:pPr>
              <w:spacing w:after="40" w:before="0" w:line="259" w:lineRule="auto"/>
            </w:pPr>
            <w:r>
              <w:rPr>
                <w:rFonts w:ascii="Calibri" w:hAnsi="Calibri"/>
                <w:b w:val="0"/>
                <w:i w:val="0"/>
                <w:color w:val="212121"/>
                <w:sz w:val="16"/>
              </w:rPr>
              <w:t>Smooth, unobstructed passage</w:t>
            </w:r>
          </w:p>
        </w:tc>
        <w:tc>
          <w:tcPr>
            <w:tcW w:type="dxa" w:w="950"/>
            <w:vAlign w:val="top"/>
          </w:tcPr>
          <w:p>
            <w:pPr>
              <w:spacing w:after="40" w:before="0" w:line="259" w:lineRule="auto"/>
            </w:pPr>
            <w:r>
              <w:rPr>
                <w:rFonts w:ascii="Calibri" w:hAnsi="Calibri"/>
                <w:b w:val="0"/>
                <w:i w:val="0"/>
                <w:color w:val="212121"/>
                <w:sz w:val="16"/>
              </w:rPr>
              <w:t>Focal or long narrowing; shouldering suggests malignancy</w:t>
            </w:r>
          </w:p>
        </w:tc>
        <w:tc>
          <w:tcPr>
            <w:tcW w:type="dxa" w:w="1036"/>
            <w:vAlign w:val="top"/>
          </w:tcPr>
          <w:p>
            <w:pPr>
              <w:spacing w:after="40" w:before="0" w:line="259" w:lineRule="auto"/>
            </w:pPr>
            <w:r>
              <w:rPr>
                <w:rFonts w:ascii="Calibri" w:hAnsi="Calibri"/>
                <w:b w:val="0"/>
                <w:i w:val="0"/>
                <w:color w:val="212121"/>
                <w:sz w:val="16"/>
              </w:rPr>
              <w:t>Maps complex/tight strictures before endoscopy; ~95% sensitive</w:t>
            </w:r>
          </w:p>
        </w:tc>
        <w:tc>
          <w:tcPr>
            <w:tcW w:type="dxa" w:w="1036"/>
            <w:vAlign w:val="top"/>
          </w:tcPr>
          <w:p>
            <w:pPr>
              <w:spacing w:after="40" w:before="0" w:line="259" w:lineRule="auto"/>
            </w:pPr>
            <w:r>
              <w:rPr>
                <w:rFonts w:ascii="Calibri" w:hAnsi="Calibri"/>
                <w:b w:val="0"/>
                <w:i w:val="0"/>
                <w:color w:val="212121"/>
                <w:sz w:val="16"/>
              </w:rPr>
              <w:t>Tight, tortuous, post-caustic or post-radiation strictures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Use water-soluble contrast first if perforation suspected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Histopathology</w:t>
            </w:r>
          </w:p>
        </w:tc>
        <w:tc>
          <w:tcPr>
            <w:tcW w:type="dxa" w:w="1036"/>
            <w:vAlign w:val="top"/>
          </w:tcPr>
          <w:p>
            <w:pPr>
              <w:spacing w:after="40" w:before="0" w:line="259" w:lineRule="auto"/>
            </w:pPr>
            <w:r>
              <w:rPr>
                <w:rFonts w:ascii="Calibri" w:hAnsi="Calibri"/>
                <w:b w:val="0"/>
                <w:i w:val="0"/>
                <w:color w:val="212121"/>
                <w:sz w:val="16"/>
              </w:rPr>
              <w:t>Biopsy of stricture</w:t>
            </w:r>
          </w:p>
        </w:tc>
        <w:tc>
          <w:tcPr>
            <w:tcW w:type="dxa" w:w="892"/>
            <w:vAlign w:val="top"/>
          </w:tcPr>
          <w:p>
            <w:pPr>
              <w:spacing w:after="40" w:before="0" w:line="259" w:lineRule="auto"/>
            </w:pPr>
            <w:r>
              <w:rPr>
                <w:rFonts w:ascii="Calibri" w:hAnsi="Calibri"/>
                <w:b w:val="0"/>
                <w:i w:val="0"/>
                <w:color w:val="212121"/>
                <w:sz w:val="16"/>
              </w:rPr>
              <w:t>Endoscopic biopsy + cytology</w:t>
            </w:r>
          </w:p>
        </w:tc>
        <w:tc>
          <w:tcPr>
            <w:tcW w:type="dxa" w:w="950"/>
            <w:vAlign w:val="top"/>
          </w:tcPr>
          <w:p>
            <w:pPr>
              <w:spacing w:after="40" w:before="0" w:line="259" w:lineRule="auto"/>
            </w:pPr>
            <w:r>
              <w:rPr>
                <w:rFonts w:ascii="Calibri" w:hAnsi="Calibri"/>
                <w:b w:val="0"/>
                <w:i w:val="0"/>
                <w:color w:val="212121"/>
                <w:sz w:val="16"/>
              </w:rPr>
              <w:t>Benign fibrosis/inflammation</w:t>
            </w:r>
          </w:p>
        </w:tc>
        <w:tc>
          <w:tcPr>
            <w:tcW w:type="dxa" w:w="950"/>
            <w:vAlign w:val="top"/>
          </w:tcPr>
          <w:p>
            <w:pPr>
              <w:spacing w:after="40" w:before="0" w:line="259" w:lineRule="auto"/>
            </w:pPr>
            <w:r>
              <w:rPr>
                <w:rFonts w:ascii="Calibri" w:hAnsi="Calibri"/>
                <w:b w:val="0"/>
                <w:i w:val="0"/>
                <w:color w:val="212121"/>
                <w:sz w:val="16"/>
              </w:rPr>
              <w:t>Malignant cells; or &gt;= 15 eosinophils/HPF (EoE)</w:t>
            </w:r>
          </w:p>
        </w:tc>
        <w:tc>
          <w:tcPr>
            <w:tcW w:type="dxa" w:w="1036"/>
            <w:vAlign w:val="top"/>
          </w:tcPr>
          <w:p>
            <w:pPr>
              <w:spacing w:after="40" w:before="0" w:line="259" w:lineRule="auto"/>
            </w:pPr>
            <w:r>
              <w:rPr>
                <w:rFonts w:ascii="Calibri" w:hAnsi="Calibri"/>
                <w:b w:val="0"/>
                <w:i w:val="0"/>
                <w:color w:val="212121"/>
                <w:sz w:val="16"/>
              </w:rPr>
              <w:t>Separates benign, malignant and eosinophilic strictures</w:t>
            </w:r>
          </w:p>
        </w:tc>
        <w:tc>
          <w:tcPr>
            <w:tcW w:type="dxa" w:w="1036"/>
            <w:vAlign w:val="top"/>
          </w:tcPr>
          <w:p>
            <w:pPr>
              <w:spacing w:after="40" w:before="0" w:line="259" w:lineRule="auto"/>
            </w:pPr>
            <w:r>
              <w:rPr>
                <w:rFonts w:ascii="Calibri" w:hAnsi="Calibri"/>
                <w:b w:val="0"/>
                <w:i w:val="0"/>
                <w:color w:val="212121"/>
                <w:sz w:val="16"/>
              </w:rPr>
              <w:t>All strictures, mandatory before labelling benign</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Multiple/deep biopsies raise malignant yield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Endosonography</w:t>
            </w:r>
          </w:p>
        </w:tc>
        <w:tc>
          <w:tcPr>
            <w:tcW w:type="dxa" w:w="1036"/>
            <w:vAlign w:val="top"/>
          </w:tcPr>
          <w:p>
            <w:pPr>
              <w:spacing w:after="40" w:before="0" w:line="259" w:lineRule="auto"/>
            </w:pPr>
            <w:r>
              <w:rPr>
                <w:rFonts w:ascii="Calibri" w:hAnsi="Calibri"/>
                <w:b w:val="0"/>
                <w:i w:val="0"/>
                <w:color w:val="212121"/>
                <w:sz w:val="16"/>
              </w:rPr>
              <w:t>Wall stratification/depth</w:t>
            </w:r>
          </w:p>
        </w:tc>
        <w:tc>
          <w:tcPr>
            <w:tcW w:type="dxa" w:w="892"/>
            <w:vAlign w:val="top"/>
          </w:tcPr>
          <w:p>
            <w:pPr>
              <w:spacing w:after="40" w:before="0" w:line="259" w:lineRule="auto"/>
            </w:pPr>
            <w:r>
              <w:rPr>
                <w:rFonts w:ascii="Calibri" w:hAnsi="Calibri"/>
                <w:b w:val="0"/>
                <w:i w:val="0"/>
                <w:color w:val="212121"/>
                <w:sz w:val="16"/>
              </w:rPr>
              <w:t>Endoscopic Ultrasound (EUS)</w:t>
            </w:r>
          </w:p>
        </w:tc>
        <w:tc>
          <w:tcPr>
            <w:tcW w:type="dxa" w:w="950"/>
            <w:vAlign w:val="top"/>
          </w:tcPr>
          <w:p>
            <w:pPr>
              <w:spacing w:after="40" w:before="0" w:line="259" w:lineRule="auto"/>
            </w:pPr>
            <w:r>
              <w:rPr>
                <w:rFonts w:ascii="Calibri" w:hAnsi="Calibri"/>
                <w:b w:val="0"/>
                <w:i w:val="0"/>
                <w:color w:val="212121"/>
                <w:sz w:val="16"/>
              </w:rPr>
              <w:t>Preserved 5-layer wall</w:t>
            </w:r>
          </w:p>
        </w:tc>
        <w:tc>
          <w:tcPr>
            <w:tcW w:type="dxa" w:w="950"/>
            <w:vAlign w:val="top"/>
          </w:tcPr>
          <w:p>
            <w:pPr>
              <w:spacing w:after="40" w:before="0" w:line="259" w:lineRule="auto"/>
            </w:pPr>
            <w:r>
              <w:rPr>
                <w:rFonts w:ascii="Calibri" w:hAnsi="Calibri"/>
                <w:b w:val="0"/>
                <w:i w:val="0"/>
                <w:color w:val="212121"/>
                <w:sz w:val="16"/>
              </w:rPr>
              <w:t>Thickened wall, loss of layers, nodes</w:t>
            </w:r>
          </w:p>
        </w:tc>
        <w:tc>
          <w:tcPr>
            <w:tcW w:type="dxa" w:w="1036"/>
            <w:vAlign w:val="top"/>
          </w:tcPr>
          <w:p>
            <w:pPr>
              <w:spacing w:after="40" w:before="0" w:line="259" w:lineRule="auto"/>
            </w:pPr>
            <w:r>
              <w:rPr>
                <w:rFonts w:ascii="Calibri" w:hAnsi="Calibri"/>
                <w:b w:val="0"/>
                <w:i w:val="0"/>
                <w:color w:val="212121"/>
                <w:sz w:val="16"/>
              </w:rPr>
              <w:t>Distinguishes benign from malignant; local cancer staging</w:t>
            </w:r>
          </w:p>
        </w:tc>
        <w:tc>
          <w:tcPr>
            <w:tcW w:type="dxa" w:w="1036"/>
            <w:vAlign w:val="top"/>
          </w:tcPr>
          <w:p>
            <w:pPr>
              <w:spacing w:after="40" w:before="0" w:line="259" w:lineRule="auto"/>
            </w:pPr>
            <w:r>
              <w:rPr>
                <w:rFonts w:ascii="Calibri" w:hAnsi="Calibri"/>
                <w:b w:val="0"/>
                <w:i w:val="0"/>
                <w:color w:val="212121"/>
                <w:sz w:val="16"/>
              </w:rPr>
              <w:t>Indeterminate strictures, cancer staging</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Useful when biopsies non-conclusive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Motility</w:t>
            </w:r>
          </w:p>
        </w:tc>
        <w:tc>
          <w:tcPr>
            <w:tcW w:type="dxa" w:w="1036"/>
            <w:vAlign w:val="top"/>
          </w:tcPr>
          <w:p>
            <w:pPr>
              <w:spacing w:after="40" w:before="0" w:line="259" w:lineRule="auto"/>
            </w:pPr>
            <w:r>
              <w:rPr>
                <w:rFonts w:ascii="Calibri" w:hAnsi="Calibri"/>
                <w:b w:val="0"/>
                <w:i w:val="0"/>
                <w:color w:val="212121"/>
                <w:sz w:val="16"/>
              </w:rPr>
              <w:t>LES relaxation &amp; peristalsis</w:t>
            </w:r>
          </w:p>
        </w:tc>
        <w:tc>
          <w:tcPr>
            <w:tcW w:type="dxa" w:w="892"/>
            <w:vAlign w:val="top"/>
          </w:tcPr>
          <w:p>
            <w:pPr>
              <w:spacing w:after="40" w:before="0" w:line="259" w:lineRule="auto"/>
            </w:pPr>
            <w:r>
              <w:rPr>
                <w:rFonts w:ascii="Calibri" w:hAnsi="Calibri"/>
                <w:b w:val="0"/>
                <w:i w:val="0"/>
                <w:color w:val="212121"/>
                <w:sz w:val="16"/>
              </w:rPr>
              <w:t>High-resolution esophageal manometry</w:t>
            </w:r>
          </w:p>
        </w:tc>
        <w:tc>
          <w:tcPr>
            <w:tcW w:type="dxa" w:w="950"/>
            <w:vAlign w:val="top"/>
          </w:tcPr>
          <w:p>
            <w:pPr>
              <w:spacing w:after="40" w:before="0" w:line="259" w:lineRule="auto"/>
            </w:pPr>
            <w:r>
              <w:rPr>
                <w:rFonts w:ascii="Calibri" w:hAnsi="Calibri"/>
                <w:b w:val="0"/>
                <w:i w:val="0"/>
                <w:color w:val="212121"/>
                <w:sz w:val="16"/>
              </w:rPr>
              <w:t>Normal peristalsis, LES relaxes</w:t>
            </w:r>
          </w:p>
        </w:tc>
        <w:tc>
          <w:tcPr>
            <w:tcW w:type="dxa" w:w="950"/>
            <w:vAlign w:val="top"/>
          </w:tcPr>
          <w:p>
            <w:pPr>
              <w:spacing w:after="40" w:before="0" w:line="259" w:lineRule="auto"/>
            </w:pPr>
            <w:r>
              <w:rPr>
                <w:rFonts w:ascii="Calibri" w:hAnsi="Calibri"/>
                <w:b w:val="0"/>
                <w:i w:val="0"/>
                <w:color w:val="212121"/>
                <w:sz w:val="16"/>
              </w:rPr>
              <w:t>Absent peristalsis / non-relaxing LES</w:t>
            </w:r>
          </w:p>
        </w:tc>
        <w:tc>
          <w:tcPr>
            <w:tcW w:type="dxa" w:w="1036"/>
            <w:vAlign w:val="top"/>
          </w:tcPr>
          <w:p>
            <w:pPr>
              <w:spacing w:after="40" w:before="0" w:line="259" w:lineRule="auto"/>
            </w:pPr>
            <w:r>
              <w:rPr>
                <w:rFonts w:ascii="Calibri" w:hAnsi="Calibri"/>
                <w:b w:val="0"/>
                <w:i w:val="0"/>
                <w:color w:val="212121"/>
                <w:sz w:val="16"/>
              </w:rPr>
              <w:t>Excludes achalasia and motility disorders mimicking stricture</w:t>
            </w:r>
          </w:p>
        </w:tc>
        <w:tc>
          <w:tcPr>
            <w:tcW w:type="dxa" w:w="1036"/>
            <w:vAlign w:val="top"/>
          </w:tcPr>
          <w:p>
            <w:pPr>
              <w:spacing w:after="40" w:before="0" w:line="259" w:lineRule="auto"/>
            </w:pPr>
            <w:r>
              <w:rPr>
                <w:rFonts w:ascii="Calibri" w:hAnsi="Calibri"/>
                <w:b w:val="0"/>
                <w:i w:val="0"/>
                <w:color w:val="212121"/>
                <w:sz w:val="16"/>
              </w:rPr>
              <w:t>Dysphagia with normal endoscopy/biopsy</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Differential</w:t>
            </w:r>
          </w:p>
        </w:tc>
        <w:tc>
          <w:tcPr>
            <w:tcW w:type="dxa" w:w="720"/>
            <w:vAlign w:val="top"/>
          </w:tcPr>
          <w:p>
            <w:pPr>
              <w:spacing w:after="40" w:before="0" w:line="259" w:lineRule="auto"/>
            </w:pPr>
            <w:r>
              <w:rPr>
                <w:rFonts w:ascii="Calibri" w:hAnsi="Calibri"/>
                <w:b w:val="0"/>
                <w:i w:val="0"/>
                <w:color w:val="212121"/>
                <w:sz w:val="16"/>
              </w:rPr>
              <w:t>Achalasia shows bird-beak on barium</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Reflux testing</w:t>
            </w:r>
          </w:p>
        </w:tc>
        <w:tc>
          <w:tcPr>
            <w:tcW w:type="dxa" w:w="1036"/>
            <w:vAlign w:val="top"/>
          </w:tcPr>
          <w:p>
            <w:pPr>
              <w:spacing w:after="40" w:before="0" w:line="259" w:lineRule="auto"/>
            </w:pPr>
            <w:r>
              <w:rPr>
                <w:rFonts w:ascii="Calibri" w:hAnsi="Calibri"/>
                <w:b w:val="0"/>
                <w:i w:val="0"/>
                <w:color w:val="212121"/>
                <w:sz w:val="16"/>
              </w:rPr>
              <w:t>Acid exposure / DeMeester</w:t>
            </w:r>
          </w:p>
        </w:tc>
        <w:tc>
          <w:tcPr>
            <w:tcW w:type="dxa" w:w="892"/>
            <w:vAlign w:val="top"/>
          </w:tcPr>
          <w:p>
            <w:pPr>
              <w:spacing w:after="40" w:before="0" w:line="259" w:lineRule="auto"/>
            </w:pPr>
            <w:r>
              <w:rPr>
                <w:rFonts w:ascii="Calibri" w:hAnsi="Calibri"/>
                <w:b w:val="0"/>
                <w:i w:val="0"/>
                <w:color w:val="212121"/>
                <w:sz w:val="16"/>
              </w:rPr>
              <w:t>24-h esophageal pH-impedance</w:t>
            </w:r>
          </w:p>
        </w:tc>
        <w:tc>
          <w:tcPr>
            <w:tcW w:type="dxa" w:w="950"/>
            <w:vAlign w:val="top"/>
          </w:tcPr>
          <w:p>
            <w:pPr>
              <w:spacing w:after="40" w:before="0" w:line="259" w:lineRule="auto"/>
            </w:pPr>
            <w:r>
              <w:rPr>
                <w:rFonts w:ascii="Calibri" w:hAnsi="Calibri"/>
                <w:b w:val="0"/>
                <w:i w:val="0"/>
                <w:color w:val="212121"/>
                <w:sz w:val="16"/>
              </w:rPr>
              <w:t>DeMeester &lt; 14.7; acid exposure &lt; 4-6%</w:t>
            </w:r>
          </w:p>
        </w:tc>
        <w:tc>
          <w:tcPr>
            <w:tcW w:type="dxa" w:w="950"/>
            <w:vAlign w:val="top"/>
          </w:tcPr>
          <w:p>
            <w:pPr>
              <w:spacing w:after="40" w:before="0" w:line="259" w:lineRule="auto"/>
            </w:pPr>
            <w:r>
              <w:rPr>
                <w:rFonts w:ascii="Calibri" w:hAnsi="Calibri"/>
                <w:b w:val="0"/>
                <w:i w:val="0"/>
                <w:color w:val="212121"/>
                <w:sz w:val="16"/>
              </w:rPr>
              <w:t>Elevated acid exposure time</w:t>
            </w:r>
          </w:p>
        </w:tc>
        <w:tc>
          <w:tcPr>
            <w:tcW w:type="dxa" w:w="1036"/>
            <w:vAlign w:val="top"/>
          </w:tcPr>
          <w:p>
            <w:pPr>
              <w:spacing w:after="40" w:before="0" w:line="259" w:lineRule="auto"/>
            </w:pPr>
            <w:r>
              <w:rPr>
                <w:rFonts w:ascii="Calibri" w:hAnsi="Calibri"/>
                <w:b w:val="0"/>
                <w:i w:val="0"/>
                <w:color w:val="212121"/>
                <w:sz w:val="16"/>
              </w:rPr>
              <w:t>Confirms pathological reflux driving a peptic stricture</w:t>
            </w:r>
          </w:p>
        </w:tc>
        <w:tc>
          <w:tcPr>
            <w:tcW w:type="dxa" w:w="1036"/>
            <w:vAlign w:val="top"/>
          </w:tcPr>
          <w:p>
            <w:pPr>
              <w:spacing w:after="40" w:before="0" w:line="259" w:lineRule="auto"/>
            </w:pPr>
            <w:r>
              <w:rPr>
                <w:rFonts w:ascii="Calibri" w:hAnsi="Calibri"/>
                <w:b w:val="0"/>
                <w:i w:val="0"/>
                <w:color w:val="212121"/>
                <w:sz w:val="16"/>
              </w:rPr>
              <w:t>Recurrent peptic strictures, atypical GERD</w:t>
            </w:r>
          </w:p>
        </w:tc>
        <w:tc>
          <w:tcPr>
            <w:tcW w:type="dxa" w:w="720"/>
            <w:vAlign w:val="top"/>
          </w:tcPr>
          <w:p>
            <w:pPr>
              <w:spacing w:after="40" w:before="0" w:line="259" w:lineRule="auto"/>
            </w:pPr>
            <w:r>
              <w:rPr>
                <w:rFonts w:ascii="Calibri" w:hAnsi="Calibri"/>
                <w:b w:val="0"/>
                <w:i w:val="0"/>
                <w:color w:val="212121"/>
                <w:sz w:val="16"/>
              </w:rPr>
              <w:t>Food; Posture</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Guides need for anti-reflux therapy/surgery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Haemoglobin, iron studies</w:t>
            </w:r>
          </w:p>
        </w:tc>
        <w:tc>
          <w:tcPr>
            <w:tcW w:type="dxa" w:w="892"/>
            <w:vAlign w:val="top"/>
          </w:tcPr>
          <w:p>
            <w:pPr>
              <w:spacing w:after="40" w:before="0" w:line="259" w:lineRule="auto"/>
            </w:pPr>
            <w:r>
              <w:rPr>
                <w:rFonts w:ascii="Calibri" w:hAnsi="Calibri"/>
                <w:b w:val="0"/>
                <w:i w:val="0"/>
                <w:color w:val="212121"/>
                <w:sz w:val="16"/>
              </w:rPr>
              <w:t>Complete blood count + ferritin</w:t>
            </w:r>
          </w:p>
        </w:tc>
        <w:tc>
          <w:tcPr>
            <w:tcW w:type="dxa" w:w="950"/>
            <w:vAlign w:val="top"/>
          </w:tcPr>
          <w:p>
            <w:pPr>
              <w:spacing w:after="40" w:before="0" w:line="259" w:lineRule="auto"/>
            </w:pPr>
            <w:r>
              <w:rPr>
                <w:rFonts w:ascii="Calibri" w:hAnsi="Calibri"/>
                <w:b w:val="0"/>
                <w:i w:val="0"/>
                <w:color w:val="212121"/>
                <w:sz w:val="16"/>
              </w:rPr>
              <w:t>Hb normal; ferritin normal</w:t>
            </w:r>
          </w:p>
        </w:tc>
        <w:tc>
          <w:tcPr>
            <w:tcW w:type="dxa" w:w="950"/>
            <w:vAlign w:val="top"/>
          </w:tcPr>
          <w:p>
            <w:pPr>
              <w:spacing w:after="40" w:before="0" w:line="259" w:lineRule="auto"/>
            </w:pPr>
            <w:r>
              <w:rPr>
                <w:rFonts w:ascii="Calibri" w:hAnsi="Calibri"/>
                <w:b w:val="0"/>
                <w:i w:val="0"/>
                <w:color w:val="212121"/>
                <w:sz w:val="16"/>
              </w:rPr>
              <w:t>Microcytic anaemia, low ferritin</w:t>
            </w:r>
          </w:p>
        </w:tc>
        <w:tc>
          <w:tcPr>
            <w:tcW w:type="dxa" w:w="1036"/>
            <w:vAlign w:val="top"/>
          </w:tcPr>
          <w:p>
            <w:pPr>
              <w:spacing w:after="40" w:before="0" w:line="259" w:lineRule="auto"/>
            </w:pPr>
            <w:r>
              <w:rPr>
                <w:rFonts w:ascii="Calibri" w:hAnsi="Calibri"/>
                <w:b w:val="0"/>
                <w:i w:val="0"/>
                <w:color w:val="212121"/>
                <w:sz w:val="16"/>
              </w:rPr>
              <w:t>Detects iron-deficiency (Plummer-Vinson webs) and chronic blood loss</w:t>
            </w:r>
          </w:p>
        </w:tc>
        <w:tc>
          <w:tcPr>
            <w:tcW w:type="dxa" w:w="1036"/>
            <w:vAlign w:val="top"/>
          </w:tcPr>
          <w:p>
            <w:pPr>
              <w:spacing w:after="40" w:before="0" w:line="259" w:lineRule="auto"/>
            </w:pPr>
            <w:r>
              <w:rPr>
                <w:rFonts w:ascii="Calibri" w:hAnsi="Calibri"/>
                <w:b w:val="0"/>
                <w:i w:val="0"/>
                <w:color w:val="212121"/>
                <w:sz w:val="16"/>
              </w:rPr>
              <w:t>Women with webs, cancer, chronic GERD</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Iron repletion can resolve esophageal webs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Cross-sectional imaging</w:t>
            </w:r>
          </w:p>
        </w:tc>
        <w:tc>
          <w:tcPr>
            <w:tcW w:type="dxa" w:w="1036"/>
            <w:vAlign w:val="top"/>
          </w:tcPr>
          <w:p>
            <w:pPr>
              <w:spacing w:after="40" w:before="0" w:line="259" w:lineRule="auto"/>
            </w:pPr>
            <w:r>
              <w:rPr>
                <w:rFonts w:ascii="Calibri" w:hAnsi="Calibri"/>
                <w:b w:val="0"/>
                <w:i w:val="0"/>
                <w:color w:val="212121"/>
                <w:sz w:val="16"/>
              </w:rPr>
              <w:t>Wall thickening, spread, nodes</w:t>
            </w:r>
          </w:p>
        </w:tc>
        <w:tc>
          <w:tcPr>
            <w:tcW w:type="dxa" w:w="892"/>
            <w:vAlign w:val="top"/>
          </w:tcPr>
          <w:p>
            <w:pPr>
              <w:spacing w:after="40" w:before="0" w:line="259" w:lineRule="auto"/>
            </w:pPr>
            <w:r>
              <w:rPr>
                <w:rFonts w:ascii="Calibri" w:hAnsi="Calibri"/>
                <w:b w:val="0"/>
                <w:i w:val="0"/>
                <w:color w:val="212121"/>
                <w:sz w:val="16"/>
              </w:rPr>
              <w:t>CT chest/abdomen (+/- PET)</w:t>
            </w:r>
          </w:p>
        </w:tc>
        <w:tc>
          <w:tcPr>
            <w:tcW w:type="dxa" w:w="950"/>
            <w:vAlign w:val="top"/>
          </w:tcPr>
          <w:p>
            <w:pPr>
              <w:spacing w:after="40" w:before="0" w:line="259" w:lineRule="auto"/>
            </w:pPr>
            <w:r>
              <w:rPr>
                <w:rFonts w:ascii="Calibri" w:hAnsi="Calibri"/>
                <w:b w:val="0"/>
                <w:i w:val="0"/>
                <w:color w:val="212121"/>
                <w:sz w:val="16"/>
              </w:rPr>
              <w:t>No mass or nodal disease</w:t>
            </w:r>
          </w:p>
        </w:tc>
        <w:tc>
          <w:tcPr>
            <w:tcW w:type="dxa" w:w="950"/>
            <w:vAlign w:val="top"/>
          </w:tcPr>
          <w:p>
            <w:pPr>
              <w:spacing w:after="40" w:before="0" w:line="259" w:lineRule="auto"/>
            </w:pPr>
            <w:r>
              <w:rPr>
                <w:rFonts w:ascii="Calibri" w:hAnsi="Calibri"/>
                <w:b w:val="0"/>
                <w:i w:val="0"/>
                <w:color w:val="212121"/>
                <w:sz w:val="16"/>
              </w:rPr>
              <w:t>Wall thickening, mass, nodal/distant spread</w:t>
            </w:r>
          </w:p>
        </w:tc>
        <w:tc>
          <w:tcPr>
            <w:tcW w:type="dxa" w:w="1036"/>
            <w:vAlign w:val="top"/>
          </w:tcPr>
          <w:p>
            <w:pPr>
              <w:spacing w:after="40" w:before="0" w:line="259" w:lineRule="auto"/>
            </w:pPr>
            <w:r>
              <w:rPr>
                <w:rFonts w:ascii="Calibri" w:hAnsi="Calibri"/>
                <w:b w:val="0"/>
                <w:i w:val="0"/>
                <w:color w:val="212121"/>
                <w:sz w:val="16"/>
              </w:rPr>
              <w:t>Stages malignant strictures and detects perforation/mediastinal spread</w:t>
            </w:r>
          </w:p>
        </w:tc>
        <w:tc>
          <w:tcPr>
            <w:tcW w:type="dxa" w:w="1036"/>
            <w:vAlign w:val="top"/>
          </w:tcPr>
          <w:p>
            <w:pPr>
              <w:spacing w:after="40" w:before="0" w:line="259" w:lineRule="auto"/>
            </w:pPr>
            <w:r>
              <w:rPr>
                <w:rFonts w:ascii="Calibri" w:hAnsi="Calibri"/>
                <w:b w:val="0"/>
                <w:i w:val="0"/>
                <w:color w:val="212121"/>
                <w:sz w:val="16"/>
              </w:rPr>
              <w:t>Suspected malignant or perforated strictures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Staging</w:t>
            </w:r>
          </w:p>
        </w:tc>
        <w:tc>
          <w:tcPr>
            <w:tcW w:type="dxa" w:w="720"/>
            <w:vAlign w:val="top"/>
          </w:tcPr>
          <w:p>
            <w:pPr>
              <w:spacing w:after="40" w:before="0" w:line="259" w:lineRule="auto"/>
            </w:pPr>
            <w:r>
              <w:rPr>
                <w:rFonts w:ascii="Calibri" w:hAnsi="Calibri"/>
                <w:b w:val="0"/>
                <w:i w:val="0"/>
                <w:color w:val="212121"/>
                <w:sz w:val="16"/>
              </w:rPr>
              <w:t>Complements EUS in cancer work-up</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w:t>
            </w:r>
          </w:p>
        </w:tc>
        <w:tc>
          <w:tcPr>
            <w:tcW w:type="dxa" w:w="979"/>
            <w:vAlign w:val="top"/>
          </w:tcPr>
          <w:p>
            <w:pPr>
              <w:spacing w:after="40" w:before="0" w:line="259" w:lineRule="auto"/>
            </w:pPr>
            <w:r>
              <w:rPr>
                <w:rFonts w:ascii="Calibri" w:hAnsi="Calibri"/>
                <w:b w:val="0"/>
                <w:i w:val="0"/>
                <w:color w:val="212121"/>
                <w:sz w:val="16"/>
              </w:rPr>
              <w:t>Progressive dysphagia (solids to liquids)</w:t>
            </w:r>
          </w:p>
        </w:tc>
        <w:tc>
          <w:tcPr>
            <w:tcW w:type="dxa" w:w="950"/>
            <w:vAlign w:val="top"/>
          </w:tcPr>
          <w:p>
            <w:pPr>
              <w:spacing w:after="40" w:before="0" w:line="259" w:lineRule="auto"/>
            </w:pPr>
            <w:r>
              <w:rPr>
                <w:rFonts w:ascii="Calibri" w:hAnsi="Calibri"/>
                <w:b w:val="0"/>
                <w:i w:val="0"/>
                <w:color w:val="212121"/>
                <w:sz w:val="16"/>
              </w:rPr>
              <w:t>No swallowing difficulty</w:t>
            </w:r>
          </w:p>
        </w:tc>
        <w:tc>
          <w:tcPr>
            <w:tcW w:type="dxa" w:w="950"/>
            <w:vAlign w:val="top"/>
          </w:tcPr>
          <w:p>
            <w:pPr>
              <w:spacing w:after="40" w:before="0" w:line="259" w:lineRule="auto"/>
            </w:pPr>
            <w:r>
              <w:rPr>
                <w:rFonts w:ascii="Calibri" w:hAnsi="Calibri"/>
                <w:b w:val="0"/>
                <w:i w:val="0"/>
                <w:color w:val="212121"/>
                <w:sz w:val="16"/>
              </w:rPr>
              <w:t>Solids first, later semi-solids/liquids</w:t>
            </w:r>
          </w:p>
        </w:tc>
        <w:tc>
          <w:tcPr>
            <w:tcW w:type="dxa" w:w="1036"/>
            <w:vAlign w:val="top"/>
          </w:tcPr>
          <w:p>
            <w:pPr>
              <w:spacing w:after="40" w:before="0" w:line="259" w:lineRule="auto"/>
            </w:pPr>
            <w:r>
              <w:rPr>
                <w:rFonts w:ascii="Calibri" w:hAnsi="Calibri"/>
                <w:b w:val="0"/>
                <w:i w:val="0"/>
                <w:color w:val="212121"/>
                <w:sz w:val="16"/>
              </w:rPr>
              <w:t>Hallmark of a mechanical, obstructing stricture</w:t>
            </w:r>
          </w:p>
        </w:tc>
        <w:tc>
          <w:tcPr>
            <w:tcW w:type="dxa" w:w="1036"/>
            <w:vAlign w:val="top"/>
          </w:tcPr>
          <w:p>
            <w:pPr>
              <w:spacing w:after="40" w:before="0" w:line="259" w:lineRule="auto"/>
            </w:pPr>
            <w:r>
              <w:rPr>
                <w:rFonts w:ascii="Calibri" w:hAnsi="Calibri"/>
                <w:b w:val="0"/>
                <w:i w:val="0"/>
                <w:color w:val="212121"/>
                <w:sz w:val="16"/>
              </w:rPr>
              <w:t>All stricture patients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Rapid progression with weight loss suggests malignancy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Ingestion history</w:t>
            </w:r>
          </w:p>
        </w:tc>
        <w:tc>
          <w:tcPr>
            <w:tcW w:type="dxa" w:w="979"/>
            <w:vAlign w:val="top"/>
          </w:tcPr>
          <w:p>
            <w:pPr>
              <w:spacing w:after="40" w:before="0" w:line="259" w:lineRule="auto"/>
            </w:pPr>
            <w:r>
              <w:rPr>
                <w:rFonts w:ascii="Calibri" w:hAnsi="Calibri"/>
                <w:b w:val="0"/>
                <w:i w:val="0"/>
                <w:color w:val="212121"/>
                <w:sz w:val="16"/>
              </w:rPr>
              <w:t>Caustic acid/alkali ingestion</w:t>
            </w:r>
          </w:p>
        </w:tc>
        <w:tc>
          <w:tcPr>
            <w:tcW w:type="dxa" w:w="950"/>
            <w:vAlign w:val="top"/>
          </w:tcPr>
          <w:p>
            <w:pPr>
              <w:spacing w:after="40" w:before="0" w:line="259" w:lineRule="auto"/>
            </w:pPr>
            <w:r>
              <w:rPr>
                <w:rFonts w:ascii="Calibri" w:hAnsi="Calibri"/>
                <w:b w:val="0"/>
                <w:i w:val="0"/>
                <w:color w:val="212121"/>
                <w:sz w:val="16"/>
              </w:rPr>
              <w:t>No caustic exposure</w:t>
            </w:r>
          </w:p>
        </w:tc>
        <w:tc>
          <w:tcPr>
            <w:tcW w:type="dxa" w:w="950"/>
            <w:vAlign w:val="top"/>
          </w:tcPr>
          <w:p>
            <w:pPr>
              <w:spacing w:after="40" w:before="0" w:line="259" w:lineRule="auto"/>
            </w:pPr>
            <w:r>
              <w:rPr>
                <w:rFonts w:ascii="Calibri" w:hAnsi="Calibri"/>
                <w:b w:val="0"/>
                <w:i w:val="0"/>
                <w:color w:val="212121"/>
                <w:sz w:val="16"/>
              </w:rPr>
              <w:t>Accidental or suicidal ingestion</w:t>
            </w:r>
          </w:p>
        </w:tc>
        <w:tc>
          <w:tcPr>
            <w:tcW w:type="dxa" w:w="1036"/>
            <w:vAlign w:val="top"/>
          </w:tcPr>
          <w:p>
            <w:pPr>
              <w:spacing w:after="40" w:before="0" w:line="259" w:lineRule="auto"/>
            </w:pPr>
            <w:r>
              <w:rPr>
                <w:rFonts w:ascii="Calibri" w:hAnsi="Calibri"/>
                <w:b w:val="0"/>
                <w:i w:val="0"/>
                <w:color w:val="212121"/>
                <w:sz w:val="16"/>
              </w:rPr>
              <w:t>Points to corrosive stricture; assess intent and agent</w:t>
            </w:r>
          </w:p>
        </w:tc>
        <w:tc>
          <w:tcPr>
            <w:tcW w:type="dxa" w:w="1036"/>
            <w:vAlign w:val="top"/>
          </w:tcPr>
          <w:p>
            <w:pPr>
              <w:spacing w:after="40" w:before="0" w:line="259" w:lineRule="auto"/>
            </w:pPr>
            <w:r>
              <w:rPr>
                <w:rFonts w:ascii="Calibri" w:hAnsi="Calibri"/>
                <w:b w:val="0"/>
                <w:i w:val="0"/>
                <w:color w:val="212121"/>
                <w:sz w:val="16"/>
              </w:rPr>
              <w:t>Children, young adults, at-risk mental health</w:t>
            </w:r>
          </w:p>
        </w:tc>
        <w:tc>
          <w:tcPr>
            <w:tcW w:type="dxa" w:w="720"/>
            <w:vAlign w:val="top"/>
          </w:tcPr>
          <w:p>
            <w:pPr>
              <w:spacing w:after="40" w:before="0" w:line="259" w:lineRule="auto"/>
            </w:pPr>
            <w:r>
              <w:rPr>
                <w:rFonts w:ascii="Calibri" w:hAnsi="Calibri"/>
                <w:b w:val="0"/>
                <w:i w:val="0"/>
                <w:color w:val="212121"/>
                <w:sz w:val="16"/>
              </w:rPr>
              <w:t>Provoking factors; Mental health</w:t>
            </w:r>
          </w:p>
        </w:tc>
        <w:tc>
          <w:tcPr>
            <w:tcW w:type="dxa" w:w="720"/>
            <w:vAlign w:val="top"/>
          </w:tcPr>
          <w:p>
            <w:pPr>
              <w:spacing w:after="40" w:before="0" w:line="259" w:lineRule="auto"/>
            </w:pPr>
            <w:r>
              <w:rPr>
                <w:rFonts w:ascii="Calibri" w:hAnsi="Calibri"/>
                <w:b w:val="0"/>
                <w:i w:val="0"/>
                <w:color w:val="212121"/>
                <w:sz w:val="16"/>
              </w:rPr>
              <w:t>Critical</w:t>
            </w:r>
          </w:p>
        </w:tc>
        <w:tc>
          <w:tcPr>
            <w:tcW w:type="dxa" w:w="720"/>
            <w:vAlign w:val="top"/>
          </w:tcPr>
          <w:p>
            <w:pPr>
              <w:spacing w:after="40" w:before="0" w:line="259" w:lineRule="auto"/>
            </w:pPr>
            <w:r>
              <w:rPr>
                <w:rFonts w:ascii="Calibri" w:hAnsi="Calibri"/>
                <w:b w:val="0"/>
                <w:i w:val="0"/>
                <w:color w:val="212121"/>
                <w:sz w:val="16"/>
              </w:rPr>
              <w:t>Note agent, volume, intent, time since ingestion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Reflux history</w:t>
            </w:r>
          </w:p>
        </w:tc>
        <w:tc>
          <w:tcPr>
            <w:tcW w:type="dxa" w:w="979"/>
            <w:vAlign w:val="top"/>
          </w:tcPr>
          <w:p>
            <w:pPr>
              <w:spacing w:after="40" w:before="0" w:line="259" w:lineRule="auto"/>
            </w:pPr>
            <w:r>
              <w:rPr>
                <w:rFonts w:ascii="Calibri" w:hAnsi="Calibri"/>
                <w:b w:val="0"/>
                <w:i w:val="0"/>
                <w:color w:val="212121"/>
                <w:sz w:val="16"/>
              </w:rPr>
              <w:t>Chronic heartburn/regurgitation</w:t>
            </w:r>
          </w:p>
        </w:tc>
        <w:tc>
          <w:tcPr>
            <w:tcW w:type="dxa" w:w="950"/>
            <w:vAlign w:val="top"/>
          </w:tcPr>
          <w:p>
            <w:pPr>
              <w:spacing w:after="40" w:before="0" w:line="259" w:lineRule="auto"/>
            </w:pPr>
            <w:r>
              <w:rPr>
                <w:rFonts w:ascii="Calibri" w:hAnsi="Calibri"/>
                <w:b w:val="0"/>
                <w:i w:val="0"/>
                <w:color w:val="212121"/>
                <w:sz w:val="16"/>
              </w:rPr>
              <w:t>No reflux symptoms</w:t>
            </w:r>
          </w:p>
        </w:tc>
        <w:tc>
          <w:tcPr>
            <w:tcW w:type="dxa" w:w="950"/>
            <w:vAlign w:val="top"/>
          </w:tcPr>
          <w:p>
            <w:pPr>
              <w:spacing w:after="40" w:before="0" w:line="259" w:lineRule="auto"/>
            </w:pPr>
            <w:r>
              <w:rPr>
                <w:rFonts w:ascii="Calibri" w:hAnsi="Calibri"/>
                <w:b w:val="0"/>
                <w:i w:val="0"/>
                <w:color w:val="212121"/>
                <w:sz w:val="16"/>
              </w:rPr>
              <w:t>Longstanding heartburn, acid brash</w:t>
            </w:r>
          </w:p>
        </w:tc>
        <w:tc>
          <w:tcPr>
            <w:tcW w:type="dxa" w:w="1036"/>
            <w:vAlign w:val="top"/>
          </w:tcPr>
          <w:p>
            <w:pPr>
              <w:spacing w:after="40" w:before="0" w:line="259" w:lineRule="auto"/>
            </w:pPr>
            <w:r>
              <w:rPr>
                <w:rFonts w:ascii="Calibri" w:hAnsi="Calibri"/>
                <w:b w:val="0"/>
                <w:i w:val="0"/>
                <w:color w:val="212121"/>
                <w:sz w:val="16"/>
              </w:rPr>
              <w:t>Supports peptic stricture from chronic GERD</w:t>
            </w:r>
          </w:p>
        </w:tc>
        <w:tc>
          <w:tcPr>
            <w:tcW w:type="dxa" w:w="1036"/>
            <w:vAlign w:val="top"/>
          </w:tcPr>
          <w:p>
            <w:pPr>
              <w:spacing w:after="40" w:before="0" w:line="259" w:lineRule="auto"/>
            </w:pPr>
            <w:r>
              <w:rPr>
                <w:rFonts w:ascii="Calibri" w:hAnsi="Calibri"/>
                <w:b w:val="0"/>
                <w:i w:val="0"/>
                <w:color w:val="212121"/>
                <w:sz w:val="16"/>
              </w:rPr>
              <w:t>Middle-aged/obese adults</w:t>
            </w:r>
          </w:p>
        </w:tc>
        <w:tc>
          <w:tcPr>
            <w:tcW w:type="dxa" w:w="720"/>
            <w:vAlign w:val="top"/>
          </w:tcPr>
          <w:p>
            <w:pPr>
              <w:spacing w:after="40" w:before="0" w:line="259" w:lineRule="auto"/>
            </w:pPr>
            <w:r>
              <w:rPr>
                <w:rFonts w:ascii="Calibri" w:hAnsi="Calibri"/>
                <w:b w:val="0"/>
                <w:i w:val="0"/>
                <w:color w:val="212121"/>
                <w:sz w:val="16"/>
              </w:rPr>
              <w:t>Food; Posture</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Often improves as stricture tightens (reflux barrier)</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Drug &amp; treatment history</w:t>
            </w:r>
          </w:p>
        </w:tc>
        <w:tc>
          <w:tcPr>
            <w:tcW w:type="dxa" w:w="979"/>
            <w:vAlign w:val="top"/>
          </w:tcPr>
          <w:p>
            <w:pPr>
              <w:spacing w:after="40" w:before="0" w:line="259" w:lineRule="auto"/>
            </w:pPr>
            <w:r>
              <w:rPr>
                <w:rFonts w:ascii="Calibri" w:hAnsi="Calibri"/>
                <w:b w:val="0"/>
                <w:i w:val="0"/>
                <w:color w:val="212121"/>
                <w:sz w:val="16"/>
              </w:rPr>
              <w:t>Pills, radiotherapy, esophageal surgery</w:t>
            </w:r>
          </w:p>
        </w:tc>
        <w:tc>
          <w:tcPr>
            <w:tcW w:type="dxa" w:w="950"/>
            <w:vAlign w:val="top"/>
          </w:tcPr>
          <w:p>
            <w:pPr>
              <w:spacing w:after="40" w:before="0" w:line="259" w:lineRule="auto"/>
            </w:pPr>
            <w:r>
              <w:rPr>
                <w:rFonts w:ascii="Calibri" w:hAnsi="Calibri"/>
                <w:b w:val="0"/>
                <w:i w:val="0"/>
                <w:color w:val="212121"/>
                <w:sz w:val="16"/>
              </w:rPr>
              <w:t>None relevant</w:t>
            </w:r>
          </w:p>
        </w:tc>
        <w:tc>
          <w:tcPr>
            <w:tcW w:type="dxa" w:w="950"/>
            <w:vAlign w:val="top"/>
          </w:tcPr>
          <w:p>
            <w:pPr>
              <w:spacing w:after="40" w:before="0" w:line="259" w:lineRule="auto"/>
            </w:pPr>
            <w:r>
              <w:rPr>
                <w:rFonts w:ascii="Calibri" w:hAnsi="Calibri"/>
                <w:b w:val="0"/>
                <w:i w:val="0"/>
                <w:color w:val="212121"/>
                <w:sz w:val="16"/>
              </w:rPr>
              <w:t>NSAIDs/doxycycline/KCl/bisphosphonate; prior RT or esophagectomy</w:t>
            </w:r>
          </w:p>
        </w:tc>
        <w:tc>
          <w:tcPr>
            <w:tcW w:type="dxa" w:w="1036"/>
            <w:vAlign w:val="top"/>
          </w:tcPr>
          <w:p>
            <w:pPr>
              <w:spacing w:after="40" w:before="0" w:line="259" w:lineRule="auto"/>
            </w:pPr>
            <w:r>
              <w:rPr>
                <w:rFonts w:ascii="Calibri" w:hAnsi="Calibri"/>
                <w:b w:val="0"/>
                <w:i w:val="0"/>
                <w:color w:val="212121"/>
                <w:sz w:val="16"/>
              </w:rPr>
              <w:t>Identifies pill-induced, radiation and anastomotic strictures</w:t>
            </w:r>
          </w:p>
        </w:tc>
        <w:tc>
          <w:tcPr>
            <w:tcW w:type="dxa" w:w="1036"/>
            <w:vAlign w:val="top"/>
          </w:tcPr>
          <w:p>
            <w:pPr>
              <w:spacing w:after="40" w:before="0" w:line="259" w:lineRule="auto"/>
            </w:pPr>
            <w:r>
              <w:rPr>
                <w:rFonts w:ascii="Calibri" w:hAnsi="Calibri"/>
                <w:b w:val="0"/>
                <w:i w:val="0"/>
                <w:color w:val="212121"/>
                <w:sz w:val="16"/>
              </w:rPr>
              <w:t>Elderly, cancer survivors, post-surgical</w:t>
            </w:r>
          </w:p>
        </w:tc>
        <w:tc>
          <w:tcPr>
            <w:tcW w:type="dxa" w:w="720"/>
            <w:vAlign w:val="top"/>
          </w:tcPr>
          <w:p>
            <w:pPr>
              <w:spacing w:after="40" w:before="0" w:line="259" w:lineRule="auto"/>
            </w:pPr>
            <w:r>
              <w:rPr>
                <w:rFonts w:ascii="Calibri" w:hAnsi="Calibri"/>
                <w:b w:val="0"/>
                <w:i w:val="0"/>
                <w:color w:val="212121"/>
                <w:sz w:val="16"/>
              </w:rPr>
              <w:t>Water; 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Ask about pill-taking technique and water intake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Red-flag review</w:t>
            </w:r>
          </w:p>
        </w:tc>
        <w:tc>
          <w:tcPr>
            <w:tcW w:type="dxa" w:w="979"/>
            <w:vAlign w:val="top"/>
          </w:tcPr>
          <w:p>
            <w:pPr>
              <w:spacing w:after="40" w:before="0" w:line="259" w:lineRule="auto"/>
            </w:pPr>
            <w:r>
              <w:rPr>
                <w:rFonts w:ascii="Calibri" w:hAnsi="Calibri"/>
                <w:b w:val="0"/>
                <w:i w:val="0"/>
                <w:color w:val="212121"/>
                <w:sz w:val="16"/>
              </w:rPr>
              <w:t>Weight loss, anaemia, anorexia, hoarseness</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Raises suspicion of malignant stricture</w:t>
            </w:r>
          </w:p>
        </w:tc>
        <w:tc>
          <w:tcPr>
            <w:tcW w:type="dxa" w:w="1036"/>
            <w:vAlign w:val="top"/>
          </w:tcPr>
          <w:p>
            <w:pPr>
              <w:spacing w:after="40" w:before="0" w:line="259" w:lineRule="auto"/>
            </w:pPr>
            <w:r>
              <w:rPr>
                <w:rFonts w:ascii="Calibri" w:hAnsi="Calibri"/>
                <w:b w:val="0"/>
                <w:i w:val="0"/>
                <w:color w:val="212121"/>
                <w:sz w:val="16"/>
              </w:rPr>
              <w:t>Elderly, smokers, drinkers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Mandates urgent endoscopy and biopsy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General examination</w:t>
            </w:r>
          </w:p>
        </w:tc>
        <w:tc>
          <w:tcPr>
            <w:tcW w:type="dxa" w:w="950"/>
            <w:vAlign w:val="top"/>
          </w:tcPr>
          <w:p>
            <w:pPr>
              <w:spacing w:after="40" w:before="0" w:line="259" w:lineRule="auto"/>
            </w:pPr>
            <w:r>
              <w:rPr>
                <w:rFonts w:ascii="Calibri" w:hAnsi="Calibri"/>
                <w:b w:val="0"/>
                <w:i w:val="0"/>
                <w:color w:val="212121"/>
                <w:sz w:val="16"/>
              </w:rPr>
              <w:t>Nutrition &amp; hydration</w:t>
            </w:r>
          </w:p>
        </w:tc>
        <w:tc>
          <w:tcPr>
            <w:tcW w:type="dxa" w:w="979"/>
            <w:vAlign w:val="top"/>
          </w:tcPr>
          <w:p>
            <w:pPr>
              <w:spacing w:after="40" w:before="0" w:line="259" w:lineRule="auto"/>
            </w:pPr>
            <w:r>
              <w:rPr>
                <w:rFonts w:ascii="Calibri" w:hAnsi="Calibri"/>
                <w:b w:val="0"/>
                <w:i w:val="0"/>
                <w:color w:val="212121"/>
                <w:sz w:val="16"/>
              </w:rPr>
              <w:t>BMI, dehydration, muscle wasting</w:t>
            </w:r>
          </w:p>
        </w:tc>
        <w:tc>
          <w:tcPr>
            <w:tcW w:type="dxa" w:w="950"/>
            <w:vAlign w:val="top"/>
          </w:tcPr>
          <w:p>
            <w:pPr>
              <w:spacing w:after="40" w:before="0" w:line="259" w:lineRule="auto"/>
            </w:pPr>
            <w:r>
              <w:rPr>
                <w:rFonts w:ascii="Calibri" w:hAnsi="Calibri"/>
                <w:b w:val="0"/>
                <w:i w:val="0"/>
                <w:color w:val="212121"/>
                <w:sz w:val="16"/>
              </w:rPr>
              <w:t>Well-nourished, hydrated</w:t>
            </w:r>
          </w:p>
        </w:tc>
        <w:tc>
          <w:tcPr>
            <w:tcW w:type="dxa" w:w="950"/>
            <w:vAlign w:val="top"/>
          </w:tcPr>
          <w:p>
            <w:pPr>
              <w:spacing w:after="40" w:before="0" w:line="259" w:lineRule="auto"/>
            </w:pPr>
            <w:r>
              <w:rPr>
                <w:rFonts w:ascii="Calibri" w:hAnsi="Calibri"/>
                <w:b w:val="0"/>
                <w:i w:val="0"/>
                <w:color w:val="212121"/>
                <w:sz w:val="16"/>
              </w:rPr>
              <w:t>Weight loss, cachexia, dehydration</w:t>
            </w:r>
          </w:p>
        </w:tc>
        <w:tc>
          <w:tcPr>
            <w:tcW w:type="dxa" w:w="1036"/>
            <w:vAlign w:val="top"/>
          </w:tcPr>
          <w:p>
            <w:pPr>
              <w:spacing w:after="40" w:before="0" w:line="259" w:lineRule="auto"/>
            </w:pPr>
            <w:r>
              <w:rPr>
                <w:rFonts w:ascii="Calibri" w:hAnsi="Calibri"/>
                <w:b w:val="0"/>
                <w:i w:val="0"/>
                <w:color w:val="212121"/>
                <w:sz w:val="16"/>
              </w:rPr>
              <w:t>Gauges severity and need for nutritional support</w:t>
            </w:r>
          </w:p>
        </w:tc>
        <w:tc>
          <w:tcPr>
            <w:tcW w:type="dxa" w:w="1036"/>
            <w:vAlign w:val="top"/>
          </w:tcPr>
          <w:p>
            <w:pPr>
              <w:spacing w:after="40" w:before="0" w:line="259" w:lineRule="auto"/>
            </w:pPr>
            <w:r>
              <w:rPr>
                <w:rFonts w:ascii="Calibri" w:hAnsi="Calibri"/>
                <w:b w:val="0"/>
                <w:i w:val="0"/>
                <w:color w:val="212121"/>
                <w:sz w:val="16"/>
              </w:rPr>
              <w:t>Long-standing or malignant strictures</w:t>
            </w:r>
          </w:p>
        </w:tc>
        <w:tc>
          <w:tcPr>
            <w:tcW w:type="dxa" w:w="720"/>
            <w:vAlign w:val="top"/>
          </w:tcPr>
          <w:p>
            <w:pPr>
              <w:spacing w:after="40" w:before="0" w:line="259" w:lineRule="auto"/>
            </w:pPr>
            <w:r>
              <w:rPr>
                <w:rFonts w:ascii="Calibri" w:hAnsi="Calibri"/>
                <w:b w:val="0"/>
                <w:i w:val="0"/>
                <w:color w:val="212121"/>
                <w:sz w:val="16"/>
              </w:rPr>
              <w:t>Food; Water</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May need feeding tube/gastrostomy if severe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Head, neck &amp; chest</w:t>
            </w:r>
          </w:p>
        </w:tc>
        <w:tc>
          <w:tcPr>
            <w:tcW w:type="dxa" w:w="979"/>
            <w:vAlign w:val="top"/>
          </w:tcPr>
          <w:p>
            <w:pPr>
              <w:spacing w:after="40" w:before="0" w:line="259" w:lineRule="auto"/>
            </w:pPr>
            <w:r>
              <w:rPr>
                <w:rFonts w:ascii="Calibri" w:hAnsi="Calibri"/>
                <w:b w:val="0"/>
                <w:i w:val="0"/>
                <w:color w:val="212121"/>
                <w:sz w:val="16"/>
              </w:rPr>
              <w:t>Pallor, oral corrosive scars, lymph nodes, chest signs</w:t>
            </w:r>
          </w:p>
        </w:tc>
        <w:tc>
          <w:tcPr>
            <w:tcW w:type="dxa" w:w="950"/>
            <w:vAlign w:val="top"/>
          </w:tcPr>
          <w:p>
            <w:pPr>
              <w:spacing w:after="40" w:before="0" w:line="259" w:lineRule="auto"/>
            </w:pPr>
            <w:r>
              <w:rPr>
                <w:rFonts w:ascii="Calibri" w:hAnsi="Calibri"/>
                <w:b w:val="0"/>
                <w:i w:val="0"/>
                <w:color w:val="212121"/>
                <w:sz w:val="16"/>
              </w:rPr>
              <w:t>No abnormal findings</w:t>
            </w:r>
          </w:p>
        </w:tc>
        <w:tc>
          <w:tcPr>
            <w:tcW w:type="dxa" w:w="950"/>
            <w:vAlign w:val="top"/>
          </w:tcPr>
          <w:p>
            <w:pPr>
              <w:spacing w:after="40" w:before="0" w:line="259" w:lineRule="auto"/>
            </w:pPr>
            <w:r>
              <w:rPr>
                <w:rFonts w:ascii="Calibri" w:hAnsi="Calibri"/>
                <w:b w:val="0"/>
                <w:i w:val="0"/>
                <w:color w:val="212121"/>
                <w:sz w:val="16"/>
              </w:rPr>
              <w:t>Pallor, supraclavicular (Virchow) node, oropharyngeal burns, crepitations</w:t>
            </w:r>
          </w:p>
        </w:tc>
        <w:tc>
          <w:tcPr>
            <w:tcW w:type="dxa" w:w="1036"/>
            <w:vAlign w:val="top"/>
          </w:tcPr>
          <w:p>
            <w:pPr>
              <w:spacing w:after="40" w:before="0" w:line="259" w:lineRule="auto"/>
            </w:pPr>
            <w:r>
              <w:rPr>
                <w:rFonts w:ascii="Calibri" w:hAnsi="Calibri"/>
                <w:b w:val="0"/>
                <w:i w:val="0"/>
                <w:color w:val="212121"/>
                <w:sz w:val="16"/>
              </w:rPr>
              <w:t>Detects anaemia, corrosive scarring, metastatic node or aspiration</w:t>
            </w:r>
          </w:p>
        </w:tc>
        <w:tc>
          <w:tcPr>
            <w:tcW w:type="dxa" w:w="1036"/>
            <w:vAlign w:val="top"/>
          </w:tcPr>
          <w:p>
            <w:pPr>
              <w:spacing w:after="40" w:before="0" w:line="259" w:lineRule="auto"/>
            </w:pPr>
            <w:r>
              <w:rPr>
                <w:rFonts w:ascii="Calibri" w:hAnsi="Calibri"/>
                <w:b w:val="0"/>
                <w:i w:val="0"/>
                <w:color w:val="212121"/>
                <w:sz w:val="16"/>
              </w:rPr>
              <w:t>Cancer, corrosive and aspiration-prone patients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Physical exam is often unremarkable in early benign stricture</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Progressive dysphagia to solids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cardinal symptom - difficulty first with solids (bread, rice, meat), later with soft foods, as the lumen narrows.</w:t>
            </w:r>
          </w:p>
        </w:tc>
      </w:tr>
      <w:tr>
        <w:trPr>
          <w:cantSplit/>
        </w:trPr>
        <w:tc>
          <w:tcPr>
            <w:tcW w:type="dxa" w:w="2304"/>
            <w:vAlign w:val="top"/>
          </w:tcPr>
          <w:p>
            <w:pPr>
              <w:spacing w:after="40" w:before="0" w:line="259" w:lineRule="auto"/>
            </w:pPr>
            <w:r>
              <w:rPr>
                <w:rFonts w:ascii="Calibri" w:hAnsi="Calibri"/>
                <w:b/>
                <w:i w:val="0"/>
                <w:color w:val="212121"/>
                <w:sz w:val="19"/>
              </w:rPr>
              <w:t>Dysphagia to liquids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Appears later, with tight or high-grade strictures, indicating advanced narrowing.</w:t>
            </w:r>
          </w:p>
        </w:tc>
      </w:tr>
      <w:tr>
        <w:trPr>
          <w:cantSplit/>
        </w:trPr>
        <w:tc>
          <w:tcPr>
            <w:tcW w:type="dxa" w:w="2304"/>
            <w:vAlign w:val="top"/>
          </w:tcPr>
          <w:p>
            <w:pPr>
              <w:spacing w:after="40" w:before="0" w:line="259" w:lineRule="auto"/>
            </w:pPr>
            <w:r>
              <w:rPr>
                <w:rFonts w:ascii="Calibri" w:hAnsi="Calibri"/>
                <w:b/>
                <w:i w:val="0"/>
                <w:color w:val="212121"/>
                <w:sz w:val="19"/>
              </w:rPr>
              <w:t>Regurgitation of undigested food</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Food retained above the narrowing is regurgitated, sometimes minutes to hours after eating.</w:t>
            </w:r>
          </w:p>
        </w:tc>
      </w:tr>
      <w:tr>
        <w:trPr>
          <w:cantSplit/>
        </w:trPr>
        <w:tc>
          <w:tcPr>
            <w:tcW w:type="dxa" w:w="2304"/>
            <w:vAlign w:val="top"/>
          </w:tcPr>
          <w:p>
            <w:pPr>
              <w:spacing w:after="40" w:before="0" w:line="259" w:lineRule="auto"/>
            </w:pPr>
            <w:r>
              <w:rPr>
                <w:rFonts w:ascii="Calibri" w:hAnsi="Calibri"/>
                <w:b/>
                <w:i w:val="0"/>
                <w:color w:val="212121"/>
                <w:sz w:val="19"/>
              </w:rPr>
              <w:t>Food bolus impaction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Acute complete obstruction by a food bolus; an underlying stricture is found in about 45% of impactions at endoscopy.</w:t>
            </w:r>
          </w:p>
        </w:tc>
      </w:tr>
      <w:tr>
        <w:trPr>
          <w:cantSplit/>
        </w:trPr>
        <w:tc>
          <w:tcPr>
            <w:tcW w:type="dxa" w:w="2304"/>
            <w:vAlign w:val="top"/>
          </w:tcPr>
          <w:p>
            <w:pPr>
              <w:spacing w:after="40" w:before="0" w:line="259" w:lineRule="auto"/>
            </w:pPr>
            <w:r>
              <w:rPr>
                <w:rFonts w:ascii="Calibri" w:hAnsi="Calibri"/>
                <w:b/>
                <w:i w:val="0"/>
                <w:color w:val="212121"/>
                <w:sz w:val="19"/>
              </w:rPr>
              <w:t>Heartburn / acid regurgitation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Reflects the underlying GERD in peptic strictures; may paradoxically ease as the stricture tightens.</w:t>
            </w:r>
          </w:p>
        </w:tc>
      </w:tr>
      <w:tr>
        <w:trPr>
          <w:cantSplit/>
        </w:trPr>
        <w:tc>
          <w:tcPr>
            <w:tcW w:type="dxa" w:w="2304"/>
            <w:vAlign w:val="top"/>
          </w:tcPr>
          <w:p>
            <w:pPr>
              <w:spacing w:after="40" w:before="0" w:line="259" w:lineRule="auto"/>
            </w:pPr>
            <w:r>
              <w:rPr>
                <w:rFonts w:ascii="Calibri" w:hAnsi="Calibri"/>
                <w:b/>
                <w:i w:val="0"/>
                <w:color w:val="212121"/>
                <w:sz w:val="19"/>
              </w:rPr>
              <w:t>Retrosternal chest pain / discomfort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Pain behind the breastbone during or after swallowing, from distension above the stricture.</w:t>
            </w:r>
          </w:p>
        </w:tc>
      </w:tr>
      <w:tr>
        <w:trPr>
          <w:cantSplit/>
        </w:trPr>
        <w:tc>
          <w:tcPr>
            <w:tcW w:type="dxa" w:w="2304"/>
            <w:vAlign w:val="top"/>
          </w:tcPr>
          <w:p>
            <w:pPr>
              <w:spacing w:after="40" w:before="0" w:line="259" w:lineRule="auto"/>
            </w:pPr>
            <w:r>
              <w:rPr>
                <w:rFonts w:ascii="Calibri" w:hAnsi="Calibri"/>
                <w:b/>
                <w:i w:val="0"/>
                <w:color w:val="212121"/>
                <w:sz w:val="19"/>
              </w:rPr>
              <w:t>Unintentional weight loss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From reduced intake; rapid or marked loss is a red flag for malignant stricture.</w:t>
            </w:r>
          </w:p>
        </w:tc>
      </w:tr>
      <w:tr>
        <w:trPr>
          <w:cantSplit/>
        </w:trPr>
        <w:tc>
          <w:tcPr>
            <w:tcW w:type="dxa" w:w="2304"/>
            <w:vAlign w:val="top"/>
          </w:tcPr>
          <w:p>
            <w:pPr>
              <w:spacing w:after="40" w:before="0" w:line="259" w:lineRule="auto"/>
            </w:pPr>
            <w:r>
              <w:rPr>
                <w:rFonts w:ascii="Calibri" w:hAnsi="Calibri"/>
                <w:b/>
                <w:i w:val="0"/>
                <w:color w:val="212121"/>
                <w:sz w:val="19"/>
              </w:rPr>
              <w:t>Odynophagia (painful swallowing)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More typical of active inflammation, corrosive, pill-induced or infective esophagitis.</w:t>
            </w:r>
          </w:p>
        </w:tc>
      </w:tr>
      <w:tr>
        <w:trPr>
          <w:cantSplit/>
        </w:trPr>
        <w:tc>
          <w:tcPr>
            <w:tcW w:type="dxa" w:w="2304"/>
            <w:vAlign w:val="top"/>
          </w:tcPr>
          <w:p>
            <w:pPr>
              <w:spacing w:after="40" w:before="0" w:line="259" w:lineRule="auto"/>
            </w:pPr>
            <w:r>
              <w:rPr>
                <w:rFonts w:ascii="Calibri" w:hAnsi="Calibri"/>
                <w:b/>
                <w:i w:val="0"/>
                <w:color w:val="212121"/>
                <w:sz w:val="19"/>
              </w:rPr>
              <w:t>Cough, choking or nocturnal aspiration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Retained food or reflux spills into the airway, causing cough, choking or aspiration pneumonia.</w:t>
            </w:r>
          </w:p>
        </w:tc>
      </w:tr>
      <w:tr>
        <w:trPr>
          <w:cantSplit/>
        </w:trPr>
        <w:tc>
          <w:tcPr>
            <w:tcW w:type="dxa" w:w="2304"/>
            <w:vAlign w:val="top"/>
          </w:tcPr>
          <w:p>
            <w:pPr>
              <w:spacing w:after="40" w:before="0" w:line="259" w:lineRule="auto"/>
            </w:pPr>
            <w:r>
              <w:rPr>
                <w:rFonts w:ascii="Calibri" w:hAnsi="Calibri"/>
                <w:b/>
                <w:i w:val="0"/>
                <w:color w:val="212121"/>
                <w:sz w:val="19"/>
              </w:rPr>
              <w:t>Excess salivation / water brash / drooling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Saliva and food pool above a tight stricture, causing drooling and a sense of fullness in the throat.</w:t>
            </w:r>
          </w:p>
        </w:tc>
      </w:tr>
      <w:tr>
        <w:trPr>
          <w:cantSplit/>
        </w:trPr>
        <w:tc>
          <w:tcPr>
            <w:tcW w:type="dxa" w:w="2304"/>
            <w:vAlign w:val="top"/>
          </w:tcPr>
          <w:p>
            <w:pPr>
              <w:spacing w:after="40" w:before="0" w:line="259" w:lineRule="auto"/>
            </w:pPr>
            <w:r>
              <w:rPr>
                <w:rFonts w:ascii="Calibri" w:hAnsi="Calibri"/>
                <w:b/>
                <w:i w:val="0"/>
                <w:color w:val="212121"/>
                <w:sz w:val="19"/>
              </w:rPr>
              <w:t>Hoarseness of voice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Suggests laryngopharyngeal reflux or recurrent laryngeal nerve involvement by malignant stricture.</w:t>
            </w:r>
          </w:p>
        </w:tc>
      </w:tr>
      <w:tr>
        <w:trPr>
          <w:cantSplit/>
        </w:trPr>
        <w:tc>
          <w:tcPr>
            <w:tcW w:type="dxa" w:w="2304"/>
            <w:vAlign w:val="top"/>
          </w:tcPr>
          <w:p>
            <w:pPr>
              <w:spacing w:after="40" w:before="0" w:line="259" w:lineRule="auto"/>
            </w:pPr>
            <w:r>
              <w:rPr>
                <w:rFonts w:ascii="Calibri" w:hAnsi="Calibri"/>
                <w:b/>
                <w:i w:val="0"/>
                <w:color w:val="212121"/>
                <w:sz w:val="19"/>
              </w:rPr>
              <w:t>Haematemesis / melena</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Bleeding from ulcerated peptic, corrosive or malignant strictures, or after instrumentation.</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Weight loss / cachexia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Visible loss of muscle and fat mass from chronically reduced intake; marked in malignant strictures.</w:t>
            </w:r>
          </w:p>
        </w:tc>
      </w:tr>
      <w:tr>
        <w:trPr>
          <w:cantSplit/>
        </w:trPr>
        <w:tc>
          <w:tcPr>
            <w:tcW w:type="dxa" w:w="3456"/>
            <w:vAlign w:val="top"/>
          </w:tcPr>
          <w:p>
            <w:pPr>
              <w:spacing w:after="40" w:before="0" w:line="259" w:lineRule="auto"/>
            </w:pPr>
            <w:r>
              <w:rPr>
                <w:rFonts w:ascii="Calibri" w:hAnsi="Calibri"/>
                <w:b/>
                <w:i w:val="0"/>
                <w:color w:val="212121"/>
                <w:sz w:val="19"/>
              </w:rPr>
              <w:t>Signs of dehydration / malnutrition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Dry mucosae, reduced skin turgor and micronutrient deficiency from poor oral intake.</w:t>
            </w:r>
          </w:p>
        </w:tc>
      </w:tr>
      <w:tr>
        <w:trPr>
          <w:cantSplit/>
        </w:trPr>
        <w:tc>
          <w:tcPr>
            <w:tcW w:type="dxa" w:w="3456"/>
            <w:vAlign w:val="top"/>
          </w:tcPr>
          <w:p>
            <w:pPr>
              <w:spacing w:after="40" w:before="0" w:line="259" w:lineRule="auto"/>
            </w:pPr>
            <w:r>
              <w:rPr>
                <w:rFonts w:ascii="Calibri" w:hAnsi="Calibri"/>
                <w:b/>
                <w:i w:val="0"/>
                <w:color w:val="212121"/>
                <w:sz w:val="19"/>
              </w:rPr>
              <w:t>Pallor (anaemia)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From iron-deficiency (Plummer-Vinson webs, chronic reflux blood loss) or malignancy.</w:t>
            </w:r>
          </w:p>
        </w:tc>
      </w:tr>
      <w:tr>
        <w:trPr>
          <w:cantSplit/>
        </w:trPr>
        <w:tc>
          <w:tcPr>
            <w:tcW w:type="dxa" w:w="3456"/>
            <w:vAlign w:val="top"/>
          </w:tcPr>
          <w:p>
            <w:pPr>
              <w:spacing w:after="40" w:before="0" w:line="259" w:lineRule="auto"/>
            </w:pPr>
            <w:r>
              <w:rPr>
                <w:rFonts w:ascii="Calibri" w:hAnsi="Calibri"/>
                <w:b/>
                <w:i w:val="0"/>
                <w:color w:val="212121"/>
                <w:sz w:val="19"/>
              </w:rPr>
              <w:t>Dental erosions / halitosis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Acid reflux erodes enamel; retained fermenting food above a stricture causes bad breath.</w:t>
            </w:r>
          </w:p>
        </w:tc>
      </w:tr>
      <w:tr>
        <w:trPr>
          <w:cantSplit/>
        </w:trPr>
        <w:tc>
          <w:tcPr>
            <w:tcW w:type="dxa" w:w="3456"/>
            <w:vAlign w:val="top"/>
          </w:tcPr>
          <w:p>
            <w:pPr>
              <w:spacing w:after="40" w:before="0" w:line="259" w:lineRule="auto"/>
            </w:pPr>
            <w:r>
              <w:rPr>
                <w:rFonts w:ascii="Calibri" w:hAnsi="Calibri"/>
                <w:b/>
                <w:i w:val="0"/>
                <w:color w:val="212121"/>
                <w:sz w:val="19"/>
              </w:rPr>
              <w:t>Oropharyngeal corrosive scarring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Healed burns of lips, tongue and pharynx in survivors of caustic ingestion.</w:t>
            </w:r>
          </w:p>
        </w:tc>
      </w:tr>
      <w:tr>
        <w:trPr>
          <w:cantSplit/>
        </w:trPr>
        <w:tc>
          <w:tcPr>
            <w:tcW w:type="dxa" w:w="3456"/>
            <w:vAlign w:val="top"/>
          </w:tcPr>
          <w:p>
            <w:pPr>
              <w:spacing w:after="40" w:before="0" w:line="259" w:lineRule="auto"/>
            </w:pPr>
            <w:r>
              <w:rPr>
                <w:rFonts w:ascii="Calibri" w:hAnsi="Calibri"/>
                <w:b/>
                <w:i w:val="0"/>
                <w:color w:val="212121"/>
                <w:sz w:val="19"/>
              </w:rPr>
              <w:t>Aspiration signs (crepitations, wheeze)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Chest crackles or wheeze from aspiration of retained food or refluxate.</w:t>
            </w:r>
          </w:p>
        </w:tc>
      </w:tr>
      <w:tr>
        <w:trPr>
          <w:cantSplit/>
        </w:trPr>
        <w:tc>
          <w:tcPr>
            <w:tcW w:type="dxa" w:w="3456"/>
            <w:vAlign w:val="top"/>
          </w:tcPr>
          <w:p>
            <w:pPr>
              <w:spacing w:after="40" w:before="0" w:line="259" w:lineRule="auto"/>
            </w:pPr>
            <w:r>
              <w:rPr>
                <w:rFonts w:ascii="Calibri" w:hAnsi="Calibri"/>
                <w:b/>
                <w:i w:val="0"/>
                <w:color w:val="212121"/>
                <w:sz w:val="19"/>
              </w:rPr>
              <w:t>Supraclavicular (Virchow) lymphadenopathy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 firm left supraclavicular node suggests metastatic esophageal carcinoma.</w:t>
            </w:r>
          </w:p>
        </w:tc>
      </w:tr>
      <w:tr>
        <w:trPr>
          <w:cantSplit/>
        </w:trPr>
        <w:tc>
          <w:tcPr>
            <w:tcW w:type="dxa" w:w="3456"/>
            <w:vAlign w:val="top"/>
          </w:tcPr>
          <w:p>
            <w:pPr>
              <w:spacing w:after="40" w:before="0" w:line="259" w:lineRule="auto"/>
            </w:pPr>
            <w:r>
              <w:rPr>
                <w:rFonts w:ascii="Calibri" w:hAnsi="Calibri"/>
                <w:b/>
                <w:i w:val="0"/>
                <w:color w:val="212121"/>
                <w:sz w:val="19"/>
              </w:rPr>
              <w:t>Palpable neck / epigastric mass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Occasionally palpable in advanced malignant disease.</w:t>
            </w:r>
          </w:p>
        </w:tc>
      </w:tr>
      <w:tr>
        <w:trPr>
          <w:cantSplit/>
        </w:trPr>
        <w:tc>
          <w:tcPr>
            <w:tcW w:type="dxa" w:w="3456"/>
            <w:vAlign w:val="top"/>
          </w:tcPr>
          <w:p>
            <w:pPr>
              <w:spacing w:after="40" w:before="0" w:line="259" w:lineRule="auto"/>
            </w:pPr>
            <w:r>
              <w:rPr>
                <w:rFonts w:ascii="Calibri" w:hAnsi="Calibri"/>
                <w:b/>
                <w:i w:val="0"/>
                <w:color w:val="212121"/>
                <w:sz w:val="19"/>
              </w:rPr>
              <w:t>Subcutaneous emphysema / crepitus in neck</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Indicates esophageal perforation (spontaneous or post-dilation) - a surgical emergency.</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Food bolus impaction and acute obstruction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Regurgitation and aspiration of food/liquids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Dehydration, weight loss and malnutrition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Micronutrient and iron deficiency</w:t>
            </w:r>
          </w:p>
        </w:tc>
        <w:tc>
          <w:tcPr>
            <w:tcW w:type="dxa" w:w="2980"/>
            <w:vAlign w:val="top"/>
          </w:tcPr>
          <w:p>
            <w:pPr>
              <w:spacing w:after="40" w:before="0" w:line="259" w:lineRule="auto"/>
            </w:pPr>
            <w:r>
              <w:rPr>
                <w:rFonts w:ascii="Calibri" w:hAnsi="Calibri"/>
                <w:b w:val="0"/>
                <w:i w:val="0"/>
                <w:color w:val="212121"/>
                <w:sz w:val="19"/>
              </w:rPr>
              <w:t>Direct mechanical consequences of luminal narrowing and impaired swallowing</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Aspiration pneumonia and airway compromise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Esophageal perforation, bleeding and bacteremia (notably after dilation - bacteremia in ~22%)</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and refractory stricture requiring repeated dilation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Esophageal ulceration and fistula (tracheo-esophageal) formation</w:t>
            </w:r>
          </w:p>
        </w:tc>
        <w:tc>
          <w:tcPr>
            <w:tcW w:type="dxa" w:w="2980"/>
            <w:vAlign w:val="top"/>
          </w:tcPr>
          <w:p>
            <w:pPr>
              <w:spacing w:after="40" w:before="0" w:line="259" w:lineRule="auto"/>
            </w:pPr>
            <w:r>
              <w:rPr>
                <w:rFonts w:ascii="Calibri" w:hAnsi="Calibri"/>
                <w:b w:val="0"/>
                <w:i w:val="0"/>
                <w:color w:val="212121"/>
                <w:sz w:val="19"/>
              </w:rPr>
              <w:t>Arise from progression of the stricture, aspiration, or from therapeutic instrumentation</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esophageal obstruction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cachexia and dependence on feeding tube / gastrostomy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Need for esophageal replacement surgery (esophagectomy, colon/gastric interposition)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Squamous-cell carcinoma arising in long-standing corrosive strictures (decades later)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Poor quality of life from lifelong dilations and dietary restriction</w:t>
            </w:r>
          </w:p>
        </w:tc>
        <w:tc>
          <w:tcPr>
            <w:tcW w:type="dxa" w:w="2980"/>
            <w:vAlign w:val="top"/>
          </w:tcPr>
          <w:p>
            <w:pPr>
              <w:spacing w:after="40" w:before="0" w:line="259" w:lineRule="auto"/>
            </w:pPr>
            <w:r>
              <w:rPr>
                <w:rFonts w:ascii="Calibri" w:hAnsi="Calibri"/>
                <w:b w:val="0"/>
                <w:i w:val="0"/>
                <w:color w:val="212121"/>
                <w:sz w:val="19"/>
              </w:rPr>
              <w:t>Irreversible, disabling outcomes of long-standing, severe or malignant strictures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Gastro-esophageal reflux disease (GERD)</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Chronic acid-peptic injury is the direct cause of peptic strictures, which form 70-80% of adult benign strictures.</w:t>
            </w:r>
          </w:p>
          <w:p>
            <w:pPr>
              <w:spacing w:after="40" w:before="0" w:line="259" w:lineRule="auto"/>
            </w:pPr>
            <w:r>
              <w:rPr>
                <w:rFonts w:ascii="Calibri" w:hAnsi="Calibri"/>
                <w:b/>
                <w:i w:val="0"/>
                <w:color w:val="212121"/>
                <w:sz w:val="19"/>
              </w:rPr>
              <w:t>70-80% (of benign strictures)</w:t>
            </w:r>
          </w:p>
        </w:tc>
      </w:tr>
      <w:tr>
        <w:trPr>
          <w:cantSplit/>
        </w:trPr>
        <w:tc>
          <w:tcPr>
            <w:tcW w:type="dxa" w:w="2232"/>
            <w:vAlign w:val="top"/>
          </w:tcPr>
          <w:p>
            <w:pPr>
              <w:spacing w:after="40" w:before="0" w:line="259" w:lineRule="auto"/>
            </w:pPr>
            <w:r>
              <w:rPr>
                <w:rFonts w:ascii="Calibri" w:hAnsi="Calibri"/>
                <w:b/>
                <w:i w:val="0"/>
                <w:color w:val="212121"/>
                <w:sz w:val="19"/>
              </w:rPr>
              <w:t>Hiatal hernia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Displaces the gastro-esophageal junction and impairs the reflux barrier, strongly potentiating peptic stricture.</w:t>
            </w:r>
          </w:p>
          <w:p>
            <w:pPr>
              <w:spacing w:after="40" w:before="0" w:line="259" w:lineRule="auto"/>
            </w:pPr>
            <w:r>
              <w:rPr>
                <w:rFonts w:ascii="Calibri" w:hAnsi="Calibri"/>
                <w:b/>
                <w:i w:val="0"/>
                <w:color w:val="212121"/>
                <w:sz w:val="19"/>
              </w:rPr>
              <w:t>Up to 85% (of GERD-related strictures)</w:t>
            </w:r>
          </w:p>
        </w:tc>
      </w:tr>
      <w:tr>
        <w:trPr>
          <w:cantSplit/>
        </w:trPr>
        <w:tc>
          <w:tcPr>
            <w:tcW w:type="dxa" w:w="2232"/>
            <w:vAlign w:val="top"/>
          </w:tcPr>
          <w:p>
            <w:pPr>
              <w:spacing w:after="40" w:before="0" w:line="259" w:lineRule="auto"/>
            </w:pPr>
            <w:r>
              <w:rPr>
                <w:rFonts w:ascii="Calibri" w:hAnsi="Calibri"/>
                <w:b/>
                <w:i w:val="0"/>
                <w:color w:val="212121"/>
                <w:sz w:val="19"/>
              </w:rPr>
              <w:t>Barrett's esophagus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metaplastic consequence of chronic reflux; shares the GERD pathway and adds adenocarcinoma risk, altering surveillance.</w:t>
            </w:r>
          </w:p>
        </w:tc>
      </w:tr>
      <w:tr>
        <w:trPr>
          <w:cantSplit/>
        </w:trPr>
        <w:tc>
          <w:tcPr>
            <w:tcW w:type="dxa" w:w="2232"/>
            <w:vAlign w:val="top"/>
          </w:tcPr>
          <w:p>
            <w:pPr>
              <w:spacing w:after="40" w:before="0" w:line="259" w:lineRule="auto"/>
            </w:pPr>
            <w:r>
              <w:rPr>
                <w:rFonts w:ascii="Calibri" w:hAnsi="Calibri"/>
                <w:b/>
                <w:i w:val="0"/>
                <w:color w:val="212121"/>
                <w:sz w:val="19"/>
              </w:rPr>
              <w:t>Esophageal carcinoma (SCC / adenocarcinoma)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Causes rapidly progressive malignant strictures; long-standing corrosive strictures carry a delayed SCC risk, so biopsy is mandatory.</w:t>
            </w:r>
          </w:p>
          <w:p>
            <w:pPr>
              <w:spacing w:after="40" w:before="0" w:line="259" w:lineRule="auto"/>
            </w:pPr>
            <w:r>
              <w:rPr>
                <w:rFonts w:ascii="Calibri" w:hAnsi="Calibri"/>
                <w:b/>
                <w:i w:val="0"/>
                <w:color w:val="212121"/>
                <w:sz w:val="19"/>
              </w:rPr>
              <w:t>~90% of esophageal cancers are SCC</w:t>
            </w:r>
          </w:p>
        </w:tc>
      </w:tr>
      <w:tr>
        <w:trPr>
          <w:cantSplit/>
        </w:trPr>
        <w:tc>
          <w:tcPr>
            <w:tcW w:type="dxa" w:w="2232"/>
            <w:vAlign w:val="top"/>
          </w:tcPr>
          <w:p>
            <w:pPr>
              <w:spacing w:after="40" w:before="0" w:line="259" w:lineRule="auto"/>
            </w:pPr>
            <w:r>
              <w:rPr>
                <w:rFonts w:ascii="Calibri" w:hAnsi="Calibri"/>
                <w:b/>
                <w:i w:val="0"/>
                <w:color w:val="212121"/>
                <w:sz w:val="19"/>
              </w:rPr>
              <w:t>Corrosive (caustic) ingestion</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Deep chemical burns heal by dense fibrosis, producing long, complex, refractory strictures.</w:t>
            </w:r>
          </w:p>
          <w:p>
            <w:pPr>
              <w:spacing w:after="40" w:before="0" w:line="259" w:lineRule="auto"/>
            </w:pPr>
            <w:r>
              <w:rPr>
                <w:rFonts w:ascii="Calibri" w:hAnsi="Calibri"/>
                <w:b/>
                <w:i w:val="0"/>
                <w:color w:val="212121"/>
                <w:sz w:val="19"/>
              </w:rPr>
              <w:t>~26% develop stricture</w:t>
            </w:r>
          </w:p>
        </w:tc>
      </w:tr>
      <w:tr>
        <w:trPr>
          <w:cantSplit/>
        </w:trPr>
        <w:tc>
          <w:tcPr>
            <w:tcW w:type="dxa" w:w="2232"/>
            <w:vAlign w:val="top"/>
          </w:tcPr>
          <w:p>
            <w:pPr>
              <w:spacing w:after="40" w:before="0" w:line="259" w:lineRule="auto"/>
            </w:pPr>
            <w:r>
              <w:rPr>
                <w:rFonts w:ascii="Calibri" w:hAnsi="Calibri"/>
                <w:b/>
                <w:i w:val="0"/>
                <w:color w:val="212121"/>
                <w:sz w:val="19"/>
              </w:rPr>
              <w:t>Eosinophilic esophagitis (EoE)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Chronic eosinophilic inflammation remodels the wall into fibrostenotic rings; treating the inflammation is essential before/alongside dilation.</w:t>
            </w:r>
          </w:p>
          <w:p>
            <w:pPr>
              <w:spacing w:after="40" w:before="0" w:line="259" w:lineRule="auto"/>
            </w:pPr>
            <w:r>
              <w:rPr>
                <w:rFonts w:ascii="Calibri" w:hAnsi="Calibri"/>
                <w:b/>
                <w:i w:val="0"/>
                <w:color w:val="212121"/>
                <w:sz w:val="19"/>
              </w:rPr>
              <w:t>3.2% (of reflux-symptom patients, India)</w:t>
            </w:r>
          </w:p>
        </w:tc>
      </w:tr>
      <w:tr>
        <w:trPr>
          <w:cantSplit/>
        </w:trPr>
        <w:tc>
          <w:tcPr>
            <w:tcW w:type="dxa" w:w="2232"/>
            <w:vAlign w:val="top"/>
          </w:tcPr>
          <w:p>
            <w:pPr>
              <w:spacing w:after="40" w:before="0" w:line="259" w:lineRule="auto"/>
            </w:pPr>
            <w:r>
              <w:rPr>
                <w:rFonts w:ascii="Calibri" w:hAnsi="Calibri"/>
                <w:b/>
                <w:i w:val="0"/>
                <w:color w:val="212121"/>
                <w:sz w:val="19"/>
              </w:rPr>
              <w:t>Iron-deficiency anaemia / Plummer-Vinson syndrome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Chronic iron deficiency produces upper-esophageal webs; iron repletion can resolve the narrowing.</w:t>
            </w:r>
          </w:p>
        </w:tc>
      </w:tr>
      <w:tr>
        <w:trPr>
          <w:cantSplit/>
        </w:trPr>
        <w:tc>
          <w:tcPr>
            <w:tcW w:type="dxa" w:w="2232"/>
            <w:vAlign w:val="top"/>
          </w:tcPr>
          <w:p>
            <w:pPr>
              <w:spacing w:after="40" w:before="0" w:line="259" w:lineRule="auto"/>
            </w:pPr>
            <w:r>
              <w:rPr>
                <w:rFonts w:ascii="Calibri" w:hAnsi="Calibri"/>
                <w:b/>
                <w:i w:val="0"/>
                <w:color w:val="212121"/>
                <w:sz w:val="19"/>
              </w:rPr>
              <w:t>Systemic sclerosis (scleroderma)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Smooth-muscle fibrosis and a hypotensive sphincter cause severe reflux and refractory peptic strictures.</w:t>
            </w:r>
          </w:p>
        </w:tc>
      </w:tr>
      <w:tr>
        <w:trPr>
          <w:cantSplit/>
        </w:trPr>
        <w:tc>
          <w:tcPr>
            <w:tcW w:type="dxa" w:w="2232"/>
            <w:vAlign w:val="top"/>
          </w:tcPr>
          <w:p>
            <w:pPr>
              <w:spacing w:after="40" w:before="0" w:line="259" w:lineRule="auto"/>
            </w:pPr>
            <w:r>
              <w:rPr>
                <w:rFonts w:ascii="Calibri" w:hAnsi="Calibri"/>
                <w:b/>
                <w:i w:val="0"/>
                <w:color w:val="212121"/>
                <w:sz w:val="19"/>
              </w:rPr>
              <w:t>Post-esophagectomy anastomosis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Ischaemia and tension at the surgical join cause benign anastomotic strictures needing serial dilation.</w:t>
            </w:r>
          </w:p>
          <w:p>
            <w:pPr>
              <w:spacing w:after="40" w:before="0" w:line="259" w:lineRule="auto"/>
            </w:pPr>
            <w:r>
              <w:rPr>
                <w:rFonts w:ascii="Calibri" w:hAnsi="Calibri"/>
                <w:b/>
                <w:i w:val="0"/>
                <w:color w:val="212121"/>
                <w:sz w:val="19"/>
              </w:rPr>
              <w:t>22-50% of esophagectomies</w:t>
            </w:r>
          </w:p>
        </w:tc>
      </w:tr>
      <w:tr>
        <w:trPr>
          <w:cantSplit/>
        </w:trPr>
        <w:tc>
          <w:tcPr>
            <w:tcW w:type="dxa" w:w="2232"/>
            <w:vAlign w:val="top"/>
          </w:tcPr>
          <w:p>
            <w:pPr>
              <w:spacing w:after="40" w:before="0" w:line="259" w:lineRule="auto"/>
            </w:pPr>
            <w:r>
              <w:rPr>
                <w:rFonts w:ascii="Calibri" w:hAnsi="Calibri"/>
                <w:b/>
                <w:i w:val="0"/>
                <w:color w:val="212121"/>
                <w:sz w:val="19"/>
              </w:rPr>
              <w:t>Aspiration pneumonia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Retained food and refluxate spill into the airway, especially with tight or high strictures.</w:t>
            </w:r>
          </w:p>
        </w:tc>
      </w:tr>
      <w:tr>
        <w:trPr>
          <w:cantSplit/>
        </w:trPr>
        <w:tc>
          <w:tcPr>
            <w:tcW w:type="dxa" w:w="2232"/>
            <w:vAlign w:val="top"/>
          </w:tcPr>
          <w:p>
            <w:pPr>
              <w:spacing w:after="40" w:before="0" w:line="259" w:lineRule="auto"/>
            </w:pPr>
            <w:r>
              <w:rPr>
                <w:rFonts w:ascii="Calibri" w:hAnsi="Calibri"/>
                <w:b/>
                <w:i w:val="0"/>
                <w:color w:val="212121"/>
                <w:sz w:val="19"/>
              </w:rPr>
              <w:t>Obesity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Central adiposity raises intra-abdominal pressure and hiatal hernia, worsening the reflux that drives peptic stricture.</w:t>
            </w:r>
          </w:p>
        </w:tc>
      </w:tr>
      <w:tr>
        <w:trPr>
          <w:cantSplit/>
        </w:trPr>
        <w:tc>
          <w:tcPr>
            <w:tcW w:type="dxa" w:w="2232"/>
            <w:vAlign w:val="top"/>
          </w:tcPr>
          <w:p>
            <w:pPr>
              <w:spacing w:after="40" w:before="0" w:line="259" w:lineRule="auto"/>
            </w:pPr>
            <w:r>
              <w:rPr>
                <w:rFonts w:ascii="Calibri" w:hAnsi="Calibri"/>
                <w:b/>
                <w:i w:val="0"/>
                <w:color w:val="212121"/>
                <w:sz w:val="19"/>
              </w:rPr>
              <w:t>Depression / suicidal behaviour</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Underlies many corrosive ingestions and is worsened by chronic dysphagia, repeated dilations and malnutrition.</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Store all household acids, alkalis and cleaning agents in original labelled containers, out of children's reach - never decant into water/soft-drink bottles.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alarm symptoms (progressive dysphagia, food sticking, weight loss, vomiting blood) and seek prompt endoscopy rather than self-medicating.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chronic heartburn early with lifestyle change and prescribed acid-suppression to prevent peptic scarring.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tablets (NSAIDs, doxycycline, potassium, bisphosphonates, iron) with a full glass of water and stay upright for 30 minutes.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planned dilation and PPI follow-up after a stricture is diagnosed to prevent recurrence and complications.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with young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GERD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on multiple pills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Corrosive-injury survivors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At-risk mental-health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soft, moist, well-cooked foods in small mouthfuls, chew thoroughly and sip water between bites to ease passage through the narrowing.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dry, fibrous or bulky foods (dry rice, bread, tough meat, raw fibrous vegetables) that impact on a stricture.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Sit upright while eating and for 30-45 minutes afterwards; avoid eating within 3 hours of lying down.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acidic, spicy and fatty foods and very hot beverages that aggravate reflux and mucosal injury.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nutrition with calorie-dense soft foods or supplements; consider dietitian input if weight is falling.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esophageal stricture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GERD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Post-dilation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Malnourished/underweight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Adopt a reflux-friendly diet: smaller frequent meals, more whole grains, fruit and vegetables, less fried and processed food.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very hot tea/beverages and reduce salt-preserved, smoked or sun-dried foods linked to esophageal cancer.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iron deficiency with iron-rich foods and supplements to prevent esophageal webs.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an interval of at least 3 hours between the last meal and bedtime.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High-risk regions (Kashmir, North-East)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Iron-deficient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Obese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GERD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Achieve and maintain a healthy weight (BMI 18.5-24.9; waist &lt; 90 cm men, &lt; 80 cm women) to reduce reflux pressure.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at least 150 minutes/week of moderate activity such as brisk walking to support weight control.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vigorous exercise or bending immediately after meals, which promotes reflux.</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aerobic activity with gradual 5-10% weight loss in overweight individuals with GERD.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GERD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workers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Elevate the head of the bed by 15-20 cm (or use a wedge) to reduce nocturnal acid reflux.</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Finish the last meal at least 3 hours before lying down.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Sleep in a left-lateral position, which reduces esophageal acid exposure.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late-night snacks, alcohol and caffeine near bedtime.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GERD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Obese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Night-shift/late eaters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all forms of tobacco (smoking, bidis and chewing) to restore sphincter tone and cut squamous-cell carcinoma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structured cessation support, counselling and pharmacotherapy or quit-line services.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passive smoke exposure, which also aggravates reflux.</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cessation with alcohol reduction for the greatest fall in cancer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Tobacco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High-risk cancer-belt populations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GERD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or strictly limit alcohol, which injures esophageal mucosa, worsens reflux and independently raises cancer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Never combine heavy alcohol with tobacco, as the risks multiply.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de-addiction support for alcohol dependence.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close to bedtime to reduce nocturnal reflux.</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Regular/heavy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High-risk cancer-belt populations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GERD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psychiatric assessment and support for anyone who has ingested caustics with suicidal intent.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depression and anxiety linked to chronic dysphagia and repeated dilations.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counselling and peer support to sustain the long dilation and nutrition programme.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safe storage/removal of household chemicals from at-risk individuals.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Corrosive-ingestion survivors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chronic refractory stricture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At-risk mental-health patients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books/NBK542209/" TargetMode="External"/><Relationship Id="rId10" Type="http://schemas.openxmlformats.org/officeDocument/2006/relationships/hyperlink" Target="https://www.ijmpo.org/ejournals/topic/epidemiological-review-esophagus-squamous-cell-carcinoma-in-india" TargetMode="External"/><Relationship Id="rId11" Type="http://schemas.openxmlformats.org/officeDocument/2006/relationships/hyperlink" Target="https://link.springer.com/article/10.1007/s12664-019-00978-z" TargetMode="External"/><Relationship Id="rId12" Type="http://schemas.openxmlformats.org/officeDocument/2006/relationships/hyperlink" Target="https://link.springer.com/article/10.1007/s12664-020-01104-0" TargetMode="External"/><Relationship Id="rId13" Type="http://schemas.openxmlformats.org/officeDocument/2006/relationships/hyperlink" Target="https://www.ncbi.nlm.nih.gov/books/NBK538306/" TargetMode="External"/><Relationship Id="rId14" Type="http://schemas.openxmlformats.org/officeDocument/2006/relationships/hyperlink" Target="https://link.springer.com/article/10.1007/s12664-017-078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