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Fecal Incontinence</w:t>
      </w:r>
    </w:p>
    <w:p>
      <w:pPr>
        <w:spacing w:before="0" w:after="160"/>
      </w:pPr>
      <w:r>
        <w:rPr>
          <w:rFonts w:ascii="Calibri" w:hAnsi="Calibri"/>
          <w:b/>
          <w:i w:val="0"/>
          <w:color w:val="212121"/>
          <w:sz w:val="22"/>
        </w:rPr>
        <w:t xml:space="preserve">AKA </w:t>
      </w:r>
      <w:r>
        <w:rPr>
          <w:rFonts w:ascii="Calibri" w:hAnsi="Calibri"/>
          <w:b w:val="0"/>
          <w:i w:val="0"/>
          <w:color w:val="212121"/>
          <w:sz w:val="22"/>
        </w:rPr>
        <w:t>i.e., Faecal incontinence, Bowel incontinence, Anal incontinence, Accidental bowel leakage, Loss of bowel control, Encopresis (in children)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Fecal (faecal) incontinence is the recurrent, involuntary loss of solid or liquid stool through the anus in a person who has previously achieved bowel control; when involuntary escape of flatus is also included the term anal incontinence is used. Continence depends on the coordinated action of the internal and external anal sphincters, the puborectalis muscle and anorectal angle, rectal reservoir capacity and compliance, intact anorectal sensation and normal stool consistency - disruption of any one of these components can produce incontinence. Severity ranges from occasional seepage or staining of underwear to the complete, uncontrolled passage of formed stool. It is a distressing, socially isolating and frequently under-reported symptom rather than a disease in itself, and in India stigma and low awareness lead to marked under-diagnosis.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Community estimates place fecal incontinence at roughly 2-21% of adults (median about 7.7%), rising steeply with age; pooled global figures are near 10% in women (95% CI 8-12%) and 7% in men (95% CI 6-9%). In an Indian tertiary-centre study of 728 post-menopausal women, 10.1% reported fecal incontinence, with vaginal delivery and coexisting comorbid diseases the strongest associations. Prevalence reaches about 22% among women in their seventh decade and 25-35% among nursing-home residents, and true rates in India are almost certainly higher than reported because shame and stigma suppress disclosure.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Fecal incontinence is primarily a clinical diagnosis - involuntary leakage of stool occurring at least monthly for three or more months in someone previously continent - with severity graded by validated scores and the mechanism defined by targeted anorectal testing: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detailed bowel history documenting the type of leakage (flatus, liquid or solid stool), its frequency and duration, and whether it is urge (with a sudden compelling need) or passive (without awareness);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validated severity scoring - the Wexner / Cleveland Clinic Florida score (0 = perfect continence to 20 = complete incontinence) and the St Mark's (Vaizey) score - to grade severity and monitor response to treatment;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digital rectal examination assessing resting tone (internal sphincter), voluntary squeeze pressure (external sphincter and puborectalis), fecal impaction, masses, prolapse and perineal descent (&gt; 3 cm on straining is abnormal), with testing of the anal wink reflex;</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endoanal (endorectal) ultrasound - the structural gold standard - to demonstrate internal and external anal sphincter defects and measure sphincter thickness;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anorectal manometry to quantify resting and squeeze pressures, rectal sensory thresholds, the recto-anal inhibitory reflex and rectal compliance;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pudendal nerve terminal motor latency and/or needle electromyography where a neurogenic cause (obstetric, diabetic, spinal) is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defecography (MR or fluoroscopic) to assess evacuation, rectal prolapse and intussusception, and flexible sigmoidoscopy/colonoscopy where diarrhea, bleeding or mucosal disease needs exclusion.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Fecal incontinence is classified by the mechanism and awareness of leakage, by the nature of the material lost, by the underlying cause and by graded severity:</w:t>
      </w:r>
    </w:p>
    <w:p>
      <w:pPr>
        <w:spacing w:before="0" w:after="80"/>
      </w:pPr>
      <w:r>
        <w:rPr>
          <w:rFonts w:ascii="Calibri" w:hAnsi="Calibri"/>
          <w:b w:val="0"/>
          <w:i w:val="0"/>
          <w:color w:val="212121"/>
          <w:sz w:val="21"/>
        </w:rPr>
        <w:t>(1) By mechanism - Passive incontinence (involuntary discharge without any awareness, indicating internal-anal-sphincter dysfunction, impaired sensation or neuropathy), Urge incontinence (leakage despite an active, conscious attempt to retain stool with preserved sensation, indicating external-sphincter or puborectalis weakness) and Fecal seepage (undesired staining or soiling after otherwise normal defecation, with near-normal continence and often incomplete evacuation);</w:t>
      </w:r>
    </w:p>
    <w:p>
      <w:pPr>
        <w:spacing w:before="0" w:after="80"/>
      </w:pPr>
      <w:r>
        <w:rPr>
          <w:rFonts w:ascii="Calibri" w:hAnsi="Calibri"/>
          <w:b w:val="0"/>
          <w:i w:val="0"/>
          <w:color w:val="212121"/>
          <w:sz w:val="21"/>
        </w:rPr>
        <w:t>(2) By content - flatus (gas), liquid-stool and solid-stool incontinence; the broader term anal incontinence includes flatus, while fecal incontinence is restricted to stool. Leakage of flatus, mucus, liquid or staining is often termed minor incontinence, and loss of formed solid stool major incontinence;</w:t>
      </w:r>
    </w:p>
    <w:p>
      <w:pPr>
        <w:spacing w:before="0" w:after="80"/>
      </w:pPr>
      <w:r>
        <w:rPr>
          <w:rFonts w:ascii="Calibri" w:hAnsi="Calibri"/>
          <w:b w:val="0"/>
          <w:i w:val="0"/>
          <w:color w:val="212121"/>
          <w:sz w:val="21"/>
        </w:rPr>
        <w:t>(3) By cause - structural/anatomical (obstetric or surgical sphincter injury, anal fistula, rectal prolapse, prolapsing hemorrhoids), neurogenic/functional (spinal cord injury, stroke, multiple sclerosis, cauda equina, diabetic neuropathy, dementia), overflow (fecal impaction with paradoxical leakage, typically in the elderly, immobile or opioid-treated) and idiopathic;</w:t>
      </w:r>
    </w:p>
    <w:p>
      <w:pPr>
        <w:spacing w:before="0" w:after="80"/>
      </w:pPr>
      <w:r>
        <w:rPr>
          <w:rFonts w:ascii="Calibri" w:hAnsi="Calibri"/>
          <w:b w:val="0"/>
          <w:i w:val="0"/>
          <w:color w:val="212121"/>
          <w:sz w:val="21"/>
        </w:rPr>
        <w:t>(4) By severity - objectively graded with the Wexner and St Mark's scores, which combine frequency, stool type (gas, liquid, solid), pad use, lifestyle restriction and urgency to categorise the problem as minor, moderate or severe and to track treatment outcome.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Obstetric anal sphincter injury (OASI): Vaginal delivery - especially instrumental (forceps or ventouse) birth, prolonged second stage, macrosomia and third/fourth-degree perineal tears - mechanically disrupts the anal sphincters and/or stretches the pudendal nerve; it is the single commonest cause in women and may present decades later.</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Anorectal surgery and trauma: Hemorrhoidectomy, fistulotomy, lateral internal sphincterotomy (for fissure), anal dilatation and pelvic/perineal trauma directly injure or divide the sphincter - an important, and often preventable, iatrogenic cause given the high volume of anorectal procedures in India.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Neurological disease: Spinal cord injury, stroke, multiple sclerosis, cauda equina syndrome, diabetic autonomic and pudendal neuropathy and dementia impair anorectal sensation, sphincter tone and the coordinated continence reflex, producing neurogenic incontinence.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Diarrhea and altered stool consistency: Loose or urgent stool from irritable bowel syndrome, inflammatory bowel disease, infection, malabsorption, bile-acid diarrhea or laxatives overwhelms even a competent sphincter and is the single most treatable contributor.</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Fecal impaction with overflow: Chronic constipation and hard impacted stool (common in the elderly, immobile, dehydrated and opioid users) cause paradoxical liquid overflow leakage around the fecal mass, a frequently missed cause.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Pelvic-floor and sphincter degeneration: Age-related, menopausal and chronic-straining weakening of the sphincters and pelvic floor lowers resting and squeeze pressures and flattens the anorectal angle.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Structural anorectal disease: Rectal prolapse, prolapsing hemorrhoids, rectovaginal fistula and rectal or anal carcinoma distort the anorectal barrier and breach the continence mechanism.</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(multiparous women, 40-60 years)</w:t>
            </w:r>
          </w:p>
        </w:tc>
        <w:tc>
          <w:tcPr>
            <w:tcW w:type="dxa" w:w="4276"/>
            <w:vAlign w:val="top"/>
          </w:tcPr>
          <w:p>
            <w:pPr>
              <w:spacing w:after="60" w:line="259" w:lineRule="auto"/>
            </w:pPr>
            <w:r>
              <w:rPr>
                <w:rFonts w:ascii="Calibri" w:hAnsi="Calibri"/>
                <w:b w:val="0"/>
                <w:i w:val="0"/>
                <w:color w:val="212121"/>
                <w:sz w:val="19"/>
              </w:rPr>
              <w:t>The effects of earlier obstetric sphincter and pudendal-nerve injury accumulate and, combined with menopausal pelvic-floor weakening, cause incontinence to surface in middle age, often years after the causative delivery.</w:t>
            </w:r>
          </w:p>
          <w:p>
            <w:pPr>
              <w:spacing w:after="40" w:before="60" w:line="259" w:lineRule="auto"/>
            </w:pPr>
            <w:r>
              <w:rPr>
                <w:rFonts w:ascii="Calibri" w:hAnsi="Calibri"/>
                <w:b w:val="0"/>
                <w:i w:val="0"/>
                <w:color w:val="212121"/>
                <w:sz w:val="19"/>
              </w:rPr>
              <w:t>In an Indian study of 728 post-menopausal women (median age 58), 10.1% reported fecal incontinence, most strongly linked to prior vaginal delivery.</w:t>
            </w:r>
          </w:p>
          <w:p>
            <w:pPr>
              <w:spacing w:after="40" w:line="252" w:lineRule="auto"/>
            </w:pPr>
            <w:hyperlink r:id="rId9">
              <w:r>
                <w:rPr>
                  <w:rFonts w:ascii="Calibri" w:hAnsi="Calibri" w:cs="Calibri"/>
                  <w:sz w:val="18"/>
                  <w:color w:val="1155CC"/>
                  <w:u w:val="single"/>
                </w:rPr>
                <w:t xml:space="preserve">journals.sagepub.com - FI in post-menopausal Indian women</w:t>
              </w:r>
            </w:hyperlink>
          </w:p>
          <w:p>
            <w:pPr>
              <w:spacing w:before="60" w:after="40"/>
            </w:pPr>
            <w:r>
              <w:rPr>
                <w:rFonts w:ascii="Calibri" w:hAnsi="Calibri"/>
                <w:b w:val="0"/>
                <w:i w:val="0"/>
                <w:color w:val="5A5A5A"/>
                <w:sz w:val="18"/>
              </w:rPr>
              <w:t>#obstetricinjury  #multiparous  #menopause  #pelvicfloor  #delayedonset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 65 years)</w:t>
            </w:r>
          </w:p>
        </w:tc>
        <w:tc>
          <w:tcPr>
            <w:tcW w:type="dxa" w:w="4276"/>
            <w:vAlign w:val="top"/>
          </w:tcPr>
          <w:p>
            <w:pPr>
              <w:spacing w:after="60" w:line="259" w:lineRule="auto"/>
            </w:pPr>
            <w:r>
              <w:rPr>
                <w:rFonts w:ascii="Calibri" w:hAnsi="Calibri"/>
                <w:b w:val="0"/>
                <w:i w:val="0"/>
                <w:color w:val="212121"/>
                <w:sz w:val="19"/>
              </w:rPr>
              <w:t>Age brings sphincter degeneration, reduced rectal sensation, immobility, dementia and constipation with fecal impaction and overflow, making the elderly the highest-risk group and driving institutional care.</w:t>
            </w:r>
          </w:p>
          <w:p>
            <w:pPr>
              <w:spacing w:after="40" w:before="60" w:line="259" w:lineRule="auto"/>
            </w:pPr>
            <w:r>
              <w:rPr>
                <w:rFonts w:ascii="Calibri" w:hAnsi="Calibri"/>
                <w:b w:val="0"/>
                <w:i w:val="0"/>
                <w:color w:val="212121"/>
                <w:sz w:val="19"/>
              </w:rPr>
              <w:t>Prevalence reaches about 22% in women in their seventh decade and 25-35% among nursing-home residents; FI is a leading contributor to nursing-home placement.</w:t>
            </w:r>
          </w:p>
          <w:p>
            <w:pPr>
              <w:spacing w:after="40" w:line="252" w:lineRule="auto"/>
            </w:pPr>
            <w:hyperlink r:id="rId10">
              <w:r>
                <w:rPr>
                  <w:rFonts w:ascii="Calibri" w:hAnsi="Calibri" w:cs="Calibri"/>
                  <w:sz w:val="18"/>
                  <w:color w:val="1155CC"/>
                  <w:u w:val="single"/>
                </w:rPr>
                <w:t xml:space="preserve">ncbi.nlm.nih.gov - Fecal Incontinence (StatPearls)</w:t>
              </w:r>
            </w:hyperlink>
          </w:p>
          <w:p>
            <w:pPr>
              <w:spacing w:before="60" w:after="40"/>
            </w:pPr>
            <w:r>
              <w:rPr>
                <w:rFonts w:ascii="Calibri" w:hAnsi="Calibri"/>
                <w:b w:val="0"/>
                <w:i w:val="0"/>
                <w:color w:val="5A5A5A"/>
                <w:sz w:val="18"/>
              </w:rPr>
              <w:t>#elderly  #impaction  #overflow  #dementia  #nursinghome</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bear the burden of obstetric sphincter injury, have a shorter anal canal and thinner perineal body, and are more prone to irritable bowel syndrome - so fecal incontinence is consistently commoner in women.</w:t>
            </w:r>
          </w:p>
          <w:p>
            <w:pPr>
              <w:spacing w:after="40" w:before="60" w:line="259" w:lineRule="auto"/>
            </w:pPr>
            <w:r>
              <w:rPr>
                <w:rFonts w:ascii="Calibri" w:hAnsi="Calibri"/>
                <w:b w:val="0"/>
                <w:i w:val="0"/>
                <w:color w:val="212121"/>
                <w:sz w:val="19"/>
              </w:rPr>
              <w:t>Pooled global prevalence is about 10% in women (95% CI 8-12%) versus 7% in men (95% CI 6-9%).</w:t>
            </w:r>
          </w:p>
          <w:p>
            <w:pPr>
              <w:spacing w:after="40" w:line="252" w:lineRule="auto"/>
            </w:pPr>
            <w:hyperlink r:id="rId11">
              <w:r>
                <w:rPr>
                  <w:rFonts w:ascii="Calibri" w:hAnsi="Calibri" w:cs="Calibri"/>
                  <w:sz w:val="18"/>
                  <w:color w:val="1155CC"/>
                  <w:u w:val="single"/>
                </w:rPr>
                <w:t xml:space="preserve">frontiersin.org - FI prevalence by sex</w:t>
              </w:r>
            </w:hyperlink>
          </w:p>
          <w:p>
            <w:pPr>
              <w:spacing w:before="60" w:after="40"/>
            </w:pPr>
            <w:r>
              <w:rPr>
                <w:rFonts w:ascii="Calibri" w:hAnsi="Calibri"/>
                <w:b w:val="0"/>
                <w:i w:val="0"/>
                <w:color w:val="5A5A5A"/>
                <w:sz w:val="18"/>
              </w:rPr>
              <w:t>#female  #childbirth  #shortanalcanal  #IBS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In men incontinence more often follows anorectal or prostate surgery, radiotherapy, spinal/neurological disease or receptive anal intercourse rather than childbirth, but the symptom is equally stigmatised and under-reported.</w:t>
            </w:r>
          </w:p>
          <w:p>
            <w:pPr>
              <w:spacing w:after="40" w:before="60" w:line="259" w:lineRule="auto"/>
            </w:pPr>
            <w:r>
              <w:rPr>
                <w:rFonts w:ascii="Calibri" w:hAnsi="Calibri"/>
                <w:b w:val="0"/>
                <w:i w:val="0"/>
                <w:color w:val="212121"/>
                <w:sz w:val="19"/>
              </w:rPr>
              <w:t>Pooled prevalence in men is about 7% (95% CI 6-9%), with risk rising with age and post-surgical sphincter injury.</w:t>
            </w:r>
          </w:p>
          <w:p>
            <w:pPr>
              <w:spacing w:after="40" w:line="252" w:lineRule="auto"/>
            </w:pPr>
            <w:hyperlink r:id="rId11">
              <w:r>
                <w:rPr>
                  <w:rFonts w:ascii="Calibri" w:hAnsi="Calibri" w:cs="Calibri"/>
                  <w:sz w:val="18"/>
                  <w:color w:val="1155CC"/>
                  <w:u w:val="single"/>
                </w:rPr>
                <w:t xml:space="preserve">frontiersin.org - FI prevalence by sex</w:t>
              </w:r>
            </w:hyperlink>
          </w:p>
          <w:p>
            <w:pPr>
              <w:spacing w:before="60" w:after="40"/>
            </w:pPr>
            <w:r>
              <w:rPr>
                <w:rFonts w:ascii="Calibri" w:hAnsi="Calibri"/>
                <w:b w:val="0"/>
                <w:i w:val="0"/>
                <w:color w:val="5A5A5A"/>
                <w:sz w:val="18"/>
              </w:rPr>
              <w:t>#male  #postsurgical  #prostate  #neurogenic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women with unattended / home deliveries</w:t>
            </w:r>
          </w:p>
        </w:tc>
        <w:tc>
          <w:tcPr>
            <w:tcW w:type="dxa" w:w="4276"/>
            <w:vAlign w:val="top"/>
          </w:tcPr>
          <w:p>
            <w:pPr>
              <w:spacing w:after="60" w:line="259" w:lineRule="auto"/>
            </w:pPr>
            <w:r>
              <w:rPr>
                <w:rFonts w:ascii="Calibri" w:hAnsi="Calibri"/>
                <w:b w:val="0"/>
                <w:i w:val="0"/>
                <w:color w:val="212121"/>
                <w:sz w:val="19"/>
              </w:rPr>
              <w:t>Poverty is linked to home or unsupervised delivery, obstructed labour, unrepaired or poorly repaired perineal tears and delayed presentation; stigma and cost then keep women from seeking care for the resulting incontinence.</w:t>
            </w:r>
          </w:p>
          <w:p>
            <w:pPr>
              <w:spacing w:after="40" w:before="60" w:line="259" w:lineRule="auto"/>
            </w:pPr>
            <w:r>
              <w:rPr>
                <w:rFonts w:ascii="Calibri" w:hAnsi="Calibri"/>
                <w:b w:val="0"/>
                <w:i w:val="0"/>
                <w:color w:val="212121"/>
                <w:sz w:val="19"/>
              </w:rPr>
              <w:t>Vaginal delivery carried the highest odds of fecal incontinence (P &lt; 0.0001) among Indian post-menopausal women, ahead of comorbidity and prior abdominal surgery.</w:t>
            </w:r>
          </w:p>
          <w:p>
            <w:pPr>
              <w:spacing w:after="40" w:line="252" w:lineRule="auto"/>
            </w:pPr>
            <w:hyperlink r:id="rId9">
              <w:r>
                <w:rPr>
                  <w:rFonts w:ascii="Calibri" w:hAnsi="Calibri" w:cs="Calibri"/>
                  <w:sz w:val="18"/>
                  <w:color w:val="1155CC"/>
                  <w:u w:val="single"/>
                </w:rPr>
                <w:t xml:space="preserve">journals.sagepub.com - FI in post-menopausal Indian women</w:t>
              </w:r>
            </w:hyperlink>
          </w:p>
          <w:p>
            <w:pPr>
              <w:spacing w:before="60" w:after="40"/>
            </w:pPr>
            <w:r>
              <w:rPr>
                <w:rFonts w:ascii="Calibri" w:hAnsi="Calibri"/>
                <w:b w:val="0"/>
                <w:i w:val="0"/>
                <w:color w:val="5A5A5A"/>
                <w:sz w:val="18"/>
              </w:rPr>
              <w:t>#socioeconomic  #homedelivery  #unrepairedtear  #access  #stigma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Obstetric access</w:t>
            </w:r>
          </w:p>
        </w:tc>
        <w:tc>
          <w:tcPr>
            <w:tcW w:type="dxa" w:w="2160"/>
            <w:vAlign w:val="top"/>
          </w:tcPr>
          <w:p>
            <w:pPr>
              <w:spacing w:after="40" w:before="0" w:line="259" w:lineRule="auto"/>
            </w:pPr>
            <w:r>
              <w:rPr>
                <w:rFonts w:ascii="Calibri" w:hAnsi="Calibri"/>
                <w:b w:val="0"/>
                <w:i w:val="0"/>
                <w:color w:val="212121"/>
                <w:sz w:val="19"/>
              </w:rPr>
              <w:t>Rural India with limited skilled birth attendance</w:t>
            </w:r>
          </w:p>
        </w:tc>
        <w:tc>
          <w:tcPr>
            <w:tcW w:type="dxa" w:w="4276"/>
            <w:vAlign w:val="top"/>
          </w:tcPr>
          <w:p>
            <w:pPr>
              <w:spacing w:after="60" w:line="259" w:lineRule="auto"/>
            </w:pPr>
            <w:r>
              <w:rPr>
                <w:rFonts w:ascii="Calibri" w:hAnsi="Calibri"/>
                <w:b w:val="0"/>
                <w:i w:val="0"/>
                <w:color w:val="212121"/>
                <w:sz w:val="19"/>
              </w:rPr>
              <w:t>Where skilled birth attendance, timely episiotomy repair and third/fourth-degree tear recognition are scarce, obstetric anal sphincter injuries go unrepaired and progress to chronic incontinence.</w:t>
            </w:r>
          </w:p>
          <w:p>
            <w:pPr>
              <w:spacing w:after="40" w:before="60" w:line="259" w:lineRule="auto"/>
            </w:pPr>
            <w:r>
              <w:rPr>
                <w:rFonts w:ascii="Calibri" w:hAnsi="Calibri"/>
                <w:b w:val="0"/>
                <w:i w:val="0"/>
                <w:color w:val="212121"/>
                <w:sz w:val="19"/>
              </w:rPr>
              <w:t>At a South Indian tertiary centre, sphincter injury complicated 2.1% of vaginal births and 1.1% of all deliveries, with major (3c/4th-degree) tears forming 20.9% of all tears.</w:t>
            </w:r>
          </w:p>
          <w:p>
            <w:pPr>
              <w:spacing w:after="40" w:line="252" w:lineRule="auto"/>
            </w:pPr>
            <w:hyperlink r:id="rId12">
              <w:r>
                <w:rPr>
                  <w:rFonts w:ascii="Calibri" w:hAnsi="Calibri" w:cs="Calibri"/>
                  <w:sz w:val="18"/>
                  <w:color w:val="1155CC"/>
                  <w:u w:val="single"/>
                </w:rPr>
                <w:t xml:space="preserve">link.springer.com - OASI risk factors, south India</w:t>
              </w:r>
            </w:hyperlink>
          </w:p>
          <w:p>
            <w:pPr>
              <w:spacing w:before="60" w:after="40"/>
            </w:pPr>
            <w:r>
              <w:rPr>
                <w:rFonts w:ascii="Calibri" w:hAnsi="Calibri"/>
                <w:b w:val="0"/>
                <w:i w:val="0"/>
                <w:color w:val="5A5A5A"/>
                <w:sz w:val="18"/>
              </w:rPr>
              <w:t>#rural  #OASI  #birthattendance  #perinealtear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Setting</w:t>
            </w:r>
          </w:p>
        </w:tc>
        <w:tc>
          <w:tcPr>
            <w:tcW w:type="dxa" w:w="2160"/>
            <w:vAlign w:val="top"/>
          </w:tcPr>
          <w:p>
            <w:pPr>
              <w:spacing w:after="40" w:before="0" w:line="259" w:lineRule="auto"/>
            </w:pPr>
            <w:r>
              <w:rPr>
                <w:rFonts w:ascii="Calibri" w:hAnsi="Calibri"/>
                <w:b w:val="0"/>
                <w:i w:val="0"/>
                <w:color w:val="212121"/>
                <w:sz w:val="19"/>
              </w:rPr>
              <w:t>Institutionalised / bedbound residents</w:t>
            </w:r>
          </w:p>
        </w:tc>
        <w:tc>
          <w:tcPr>
            <w:tcW w:type="dxa" w:w="4276"/>
            <w:vAlign w:val="top"/>
          </w:tcPr>
          <w:p>
            <w:pPr>
              <w:spacing w:after="60" w:line="259" w:lineRule="auto"/>
            </w:pPr>
            <w:r>
              <w:rPr>
                <w:rFonts w:ascii="Calibri" w:hAnsi="Calibri"/>
                <w:b w:val="0"/>
                <w:i w:val="0"/>
                <w:color w:val="212121"/>
                <w:sz w:val="19"/>
              </w:rPr>
              <w:t>Immobility, cognitive impairment, dependence on carers to toilet, constipation and impaction concentrate fecal incontinence in care-home and long-stay hospital settings.</w:t>
            </w:r>
          </w:p>
          <w:p>
            <w:pPr>
              <w:spacing w:after="40" w:before="60" w:line="259" w:lineRule="auto"/>
            </w:pPr>
            <w:r>
              <w:rPr>
                <w:rFonts w:ascii="Calibri" w:hAnsi="Calibri"/>
                <w:b w:val="0"/>
                <w:i w:val="0"/>
                <w:color w:val="212121"/>
                <w:sz w:val="19"/>
              </w:rPr>
              <w:t>Fecal incontinence affects 25-35% of nursing-home residents and 10-25% of hospitalised patients.</w:t>
            </w:r>
          </w:p>
          <w:p>
            <w:pPr>
              <w:spacing w:after="40" w:line="252" w:lineRule="auto"/>
            </w:pPr>
            <w:hyperlink r:id="rId10">
              <w:r>
                <w:rPr>
                  <w:rFonts w:ascii="Calibri" w:hAnsi="Calibri" w:cs="Calibri"/>
                  <w:sz w:val="18"/>
                  <w:color w:val="1155CC"/>
                  <w:u w:val="single"/>
                </w:rPr>
                <w:t xml:space="preserve">ncbi.nlm.nih.gov - Fecal Incontinence (StatPearls)</w:t>
              </w:r>
            </w:hyperlink>
          </w:p>
          <w:p>
            <w:pPr>
              <w:spacing w:before="60" w:after="40"/>
            </w:pPr>
            <w:r>
              <w:rPr>
                <w:rFonts w:ascii="Calibri" w:hAnsi="Calibri"/>
                <w:b w:val="0"/>
                <w:i w:val="0"/>
                <w:color w:val="5A5A5A"/>
                <w:sz w:val="18"/>
              </w:rPr>
              <w:t>#carehome  #bedbound  #immobility  #dependency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Immobility</w:t>
            </w:r>
          </w:p>
        </w:tc>
        <w:tc>
          <w:tcPr>
            <w:tcW w:type="dxa" w:w="2160"/>
            <w:vAlign w:val="top"/>
          </w:tcPr>
          <w:p>
            <w:pPr>
              <w:spacing w:after="40" w:before="0" w:line="259" w:lineRule="auto"/>
            </w:pPr>
            <w:r>
              <w:rPr>
                <w:rFonts w:ascii="Calibri" w:hAnsi="Calibri"/>
                <w:b w:val="0"/>
                <w:i w:val="0"/>
                <w:color w:val="212121"/>
                <w:sz w:val="19"/>
              </w:rPr>
              <w:t>Physically inactive and bedbound adults</w:t>
            </w:r>
          </w:p>
        </w:tc>
        <w:tc>
          <w:tcPr>
            <w:tcW w:type="dxa" w:w="4276"/>
            <w:vAlign w:val="top"/>
          </w:tcPr>
          <w:p>
            <w:pPr>
              <w:spacing w:after="60" w:line="259" w:lineRule="auto"/>
            </w:pPr>
            <w:r>
              <w:rPr>
                <w:rFonts w:ascii="Calibri" w:hAnsi="Calibri"/>
                <w:b w:val="0"/>
                <w:i w:val="0"/>
                <w:color w:val="212121"/>
                <w:sz w:val="19"/>
              </w:rPr>
              <w:t>A sedentary, immobile state slows colonic transit and promotes constipation and fecal impaction with overflow leakage, and reduces the ability to reach a toilet before urgency becomes an accident.</w:t>
            </w:r>
          </w:p>
          <w:p>
            <w:pPr>
              <w:spacing w:after="40" w:before="60" w:line="259" w:lineRule="auto"/>
            </w:pPr>
            <w:r>
              <w:rPr>
                <w:rFonts w:ascii="Calibri" w:hAnsi="Calibri"/>
                <w:b w:val="0"/>
                <w:i w:val="0"/>
                <w:color w:val="212121"/>
                <w:sz w:val="19"/>
              </w:rPr>
              <w:t>Immobility and constipation with impaction are recognised, potentially reversible drivers of incontinence, especially in the elderly.</w:t>
            </w:r>
          </w:p>
          <w:p>
            <w:pPr>
              <w:spacing w:after="40" w:line="252" w:lineRule="auto"/>
            </w:pPr>
            <w:hyperlink r:id="rId10">
              <w:r>
                <w:rPr>
                  <w:rFonts w:ascii="Calibri" w:hAnsi="Calibri" w:cs="Calibri"/>
                  <w:sz w:val="18"/>
                  <w:color w:val="1155CC"/>
                  <w:u w:val="single"/>
                </w:rPr>
                <w:t xml:space="preserve">ncbi.nlm.nih.gov - Fecal Incontinence (StatPearls)</w:t>
              </w:r>
            </w:hyperlink>
          </w:p>
          <w:p>
            <w:pPr>
              <w:spacing w:before="60" w:after="40"/>
            </w:pPr>
            <w:r>
              <w:rPr>
                <w:rFonts w:ascii="Calibri" w:hAnsi="Calibri"/>
                <w:b w:val="0"/>
                <w:i w:val="0"/>
                <w:color w:val="5A5A5A"/>
                <w:sz w:val="18"/>
              </w:rPr>
              <w:t>#sedentary  #immobility  #constipation  #overflow</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Chronic smokers</w:t>
            </w:r>
          </w:p>
        </w:tc>
        <w:tc>
          <w:tcPr>
            <w:tcW w:type="dxa" w:w="4276"/>
            <w:vAlign w:val="top"/>
          </w:tcPr>
          <w:p>
            <w:pPr>
              <w:spacing w:after="60" w:line="259" w:lineRule="auto"/>
            </w:pPr>
            <w:r>
              <w:rPr>
                <w:rFonts w:ascii="Calibri" w:hAnsi="Calibri"/>
                <w:b w:val="0"/>
                <w:i w:val="0"/>
                <w:color w:val="212121"/>
                <w:sz w:val="19"/>
              </w:rPr>
              <w:t>Chronic smoker's cough repeatedly raises intra-abdominal pressure and strains the pelvic floor, while nicotine stimulates colonic motility; smoking is associated particularly with urge fecal incontinence.</w:t>
            </w:r>
          </w:p>
          <w:p>
            <w:pPr>
              <w:spacing w:after="40" w:before="60" w:line="259" w:lineRule="auto"/>
            </w:pPr>
            <w:r>
              <w:rPr>
                <w:rFonts w:ascii="Calibri" w:hAnsi="Calibri"/>
                <w:b w:val="0"/>
                <w:i w:val="0"/>
                <w:color w:val="212121"/>
                <w:sz w:val="19"/>
              </w:rPr>
              <w:t>Smoking-related chronic cough and colonic stimulation are recognised contributors to urge-type incontinence and pelvic-floor strain.</w:t>
            </w:r>
          </w:p>
          <w:p>
            <w:pPr>
              <w:spacing w:before="60" w:after="40"/>
            </w:pPr>
            <w:r>
              <w:rPr>
                <w:rFonts w:ascii="Calibri" w:hAnsi="Calibri"/>
                <w:b w:val="0"/>
                <w:i w:val="0"/>
                <w:color w:val="5A5A5A"/>
                <w:sz w:val="18"/>
              </w:rPr>
              <w:t>#smoking  #cough  #urgeFI  #pelvicfloor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regular drinkers</w:t>
            </w:r>
          </w:p>
        </w:tc>
        <w:tc>
          <w:tcPr>
            <w:tcW w:type="dxa" w:w="4276"/>
            <w:vAlign w:val="top"/>
          </w:tcPr>
          <w:p>
            <w:pPr>
              <w:spacing w:after="60" w:line="259" w:lineRule="auto"/>
            </w:pPr>
            <w:r>
              <w:rPr>
                <w:rFonts w:ascii="Calibri" w:hAnsi="Calibri"/>
                <w:b w:val="0"/>
                <w:i w:val="0"/>
                <w:color w:val="212121"/>
                <w:sz w:val="19"/>
              </w:rPr>
              <w:t>Alcohol accelerates gut transit and provokes loose, urgent stools, and chronic heavy use causes peripheral and autonomic neuropathy - both of which overwhelm the sphincter mechanism.</w:t>
            </w:r>
          </w:p>
          <w:p>
            <w:pPr>
              <w:spacing w:after="40" w:before="60" w:line="259" w:lineRule="auto"/>
            </w:pPr>
            <w:r>
              <w:rPr>
                <w:rFonts w:ascii="Calibri" w:hAnsi="Calibri"/>
                <w:b w:val="0"/>
                <w:i w:val="0"/>
                <w:color w:val="212121"/>
                <w:sz w:val="19"/>
              </w:rPr>
              <w:t>Alcohol-induced diarrhea and neuropathy are established, modifiable aggravators of stool leakage.</w:t>
            </w:r>
          </w:p>
          <w:p>
            <w:pPr>
              <w:spacing w:before="60" w:after="40"/>
            </w:pPr>
            <w:r>
              <w:rPr>
                <w:rFonts w:ascii="Calibri" w:hAnsi="Calibri"/>
                <w:b w:val="0"/>
                <w:i w:val="0"/>
                <w:color w:val="5A5A5A"/>
                <w:sz w:val="18"/>
              </w:rPr>
              <w:t>#alcohol  #diarrhea  #neuropathy  #urgency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Central (abdominal) obesity</w:t>
            </w:r>
          </w:p>
        </w:tc>
        <w:tc>
          <w:tcPr>
            <w:tcW w:type="dxa" w:w="4276"/>
            <w:vAlign w:val="top"/>
          </w:tcPr>
          <w:p>
            <w:pPr>
              <w:spacing w:after="60" w:line="259" w:lineRule="auto"/>
            </w:pPr>
            <w:r>
              <w:rPr>
                <w:rFonts w:ascii="Calibri" w:hAnsi="Calibri"/>
                <w:b w:val="0"/>
                <w:i w:val="0"/>
                <w:color w:val="212121"/>
                <w:sz w:val="19"/>
              </w:rPr>
              <w:t>Excess abdominal fat chronically raises intra-abdominal pressure and stresses the pelvic floor and anal sphincters, and is associated with altered rectal sensitivity; body-fat distribution matters more than weight alone.</w:t>
            </w:r>
          </w:p>
          <w:p>
            <w:pPr>
              <w:spacing w:after="40" w:before="60" w:line="259" w:lineRule="auto"/>
            </w:pPr>
            <w:r>
              <w:rPr>
                <w:rFonts w:ascii="Calibri" w:hAnsi="Calibri"/>
                <w:b w:val="0"/>
                <w:i w:val="0"/>
                <w:color w:val="212121"/>
                <w:sz w:val="19"/>
              </w:rPr>
              <w:t>A high waist-to-height ratio (WHtR &gt; 0.592) independently predicted fecal incontinence (OR 1.77, 95% CI 1.11-2.80), whereas BMI alone did not.</w:t>
            </w:r>
          </w:p>
          <w:p>
            <w:pPr>
              <w:spacing w:after="40" w:line="252" w:lineRule="auto"/>
            </w:pPr>
            <w:hyperlink r:id="rId13">
              <w:r>
                <w:rPr>
                  <w:rFonts w:ascii="Calibri" w:hAnsi="Calibri" w:cs="Calibri"/>
                  <w:sz w:val="18"/>
                  <w:color w:val="1155CC"/>
                  <w:u w:val="single"/>
                </w:rPr>
                <w:t xml:space="preserve">emjreviews.com - obesity (WHtR) and faecal incontinence</w:t>
              </w:r>
            </w:hyperlink>
          </w:p>
          <w:p>
            <w:pPr>
              <w:spacing w:before="60" w:after="40"/>
            </w:pPr>
            <w:r>
              <w:rPr>
                <w:rFonts w:ascii="Calibri" w:hAnsi="Calibri"/>
                <w:b w:val="0"/>
                <w:i w:val="0"/>
                <w:color w:val="5A5A5A"/>
                <w:sz w:val="18"/>
              </w:rPr>
              <w:t>#obesity  #WHtR  #abdominalfat  #intraabdominalpressure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Low-fibre / irregular diet</w:t>
            </w:r>
          </w:p>
        </w:tc>
        <w:tc>
          <w:tcPr>
            <w:tcW w:type="dxa" w:w="2160"/>
            <w:vAlign w:val="top"/>
          </w:tcPr>
          <w:p>
            <w:pPr>
              <w:spacing w:after="40" w:before="0" w:line="259" w:lineRule="auto"/>
            </w:pPr>
            <w:r>
              <w:rPr>
                <w:rFonts w:ascii="Calibri" w:hAnsi="Calibri"/>
                <w:b w:val="0"/>
                <w:i w:val="0"/>
                <w:color w:val="212121"/>
                <w:sz w:val="19"/>
              </w:rPr>
              <w:t>Adults with poor stool form</w:t>
            </w:r>
          </w:p>
        </w:tc>
        <w:tc>
          <w:tcPr>
            <w:tcW w:type="dxa" w:w="4276"/>
            <w:vAlign w:val="top"/>
          </w:tcPr>
          <w:p>
            <w:pPr>
              <w:spacing w:after="60" w:line="259" w:lineRule="auto"/>
            </w:pPr>
            <w:r>
              <w:rPr>
                <w:rFonts w:ascii="Calibri" w:hAnsi="Calibri"/>
                <w:b w:val="0"/>
                <w:i w:val="0"/>
                <w:color w:val="212121"/>
                <w:sz w:val="19"/>
              </w:rPr>
              <w:t>Diets low in soluble fibre and with erratic timing produce either loose stools (that leak) or constipation with impaction and overflow; firming stool to a Bristol type 3-4 is central to control.</w:t>
            </w:r>
          </w:p>
          <w:p>
            <w:pPr>
              <w:spacing w:after="40" w:before="60" w:line="259" w:lineRule="auto"/>
            </w:pPr>
            <w:r>
              <w:rPr>
                <w:rFonts w:ascii="Calibri" w:hAnsi="Calibri"/>
                <w:b w:val="0"/>
                <w:i w:val="0"/>
                <w:color w:val="212121"/>
                <w:sz w:val="19"/>
              </w:rPr>
              <w:t>Stool consistency is the strongest modifiable determinant of continence; loose stool (Bristol 6-7) markedly raises leakage risk.</w:t>
            </w:r>
          </w:p>
          <w:p>
            <w:pPr>
              <w:spacing w:after="40" w:line="252" w:lineRule="auto"/>
            </w:pPr>
            <w:hyperlink r:id="rId10">
              <w:r>
                <w:rPr>
                  <w:rFonts w:ascii="Calibri" w:hAnsi="Calibri" w:cs="Calibri"/>
                  <w:sz w:val="18"/>
                  <w:color w:val="1155CC"/>
                  <w:u w:val="single"/>
                </w:rPr>
                <w:t xml:space="preserve">ncbi.nlm.nih.gov - Fecal Incontinence (StatPearls)</w:t>
              </w:r>
            </w:hyperlink>
          </w:p>
          <w:p>
            <w:pPr>
              <w:spacing w:before="60" w:after="40"/>
            </w:pPr>
            <w:r>
              <w:rPr>
                <w:rFonts w:ascii="Calibri" w:hAnsi="Calibri"/>
                <w:b w:val="0"/>
                <w:i w:val="0"/>
                <w:color w:val="5A5A5A"/>
                <w:sz w:val="18"/>
              </w:rPr>
              <w:t>#lowfibre  #stoolform  #Bristol  #dietaryfibre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Trigger foods / intolerance</w:t>
            </w:r>
          </w:p>
        </w:tc>
        <w:tc>
          <w:tcPr>
            <w:tcW w:type="dxa" w:w="2160"/>
            <w:vAlign w:val="top"/>
          </w:tcPr>
          <w:p>
            <w:pPr>
              <w:spacing w:after="40" w:before="0" w:line="259" w:lineRule="auto"/>
            </w:pPr>
            <w:r>
              <w:rPr>
                <w:rFonts w:ascii="Calibri" w:hAnsi="Calibri"/>
                <w:b w:val="0"/>
                <w:i w:val="0"/>
                <w:color w:val="212121"/>
                <w:sz w:val="19"/>
              </w:rPr>
              <w:t>Caffeine, spicy-food and lactose-intolerant consumers</w:t>
            </w:r>
          </w:p>
        </w:tc>
        <w:tc>
          <w:tcPr>
            <w:tcW w:type="dxa" w:w="4276"/>
            <w:vAlign w:val="top"/>
          </w:tcPr>
          <w:p>
            <w:pPr>
              <w:spacing w:after="60" w:line="259" w:lineRule="auto"/>
            </w:pPr>
            <w:r>
              <w:rPr>
                <w:rFonts w:ascii="Calibri" w:hAnsi="Calibri"/>
                <w:b w:val="0"/>
                <w:i w:val="0"/>
                <w:color w:val="212121"/>
                <w:sz w:val="19"/>
              </w:rPr>
              <w:t>Caffeine, very spicy foods, lactose (in the intolerant), sorbitol/artificial sweeteners and alcohol accelerate colonic transit and loosen stool, precipitating urgency and leakage in susceptible people.</w:t>
            </w:r>
          </w:p>
          <w:p>
            <w:pPr>
              <w:spacing w:after="40" w:before="60" w:line="259" w:lineRule="auto"/>
            </w:pPr>
            <w:r>
              <w:rPr>
                <w:rFonts w:ascii="Calibri" w:hAnsi="Calibri"/>
                <w:b w:val="0"/>
                <w:i w:val="0"/>
                <w:color w:val="212121"/>
                <w:sz w:val="19"/>
              </w:rPr>
              <w:t>Reducing dietary triggers that loosen stool is a standard, effective first-line measure for urge and diarrhea-associated incontinence.</w:t>
            </w:r>
          </w:p>
          <w:p>
            <w:pPr>
              <w:spacing w:before="60" w:after="40"/>
            </w:pPr>
            <w:r>
              <w:rPr>
                <w:rFonts w:ascii="Calibri" w:hAnsi="Calibri"/>
                <w:b w:val="0"/>
                <w:i w:val="0"/>
                <w:color w:val="5A5A5A"/>
                <w:sz w:val="18"/>
              </w:rPr>
              <w:t>#caffeine  #spicy  #lactose  #sorbitol  #triggerfoods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Connective-tissue / family history</w:t>
            </w:r>
          </w:p>
        </w:tc>
        <w:tc>
          <w:tcPr>
            <w:tcW w:type="dxa" w:w="2160"/>
            <w:vAlign w:val="top"/>
          </w:tcPr>
          <w:p>
            <w:pPr>
              <w:spacing w:after="40" w:before="0" w:line="259" w:lineRule="auto"/>
            </w:pPr>
            <w:r>
              <w:rPr>
                <w:rFonts w:ascii="Calibri" w:hAnsi="Calibri"/>
                <w:b w:val="0"/>
                <w:i w:val="0"/>
                <w:color w:val="212121"/>
                <w:sz w:val="19"/>
              </w:rPr>
              <w:t>Joint hypermobility and familial pelvic-floor weakness</w:t>
            </w:r>
          </w:p>
        </w:tc>
        <w:tc>
          <w:tcPr>
            <w:tcW w:type="dxa" w:w="4276"/>
            <w:vAlign w:val="top"/>
          </w:tcPr>
          <w:p>
            <w:pPr>
              <w:spacing w:after="60" w:line="259" w:lineRule="auto"/>
            </w:pPr>
            <w:r>
              <w:rPr>
                <w:rFonts w:ascii="Calibri" w:hAnsi="Calibri"/>
                <w:b w:val="0"/>
                <w:i w:val="0"/>
                <w:color w:val="212121"/>
                <w:sz w:val="19"/>
              </w:rPr>
              <w:t>Heritable connective-tissue laxity (e.g. Ehlers-Danlos / joint-hypermobility syndromes) and a family tendency to pelvic-floor and sphincter weakness lower the threshold for prolapse and incontinence, especially after childbirth.</w:t>
            </w:r>
          </w:p>
          <w:p>
            <w:pPr>
              <w:spacing w:after="40" w:before="60" w:line="259" w:lineRule="auto"/>
            </w:pPr>
            <w:r>
              <w:rPr>
                <w:rFonts w:ascii="Calibri" w:hAnsi="Calibri"/>
                <w:b w:val="0"/>
                <w:i w:val="0"/>
                <w:color w:val="212121"/>
                <w:sz w:val="19"/>
              </w:rPr>
              <w:t>Connective-tissue laxity predisposes to pelvic-organ prolapse and sphincter weakness, compounding obstetric risk.</w:t>
            </w:r>
          </w:p>
          <w:p>
            <w:pPr>
              <w:spacing w:before="60" w:after="40"/>
            </w:pPr>
            <w:r>
              <w:rPr>
                <w:rFonts w:ascii="Calibri" w:hAnsi="Calibri"/>
                <w:b w:val="0"/>
                <w:i w:val="0"/>
                <w:color w:val="5A5A5A"/>
                <w:sz w:val="18"/>
              </w:rPr>
              <w:t>#hypermobility  #connectivetissue  #familyhistory  #prolapse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Long-standing / poorly controlled diabetics</w:t>
            </w:r>
          </w:p>
        </w:tc>
        <w:tc>
          <w:tcPr>
            <w:tcW w:type="dxa" w:w="4276"/>
            <w:vAlign w:val="top"/>
          </w:tcPr>
          <w:p>
            <w:pPr>
              <w:spacing w:after="60" w:line="259" w:lineRule="auto"/>
            </w:pPr>
            <w:r>
              <w:rPr>
                <w:rFonts w:ascii="Calibri" w:hAnsi="Calibri"/>
                <w:b w:val="0"/>
                <w:i w:val="0"/>
                <w:color w:val="212121"/>
                <w:sz w:val="19"/>
              </w:rPr>
              <w:t>Autonomic and pudendal neuropathy weaken the internal anal sphincter and blunt rectal sensation, while diabetic enteropathy causes diarrhea - together producing incontinence, classically with nocturnal leakage.</w:t>
            </w:r>
          </w:p>
          <w:p>
            <w:pPr>
              <w:spacing w:after="40" w:before="60" w:line="259" w:lineRule="auto"/>
            </w:pPr>
            <w:r>
              <w:rPr>
                <w:rFonts w:ascii="Calibri" w:hAnsi="Calibri"/>
                <w:b w:val="0"/>
                <w:i w:val="0"/>
                <w:color w:val="212121"/>
                <w:sz w:val="19"/>
              </w:rPr>
              <w:t>About 22% of people with diabetes (roughly 1 in 5) experience frequent diarrhea, and neuropathy affecting the anal sphincter can lead to incontinence, often at night.</w:t>
            </w:r>
          </w:p>
          <w:p>
            <w:pPr>
              <w:spacing w:after="40" w:line="252" w:lineRule="auto"/>
            </w:pPr>
            <w:hyperlink r:id="rId14">
              <w:r>
                <w:rPr>
                  <w:rFonts w:ascii="Calibri" w:hAnsi="Calibri" w:cs="Calibri"/>
                  <w:sz w:val="18"/>
                  <w:color w:val="1155CC"/>
                  <w:u w:val="single"/>
                </w:rPr>
                <w:t xml:space="preserve">my.clevelandclinic.org - diabetic diarrhea &amp; incontinence</w:t>
              </w:r>
            </w:hyperlink>
          </w:p>
          <w:p>
            <w:pPr>
              <w:spacing w:before="60" w:after="40"/>
            </w:pPr>
            <w:r>
              <w:rPr>
                <w:rFonts w:ascii="Calibri" w:hAnsi="Calibri"/>
                <w:b w:val="0"/>
                <w:i w:val="0"/>
                <w:color w:val="5A5A5A"/>
                <w:sz w:val="18"/>
              </w:rPr>
              <w:t>#diabetes  #autonomicneuropathy  #IASdysfunction  #nocturnalleakage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Irritable bowel syndrome / IBD</w:t>
            </w:r>
          </w:p>
        </w:tc>
        <w:tc>
          <w:tcPr>
            <w:tcW w:type="dxa" w:w="2160"/>
            <w:vAlign w:val="top"/>
          </w:tcPr>
          <w:p>
            <w:pPr>
              <w:spacing w:after="40" w:before="0" w:line="259" w:lineRule="auto"/>
            </w:pPr>
            <w:r>
              <w:rPr>
                <w:rFonts w:ascii="Calibri" w:hAnsi="Calibri"/>
                <w:b w:val="0"/>
                <w:i w:val="0"/>
                <w:color w:val="212121"/>
                <w:sz w:val="19"/>
              </w:rPr>
              <w:t>Diarrhea-predominant IBS and inflammatory bowel disease</w:t>
            </w:r>
          </w:p>
        </w:tc>
        <w:tc>
          <w:tcPr>
            <w:tcW w:type="dxa" w:w="4276"/>
            <w:vAlign w:val="top"/>
          </w:tcPr>
          <w:p>
            <w:pPr>
              <w:spacing w:after="60" w:line="259" w:lineRule="auto"/>
            </w:pPr>
            <w:r>
              <w:rPr>
                <w:rFonts w:ascii="Calibri" w:hAnsi="Calibri"/>
                <w:b w:val="0"/>
                <w:i w:val="0"/>
                <w:color w:val="212121"/>
                <w:sz w:val="19"/>
              </w:rPr>
              <w:t>Loose, frequent, urgent stools and heightened rectal sensitivity in IBS-D, ulcerative colitis and Crohn disease repeatedly overwhelm the sphincter, and IBD may add sphincter or fistula damage.</w:t>
            </w:r>
          </w:p>
          <w:p>
            <w:pPr>
              <w:spacing w:after="40" w:before="60" w:line="259" w:lineRule="auto"/>
            </w:pPr>
            <w:r>
              <w:rPr>
                <w:rFonts w:ascii="Calibri" w:hAnsi="Calibri"/>
                <w:b w:val="0"/>
                <w:i w:val="0"/>
                <w:color w:val="212121"/>
                <w:sz w:val="19"/>
              </w:rPr>
              <w:t>Diarrhea with urgency is a leading precipitant of incontinence; women with FI are notably prone to coexisting IBS.</w:t>
            </w:r>
          </w:p>
          <w:p>
            <w:pPr>
              <w:spacing w:after="40" w:line="252" w:lineRule="auto"/>
            </w:pPr>
            <w:hyperlink r:id="rId11">
              <w:r>
                <w:rPr>
                  <w:rFonts w:ascii="Calibri" w:hAnsi="Calibri" w:cs="Calibri"/>
                  <w:sz w:val="18"/>
                  <w:color w:val="1155CC"/>
                  <w:u w:val="single"/>
                </w:rPr>
                <w:t xml:space="preserve">frontiersin.org - FI risk factors (IBS)</w:t>
              </w:r>
            </w:hyperlink>
          </w:p>
          <w:p>
            <w:pPr>
              <w:spacing w:before="60" w:after="40"/>
            </w:pPr>
            <w:r>
              <w:rPr>
                <w:rFonts w:ascii="Calibri" w:hAnsi="Calibri"/>
                <w:b w:val="0"/>
                <w:i w:val="0"/>
                <w:color w:val="5A5A5A"/>
                <w:sz w:val="18"/>
              </w:rPr>
              <w:t>#IBS  #IBD  #diarrhea  #urgency  #rectalhypersensitivity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anorectal surgery</w:t>
            </w:r>
          </w:p>
        </w:tc>
        <w:tc>
          <w:tcPr>
            <w:tcW w:type="dxa" w:w="2160"/>
            <w:vAlign w:val="top"/>
          </w:tcPr>
          <w:p>
            <w:pPr>
              <w:spacing w:after="40" w:before="0" w:line="259" w:lineRule="auto"/>
            </w:pPr>
            <w:r>
              <w:rPr>
                <w:rFonts w:ascii="Calibri" w:hAnsi="Calibri"/>
                <w:b w:val="0"/>
                <w:i w:val="0"/>
                <w:color w:val="212121"/>
                <w:sz w:val="19"/>
              </w:rPr>
              <w:t>Post-hemorrhoidectomy / fistulotomy / sphincterotomy patients</w:t>
            </w:r>
          </w:p>
        </w:tc>
        <w:tc>
          <w:tcPr>
            <w:tcW w:type="dxa" w:w="4276"/>
            <w:vAlign w:val="top"/>
          </w:tcPr>
          <w:p>
            <w:pPr>
              <w:spacing w:after="60" w:line="259" w:lineRule="auto"/>
            </w:pPr>
            <w:r>
              <w:rPr>
                <w:rFonts w:ascii="Calibri" w:hAnsi="Calibri"/>
                <w:b w:val="0"/>
                <w:i w:val="0"/>
                <w:color w:val="212121"/>
                <w:sz w:val="19"/>
              </w:rPr>
              <w:t>Division or scarring of the sphincter during hemorrhoid, fistula or fissure surgery, or anal dilatation, is a direct iatrogenic cause - a substantial burden in India given the volume of anorectal procedures.</w:t>
            </w:r>
          </w:p>
          <w:p>
            <w:pPr>
              <w:spacing w:after="40" w:before="60" w:line="259" w:lineRule="auto"/>
            </w:pPr>
            <w:r>
              <w:rPr>
                <w:rFonts w:ascii="Calibri" w:hAnsi="Calibri"/>
                <w:b w:val="0"/>
                <w:i w:val="0"/>
                <w:color w:val="212121"/>
                <w:sz w:val="19"/>
              </w:rPr>
              <w:t>Anal surgery (fistulotomy, hemorrhoidectomy, sphincterotomy) is a well-recognised, preventable structural cause of sphincter-related incontinence.</w:t>
            </w:r>
          </w:p>
          <w:p>
            <w:pPr>
              <w:spacing w:after="40" w:line="252" w:lineRule="auto"/>
            </w:pPr>
            <w:hyperlink r:id="rId10">
              <w:r>
                <w:rPr>
                  <w:rFonts w:ascii="Calibri" w:hAnsi="Calibri" w:cs="Calibri"/>
                  <w:sz w:val="18"/>
                  <w:color w:val="1155CC"/>
                  <w:u w:val="single"/>
                </w:rPr>
                <w:t xml:space="preserve">ncbi.nlm.nih.gov - Fecal Incontinence (StatPearls)</w:t>
              </w:r>
            </w:hyperlink>
          </w:p>
          <w:p>
            <w:pPr>
              <w:spacing w:before="60" w:after="40"/>
            </w:pPr>
            <w:r>
              <w:rPr>
                <w:rFonts w:ascii="Calibri" w:hAnsi="Calibri"/>
                <w:b w:val="0"/>
                <w:i w:val="0"/>
                <w:color w:val="5A5A5A"/>
                <w:sz w:val="18"/>
              </w:rPr>
              <w:t>#iatrogenic  #fistulotomy  #sphincterotomy  #hemorrhoidectomy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Neurological disease</w:t>
            </w:r>
          </w:p>
        </w:tc>
        <w:tc>
          <w:tcPr>
            <w:tcW w:type="dxa" w:w="2160"/>
            <w:vAlign w:val="top"/>
          </w:tcPr>
          <w:p>
            <w:pPr>
              <w:spacing w:after="40" w:before="0" w:line="259" w:lineRule="auto"/>
            </w:pPr>
            <w:r>
              <w:rPr>
                <w:rFonts w:ascii="Calibri" w:hAnsi="Calibri"/>
                <w:b w:val="0"/>
                <w:i w:val="0"/>
                <w:color w:val="212121"/>
                <w:sz w:val="19"/>
              </w:rPr>
              <w:t>Spinal cord injury, stroke, MS, dementia</w:t>
            </w:r>
          </w:p>
        </w:tc>
        <w:tc>
          <w:tcPr>
            <w:tcW w:type="dxa" w:w="4276"/>
            <w:vAlign w:val="top"/>
          </w:tcPr>
          <w:p>
            <w:pPr>
              <w:spacing w:after="60" w:line="259" w:lineRule="auto"/>
            </w:pPr>
            <w:r>
              <w:rPr>
                <w:rFonts w:ascii="Calibri" w:hAnsi="Calibri"/>
                <w:b w:val="0"/>
                <w:i w:val="0"/>
                <w:color w:val="212121"/>
                <w:sz w:val="19"/>
              </w:rPr>
              <w:t>Interruption of the spinal or cortical control of defecation and of anorectal sensation abolishes voluntary sphincter control and the continence reflex, producing neurogenic incontinence and, in dementia, loss of appropriate toileting behaviour.</w:t>
            </w:r>
          </w:p>
          <w:p>
            <w:pPr>
              <w:spacing w:after="40" w:before="60" w:line="259" w:lineRule="auto"/>
            </w:pPr>
            <w:r>
              <w:rPr>
                <w:rFonts w:ascii="Calibri" w:hAnsi="Calibri"/>
                <w:b w:val="0"/>
                <w:i w:val="0"/>
                <w:color w:val="212121"/>
                <w:sz w:val="19"/>
              </w:rPr>
              <w:t>Central and autonomic nervous-system injury (spinal cord injury, stroke, multiple sclerosis, dementia) is a major neurogenic cause of fecal incontinence.</w:t>
            </w:r>
          </w:p>
          <w:p>
            <w:pPr>
              <w:spacing w:after="40" w:line="252" w:lineRule="auto"/>
            </w:pPr>
            <w:hyperlink r:id="rId10">
              <w:r>
                <w:rPr>
                  <w:rFonts w:ascii="Calibri" w:hAnsi="Calibri" w:cs="Calibri"/>
                  <w:sz w:val="18"/>
                  <w:color w:val="1155CC"/>
                  <w:u w:val="single"/>
                </w:rPr>
                <w:t xml:space="preserve">ncbi.nlm.nih.gov - Fecal Incontinence (StatPearls)</w:t>
              </w:r>
            </w:hyperlink>
          </w:p>
          <w:p>
            <w:pPr>
              <w:spacing w:before="60" w:after="40"/>
            </w:pPr>
            <w:r>
              <w:rPr>
                <w:rFonts w:ascii="Calibri" w:hAnsi="Calibri"/>
                <w:b w:val="0"/>
                <w:i w:val="0"/>
                <w:color w:val="5A5A5A"/>
                <w:sz w:val="18"/>
              </w:rPr>
              <w:t>#neurogenic  #spinalcordinjury  #stroke  #MS  #dementia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Rectal prolapse / pelvic-organ prolapse</w:t>
            </w:r>
          </w:p>
        </w:tc>
        <w:tc>
          <w:tcPr>
            <w:tcW w:type="dxa" w:w="2160"/>
            <w:vAlign w:val="top"/>
          </w:tcPr>
          <w:p>
            <w:pPr>
              <w:spacing w:after="40" w:before="0" w:line="259" w:lineRule="auto"/>
            </w:pPr>
            <w:r>
              <w:rPr>
                <w:rFonts w:ascii="Calibri" w:hAnsi="Calibri"/>
                <w:b w:val="0"/>
                <w:i w:val="0"/>
                <w:color w:val="212121"/>
                <w:sz w:val="19"/>
              </w:rPr>
              <w:t>Women with prolapse</w:t>
            </w:r>
          </w:p>
        </w:tc>
        <w:tc>
          <w:tcPr>
            <w:tcW w:type="dxa" w:w="4276"/>
            <w:vAlign w:val="top"/>
          </w:tcPr>
          <w:p>
            <w:pPr>
              <w:spacing w:after="60" w:line="259" w:lineRule="auto"/>
            </w:pPr>
            <w:r>
              <w:rPr>
                <w:rFonts w:ascii="Calibri" w:hAnsi="Calibri"/>
                <w:b w:val="0"/>
                <w:i w:val="0"/>
                <w:color w:val="212121"/>
                <w:sz w:val="19"/>
              </w:rPr>
              <w:t>Full-thickness rectal prolapse and pelvic-organ prolapse chronically stretch and denervate the sphincter and disrupt the anorectal angle, causing progressive incontinence.</w:t>
            </w:r>
          </w:p>
          <w:p>
            <w:pPr>
              <w:spacing w:after="40" w:before="60" w:line="259" w:lineRule="auto"/>
            </w:pPr>
            <w:r>
              <w:rPr>
                <w:rFonts w:ascii="Calibri" w:hAnsi="Calibri"/>
                <w:b w:val="0"/>
                <w:i w:val="0"/>
                <w:color w:val="212121"/>
                <w:sz w:val="19"/>
              </w:rPr>
              <w:t>Rectal and pelvic-organ prolapse are common structural coexisting conditions that both cause and worsen fecal incontinence.</w:t>
            </w:r>
          </w:p>
          <w:p>
            <w:pPr>
              <w:spacing w:after="40" w:line="252" w:lineRule="auto"/>
            </w:pPr>
            <w:hyperlink r:id="rId10">
              <w:r>
                <w:rPr>
                  <w:rFonts w:ascii="Calibri" w:hAnsi="Calibri" w:cs="Calibri"/>
                  <w:sz w:val="18"/>
                  <w:color w:val="1155CC"/>
                  <w:u w:val="single"/>
                </w:rPr>
                <w:t xml:space="preserve">ncbi.nlm.nih.gov - Fecal Incontinence (StatPearls)</w:t>
              </w:r>
            </w:hyperlink>
          </w:p>
          <w:p>
            <w:pPr>
              <w:spacing w:before="60" w:after="40"/>
            </w:pPr>
            <w:r>
              <w:rPr>
                <w:rFonts w:ascii="Calibri" w:hAnsi="Calibri"/>
                <w:b w:val="0"/>
                <w:i w:val="0"/>
                <w:color w:val="5A5A5A"/>
                <w:sz w:val="18"/>
              </w:rPr>
              <w:t>#rectalprolapse  #POP  #denervation  #anorectalangle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Immobility and a sedentary state slow colonic transit and promote constipation and fecal impaction with overflow, and reduce the ability to reach a toilet in time; central obesity raises intra-abdominal pressure and independently predicts incontinence (WHtR OR 1.77). Regular activity and pelvic-floor exercise improve sphincter function and stool regularity.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Stool consistency is the strongest modifiable determinant of continence: loose stool from low soluble-fibre intake, trigger foods (caffeine, spicy food, lactose, sorbitol/artificial sweeteners, alcohol) or diarrhea overwhelms the sphincter, while adequate soluble fibre firms stool toward Bristol type 3-4 and improves control.</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is not a primary driver, but nocturnal or passive leakage (typical of diabetic internal-sphincter dysfunction) disrupts sleep, and shift work or an irregular routine can disturb the normal bowel habit.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smoker's cough repeatedly raises intra-abdominal pressure and strains the pelvic floor, and nicotine stimulates colonic motility; smoking is associated particularly with urge fecal incontinence.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accelerates gut transit and provokes loose, urgent stools, and chronic heavy use causes peripheral and autonomic neuropathy - both increasing the risk and severity of leakage.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bidirectional: fecal incontinence causes shame, social withdrawal, anxiety and depression (associated with roughly a threefold higher odds of depression), while stress and anxiety worsen IBS-type diarrhea, urgency and symptom perception.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Both extremes matter - dehydration hardens stool and causes impaction with overflow, while on soluble-fibre therapy adequate fluid is needed for optimal stool form; excess caffeinated or sugary drinks can loosen stool and precipitate urgency.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stimulates colonic motility and loosens stool, provoking urgency and leakage; reducing coffee, tea and cola intake is a standard, effective first-line dietary step for urge incontinence.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Meticulous perianal skin care prevents excoriation, moisture-associated dermatitis, candidiasis and pressure sores from repeated soiling; scheduled toileting, gentle cleansing and barrier creams are core to conservative management, especially in the bedbound.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Discrete events precipitate or unmask incontinence: childbirth (sphincter tear), anorectal surgery, acute infective diarrhea/gastroenteritis, starting laxatives or opioids, and fecal impaction. Skilled obstetric care, careful anorectal surgery and prompt treatment of diarrhea and constipation are directly preventive.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Correct toileting posture - feet supported on a low stool with a slight forward lean, approximating a squat - straightens the anorectal angle, aids complete evacuation and reduces post-defecation seepage and the straining that weakens the pelvic floor over time.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Bristol Stool Form Scale</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Type 3-4 (formed, soft)</w:t>
            </w:r>
          </w:p>
        </w:tc>
        <w:tc>
          <w:tcPr>
            <w:tcW w:type="dxa" w:w="1512"/>
            <w:vAlign w:val="top"/>
          </w:tcPr>
          <w:p>
            <w:pPr>
              <w:spacing w:after="40" w:before="0" w:line="259" w:lineRule="auto"/>
            </w:pPr>
            <w:r>
              <w:rPr>
                <w:rFonts w:ascii="Calibri" w:hAnsi="Calibri"/>
                <w:b w:val="0"/>
                <w:i w:val="0"/>
                <w:color w:val="212121"/>
                <w:sz w:val="19"/>
              </w:rPr>
              <w:t>Type 6-7 (loose/watery) or Type 1-2 (hard, impaction)</w:t>
            </w:r>
          </w:p>
        </w:tc>
        <w:tc>
          <w:tcPr>
            <w:tcW w:type="dxa" w:w="1468"/>
            <w:vAlign w:val="top"/>
          </w:tcPr>
          <w:p>
            <w:pPr>
              <w:spacing w:after="60" w:line="259" w:lineRule="auto"/>
            </w:pPr>
            <w:r>
              <w:rPr>
                <w:rFonts w:ascii="Calibri" w:hAnsi="Calibri"/>
                <w:b w:val="0"/>
                <w:i w:val="0"/>
                <w:color w:val="212121"/>
                <w:sz w:val="19"/>
              </w:rPr>
              <w:t>Firming loose stool toward type 3-4 is the single most effective continence measure</w:t>
            </w:r>
          </w:p>
          <w:p>
            <w:pPr>
              <w:spacing w:after="40" w:line="252" w:lineRule="auto"/>
            </w:pPr>
            <w:hyperlink r:id="rId10">
              <w:r>
                <w:rPr>
                  <w:rFonts w:ascii="Calibri" w:hAnsi="Calibri" w:cs="Calibri"/>
                  <w:sz w:val="18"/>
                  <w:color w:val="1155CC"/>
                  <w:u w:val="single"/>
                </w:rPr>
                <w:t xml:space="preserve">https://www.ncbi.nlm.nih.gov/books/NBK459128/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fibre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25-35 g/day (soluble-fibre emphasis)</w:t>
            </w:r>
          </w:p>
        </w:tc>
        <w:tc>
          <w:tcPr>
            <w:tcW w:type="dxa" w:w="1512"/>
            <w:vAlign w:val="top"/>
          </w:tcPr>
          <w:p>
            <w:pPr>
              <w:spacing w:after="40" w:before="0" w:line="259" w:lineRule="auto"/>
            </w:pPr>
            <w:r>
              <w:rPr>
                <w:rFonts w:ascii="Calibri" w:hAnsi="Calibri"/>
                <w:b w:val="0"/>
                <w:i w:val="0"/>
                <w:color w:val="212121"/>
                <w:sz w:val="19"/>
              </w:rPr>
              <w:t>&lt; 20 g/day, or excess insoluble fibre when stools are loose</w:t>
            </w:r>
          </w:p>
        </w:tc>
        <w:tc>
          <w:tcPr>
            <w:tcW w:type="dxa" w:w="1468"/>
            <w:vAlign w:val="top"/>
          </w:tcPr>
          <w:p>
            <w:pPr>
              <w:spacing w:after="60" w:line="259" w:lineRule="auto"/>
            </w:pPr>
            <w:r>
              <w:rPr>
                <w:rFonts w:ascii="Calibri" w:hAnsi="Calibri"/>
                <w:b w:val="0"/>
                <w:i w:val="0"/>
                <w:color w:val="212121"/>
                <w:sz w:val="19"/>
              </w:rPr>
              <w:t>Soluble fibre (psyllium/isabgol) gels water and improves stool form</w:t>
            </w:r>
          </w:p>
          <w:p>
            <w:pPr>
              <w:spacing w:after="40" w:line="252" w:lineRule="auto"/>
            </w:pPr>
            <w:hyperlink r:id="rId10">
              <w:r>
                <w:rPr>
                  <w:rFonts w:ascii="Calibri" w:hAnsi="Calibri" w:cs="Calibri"/>
                  <w:sz w:val="18"/>
                  <w:color w:val="1155CC"/>
                  <w:u w:val="single"/>
                </w:rPr>
                <w:t xml:space="preserve">https://www.ncbi.nlm.nih.gov/books/NBK459128/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Severity score (Wexner / Cleveland Clinic)</w:t>
            </w:r>
          </w:p>
        </w:tc>
        <w:tc>
          <w:tcPr>
            <w:tcW w:type="dxa" w:w="1655"/>
            <w:vAlign w:val="top"/>
          </w:tcPr>
          <w:p>
            <w:pPr>
              <w:spacing w:after="40" w:before="0" w:line="259" w:lineRule="auto"/>
            </w:pPr>
            <w:r>
              <w:rPr>
                <w:rFonts w:ascii="Calibri" w:hAnsi="Calibri"/>
                <w:b w:val="0"/>
                <w:i w:val="0"/>
                <w:color w:val="212121"/>
                <w:sz w:val="19"/>
              </w:rPr>
              <w:t>Patients with FI</w:t>
            </w:r>
          </w:p>
        </w:tc>
        <w:tc>
          <w:tcPr>
            <w:tcW w:type="dxa" w:w="1512"/>
            <w:vAlign w:val="top"/>
          </w:tcPr>
          <w:p>
            <w:pPr>
              <w:spacing w:after="40" w:before="0" w:line="259" w:lineRule="auto"/>
            </w:pPr>
            <w:r>
              <w:rPr>
                <w:rFonts w:ascii="Calibri" w:hAnsi="Calibri"/>
                <w:b w:val="0"/>
                <w:i w:val="0"/>
                <w:color w:val="212121"/>
                <w:sz w:val="19"/>
              </w:rPr>
              <w:t>0 (perfect continence)</w:t>
            </w:r>
          </w:p>
        </w:tc>
        <w:tc>
          <w:tcPr>
            <w:tcW w:type="dxa" w:w="1512"/>
            <w:vAlign w:val="top"/>
          </w:tcPr>
          <w:p>
            <w:pPr>
              <w:spacing w:after="40" w:before="0" w:line="259" w:lineRule="auto"/>
            </w:pPr>
            <w:r>
              <w:rPr>
                <w:rFonts w:ascii="Calibri" w:hAnsi="Calibri"/>
                <w:b w:val="0"/>
                <w:i w:val="0"/>
                <w:color w:val="212121"/>
                <w:sz w:val="19"/>
              </w:rPr>
              <w:t>&gt;= 9 (clinically significant); 20 = complete incontinence</w:t>
            </w:r>
          </w:p>
        </w:tc>
        <w:tc>
          <w:tcPr>
            <w:tcW w:type="dxa" w:w="1468"/>
            <w:vAlign w:val="top"/>
          </w:tcPr>
          <w:p>
            <w:pPr>
              <w:spacing w:after="60" w:line="259" w:lineRule="auto"/>
            </w:pPr>
            <w:r>
              <w:rPr>
                <w:rFonts w:ascii="Calibri" w:hAnsi="Calibri"/>
                <w:b w:val="0"/>
                <w:i w:val="0"/>
                <w:color w:val="212121"/>
                <w:sz w:val="19"/>
              </w:rPr>
              <w:t>Grades severity and tracks response to treatment</w:t>
            </w:r>
          </w:p>
          <w:p>
            <w:pPr>
              <w:spacing w:after="40" w:line="252" w:lineRule="auto"/>
            </w:pPr>
            <w:hyperlink r:id="rId10">
              <w:r>
                <w:rPr>
                  <w:rFonts w:ascii="Calibri" w:hAnsi="Calibri" w:cs="Calibri"/>
                  <w:sz w:val="18"/>
                  <w:color w:val="1155CC"/>
                  <w:u w:val="single"/>
                </w:rPr>
                <w:t xml:space="preserve">https://www.ncbi.nlm.nih.gov/books/NBK459128/</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Waist-to-height ratio (WHtR)</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0.5</w:t>
            </w:r>
          </w:p>
        </w:tc>
        <w:tc>
          <w:tcPr>
            <w:tcW w:type="dxa" w:w="1512"/>
            <w:vAlign w:val="top"/>
          </w:tcPr>
          <w:p>
            <w:pPr>
              <w:spacing w:after="40" w:before="0" w:line="259" w:lineRule="auto"/>
            </w:pPr>
            <w:r>
              <w:rPr>
                <w:rFonts w:ascii="Calibri" w:hAnsi="Calibri"/>
                <w:b w:val="0"/>
                <w:i w:val="0"/>
                <w:color w:val="212121"/>
                <w:sz w:val="19"/>
              </w:rPr>
              <w:t>&gt; 0.592 (optimal FI-predictive threshold)</w:t>
            </w:r>
          </w:p>
        </w:tc>
        <w:tc>
          <w:tcPr>
            <w:tcW w:type="dxa" w:w="1468"/>
            <w:vAlign w:val="top"/>
          </w:tcPr>
          <w:p>
            <w:pPr>
              <w:spacing w:after="60" w:line="259" w:lineRule="auto"/>
            </w:pPr>
            <w:r>
              <w:rPr>
                <w:rFonts w:ascii="Calibri" w:hAnsi="Calibri"/>
                <w:b w:val="0"/>
                <w:i w:val="0"/>
                <w:color w:val="212121"/>
                <w:sz w:val="19"/>
              </w:rPr>
              <w:t>Abdominal fat distribution predicts FI better than BMI (OR 1.77)</w:t>
            </w:r>
          </w:p>
          <w:p>
            <w:pPr>
              <w:spacing w:after="40" w:line="252" w:lineRule="auto"/>
            </w:pPr>
            <w:hyperlink r:id="rId13">
              <w:r>
                <w:rPr>
                  <w:rFonts w:ascii="Calibri" w:hAnsi="Calibri" w:cs="Calibri"/>
                  <w:sz w:val="18"/>
                  <w:color w:val="1155CC"/>
                  <w:u w:val="single"/>
                </w:rPr>
                <w:t xml:space="preserve">https://www.emjreviews.com/gastroenterology/news/unveiling-the-link-obesity-and-faecal-incontinence-relationship/</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(kg/m2, Asian cut-off)</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kg/m2</w:t>
            </w:r>
          </w:p>
        </w:tc>
        <w:tc>
          <w:tcPr>
            <w:tcW w:type="dxa" w:w="1512"/>
            <w:vAlign w:val="top"/>
          </w:tcPr>
          <w:p>
            <w:pPr>
              <w:spacing w:after="40" w:before="0" w:line="259" w:lineRule="auto"/>
            </w:pPr>
            <w:r>
              <w:rPr>
                <w:rFonts w:ascii="Calibri" w:hAnsi="Calibri"/>
                <w:b w:val="0"/>
                <w:i w:val="0"/>
                <w:color w:val="212121"/>
                <w:sz w:val="19"/>
              </w:rPr>
              <w:t>&gt;= 23 (overweight); &gt;= 25 (obesity)</w:t>
            </w:r>
          </w:p>
        </w:tc>
        <w:tc>
          <w:tcPr>
            <w:tcW w:type="dxa" w:w="1468"/>
            <w:vAlign w:val="top"/>
          </w:tcPr>
          <w:p>
            <w:pPr>
              <w:spacing w:after="60" w:line="259" w:lineRule="auto"/>
            </w:pPr>
            <w:r>
              <w:rPr>
                <w:rFonts w:ascii="Calibri" w:hAnsi="Calibri"/>
                <w:b w:val="0"/>
                <w:i w:val="0"/>
                <w:color w:val="212121"/>
                <w:sz w:val="19"/>
              </w:rPr>
              <w:t>Higher body weight raises intra-abdominal pressure and pelvic-floor load</w:t>
            </w:r>
          </w:p>
          <w:p>
            <w:pPr>
              <w:spacing w:after="40" w:line="252" w:lineRule="auto"/>
            </w:pPr>
            <w:hyperlink r:id="rId13">
              <w:r>
                <w:rPr>
                  <w:rFonts w:ascii="Calibri" w:hAnsi="Calibri" w:cs="Calibri"/>
                  <w:sz w:val="18"/>
                  <w:color w:val="1155CC"/>
                  <w:u w:val="single"/>
                </w:rPr>
                <w:t xml:space="preserve">https://www.emjreviews.com/gastroenterology/news/unveiling-the-link-obesity-and-faecal-incontinence-relationship/</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w:t>
            </w:r>
          </w:p>
        </w:tc>
        <w:tc>
          <w:tcPr>
            <w:tcW w:type="dxa" w:w="1655"/>
            <w:vAlign w:val="top"/>
          </w:tcPr>
          <w:p>
            <w:pPr>
              <w:spacing w:after="40" w:before="0" w:line="259" w:lineRule="auto"/>
            </w:pPr>
            <w:r>
              <w:rPr>
                <w:rFonts w:ascii="Calibri" w:hAnsi="Calibri"/>
                <w:b w:val="0"/>
                <w:i w:val="0"/>
                <w:color w:val="212121"/>
                <w:sz w:val="19"/>
              </w:rPr>
              <w:t>Urge / diarrhea-associated FI</w:t>
            </w:r>
          </w:p>
        </w:tc>
        <w:tc>
          <w:tcPr>
            <w:tcW w:type="dxa" w:w="1512"/>
            <w:vAlign w:val="top"/>
          </w:tcPr>
          <w:p>
            <w:pPr>
              <w:spacing w:after="40" w:before="0" w:line="259" w:lineRule="auto"/>
            </w:pPr>
            <w:r>
              <w:rPr>
                <w:rFonts w:ascii="Calibri" w:hAnsi="Calibri"/>
                <w:b w:val="0"/>
                <w:i w:val="0"/>
                <w:color w:val="212121"/>
                <w:sz w:val="19"/>
              </w:rPr>
              <w:t>&lt; 200-300 mg/day (about 2-3 cups)</w:t>
            </w:r>
          </w:p>
        </w:tc>
        <w:tc>
          <w:tcPr>
            <w:tcW w:type="dxa" w:w="1512"/>
            <w:vAlign w:val="top"/>
          </w:tcPr>
          <w:p>
            <w:pPr>
              <w:spacing w:after="40" w:before="0" w:line="259" w:lineRule="auto"/>
            </w:pPr>
            <w:r>
              <w:rPr>
                <w:rFonts w:ascii="Calibri" w:hAnsi="Calibri"/>
                <w:b w:val="0"/>
                <w:i w:val="0"/>
                <w:color w:val="212121"/>
                <w:sz w:val="19"/>
              </w:rPr>
              <w:t>High intake loosening stool / precipitating urgency</w:t>
            </w:r>
          </w:p>
        </w:tc>
        <w:tc>
          <w:tcPr>
            <w:tcW w:type="dxa" w:w="1468"/>
            <w:vAlign w:val="top"/>
          </w:tcPr>
          <w:p>
            <w:pPr>
              <w:spacing w:after="60" w:line="259" w:lineRule="auto"/>
            </w:pPr>
            <w:r>
              <w:rPr>
                <w:rFonts w:ascii="Calibri" w:hAnsi="Calibri"/>
                <w:b w:val="0"/>
                <w:i w:val="0"/>
                <w:color w:val="212121"/>
                <w:sz w:val="19"/>
              </w:rPr>
              <w:t>Caffeine stimulates colonic motility; reducing it firms stool</w:t>
            </w:r>
          </w:p>
          <w:p>
            <w:pPr>
              <w:spacing w:after="40" w:line="252" w:lineRule="auto"/>
            </w:pPr>
            <w:hyperlink r:id="rId10">
              <w:r>
                <w:rPr>
                  <w:rFonts w:ascii="Calibri" w:hAnsi="Calibri" w:cs="Calibri"/>
                  <w:sz w:val="18"/>
                  <w:color w:val="1155CC"/>
                  <w:u w:val="single"/>
                </w:rPr>
                <w:t xml:space="preserve">https://www.ncbi.nlm.nih.gov/books/NBK459128/</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Nil / minimal</w:t>
            </w:r>
          </w:p>
        </w:tc>
        <w:tc>
          <w:tcPr>
            <w:tcW w:type="dxa" w:w="1512"/>
            <w:vAlign w:val="top"/>
          </w:tcPr>
          <w:p>
            <w:pPr>
              <w:spacing w:after="40" w:before="0" w:line="259" w:lineRule="auto"/>
            </w:pPr>
            <w:r>
              <w:rPr>
                <w:rFonts w:ascii="Calibri" w:hAnsi="Calibri"/>
                <w:b w:val="0"/>
                <w:i w:val="0"/>
                <w:color w:val="212121"/>
                <w:sz w:val="19"/>
              </w:rPr>
              <w:t>Regular or binge drinking causing diarrhea</w:t>
            </w:r>
          </w:p>
        </w:tc>
        <w:tc>
          <w:tcPr>
            <w:tcW w:type="dxa" w:w="1468"/>
            <w:vAlign w:val="top"/>
          </w:tcPr>
          <w:p>
            <w:pPr>
              <w:spacing w:after="40" w:before="0" w:line="259" w:lineRule="auto"/>
            </w:pPr>
            <w:r>
              <w:rPr>
                <w:rFonts w:ascii="Calibri" w:hAnsi="Calibri"/>
                <w:b w:val="0"/>
                <w:i w:val="0"/>
                <w:color w:val="212121"/>
                <w:sz w:val="19"/>
              </w:rPr>
              <w:t>Alcohol accelerates transit and (chronically) causes neuropathy</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Adults, elderly on fibre therapy</w:t>
            </w:r>
          </w:p>
        </w:tc>
        <w:tc>
          <w:tcPr>
            <w:tcW w:type="dxa" w:w="1512"/>
            <w:vAlign w:val="top"/>
          </w:tcPr>
          <w:p>
            <w:pPr>
              <w:spacing w:after="40" w:before="0" w:line="259" w:lineRule="auto"/>
            </w:pPr>
            <w:r>
              <w:rPr>
                <w:rFonts w:ascii="Calibri" w:hAnsi="Calibri"/>
                <w:b w:val="0"/>
                <w:i w:val="0"/>
                <w:color w:val="212121"/>
                <w:sz w:val="19"/>
              </w:rPr>
              <w:t>~1.5-2 L/day</w:t>
            </w:r>
          </w:p>
        </w:tc>
        <w:tc>
          <w:tcPr>
            <w:tcW w:type="dxa" w:w="1512"/>
            <w:vAlign w:val="top"/>
          </w:tcPr>
          <w:p>
            <w:pPr>
              <w:spacing w:after="40" w:before="0" w:line="259" w:lineRule="auto"/>
            </w:pPr>
            <w:r>
              <w:rPr>
                <w:rFonts w:ascii="Calibri" w:hAnsi="Calibri"/>
                <w:b w:val="0"/>
                <w:i w:val="0"/>
                <w:color w:val="212121"/>
                <w:sz w:val="19"/>
              </w:rPr>
              <w:t>Dehydration (hard impacted stool) or excess caffeinated/sugary fluid</w:t>
            </w:r>
          </w:p>
        </w:tc>
        <w:tc>
          <w:tcPr>
            <w:tcW w:type="dxa" w:w="1468"/>
            <w:vAlign w:val="top"/>
          </w:tcPr>
          <w:p>
            <w:pPr>
              <w:spacing w:after="40" w:before="0" w:line="259" w:lineRule="auto"/>
            </w:pPr>
            <w:r>
              <w:rPr>
                <w:rFonts w:ascii="Calibri" w:hAnsi="Calibri"/>
                <w:b w:val="0"/>
                <w:i w:val="0"/>
                <w:color w:val="212121"/>
                <w:sz w:val="19"/>
              </w:rPr>
              <w:t>Adequate fluid is needed for soluble fibre to firm stool and prevent impaction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Obstetric sphincter injury grade</w:t>
            </w:r>
          </w:p>
        </w:tc>
        <w:tc>
          <w:tcPr>
            <w:tcW w:type="dxa" w:w="1655"/>
            <w:vAlign w:val="top"/>
          </w:tcPr>
          <w:p>
            <w:pPr>
              <w:spacing w:after="40" w:before="0" w:line="259" w:lineRule="auto"/>
            </w:pPr>
            <w:r>
              <w:rPr>
                <w:rFonts w:ascii="Calibri" w:hAnsi="Calibri"/>
                <w:b w:val="0"/>
                <w:i w:val="0"/>
                <w:color w:val="212121"/>
                <w:sz w:val="19"/>
              </w:rPr>
              <w:t>Parous women</w:t>
            </w:r>
          </w:p>
        </w:tc>
        <w:tc>
          <w:tcPr>
            <w:tcW w:type="dxa" w:w="1512"/>
            <w:vAlign w:val="top"/>
          </w:tcPr>
          <w:p>
            <w:pPr>
              <w:spacing w:after="40" w:before="0" w:line="259" w:lineRule="auto"/>
            </w:pPr>
            <w:r>
              <w:rPr>
                <w:rFonts w:ascii="Calibri" w:hAnsi="Calibri"/>
                <w:b w:val="0"/>
                <w:i w:val="0"/>
                <w:color w:val="212121"/>
                <w:sz w:val="19"/>
              </w:rPr>
              <w:t>Intact perineum / no OASI</w:t>
            </w:r>
          </w:p>
        </w:tc>
        <w:tc>
          <w:tcPr>
            <w:tcW w:type="dxa" w:w="1512"/>
            <w:vAlign w:val="top"/>
          </w:tcPr>
          <w:p>
            <w:pPr>
              <w:spacing w:after="40" w:before="0" w:line="259" w:lineRule="auto"/>
            </w:pPr>
            <w:r>
              <w:rPr>
                <w:rFonts w:ascii="Calibri" w:hAnsi="Calibri"/>
                <w:b w:val="0"/>
                <w:i w:val="0"/>
                <w:color w:val="212121"/>
                <w:sz w:val="19"/>
              </w:rPr>
              <w:t>3rd/4th-degree (OASI) tear, instrumental delivery</w:t>
            </w:r>
          </w:p>
        </w:tc>
        <w:tc>
          <w:tcPr>
            <w:tcW w:type="dxa" w:w="1468"/>
            <w:vAlign w:val="top"/>
          </w:tcPr>
          <w:p>
            <w:pPr>
              <w:spacing w:after="60" w:line="259" w:lineRule="auto"/>
            </w:pPr>
            <w:r>
              <w:rPr>
                <w:rFonts w:ascii="Calibri" w:hAnsi="Calibri"/>
                <w:b w:val="0"/>
                <w:i w:val="0"/>
                <w:color w:val="212121"/>
                <w:sz w:val="19"/>
              </w:rPr>
              <w:t>Recognition and primary repair of OASI prevent later incontinence</w:t>
            </w:r>
          </w:p>
          <w:p>
            <w:pPr>
              <w:spacing w:after="40" w:line="252" w:lineRule="auto"/>
            </w:pPr>
            <w:hyperlink r:id="rId12">
              <w:r>
                <w:rPr>
                  <w:rFonts w:ascii="Calibri" w:hAnsi="Calibri" w:cs="Calibri"/>
                  <w:sz w:val="18"/>
                  <w:color w:val="1155CC"/>
                  <w:u w:val="single"/>
                </w:rPr>
                <w:t xml:space="preserve">https://link.springer.com/article/10.1007/s00192-017-3398-0</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Perianal skin integrity</w:t>
            </w:r>
          </w:p>
        </w:tc>
        <w:tc>
          <w:tcPr>
            <w:tcW w:type="dxa" w:w="1655"/>
            <w:vAlign w:val="top"/>
          </w:tcPr>
          <w:p>
            <w:pPr>
              <w:spacing w:after="40" w:before="0" w:line="259" w:lineRule="auto"/>
            </w:pPr>
            <w:r>
              <w:rPr>
                <w:rFonts w:ascii="Calibri" w:hAnsi="Calibri"/>
                <w:b w:val="0"/>
                <w:i w:val="0"/>
                <w:color w:val="212121"/>
                <w:sz w:val="19"/>
              </w:rPr>
              <w:t>Patients with soiling</w:t>
            </w:r>
          </w:p>
        </w:tc>
        <w:tc>
          <w:tcPr>
            <w:tcW w:type="dxa" w:w="1512"/>
            <w:vAlign w:val="top"/>
          </w:tcPr>
          <w:p>
            <w:pPr>
              <w:spacing w:after="40" w:before="0" w:line="259" w:lineRule="auto"/>
            </w:pPr>
            <w:r>
              <w:rPr>
                <w:rFonts w:ascii="Calibri" w:hAnsi="Calibri"/>
                <w:b w:val="0"/>
                <w:i w:val="0"/>
                <w:color w:val="212121"/>
                <w:sz w:val="19"/>
              </w:rPr>
              <w:t>Intact, healthy skin</w:t>
            </w:r>
          </w:p>
        </w:tc>
        <w:tc>
          <w:tcPr>
            <w:tcW w:type="dxa" w:w="1512"/>
            <w:vAlign w:val="top"/>
          </w:tcPr>
          <w:p>
            <w:pPr>
              <w:spacing w:after="40" w:before="0" w:line="259" w:lineRule="auto"/>
            </w:pPr>
            <w:r>
              <w:rPr>
                <w:rFonts w:ascii="Calibri" w:hAnsi="Calibri"/>
                <w:b w:val="0"/>
                <w:i w:val="0"/>
                <w:color w:val="212121"/>
                <w:sz w:val="19"/>
              </w:rPr>
              <w:t>Excoriation, moisture-associated dermatitis, candidiasis</w:t>
            </w:r>
          </w:p>
        </w:tc>
        <w:tc>
          <w:tcPr>
            <w:tcW w:type="dxa" w:w="1468"/>
            <w:vAlign w:val="top"/>
          </w:tcPr>
          <w:p>
            <w:pPr>
              <w:spacing w:after="40" w:before="0" w:line="259" w:lineRule="auto"/>
            </w:pPr>
            <w:r>
              <w:rPr>
                <w:rFonts w:ascii="Calibri" w:hAnsi="Calibri"/>
                <w:b w:val="0"/>
                <w:i w:val="0"/>
                <w:color w:val="212121"/>
                <w:sz w:val="19"/>
              </w:rPr>
              <w:t>Barrier creams and gentle cleansing prevent skin breakdown and pressure sores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 &amp; quality of life</w:t>
            </w:r>
          </w:p>
        </w:tc>
        <w:tc>
          <w:tcPr>
            <w:tcW w:type="dxa" w:w="1655"/>
            <w:vAlign w:val="top"/>
          </w:tcPr>
          <w:p>
            <w:pPr>
              <w:spacing w:after="40" w:before="0" w:line="259" w:lineRule="auto"/>
            </w:pPr>
            <w:r>
              <w:rPr>
                <w:rFonts w:ascii="Calibri" w:hAnsi="Calibri"/>
                <w:b w:val="0"/>
                <w:i w:val="0"/>
                <w:color w:val="212121"/>
                <w:sz w:val="19"/>
              </w:rPr>
              <w:t>Patients with FI</w:t>
            </w:r>
          </w:p>
        </w:tc>
        <w:tc>
          <w:tcPr>
            <w:tcW w:type="dxa" w:w="1512"/>
            <w:vAlign w:val="top"/>
          </w:tcPr>
          <w:p>
            <w:pPr>
              <w:spacing w:after="40" w:before="0" w:line="259" w:lineRule="auto"/>
            </w:pPr>
            <w:r>
              <w:rPr>
                <w:rFonts w:ascii="Calibri" w:hAnsi="Calibri"/>
                <w:b w:val="0"/>
                <w:i w:val="0"/>
                <w:color w:val="212121"/>
                <w:sz w:val="19"/>
              </w:rPr>
              <w:t>Negative screen; unrestricted quality of life</w:t>
            </w:r>
          </w:p>
        </w:tc>
        <w:tc>
          <w:tcPr>
            <w:tcW w:type="dxa" w:w="1512"/>
            <w:vAlign w:val="top"/>
          </w:tcPr>
          <w:p>
            <w:pPr>
              <w:spacing w:after="40" w:before="0" w:line="259" w:lineRule="auto"/>
            </w:pPr>
            <w:r>
              <w:rPr>
                <w:rFonts w:ascii="Calibri" w:hAnsi="Calibri"/>
                <w:b w:val="0"/>
                <w:i w:val="0"/>
                <w:color w:val="212121"/>
                <w:sz w:val="19"/>
              </w:rPr>
              <w:t>Positive depression screen; activity restriction/isolation</w:t>
            </w:r>
          </w:p>
        </w:tc>
        <w:tc>
          <w:tcPr>
            <w:tcW w:type="dxa" w:w="1468"/>
            <w:vAlign w:val="top"/>
          </w:tcPr>
          <w:p>
            <w:pPr>
              <w:spacing w:after="60" w:line="259" w:lineRule="auto"/>
            </w:pPr>
            <w:r>
              <w:rPr>
                <w:rFonts w:ascii="Calibri" w:hAnsi="Calibri"/>
                <w:b w:val="0"/>
                <w:i w:val="0"/>
                <w:color w:val="212121"/>
                <w:sz w:val="19"/>
              </w:rPr>
              <w:t>FI is associated with about 3x higher odds of depression of any severity - screen and treat</w:t>
            </w:r>
          </w:p>
          <w:p>
            <w:pPr>
              <w:spacing w:after="40" w:line="252" w:lineRule="auto"/>
            </w:pPr>
            <w:hyperlink r:id="rId15">
              <w:r>
                <w:rPr>
                  <w:rFonts w:ascii="Calibri" w:hAnsi="Calibri" w:cs="Calibri"/>
                  <w:sz w:val="18"/>
                  <w:color w:val="1155CC"/>
                  <w:u w:val="single"/>
                </w:rPr>
                <w:t xml:space="preserve">https://link.springer.com/article/10.1007/s00384-023-04563-x</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Anorectal imaging</w:t>
            </w:r>
          </w:p>
        </w:tc>
        <w:tc>
          <w:tcPr>
            <w:tcW w:type="dxa" w:w="1036"/>
            <w:vAlign w:val="top"/>
          </w:tcPr>
          <w:p>
            <w:pPr>
              <w:spacing w:after="40" w:before="0" w:line="259" w:lineRule="auto"/>
            </w:pPr>
            <w:r>
              <w:rPr>
                <w:rFonts w:ascii="Calibri" w:hAnsi="Calibri"/>
                <w:b w:val="0"/>
                <w:i w:val="0"/>
                <w:color w:val="212121"/>
                <w:sz w:val="16"/>
              </w:rPr>
              <w:t>Sphincter integrity &amp; thickness</w:t>
            </w:r>
          </w:p>
        </w:tc>
        <w:tc>
          <w:tcPr>
            <w:tcW w:type="dxa" w:w="892"/>
            <w:vAlign w:val="top"/>
          </w:tcPr>
          <w:p>
            <w:pPr>
              <w:spacing w:after="40" w:before="0" w:line="259" w:lineRule="auto"/>
            </w:pPr>
            <w:r>
              <w:rPr>
                <w:rFonts w:ascii="Calibri" w:hAnsi="Calibri"/>
                <w:b w:val="0"/>
                <w:i w:val="0"/>
                <w:color w:val="212121"/>
                <w:sz w:val="16"/>
              </w:rPr>
              <w:t>Endoanal (endorectal) ultrasound</w:t>
            </w:r>
          </w:p>
        </w:tc>
        <w:tc>
          <w:tcPr>
            <w:tcW w:type="dxa" w:w="950"/>
            <w:vAlign w:val="top"/>
          </w:tcPr>
          <w:p>
            <w:pPr>
              <w:spacing w:after="40" w:before="0" w:line="259" w:lineRule="auto"/>
            </w:pPr>
            <w:r>
              <w:rPr>
                <w:rFonts w:ascii="Calibri" w:hAnsi="Calibri"/>
                <w:b w:val="0"/>
                <w:i w:val="0"/>
                <w:color w:val="212121"/>
                <w:sz w:val="16"/>
              </w:rPr>
              <w:t>Intact, continuous internal &amp; external sphincter rings</w:t>
            </w:r>
          </w:p>
        </w:tc>
        <w:tc>
          <w:tcPr>
            <w:tcW w:type="dxa" w:w="950"/>
            <w:vAlign w:val="top"/>
          </w:tcPr>
          <w:p>
            <w:pPr>
              <w:spacing w:after="40" w:before="0" w:line="259" w:lineRule="auto"/>
            </w:pPr>
            <w:r>
              <w:rPr>
                <w:rFonts w:ascii="Calibri" w:hAnsi="Calibri"/>
                <w:b w:val="0"/>
                <w:i w:val="0"/>
                <w:color w:val="212121"/>
                <w:sz w:val="16"/>
              </w:rPr>
              <w:t>Sphincter defect, thinning or scarring</w:t>
            </w:r>
          </w:p>
        </w:tc>
        <w:tc>
          <w:tcPr>
            <w:tcW w:type="dxa" w:w="1036"/>
            <w:vAlign w:val="top"/>
          </w:tcPr>
          <w:p>
            <w:pPr>
              <w:spacing w:after="40" w:before="0" w:line="259" w:lineRule="auto"/>
            </w:pPr>
            <w:r>
              <w:rPr>
                <w:rFonts w:ascii="Calibri" w:hAnsi="Calibri"/>
                <w:b w:val="0"/>
                <w:i w:val="0"/>
                <w:color w:val="212121"/>
                <w:sz w:val="16"/>
              </w:rPr>
              <w:t>Structural gold standard; identifies surgically correctable sphincter defects</w:t>
            </w:r>
          </w:p>
        </w:tc>
        <w:tc>
          <w:tcPr>
            <w:tcW w:type="dxa" w:w="1036"/>
            <w:vAlign w:val="top"/>
          </w:tcPr>
          <w:p>
            <w:pPr>
              <w:spacing w:after="40" w:before="0" w:line="259" w:lineRule="auto"/>
            </w:pPr>
            <w:r>
              <w:rPr>
                <w:rFonts w:ascii="Calibri" w:hAnsi="Calibri"/>
                <w:b w:val="0"/>
                <w:i w:val="0"/>
                <w:color w:val="212121"/>
                <w:sz w:val="16"/>
              </w:rPr>
              <w:t>Post-obstetric, post-anorectal-surgery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Guides sphincteroplasty vs neuromodulation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Anorectal physiology</w:t>
            </w:r>
          </w:p>
        </w:tc>
        <w:tc>
          <w:tcPr>
            <w:tcW w:type="dxa" w:w="1036"/>
            <w:vAlign w:val="top"/>
          </w:tcPr>
          <w:p>
            <w:pPr>
              <w:spacing w:after="40" w:before="0" w:line="259" w:lineRule="auto"/>
            </w:pPr>
            <w:r>
              <w:rPr>
                <w:rFonts w:ascii="Calibri" w:hAnsi="Calibri"/>
                <w:b w:val="0"/>
                <w:i w:val="0"/>
                <w:color w:val="212121"/>
                <w:sz w:val="16"/>
              </w:rPr>
              <w:t>Resting &amp; squeeze pressures, sensation</w:t>
            </w:r>
          </w:p>
        </w:tc>
        <w:tc>
          <w:tcPr>
            <w:tcW w:type="dxa" w:w="892"/>
            <w:vAlign w:val="top"/>
          </w:tcPr>
          <w:p>
            <w:pPr>
              <w:spacing w:after="40" w:before="0" w:line="259" w:lineRule="auto"/>
            </w:pPr>
            <w:r>
              <w:rPr>
                <w:rFonts w:ascii="Calibri" w:hAnsi="Calibri"/>
                <w:b w:val="0"/>
                <w:i w:val="0"/>
                <w:color w:val="212121"/>
                <w:sz w:val="16"/>
              </w:rPr>
              <w:t>Anorectal manometry</w:t>
            </w:r>
          </w:p>
        </w:tc>
        <w:tc>
          <w:tcPr>
            <w:tcW w:type="dxa" w:w="950"/>
            <w:vAlign w:val="top"/>
          </w:tcPr>
          <w:p>
            <w:pPr>
              <w:spacing w:after="40" w:before="0" w:line="259" w:lineRule="auto"/>
            </w:pPr>
            <w:r>
              <w:rPr>
                <w:rFonts w:ascii="Calibri" w:hAnsi="Calibri"/>
                <w:b w:val="0"/>
                <w:i w:val="0"/>
                <w:color w:val="212121"/>
                <w:sz w:val="16"/>
              </w:rPr>
              <w:t>Normal resting (IAS) &amp; squeeze (EAS) pressures, intact RAIR &amp; sensation</w:t>
            </w:r>
          </w:p>
        </w:tc>
        <w:tc>
          <w:tcPr>
            <w:tcW w:type="dxa" w:w="950"/>
            <w:vAlign w:val="top"/>
          </w:tcPr>
          <w:p>
            <w:pPr>
              <w:spacing w:after="40" w:before="0" w:line="259" w:lineRule="auto"/>
            </w:pPr>
            <w:r>
              <w:rPr>
                <w:rFonts w:ascii="Calibri" w:hAnsi="Calibri"/>
                <w:b w:val="0"/>
                <w:i w:val="0"/>
                <w:color w:val="212121"/>
                <w:sz w:val="16"/>
              </w:rPr>
              <w:t>Low resting/squeeze pressure, blunted sensation, abnormal compliance</w:t>
            </w:r>
          </w:p>
        </w:tc>
        <w:tc>
          <w:tcPr>
            <w:tcW w:type="dxa" w:w="1036"/>
            <w:vAlign w:val="top"/>
          </w:tcPr>
          <w:p>
            <w:pPr>
              <w:spacing w:after="40" w:before="0" w:line="259" w:lineRule="auto"/>
            </w:pPr>
            <w:r>
              <w:rPr>
                <w:rFonts w:ascii="Calibri" w:hAnsi="Calibri"/>
                <w:b w:val="0"/>
                <w:i w:val="0"/>
                <w:color w:val="212121"/>
                <w:sz w:val="16"/>
              </w:rPr>
              <w:t>Distinguishes passive (IAS) from urge (EAS) mechanisms and detects rectal hyposensitivity</w:t>
            </w:r>
          </w:p>
        </w:tc>
        <w:tc>
          <w:tcPr>
            <w:tcW w:type="dxa" w:w="1036"/>
            <w:vAlign w:val="top"/>
          </w:tcPr>
          <w:p>
            <w:pPr>
              <w:spacing w:after="40" w:before="0" w:line="259" w:lineRule="auto"/>
            </w:pPr>
            <w:r>
              <w:rPr>
                <w:rFonts w:ascii="Calibri" w:hAnsi="Calibri"/>
                <w:b w:val="0"/>
                <w:i w:val="0"/>
                <w:color w:val="212121"/>
                <w:sz w:val="16"/>
              </w:rPr>
              <w:t>All persistent FI, pre-treatment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Baseline for biofeedback planning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Pudendal nerve conduction / muscle activity</w:t>
            </w:r>
          </w:p>
        </w:tc>
        <w:tc>
          <w:tcPr>
            <w:tcW w:type="dxa" w:w="892"/>
            <w:vAlign w:val="top"/>
          </w:tcPr>
          <w:p>
            <w:pPr>
              <w:spacing w:after="40" w:before="0" w:line="259" w:lineRule="auto"/>
            </w:pPr>
            <w:r>
              <w:rPr>
                <w:rFonts w:ascii="Calibri" w:hAnsi="Calibri"/>
                <w:b w:val="0"/>
                <w:i w:val="0"/>
                <w:color w:val="212121"/>
                <w:sz w:val="16"/>
              </w:rPr>
              <w:t>Pudendal nerve terminal motor latency (PNTML) &amp; EMG</w:t>
            </w:r>
          </w:p>
        </w:tc>
        <w:tc>
          <w:tcPr>
            <w:tcW w:type="dxa" w:w="950"/>
            <w:vAlign w:val="top"/>
          </w:tcPr>
          <w:p>
            <w:pPr>
              <w:spacing w:after="40" w:before="0" w:line="259" w:lineRule="auto"/>
            </w:pPr>
            <w:r>
              <w:rPr>
                <w:rFonts w:ascii="Calibri" w:hAnsi="Calibri"/>
                <w:b w:val="0"/>
                <w:i w:val="0"/>
                <w:color w:val="212121"/>
                <w:sz w:val="16"/>
              </w:rPr>
              <w:t>Normal latency &amp; motor units</w:t>
            </w:r>
          </w:p>
        </w:tc>
        <w:tc>
          <w:tcPr>
            <w:tcW w:type="dxa" w:w="950"/>
            <w:vAlign w:val="top"/>
          </w:tcPr>
          <w:p>
            <w:pPr>
              <w:spacing w:after="40" w:before="0" w:line="259" w:lineRule="auto"/>
            </w:pPr>
            <w:r>
              <w:rPr>
                <w:rFonts w:ascii="Calibri" w:hAnsi="Calibri"/>
                <w:b w:val="0"/>
                <w:i w:val="0"/>
                <w:color w:val="212121"/>
                <w:sz w:val="16"/>
              </w:rPr>
              <w:t>Prolonged latency, neurogenic changes</w:t>
            </w:r>
          </w:p>
        </w:tc>
        <w:tc>
          <w:tcPr>
            <w:tcW w:type="dxa" w:w="1036"/>
            <w:vAlign w:val="top"/>
          </w:tcPr>
          <w:p>
            <w:pPr>
              <w:spacing w:after="40" w:before="0" w:line="259" w:lineRule="auto"/>
            </w:pPr>
            <w:r>
              <w:rPr>
                <w:rFonts w:ascii="Calibri" w:hAnsi="Calibri"/>
                <w:b w:val="0"/>
                <w:i w:val="0"/>
                <w:color w:val="212121"/>
                <w:sz w:val="16"/>
              </w:rPr>
              <w:t>Confirms pudendal/neurogenic injury (obstetric, diabetic, spinal)</w:t>
            </w:r>
          </w:p>
        </w:tc>
        <w:tc>
          <w:tcPr>
            <w:tcW w:type="dxa" w:w="1036"/>
            <w:vAlign w:val="top"/>
          </w:tcPr>
          <w:p>
            <w:pPr>
              <w:spacing w:after="40" w:before="0" w:line="259" w:lineRule="auto"/>
            </w:pPr>
            <w:r>
              <w:rPr>
                <w:rFonts w:ascii="Calibri" w:hAnsi="Calibri"/>
                <w:b w:val="0"/>
                <w:i w:val="0"/>
                <w:color w:val="212121"/>
                <w:sz w:val="16"/>
              </w:rPr>
              <w:t>Diabetics, post-obstetric, neurological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Predicts poorer surgical outcome if neuropathic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Dynamic imaging</w:t>
            </w:r>
          </w:p>
        </w:tc>
        <w:tc>
          <w:tcPr>
            <w:tcW w:type="dxa" w:w="1036"/>
            <w:vAlign w:val="top"/>
          </w:tcPr>
          <w:p>
            <w:pPr>
              <w:spacing w:after="40" w:before="0" w:line="259" w:lineRule="auto"/>
            </w:pPr>
            <w:r>
              <w:rPr>
                <w:rFonts w:ascii="Calibri" w:hAnsi="Calibri"/>
                <w:b w:val="0"/>
                <w:i w:val="0"/>
                <w:color w:val="212121"/>
                <w:sz w:val="16"/>
              </w:rPr>
              <w:t>Evacuation, prolapse, intussusception</w:t>
            </w:r>
          </w:p>
        </w:tc>
        <w:tc>
          <w:tcPr>
            <w:tcW w:type="dxa" w:w="892"/>
            <w:vAlign w:val="top"/>
          </w:tcPr>
          <w:p>
            <w:pPr>
              <w:spacing w:after="40" w:before="0" w:line="259" w:lineRule="auto"/>
            </w:pPr>
            <w:r>
              <w:rPr>
                <w:rFonts w:ascii="Calibri" w:hAnsi="Calibri"/>
                <w:b w:val="0"/>
                <w:i w:val="0"/>
                <w:color w:val="212121"/>
                <w:sz w:val="16"/>
              </w:rPr>
              <w:t>Defecography (MR or fluoroscopic)</w:t>
            </w:r>
          </w:p>
        </w:tc>
        <w:tc>
          <w:tcPr>
            <w:tcW w:type="dxa" w:w="950"/>
            <w:vAlign w:val="top"/>
          </w:tcPr>
          <w:p>
            <w:pPr>
              <w:spacing w:after="40" w:before="0" w:line="259" w:lineRule="auto"/>
            </w:pPr>
            <w:r>
              <w:rPr>
                <w:rFonts w:ascii="Calibri" w:hAnsi="Calibri"/>
                <w:b w:val="0"/>
                <w:i w:val="0"/>
                <w:color w:val="212121"/>
                <w:sz w:val="16"/>
              </w:rPr>
              <w:t>Complete evacuation, no prolapse</w:t>
            </w:r>
          </w:p>
        </w:tc>
        <w:tc>
          <w:tcPr>
            <w:tcW w:type="dxa" w:w="950"/>
            <w:vAlign w:val="top"/>
          </w:tcPr>
          <w:p>
            <w:pPr>
              <w:spacing w:after="40" w:before="0" w:line="259" w:lineRule="auto"/>
            </w:pPr>
            <w:r>
              <w:rPr>
                <w:rFonts w:ascii="Calibri" w:hAnsi="Calibri"/>
                <w:b w:val="0"/>
                <w:i w:val="0"/>
                <w:color w:val="212121"/>
                <w:sz w:val="16"/>
              </w:rPr>
              <w:t>Rectal prolapse/intussusception, poor evacuation, perineal descent</w:t>
            </w:r>
          </w:p>
        </w:tc>
        <w:tc>
          <w:tcPr>
            <w:tcW w:type="dxa" w:w="1036"/>
            <w:vAlign w:val="top"/>
          </w:tcPr>
          <w:p>
            <w:pPr>
              <w:spacing w:after="40" w:before="0" w:line="259" w:lineRule="auto"/>
            </w:pPr>
            <w:r>
              <w:rPr>
                <w:rFonts w:ascii="Calibri" w:hAnsi="Calibri"/>
                <w:b w:val="0"/>
                <w:i w:val="0"/>
                <w:color w:val="212121"/>
                <w:sz w:val="16"/>
              </w:rPr>
              <w:t>Detects structural/functional evacuation disorders driving seepage or overflow</w:t>
            </w:r>
          </w:p>
        </w:tc>
        <w:tc>
          <w:tcPr>
            <w:tcW w:type="dxa" w:w="1036"/>
            <w:vAlign w:val="top"/>
          </w:tcPr>
          <w:p>
            <w:pPr>
              <w:spacing w:after="40" w:before="0" w:line="259" w:lineRule="auto"/>
            </w:pPr>
            <w:r>
              <w:rPr>
                <w:rFonts w:ascii="Calibri" w:hAnsi="Calibri"/>
                <w:b w:val="0"/>
                <w:i w:val="0"/>
                <w:color w:val="212121"/>
                <w:sz w:val="16"/>
              </w:rPr>
              <w:t>Seepage, suspected prolapse, overflow</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Complements manometry and ultrasound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Mucosal disease, mass, IBD</w:t>
            </w:r>
          </w:p>
        </w:tc>
        <w:tc>
          <w:tcPr>
            <w:tcW w:type="dxa" w:w="892"/>
            <w:vAlign w:val="top"/>
          </w:tcPr>
          <w:p>
            <w:pPr>
              <w:spacing w:after="40" w:before="0" w:line="259" w:lineRule="auto"/>
            </w:pPr>
            <w:r>
              <w:rPr>
                <w:rFonts w:ascii="Calibri" w:hAnsi="Calibri"/>
                <w:b w:val="0"/>
                <w:i w:val="0"/>
                <w:color w:val="212121"/>
                <w:sz w:val="16"/>
              </w:rPr>
              <w:t>Flexible sigmoidoscopy / colonoscopy</w:t>
            </w:r>
          </w:p>
        </w:tc>
        <w:tc>
          <w:tcPr>
            <w:tcW w:type="dxa" w:w="950"/>
            <w:vAlign w:val="top"/>
          </w:tcPr>
          <w:p>
            <w:pPr>
              <w:spacing w:after="40" w:before="0" w:line="259" w:lineRule="auto"/>
            </w:pPr>
            <w:r>
              <w:rPr>
                <w:rFonts w:ascii="Calibri" w:hAnsi="Calibri"/>
                <w:b w:val="0"/>
                <w:i w:val="0"/>
                <w:color w:val="212121"/>
                <w:sz w:val="16"/>
              </w:rPr>
              <w:t>Normal mucosa</w:t>
            </w:r>
          </w:p>
        </w:tc>
        <w:tc>
          <w:tcPr>
            <w:tcW w:type="dxa" w:w="950"/>
            <w:vAlign w:val="top"/>
          </w:tcPr>
          <w:p>
            <w:pPr>
              <w:spacing w:after="40" w:before="0" w:line="259" w:lineRule="auto"/>
            </w:pPr>
            <w:r>
              <w:rPr>
                <w:rFonts w:ascii="Calibri" w:hAnsi="Calibri"/>
                <w:b w:val="0"/>
                <w:i w:val="0"/>
                <w:color w:val="212121"/>
                <w:sz w:val="16"/>
              </w:rPr>
              <w:t>Colitis, tumour, ulceration, stricture</w:t>
            </w:r>
          </w:p>
        </w:tc>
        <w:tc>
          <w:tcPr>
            <w:tcW w:type="dxa" w:w="1036"/>
            <w:vAlign w:val="top"/>
          </w:tcPr>
          <w:p>
            <w:pPr>
              <w:spacing w:after="40" w:before="0" w:line="259" w:lineRule="auto"/>
            </w:pPr>
            <w:r>
              <w:rPr>
                <w:rFonts w:ascii="Calibri" w:hAnsi="Calibri"/>
                <w:b w:val="0"/>
                <w:i w:val="0"/>
                <w:color w:val="212121"/>
                <w:sz w:val="16"/>
              </w:rPr>
              <w:t>Excludes inflammatory, neoplastic or infective mucosal causes of diarrhea</w:t>
            </w:r>
          </w:p>
        </w:tc>
        <w:tc>
          <w:tcPr>
            <w:tcW w:type="dxa" w:w="1036"/>
            <w:vAlign w:val="top"/>
          </w:tcPr>
          <w:p>
            <w:pPr>
              <w:spacing w:after="40" w:before="0" w:line="259" w:lineRule="auto"/>
            </w:pPr>
            <w:r>
              <w:rPr>
                <w:rFonts w:ascii="Calibri" w:hAnsi="Calibri"/>
                <w:b w:val="0"/>
                <w:i w:val="0"/>
                <w:color w:val="212121"/>
                <w:sz w:val="16"/>
              </w:rPr>
              <w:t>FI with diarrhea, bleeding, alarm features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Mandatory with red-flag symptoms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Stool studies</w:t>
            </w:r>
          </w:p>
        </w:tc>
        <w:tc>
          <w:tcPr>
            <w:tcW w:type="dxa" w:w="1036"/>
            <w:vAlign w:val="top"/>
          </w:tcPr>
          <w:p>
            <w:pPr>
              <w:spacing w:after="40" w:before="0" w:line="259" w:lineRule="auto"/>
            </w:pPr>
            <w:r>
              <w:rPr>
                <w:rFonts w:ascii="Calibri" w:hAnsi="Calibri"/>
                <w:b w:val="0"/>
                <w:i w:val="0"/>
                <w:color w:val="212121"/>
                <w:sz w:val="16"/>
              </w:rPr>
              <w:t>Infection, fat, osmolality</w:t>
            </w:r>
          </w:p>
        </w:tc>
        <w:tc>
          <w:tcPr>
            <w:tcW w:type="dxa" w:w="892"/>
            <w:vAlign w:val="top"/>
          </w:tcPr>
          <w:p>
            <w:pPr>
              <w:spacing w:after="40" w:before="0" w:line="259" w:lineRule="auto"/>
            </w:pPr>
            <w:r>
              <w:rPr>
                <w:rFonts w:ascii="Calibri" w:hAnsi="Calibri"/>
                <w:b w:val="0"/>
                <w:i w:val="0"/>
                <w:color w:val="212121"/>
                <w:sz w:val="16"/>
              </w:rPr>
              <w:t>Stool analysis &amp; culture</w:t>
            </w:r>
          </w:p>
        </w:tc>
        <w:tc>
          <w:tcPr>
            <w:tcW w:type="dxa" w:w="950"/>
            <w:vAlign w:val="top"/>
          </w:tcPr>
          <w:p>
            <w:pPr>
              <w:spacing w:after="40" w:before="0" w:line="259" w:lineRule="auto"/>
            </w:pPr>
            <w:r>
              <w:rPr>
                <w:rFonts w:ascii="Calibri" w:hAnsi="Calibri"/>
                <w:b w:val="0"/>
                <w:i w:val="0"/>
                <w:color w:val="212121"/>
                <w:sz w:val="16"/>
              </w:rPr>
              <w:t>No pathogen, normal fat</w:t>
            </w:r>
          </w:p>
        </w:tc>
        <w:tc>
          <w:tcPr>
            <w:tcW w:type="dxa" w:w="950"/>
            <w:vAlign w:val="top"/>
          </w:tcPr>
          <w:p>
            <w:pPr>
              <w:spacing w:after="40" w:before="0" w:line="259" w:lineRule="auto"/>
            </w:pPr>
            <w:r>
              <w:rPr>
                <w:rFonts w:ascii="Calibri" w:hAnsi="Calibri"/>
                <w:b w:val="0"/>
                <w:i w:val="0"/>
                <w:color w:val="212121"/>
                <w:sz w:val="16"/>
              </w:rPr>
              <w:t>Pathogen, malabsorption, inflammatory markers</w:t>
            </w:r>
          </w:p>
        </w:tc>
        <w:tc>
          <w:tcPr>
            <w:tcW w:type="dxa" w:w="1036"/>
            <w:vAlign w:val="top"/>
          </w:tcPr>
          <w:p>
            <w:pPr>
              <w:spacing w:after="40" w:before="0" w:line="259" w:lineRule="auto"/>
            </w:pPr>
            <w:r>
              <w:rPr>
                <w:rFonts w:ascii="Calibri" w:hAnsi="Calibri"/>
                <w:b w:val="0"/>
                <w:i w:val="0"/>
                <w:color w:val="212121"/>
                <w:sz w:val="16"/>
              </w:rPr>
              <w:t>Identifies treatable diarrheal causes overwhelming the sphincter</w:t>
            </w:r>
          </w:p>
        </w:tc>
        <w:tc>
          <w:tcPr>
            <w:tcW w:type="dxa" w:w="1036"/>
            <w:vAlign w:val="top"/>
          </w:tcPr>
          <w:p>
            <w:pPr>
              <w:spacing w:after="40" w:before="0" w:line="259" w:lineRule="auto"/>
            </w:pPr>
            <w:r>
              <w:rPr>
                <w:rFonts w:ascii="Calibri" w:hAnsi="Calibri"/>
                <w:b w:val="0"/>
                <w:i w:val="0"/>
                <w:color w:val="212121"/>
                <w:sz w:val="16"/>
              </w:rPr>
              <w:t>Diarrhea-predominant FI</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Includes calprotectin where IBD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Glycaemia &amp; thyroid status</w:t>
            </w:r>
          </w:p>
        </w:tc>
        <w:tc>
          <w:tcPr>
            <w:tcW w:type="dxa" w:w="892"/>
            <w:vAlign w:val="top"/>
          </w:tcPr>
          <w:p>
            <w:pPr>
              <w:spacing w:after="40" w:before="0" w:line="259" w:lineRule="auto"/>
            </w:pPr>
            <w:r>
              <w:rPr>
                <w:rFonts w:ascii="Calibri" w:hAnsi="Calibri"/>
                <w:b w:val="0"/>
                <w:i w:val="0"/>
                <w:color w:val="212121"/>
                <w:sz w:val="16"/>
              </w:rPr>
              <w:t>HbA1c / fasting glucose &amp; TSH</w:t>
            </w:r>
          </w:p>
        </w:tc>
        <w:tc>
          <w:tcPr>
            <w:tcW w:type="dxa" w:w="950"/>
            <w:vAlign w:val="top"/>
          </w:tcPr>
          <w:p>
            <w:pPr>
              <w:spacing w:after="40" w:before="0" w:line="259" w:lineRule="auto"/>
            </w:pPr>
            <w:r>
              <w:rPr>
                <w:rFonts w:ascii="Calibri" w:hAnsi="Calibri"/>
                <w:b w:val="0"/>
                <w:i w:val="0"/>
                <w:color w:val="212121"/>
                <w:sz w:val="16"/>
              </w:rPr>
              <w:t>HbA1c &lt; 5.7%; TSH normal</w:t>
            </w:r>
          </w:p>
        </w:tc>
        <w:tc>
          <w:tcPr>
            <w:tcW w:type="dxa" w:w="950"/>
            <w:vAlign w:val="top"/>
          </w:tcPr>
          <w:p>
            <w:pPr>
              <w:spacing w:after="40" w:before="0" w:line="259" w:lineRule="auto"/>
            </w:pPr>
            <w:r>
              <w:rPr>
                <w:rFonts w:ascii="Calibri" w:hAnsi="Calibri"/>
                <w:b w:val="0"/>
                <w:i w:val="0"/>
                <w:color w:val="212121"/>
                <w:sz w:val="16"/>
              </w:rPr>
              <w:t>HbA1c &gt;= 6.5% (diabetes); abnormal TSH</w:t>
            </w:r>
          </w:p>
        </w:tc>
        <w:tc>
          <w:tcPr>
            <w:tcW w:type="dxa" w:w="1036"/>
            <w:vAlign w:val="top"/>
          </w:tcPr>
          <w:p>
            <w:pPr>
              <w:spacing w:after="40" w:before="0" w:line="259" w:lineRule="auto"/>
            </w:pPr>
            <w:r>
              <w:rPr>
                <w:rFonts w:ascii="Calibri" w:hAnsi="Calibri"/>
                <w:b w:val="0"/>
                <w:i w:val="0"/>
                <w:color w:val="212121"/>
                <w:sz w:val="16"/>
              </w:rPr>
              <w:t>Detects diabetic enteropathy/neuropathy and thyroid-driven diarrhea</w:t>
            </w:r>
          </w:p>
        </w:tc>
        <w:tc>
          <w:tcPr>
            <w:tcW w:type="dxa" w:w="1036"/>
            <w:vAlign w:val="top"/>
          </w:tcPr>
          <w:p>
            <w:pPr>
              <w:spacing w:after="40" w:before="0" w:line="259" w:lineRule="auto"/>
            </w:pPr>
            <w:r>
              <w:rPr>
                <w:rFonts w:ascii="Calibri" w:hAnsi="Calibri"/>
                <w:b w:val="0"/>
                <w:i w:val="0"/>
                <w:color w:val="212121"/>
                <w:sz w:val="16"/>
              </w:rPr>
              <w:t>FI with diarrhea or neuropathy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Diabetic FI is often nocturnal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Sensory/evacuation</w:t>
            </w:r>
          </w:p>
        </w:tc>
        <w:tc>
          <w:tcPr>
            <w:tcW w:type="dxa" w:w="1036"/>
            <w:vAlign w:val="top"/>
          </w:tcPr>
          <w:p>
            <w:pPr>
              <w:spacing w:after="40" w:before="0" w:line="259" w:lineRule="auto"/>
            </w:pPr>
            <w:r>
              <w:rPr>
                <w:rFonts w:ascii="Calibri" w:hAnsi="Calibri"/>
                <w:b w:val="0"/>
                <w:i w:val="0"/>
                <w:color w:val="212121"/>
                <w:sz w:val="16"/>
              </w:rPr>
              <w:t>Rectal sensation &amp; expulsion</w:t>
            </w:r>
          </w:p>
        </w:tc>
        <w:tc>
          <w:tcPr>
            <w:tcW w:type="dxa" w:w="892"/>
            <w:vAlign w:val="top"/>
          </w:tcPr>
          <w:p>
            <w:pPr>
              <w:spacing w:after="40" w:before="0" w:line="259" w:lineRule="auto"/>
            </w:pPr>
            <w:r>
              <w:rPr>
                <w:rFonts w:ascii="Calibri" w:hAnsi="Calibri"/>
                <w:b w:val="0"/>
                <w:i w:val="0"/>
                <w:color w:val="212121"/>
                <w:sz w:val="16"/>
              </w:rPr>
              <w:t>Balloon expulsion &amp; rectal sensory testing</w:t>
            </w:r>
          </w:p>
        </w:tc>
        <w:tc>
          <w:tcPr>
            <w:tcW w:type="dxa" w:w="950"/>
            <w:vAlign w:val="top"/>
          </w:tcPr>
          <w:p>
            <w:pPr>
              <w:spacing w:after="40" w:before="0" w:line="259" w:lineRule="auto"/>
            </w:pPr>
            <w:r>
              <w:rPr>
                <w:rFonts w:ascii="Calibri" w:hAnsi="Calibri"/>
                <w:b w:val="0"/>
                <w:i w:val="0"/>
                <w:color w:val="212121"/>
                <w:sz w:val="16"/>
              </w:rPr>
              <w:t>Normal sensory thresholds, balloon expelled &lt; 1 min</w:t>
            </w:r>
          </w:p>
        </w:tc>
        <w:tc>
          <w:tcPr>
            <w:tcW w:type="dxa" w:w="950"/>
            <w:vAlign w:val="top"/>
          </w:tcPr>
          <w:p>
            <w:pPr>
              <w:spacing w:after="40" w:before="0" w:line="259" w:lineRule="auto"/>
            </w:pPr>
            <w:r>
              <w:rPr>
                <w:rFonts w:ascii="Calibri" w:hAnsi="Calibri"/>
                <w:b w:val="0"/>
                <w:i w:val="0"/>
                <w:color w:val="212121"/>
                <w:sz w:val="16"/>
              </w:rPr>
              <w:t>Rectal hyposensitivity/hypersensitivity, failed expulsion</w:t>
            </w:r>
          </w:p>
        </w:tc>
        <w:tc>
          <w:tcPr>
            <w:tcW w:type="dxa" w:w="1036"/>
            <w:vAlign w:val="top"/>
          </w:tcPr>
          <w:p>
            <w:pPr>
              <w:spacing w:after="40" w:before="0" w:line="259" w:lineRule="auto"/>
            </w:pPr>
            <w:r>
              <w:rPr>
                <w:rFonts w:ascii="Calibri" w:hAnsi="Calibri"/>
                <w:b w:val="0"/>
                <w:i w:val="0"/>
                <w:color w:val="212121"/>
                <w:sz w:val="16"/>
              </w:rPr>
              <w:t>Characterises sensory and evacuation contribution to incontinence</w:t>
            </w:r>
          </w:p>
        </w:tc>
        <w:tc>
          <w:tcPr>
            <w:tcW w:type="dxa" w:w="1036"/>
            <w:vAlign w:val="top"/>
          </w:tcPr>
          <w:p>
            <w:pPr>
              <w:spacing w:after="40" w:before="0" w:line="259" w:lineRule="auto"/>
            </w:pPr>
            <w:r>
              <w:rPr>
                <w:rFonts w:ascii="Calibri" w:hAnsi="Calibri"/>
                <w:b w:val="0"/>
                <w:i w:val="0"/>
                <w:color w:val="212121"/>
                <w:sz w:val="16"/>
              </w:rPr>
              <w:t>Seepage, urge FI, suspected dyssynergia</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Guides sensory-retraining biofeedback</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&amp; pattern</w:t>
            </w:r>
          </w:p>
        </w:tc>
        <w:tc>
          <w:tcPr>
            <w:tcW w:type="dxa" w:w="979"/>
            <w:vAlign w:val="top"/>
          </w:tcPr>
          <w:p>
            <w:pPr>
              <w:spacing w:after="40" w:before="0" w:line="259" w:lineRule="auto"/>
            </w:pPr>
            <w:r>
              <w:rPr>
                <w:rFonts w:ascii="Calibri" w:hAnsi="Calibri"/>
                <w:b w:val="0"/>
                <w:i w:val="0"/>
                <w:color w:val="212121"/>
                <w:sz w:val="16"/>
              </w:rPr>
              <w:t>Urge vs passive; flatus/liquid/solid</w:t>
            </w:r>
          </w:p>
        </w:tc>
        <w:tc>
          <w:tcPr>
            <w:tcW w:type="dxa" w:w="950"/>
            <w:vAlign w:val="top"/>
          </w:tcPr>
          <w:p>
            <w:pPr>
              <w:spacing w:after="40" w:before="0" w:line="259" w:lineRule="auto"/>
            </w:pPr>
            <w:r>
              <w:rPr>
                <w:rFonts w:ascii="Calibri" w:hAnsi="Calibri"/>
                <w:b w:val="0"/>
                <w:i w:val="0"/>
                <w:color w:val="212121"/>
                <w:sz w:val="16"/>
              </w:rPr>
              <w:t>Full voluntary bowel control</w:t>
            </w:r>
          </w:p>
        </w:tc>
        <w:tc>
          <w:tcPr>
            <w:tcW w:type="dxa" w:w="950"/>
            <w:vAlign w:val="top"/>
          </w:tcPr>
          <w:p>
            <w:pPr>
              <w:spacing w:after="40" w:before="0" w:line="259" w:lineRule="auto"/>
            </w:pPr>
            <w:r>
              <w:rPr>
                <w:rFonts w:ascii="Calibri" w:hAnsi="Calibri"/>
                <w:b w:val="0"/>
                <w:i w:val="0"/>
                <w:color w:val="212121"/>
                <w:sz w:val="16"/>
              </w:rPr>
              <w:t>Involuntary leakage &gt;= monthly for &gt;= 3 months</w:t>
            </w:r>
          </w:p>
        </w:tc>
        <w:tc>
          <w:tcPr>
            <w:tcW w:type="dxa" w:w="1036"/>
            <w:vAlign w:val="top"/>
          </w:tcPr>
          <w:p>
            <w:pPr>
              <w:spacing w:after="40" w:before="0" w:line="259" w:lineRule="auto"/>
            </w:pPr>
            <w:r>
              <w:rPr>
                <w:rFonts w:ascii="Calibri" w:hAnsi="Calibri"/>
                <w:b w:val="0"/>
                <w:i w:val="0"/>
                <w:color w:val="212121"/>
                <w:sz w:val="16"/>
              </w:rPr>
              <w:t>Defines subtype (urge = EAS; passive = IAS/neuropathy; seepage = evacuation)</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directly - patients rarely volunteer due to stigma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Bowel &amp; stool diary</w:t>
            </w:r>
          </w:p>
        </w:tc>
        <w:tc>
          <w:tcPr>
            <w:tcW w:type="dxa" w:w="979"/>
            <w:vAlign w:val="top"/>
          </w:tcPr>
          <w:p>
            <w:pPr>
              <w:spacing w:after="40" w:before="0" w:line="259" w:lineRule="auto"/>
            </w:pPr>
            <w:r>
              <w:rPr>
                <w:rFonts w:ascii="Calibri" w:hAnsi="Calibri"/>
                <w:b w:val="0"/>
                <w:i w:val="0"/>
                <w:color w:val="212121"/>
                <w:sz w:val="16"/>
              </w:rPr>
              <w:t>Stool form (Bristol), frequency, urgency</w:t>
            </w:r>
          </w:p>
        </w:tc>
        <w:tc>
          <w:tcPr>
            <w:tcW w:type="dxa" w:w="950"/>
            <w:vAlign w:val="top"/>
          </w:tcPr>
          <w:p>
            <w:pPr>
              <w:spacing w:after="40" w:before="0" w:line="259" w:lineRule="auto"/>
            </w:pPr>
            <w:r>
              <w:rPr>
                <w:rFonts w:ascii="Calibri" w:hAnsi="Calibri"/>
                <w:b w:val="0"/>
                <w:i w:val="0"/>
                <w:color w:val="212121"/>
                <w:sz w:val="16"/>
              </w:rPr>
              <w:t>Formed stool, good deferment</w:t>
            </w:r>
          </w:p>
        </w:tc>
        <w:tc>
          <w:tcPr>
            <w:tcW w:type="dxa" w:w="950"/>
            <w:vAlign w:val="top"/>
          </w:tcPr>
          <w:p>
            <w:pPr>
              <w:spacing w:after="40" w:before="0" w:line="259" w:lineRule="auto"/>
            </w:pPr>
            <w:r>
              <w:rPr>
                <w:rFonts w:ascii="Calibri" w:hAnsi="Calibri"/>
                <w:b w:val="0"/>
                <w:i w:val="0"/>
                <w:color w:val="212121"/>
                <w:sz w:val="16"/>
              </w:rPr>
              <w:t>Loose/urgent stools or hard stool with soiling</w:t>
            </w:r>
          </w:p>
        </w:tc>
        <w:tc>
          <w:tcPr>
            <w:tcW w:type="dxa" w:w="1036"/>
            <w:vAlign w:val="top"/>
          </w:tcPr>
          <w:p>
            <w:pPr>
              <w:spacing w:after="40" w:before="0" w:line="259" w:lineRule="auto"/>
            </w:pPr>
            <w:r>
              <w:rPr>
                <w:rFonts w:ascii="Calibri" w:hAnsi="Calibri"/>
                <w:b w:val="0"/>
                <w:i w:val="0"/>
                <w:color w:val="212121"/>
                <w:sz w:val="16"/>
              </w:rPr>
              <w:t>Loose stool is the commonest reversible contributor; hard stool suggests overflow</w:t>
            </w:r>
          </w:p>
        </w:tc>
        <w:tc>
          <w:tcPr>
            <w:tcW w:type="dxa" w:w="1036"/>
            <w:vAlign w:val="top"/>
          </w:tcPr>
          <w:p>
            <w:pPr>
              <w:spacing w:after="40" w:before="0" w:line="259" w:lineRule="auto"/>
            </w:pPr>
            <w:r>
              <w:rPr>
                <w:rFonts w:ascii="Calibri" w:hAnsi="Calibri"/>
                <w:b w:val="0"/>
                <w:i w:val="0"/>
                <w:color w:val="212121"/>
                <w:sz w:val="16"/>
              </w:rPr>
              <w:t>Diarrhea- or constipation-predominant FI</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 1-2 week diary quantifies episodes and triggers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history</w:t>
            </w:r>
          </w:p>
        </w:tc>
        <w:tc>
          <w:tcPr>
            <w:tcW w:type="dxa" w:w="979"/>
            <w:vAlign w:val="top"/>
          </w:tcPr>
          <w:p>
            <w:pPr>
              <w:spacing w:after="40" w:before="0" w:line="259" w:lineRule="auto"/>
            </w:pPr>
            <w:r>
              <w:rPr>
                <w:rFonts w:ascii="Calibri" w:hAnsi="Calibri"/>
                <w:b w:val="0"/>
                <w:i w:val="0"/>
                <w:color w:val="212121"/>
                <w:sz w:val="16"/>
              </w:rPr>
              <w:t>Parity, instrumental delivery, tears, episiotomy</w:t>
            </w:r>
          </w:p>
        </w:tc>
        <w:tc>
          <w:tcPr>
            <w:tcW w:type="dxa" w:w="950"/>
            <w:vAlign w:val="top"/>
          </w:tcPr>
          <w:p>
            <w:pPr>
              <w:spacing w:after="40" w:before="0" w:line="259" w:lineRule="auto"/>
            </w:pPr>
            <w:r>
              <w:rPr>
                <w:rFonts w:ascii="Calibri" w:hAnsi="Calibri"/>
                <w:b w:val="0"/>
                <w:i w:val="0"/>
                <w:color w:val="212121"/>
                <w:sz w:val="16"/>
              </w:rPr>
              <w:t>No obstetric trauma</w:t>
            </w:r>
          </w:p>
        </w:tc>
        <w:tc>
          <w:tcPr>
            <w:tcW w:type="dxa" w:w="950"/>
            <w:vAlign w:val="top"/>
          </w:tcPr>
          <w:p>
            <w:pPr>
              <w:spacing w:after="40" w:before="0" w:line="259" w:lineRule="auto"/>
            </w:pPr>
            <w:r>
              <w:rPr>
                <w:rFonts w:ascii="Calibri" w:hAnsi="Calibri"/>
                <w:b w:val="0"/>
                <w:i w:val="0"/>
                <w:color w:val="212121"/>
                <w:sz w:val="16"/>
              </w:rPr>
              <w:t>Forceps/ventouse, prolonged labour, 3rd/4th-degree tear</w:t>
            </w:r>
          </w:p>
        </w:tc>
        <w:tc>
          <w:tcPr>
            <w:tcW w:type="dxa" w:w="1036"/>
            <w:vAlign w:val="top"/>
          </w:tcPr>
          <w:p>
            <w:pPr>
              <w:spacing w:after="40" w:before="0" w:line="259" w:lineRule="auto"/>
            </w:pPr>
            <w:r>
              <w:rPr>
                <w:rFonts w:ascii="Calibri" w:hAnsi="Calibri"/>
                <w:b w:val="0"/>
                <w:i w:val="0"/>
                <w:color w:val="212121"/>
                <w:sz w:val="16"/>
              </w:rPr>
              <w:t>Identifies obstetric sphincter injury, the leading cause in women</w:t>
            </w:r>
          </w:p>
        </w:tc>
        <w:tc>
          <w:tcPr>
            <w:tcW w:type="dxa" w:w="1036"/>
            <w:vAlign w:val="top"/>
          </w:tcPr>
          <w:p>
            <w:pPr>
              <w:spacing w:after="40" w:before="0" w:line="259" w:lineRule="auto"/>
            </w:pPr>
            <w:r>
              <w:rPr>
                <w:rFonts w:ascii="Calibri" w:hAnsi="Calibri"/>
                <w:b w:val="0"/>
                <w:i w:val="0"/>
                <w:color w:val="212121"/>
                <w:sz w:val="16"/>
              </w:rPr>
              <w:t>Parous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Symptoms may appear decades after delivery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Surgical, drug &amp; medical history</w:t>
            </w:r>
          </w:p>
        </w:tc>
        <w:tc>
          <w:tcPr>
            <w:tcW w:type="dxa" w:w="979"/>
            <w:vAlign w:val="top"/>
          </w:tcPr>
          <w:p>
            <w:pPr>
              <w:spacing w:after="40" w:before="0" w:line="259" w:lineRule="auto"/>
            </w:pPr>
            <w:r>
              <w:rPr>
                <w:rFonts w:ascii="Calibri" w:hAnsi="Calibri"/>
                <w:b w:val="0"/>
                <w:i w:val="0"/>
                <w:color w:val="212121"/>
                <w:sz w:val="16"/>
              </w:rPr>
              <w:t>Anorectal surgery, diabetes, neuro disease, radiation, opioids/laxatives</w:t>
            </w:r>
          </w:p>
        </w:tc>
        <w:tc>
          <w:tcPr>
            <w:tcW w:type="dxa" w:w="950"/>
            <w:vAlign w:val="top"/>
          </w:tcPr>
          <w:p>
            <w:pPr>
              <w:spacing w:after="40" w:before="0" w:line="259" w:lineRule="auto"/>
            </w:pPr>
            <w:r>
              <w:rPr>
                <w:rFonts w:ascii="Calibri" w:hAnsi="Calibri"/>
                <w:b w:val="0"/>
                <w:i w:val="0"/>
                <w:color w:val="212121"/>
                <w:sz w:val="16"/>
              </w:rPr>
              <w:t>None relevant</w:t>
            </w:r>
          </w:p>
        </w:tc>
        <w:tc>
          <w:tcPr>
            <w:tcW w:type="dxa" w:w="950"/>
            <w:vAlign w:val="top"/>
          </w:tcPr>
          <w:p>
            <w:pPr>
              <w:spacing w:after="40" w:before="0" w:line="259" w:lineRule="auto"/>
            </w:pPr>
            <w:r>
              <w:rPr>
                <w:rFonts w:ascii="Calibri" w:hAnsi="Calibri"/>
                <w:b w:val="0"/>
                <w:i w:val="0"/>
                <w:color w:val="212121"/>
                <w:sz w:val="16"/>
              </w:rPr>
              <w:t>Prior fistula/hemorrhoid/sphincter surgery; diabetes; SCI/stroke/MS; pelvic radiotherapy</w:t>
            </w:r>
          </w:p>
        </w:tc>
        <w:tc>
          <w:tcPr>
            <w:tcW w:type="dxa" w:w="1036"/>
            <w:vAlign w:val="top"/>
          </w:tcPr>
          <w:p>
            <w:pPr>
              <w:spacing w:after="40" w:before="0" w:line="259" w:lineRule="auto"/>
            </w:pPr>
            <w:r>
              <w:rPr>
                <w:rFonts w:ascii="Calibri" w:hAnsi="Calibri"/>
                <w:b w:val="0"/>
                <w:i w:val="0"/>
                <w:color w:val="212121"/>
                <w:sz w:val="16"/>
              </w:rPr>
              <w:t>Uncovers iatrogenic, neurogenic and drug-related causes</w:t>
            </w:r>
          </w:p>
        </w:tc>
        <w:tc>
          <w:tcPr>
            <w:tcW w:type="dxa" w:w="1036"/>
            <w:vAlign w:val="top"/>
          </w:tcPr>
          <w:p>
            <w:pPr>
              <w:spacing w:after="40" w:before="0" w:line="259" w:lineRule="auto"/>
            </w:pPr>
            <w:r>
              <w:rPr>
                <w:rFonts w:ascii="Calibri" w:hAnsi="Calibri"/>
                <w:b w:val="0"/>
                <w:i w:val="0"/>
                <w:color w:val="212121"/>
                <w:sz w:val="16"/>
              </w:rPr>
              <w:t>Post-surgical, diabetic, neurological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Review metformin, laxatives, sorbitol-containing drugs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Perineal inspection &amp; anal wink</w:t>
            </w:r>
          </w:p>
        </w:tc>
        <w:tc>
          <w:tcPr>
            <w:tcW w:type="dxa" w:w="979"/>
            <w:vAlign w:val="top"/>
          </w:tcPr>
          <w:p>
            <w:pPr>
              <w:spacing w:after="40" w:before="0" w:line="259" w:lineRule="auto"/>
            </w:pPr>
            <w:r>
              <w:rPr>
                <w:rFonts w:ascii="Calibri" w:hAnsi="Calibri"/>
                <w:b w:val="0"/>
                <w:i w:val="0"/>
                <w:color w:val="212121"/>
                <w:sz w:val="16"/>
              </w:rPr>
              <w:t>Soiling, scars, prolapse, excoriation, reflex</w:t>
            </w:r>
          </w:p>
        </w:tc>
        <w:tc>
          <w:tcPr>
            <w:tcW w:type="dxa" w:w="950"/>
            <w:vAlign w:val="top"/>
          </w:tcPr>
          <w:p>
            <w:pPr>
              <w:spacing w:after="40" w:before="0" w:line="259" w:lineRule="auto"/>
            </w:pPr>
            <w:r>
              <w:rPr>
                <w:rFonts w:ascii="Calibri" w:hAnsi="Calibri"/>
                <w:b w:val="0"/>
                <w:i w:val="0"/>
                <w:color w:val="212121"/>
                <w:sz w:val="16"/>
              </w:rPr>
              <w:t>Clean, intact perineum; present anal wink</w:t>
            </w:r>
          </w:p>
        </w:tc>
        <w:tc>
          <w:tcPr>
            <w:tcW w:type="dxa" w:w="950"/>
            <w:vAlign w:val="top"/>
          </w:tcPr>
          <w:p>
            <w:pPr>
              <w:spacing w:after="40" w:before="0" w:line="259" w:lineRule="auto"/>
            </w:pPr>
            <w:r>
              <w:rPr>
                <w:rFonts w:ascii="Calibri" w:hAnsi="Calibri"/>
                <w:b w:val="0"/>
                <w:i w:val="0"/>
                <w:color w:val="212121"/>
                <w:sz w:val="16"/>
              </w:rPr>
              <w:t>Soiling, keyhole scar, prolapse, dermatitis, absent anal wink</w:t>
            </w:r>
          </w:p>
        </w:tc>
        <w:tc>
          <w:tcPr>
            <w:tcW w:type="dxa" w:w="1036"/>
            <w:vAlign w:val="top"/>
          </w:tcPr>
          <w:p>
            <w:pPr>
              <w:spacing w:after="40" w:before="0" w:line="259" w:lineRule="auto"/>
            </w:pPr>
            <w:r>
              <w:rPr>
                <w:rFonts w:ascii="Calibri" w:hAnsi="Calibri"/>
                <w:b w:val="0"/>
                <w:i w:val="0"/>
                <w:color w:val="212121"/>
                <w:sz w:val="16"/>
              </w:rPr>
              <w:t>Absent anal wink suggests neurological disease; scar suggests structural defect</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Note perineal descent &gt; 3 cm on straining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Digital rectal examination</w:t>
            </w:r>
          </w:p>
        </w:tc>
        <w:tc>
          <w:tcPr>
            <w:tcW w:type="dxa" w:w="979"/>
            <w:vAlign w:val="top"/>
          </w:tcPr>
          <w:p>
            <w:pPr>
              <w:spacing w:after="40" w:before="0" w:line="259" w:lineRule="auto"/>
            </w:pPr>
            <w:r>
              <w:rPr>
                <w:rFonts w:ascii="Calibri" w:hAnsi="Calibri"/>
                <w:b w:val="0"/>
                <w:i w:val="0"/>
                <w:color w:val="212121"/>
                <w:sz w:val="16"/>
              </w:rPr>
              <w:t>Resting tone, squeeze, impaction, mass</w:t>
            </w:r>
          </w:p>
        </w:tc>
        <w:tc>
          <w:tcPr>
            <w:tcW w:type="dxa" w:w="950"/>
            <w:vAlign w:val="top"/>
          </w:tcPr>
          <w:p>
            <w:pPr>
              <w:spacing w:after="40" w:before="0" w:line="259" w:lineRule="auto"/>
            </w:pPr>
            <w:r>
              <w:rPr>
                <w:rFonts w:ascii="Calibri" w:hAnsi="Calibri"/>
                <w:b w:val="0"/>
                <w:i w:val="0"/>
                <w:color w:val="212121"/>
                <w:sz w:val="16"/>
              </w:rPr>
              <w:t>Good resting &amp; squeeze tone, empty rectum</w:t>
            </w:r>
          </w:p>
        </w:tc>
        <w:tc>
          <w:tcPr>
            <w:tcW w:type="dxa" w:w="950"/>
            <w:vAlign w:val="top"/>
          </w:tcPr>
          <w:p>
            <w:pPr>
              <w:spacing w:after="40" w:before="0" w:line="259" w:lineRule="auto"/>
            </w:pPr>
            <w:r>
              <w:rPr>
                <w:rFonts w:ascii="Calibri" w:hAnsi="Calibri"/>
                <w:b w:val="0"/>
                <w:i w:val="0"/>
                <w:color w:val="212121"/>
                <w:sz w:val="16"/>
              </w:rPr>
              <w:t>Reduced tone/squeeze, impaction, mass, patulous anus</w:t>
            </w:r>
          </w:p>
        </w:tc>
        <w:tc>
          <w:tcPr>
            <w:tcW w:type="dxa" w:w="1036"/>
            <w:vAlign w:val="top"/>
          </w:tcPr>
          <w:p>
            <w:pPr>
              <w:spacing w:after="40" w:before="0" w:line="259" w:lineRule="auto"/>
            </w:pPr>
            <w:r>
              <w:rPr>
                <w:rFonts w:ascii="Calibri" w:hAnsi="Calibri"/>
                <w:b w:val="0"/>
                <w:i w:val="0"/>
                <w:color w:val="212121"/>
                <w:sz w:val="16"/>
              </w:rPr>
              <w:t>Assesses IAS (rest) and EAS/puborectalis (squeeze); detects overflow and tumour</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Impaction with overflow is easily missed and reversible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Assessment</w:t>
            </w:r>
          </w:p>
        </w:tc>
        <w:tc>
          <w:tcPr>
            <w:tcW w:type="dxa" w:w="950"/>
            <w:vAlign w:val="top"/>
          </w:tcPr>
          <w:p>
            <w:pPr>
              <w:spacing w:after="40" w:before="0" w:line="259" w:lineRule="auto"/>
            </w:pPr>
            <w:r>
              <w:rPr>
                <w:rFonts w:ascii="Calibri" w:hAnsi="Calibri"/>
                <w:b w:val="0"/>
                <w:i w:val="0"/>
                <w:color w:val="212121"/>
                <w:sz w:val="16"/>
              </w:rPr>
              <w:t>Severity &amp; quality-of-life scoring</w:t>
            </w:r>
          </w:p>
        </w:tc>
        <w:tc>
          <w:tcPr>
            <w:tcW w:type="dxa" w:w="979"/>
            <w:vAlign w:val="top"/>
          </w:tcPr>
          <w:p>
            <w:pPr>
              <w:spacing w:after="40" w:before="0" w:line="259" w:lineRule="auto"/>
            </w:pPr>
            <w:r>
              <w:rPr>
                <w:rFonts w:ascii="Calibri" w:hAnsi="Calibri"/>
                <w:b w:val="0"/>
                <w:i w:val="0"/>
                <w:color w:val="212121"/>
                <w:sz w:val="16"/>
              </w:rPr>
              <w:t>Wexner / St Mark's score; FIQL</w:t>
            </w:r>
          </w:p>
        </w:tc>
        <w:tc>
          <w:tcPr>
            <w:tcW w:type="dxa" w:w="950"/>
            <w:vAlign w:val="top"/>
          </w:tcPr>
          <w:p>
            <w:pPr>
              <w:spacing w:after="40" w:before="0" w:line="259" w:lineRule="auto"/>
            </w:pPr>
            <w:r>
              <w:rPr>
                <w:rFonts w:ascii="Calibri" w:hAnsi="Calibri"/>
                <w:b w:val="0"/>
                <w:i w:val="0"/>
                <w:color w:val="212121"/>
                <w:sz w:val="16"/>
              </w:rPr>
              <w:t>Score 0; no lifestyle impact</w:t>
            </w:r>
          </w:p>
        </w:tc>
        <w:tc>
          <w:tcPr>
            <w:tcW w:type="dxa" w:w="950"/>
            <w:vAlign w:val="top"/>
          </w:tcPr>
          <w:p>
            <w:pPr>
              <w:spacing w:after="40" w:before="0" w:line="259" w:lineRule="auto"/>
            </w:pPr>
            <w:r>
              <w:rPr>
                <w:rFonts w:ascii="Calibri" w:hAnsi="Calibri"/>
                <w:b w:val="0"/>
                <w:i w:val="0"/>
                <w:color w:val="212121"/>
                <w:sz w:val="16"/>
              </w:rPr>
              <w:t>Higher score; restricted activities, isolation</w:t>
            </w:r>
          </w:p>
        </w:tc>
        <w:tc>
          <w:tcPr>
            <w:tcW w:type="dxa" w:w="1036"/>
            <w:vAlign w:val="top"/>
          </w:tcPr>
          <w:p>
            <w:pPr>
              <w:spacing w:after="40" w:before="0" w:line="259" w:lineRule="auto"/>
            </w:pPr>
            <w:r>
              <w:rPr>
                <w:rFonts w:ascii="Calibri" w:hAnsi="Calibri"/>
                <w:b w:val="0"/>
                <w:i w:val="0"/>
                <w:color w:val="212121"/>
                <w:sz w:val="16"/>
              </w:rPr>
              <w:t>Objectifies severity and psychosocial burden and tracks treatment</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Screen for depression, which is about 3x more likely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Involuntary leakage of liquid stool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Loose stool escapes most readily; often the first and commonest manifestation, worse with diarrhea.</w:t>
            </w:r>
          </w:p>
        </w:tc>
      </w:tr>
      <w:tr>
        <w:trPr>
          <w:cantSplit/>
        </w:trPr>
        <w:tc>
          <w:tcPr>
            <w:tcW w:type="dxa" w:w="2304"/>
            <w:vAlign w:val="top"/>
          </w:tcPr>
          <w:p>
            <w:pPr>
              <w:spacing w:after="40" w:before="0" w:line="259" w:lineRule="auto"/>
            </w:pPr>
            <w:r>
              <w:rPr>
                <w:rFonts w:ascii="Calibri" w:hAnsi="Calibri"/>
                <w:b/>
                <w:i w:val="0"/>
                <w:color w:val="212121"/>
                <w:sz w:val="19"/>
              </w:rPr>
              <w:t>Fecal urgency (sudden, uncontrollable need)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compelling need to defecate that cannot be deferred, leading to accidents if a toilet is not reached - the hallmark of urge incontinence.</w:t>
            </w:r>
          </w:p>
        </w:tc>
      </w:tr>
      <w:tr>
        <w:trPr>
          <w:cantSplit/>
        </w:trPr>
        <w:tc>
          <w:tcPr>
            <w:tcW w:type="dxa" w:w="2304"/>
            <w:vAlign w:val="top"/>
          </w:tcPr>
          <w:p>
            <w:pPr>
              <w:spacing w:after="40" w:before="0" w:line="259" w:lineRule="auto"/>
            </w:pPr>
            <w:r>
              <w:rPr>
                <w:rFonts w:ascii="Calibri" w:hAnsi="Calibri"/>
                <w:b/>
                <w:i w:val="0"/>
                <w:color w:val="212121"/>
                <w:sz w:val="19"/>
              </w:rPr>
              <w:t>Involuntary leakage of solid stool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formed stool indicates more severe (major) incontinence and significant sphincter compromise.</w:t>
            </w:r>
          </w:p>
        </w:tc>
      </w:tr>
      <w:tr>
        <w:trPr>
          <w:cantSplit/>
        </w:trPr>
        <w:tc>
          <w:tcPr>
            <w:tcW w:type="dxa" w:w="2304"/>
            <w:vAlign w:val="top"/>
          </w:tcPr>
          <w:p>
            <w:pPr>
              <w:spacing w:after="40" w:before="0" w:line="259" w:lineRule="auto"/>
            </w:pPr>
            <w:r>
              <w:rPr>
                <w:rFonts w:ascii="Calibri" w:hAnsi="Calibri"/>
                <w:b/>
                <w:i w:val="0"/>
                <w:color w:val="212121"/>
                <w:sz w:val="19"/>
              </w:rPr>
              <w:t>Fecal soiling / staining of underwear (seepage)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Post-defecation staining or soiling with otherwise near-normal continence, often from incomplete evacuation or internal-sphincter weakness.</w:t>
            </w:r>
          </w:p>
        </w:tc>
      </w:tr>
      <w:tr>
        <w:trPr>
          <w:cantSplit/>
        </w:trPr>
        <w:tc>
          <w:tcPr>
            <w:tcW w:type="dxa" w:w="2304"/>
            <w:vAlign w:val="top"/>
          </w:tcPr>
          <w:p>
            <w:pPr>
              <w:spacing w:after="40" w:before="0" w:line="259" w:lineRule="auto"/>
            </w:pPr>
            <w:r>
              <w:rPr>
                <w:rFonts w:ascii="Calibri" w:hAnsi="Calibri"/>
                <w:b/>
                <w:i w:val="0"/>
                <w:color w:val="212121"/>
                <w:sz w:val="19"/>
              </w:rPr>
              <w:t>Inability to control flatus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Involuntary passage of gas is frequently the earliest symptom of anal incontinence and a marker of sphincter weakness.</w:t>
            </w:r>
          </w:p>
        </w:tc>
      </w:tr>
      <w:tr>
        <w:trPr>
          <w:cantSplit/>
        </w:trPr>
        <w:tc>
          <w:tcPr>
            <w:tcW w:type="dxa" w:w="2304"/>
            <w:vAlign w:val="top"/>
          </w:tcPr>
          <w:p>
            <w:pPr>
              <w:spacing w:after="40" w:before="0" w:line="259" w:lineRule="auto"/>
            </w:pPr>
            <w:r>
              <w:rPr>
                <w:rFonts w:ascii="Calibri" w:hAnsi="Calibri"/>
                <w:b/>
                <w:i w:val="0"/>
                <w:color w:val="212121"/>
                <w:sz w:val="19"/>
              </w:rPr>
              <w:t>Passive leakage without awareness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Stool escapes without the patient sensing it - suggests internal-sphincter dysfunction, impaired sensation or neuropathy.</w:t>
            </w:r>
          </w:p>
        </w:tc>
      </w:tr>
      <w:tr>
        <w:trPr>
          <w:cantSplit/>
        </w:trPr>
        <w:tc>
          <w:tcPr>
            <w:tcW w:type="dxa" w:w="2304"/>
            <w:vAlign w:val="top"/>
          </w:tcPr>
          <w:p>
            <w:pPr>
              <w:spacing w:after="40" w:before="0" w:line="259" w:lineRule="auto"/>
            </w:pPr>
            <w:r>
              <w:rPr>
                <w:rFonts w:ascii="Calibri" w:hAnsi="Calibri"/>
                <w:b/>
                <w:i w:val="0"/>
                <w:color w:val="212121"/>
                <w:sz w:val="19"/>
              </w:rPr>
              <w:t>Perianal itching, soreness or skin irritation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Repeated contact of stool with skin causes excoriation, pruritus and moisture-associated dermatitis.</w:t>
            </w:r>
          </w:p>
        </w:tc>
      </w:tr>
      <w:tr>
        <w:trPr>
          <w:cantSplit/>
        </w:trPr>
        <w:tc>
          <w:tcPr>
            <w:tcW w:type="dxa" w:w="2304"/>
            <w:vAlign w:val="top"/>
          </w:tcPr>
          <w:p>
            <w:pPr>
              <w:spacing w:after="40" w:before="0" w:line="259" w:lineRule="auto"/>
            </w:pPr>
            <w:r>
              <w:rPr>
                <w:rFonts w:ascii="Calibri" w:hAnsi="Calibri"/>
                <w:b/>
                <w:i w:val="0"/>
                <w:color w:val="212121"/>
                <w:sz w:val="19"/>
              </w:rPr>
              <w:t>Nocturnal fecal leakage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Leakage during sleep points to marked internal-sphincter dysfunction, classically diabetic autonomic neuropathy.</w:t>
            </w:r>
          </w:p>
        </w:tc>
      </w:tr>
      <w:tr>
        <w:trPr>
          <w:cantSplit/>
        </w:trPr>
        <w:tc>
          <w:tcPr>
            <w:tcW w:type="dxa" w:w="2304"/>
            <w:vAlign w:val="top"/>
          </w:tcPr>
          <w:p>
            <w:pPr>
              <w:spacing w:after="40" w:before="0" w:line="259" w:lineRule="auto"/>
            </w:pPr>
            <w:r>
              <w:rPr>
                <w:rFonts w:ascii="Calibri" w:hAnsi="Calibri"/>
                <w:b/>
                <w:i w:val="0"/>
                <w:color w:val="212121"/>
                <w:sz w:val="19"/>
              </w:rPr>
              <w:t>Sensation of incomplete evacuation / straining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Retained stool from poor evacuation later seeps out; common in seepage-type incontinence and evacuation disorders.</w:t>
            </w:r>
          </w:p>
        </w:tc>
      </w:tr>
      <w:tr>
        <w:trPr>
          <w:cantSplit/>
        </w:trPr>
        <w:tc>
          <w:tcPr>
            <w:tcW w:type="dxa" w:w="2304"/>
            <w:vAlign w:val="top"/>
          </w:tcPr>
          <w:p>
            <w:pPr>
              <w:spacing w:after="40" w:before="0" w:line="259" w:lineRule="auto"/>
            </w:pPr>
            <w:r>
              <w:rPr>
                <w:rFonts w:ascii="Calibri" w:hAnsi="Calibri"/>
                <w:b/>
                <w:i w:val="0"/>
                <w:color w:val="212121"/>
                <w:sz w:val="19"/>
              </w:rPr>
              <w:t>Mucus or watery discharge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prolapsing hemorrhoids, rectal prolapse or proctitis and mimic or worsen leakage.</w:t>
            </w:r>
          </w:p>
        </w:tc>
      </w:tr>
      <w:tr>
        <w:trPr>
          <w:cantSplit/>
        </w:trPr>
        <w:tc>
          <w:tcPr>
            <w:tcW w:type="dxa" w:w="2304"/>
            <w:vAlign w:val="top"/>
          </w:tcPr>
          <w:p>
            <w:pPr>
              <w:spacing w:after="40" w:before="0" w:line="259" w:lineRule="auto"/>
            </w:pPr>
            <w:r>
              <w:rPr>
                <w:rFonts w:ascii="Calibri" w:hAnsi="Calibri"/>
                <w:b/>
                <w:i w:val="0"/>
                <w:color w:val="212121"/>
                <w:sz w:val="19"/>
              </w:rPr>
              <w:t>Constant leakage / continuous soiling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severe sphincter destruction, a fistula (including rectovaginal) or complete neurological loss of control.</w:t>
            </w:r>
          </w:p>
        </w:tc>
      </w:tr>
      <w:tr>
        <w:trPr>
          <w:cantSplit/>
        </w:trPr>
        <w:tc>
          <w:tcPr>
            <w:tcW w:type="dxa" w:w="2304"/>
            <w:vAlign w:val="top"/>
          </w:tcPr>
          <w:p>
            <w:pPr>
              <w:spacing w:after="40" w:before="0" w:line="259" w:lineRule="auto"/>
            </w:pPr>
            <w:r>
              <w:rPr>
                <w:rFonts w:ascii="Calibri" w:hAnsi="Calibri"/>
                <w:b/>
                <w:i w:val="0"/>
                <w:color w:val="212121"/>
                <w:sz w:val="19"/>
              </w:rPr>
              <w:t>Rectal bleeding with leakage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Warrants exclusion of rectal prolapse, hemorrhoids, inflammatory bowel disease or malignancy.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Reduced resting anal tone on DRE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Weak resting tone reflects internal-anal-sphincter dysfunction (responsible for 80-85% of resting pressure).</w:t>
            </w:r>
          </w:p>
        </w:tc>
      </w:tr>
      <w:tr>
        <w:trPr>
          <w:cantSplit/>
        </w:trPr>
        <w:tc>
          <w:tcPr>
            <w:tcW w:type="dxa" w:w="3456"/>
            <w:vAlign w:val="top"/>
          </w:tcPr>
          <w:p>
            <w:pPr>
              <w:spacing w:after="40" w:before="0" w:line="259" w:lineRule="auto"/>
            </w:pPr>
            <w:r>
              <w:rPr>
                <w:rFonts w:ascii="Calibri" w:hAnsi="Calibri"/>
                <w:b/>
                <w:i w:val="0"/>
                <w:color w:val="212121"/>
                <w:sz w:val="19"/>
              </w:rPr>
              <w:t>Reduced voluntary squeeze pressure on DRE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Poor squeeze indicates external-sphincter and puborectalis weakness, the basis of urge incontinence.</w:t>
            </w:r>
          </w:p>
        </w:tc>
      </w:tr>
      <w:tr>
        <w:trPr>
          <w:cantSplit/>
        </w:trPr>
        <w:tc>
          <w:tcPr>
            <w:tcW w:type="dxa" w:w="3456"/>
            <w:vAlign w:val="top"/>
          </w:tcPr>
          <w:p>
            <w:pPr>
              <w:spacing w:after="40" w:before="0" w:line="259" w:lineRule="auto"/>
            </w:pPr>
            <w:r>
              <w:rPr>
                <w:rFonts w:ascii="Calibri" w:hAnsi="Calibri"/>
                <w:b/>
                <w:i w:val="0"/>
                <w:color w:val="212121"/>
                <w:sz w:val="19"/>
              </w:rPr>
              <w:t>Perianal excoriation / moisture-associated dermatitis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 macerated, sometimes ulcerated perianal skin from repeated soiling.</w:t>
            </w:r>
          </w:p>
        </w:tc>
      </w:tr>
      <w:tr>
        <w:trPr>
          <w:cantSplit/>
        </w:trPr>
        <w:tc>
          <w:tcPr>
            <w:tcW w:type="dxa" w:w="3456"/>
            <w:vAlign w:val="top"/>
          </w:tcPr>
          <w:p>
            <w:pPr>
              <w:spacing w:after="40" w:before="0" w:line="259" w:lineRule="auto"/>
            </w:pPr>
            <w:r>
              <w:rPr>
                <w:rFonts w:ascii="Calibri" w:hAnsi="Calibri"/>
                <w:b/>
                <w:i w:val="0"/>
                <w:color w:val="212121"/>
                <w:sz w:val="19"/>
              </w:rPr>
              <w:t>Visible soiling / stool at the anal verge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evidence of leakage found on inspection, with staining of clothing or pads.</w:t>
            </w:r>
          </w:p>
        </w:tc>
      </w:tr>
      <w:tr>
        <w:trPr>
          <w:cantSplit/>
        </w:trPr>
        <w:tc>
          <w:tcPr>
            <w:tcW w:type="dxa" w:w="3456"/>
            <w:vAlign w:val="top"/>
          </w:tcPr>
          <w:p>
            <w:pPr>
              <w:spacing w:after="40" w:before="0" w:line="259" w:lineRule="auto"/>
            </w:pPr>
            <w:r>
              <w:rPr>
                <w:rFonts w:ascii="Calibri" w:hAnsi="Calibri"/>
                <w:b/>
                <w:i w:val="0"/>
                <w:color w:val="212121"/>
                <w:sz w:val="19"/>
              </w:rPr>
              <w:t>Fecal impaction with overflow on DRE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hard rectal mass with liquid leaking around it - a reversible cause, especially in the elderly and immobile.</w:t>
            </w:r>
          </w:p>
        </w:tc>
      </w:tr>
      <w:tr>
        <w:trPr>
          <w:cantSplit/>
        </w:trPr>
        <w:tc>
          <w:tcPr>
            <w:tcW w:type="dxa" w:w="3456"/>
            <w:vAlign w:val="top"/>
          </w:tcPr>
          <w:p>
            <w:pPr>
              <w:spacing w:after="40" w:before="0" w:line="259" w:lineRule="auto"/>
            </w:pPr>
            <w:r>
              <w:rPr>
                <w:rFonts w:ascii="Calibri" w:hAnsi="Calibri"/>
                <w:b/>
                <w:i w:val="0"/>
                <w:color w:val="212121"/>
                <w:sz w:val="19"/>
              </w:rPr>
              <w:t>Patulous or gaping anus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An open, lax anal aperture indicates severe sphincter weakness or neurological damage.</w:t>
            </w:r>
          </w:p>
        </w:tc>
      </w:tr>
      <w:tr>
        <w:trPr>
          <w:cantSplit/>
        </w:trPr>
        <w:tc>
          <w:tcPr>
            <w:tcW w:type="dxa" w:w="3456"/>
            <w:vAlign w:val="top"/>
          </w:tcPr>
          <w:p>
            <w:pPr>
              <w:spacing w:after="40" w:before="0" w:line="259" w:lineRule="auto"/>
            </w:pPr>
            <w:r>
              <w:rPr>
                <w:rFonts w:ascii="Calibri" w:hAnsi="Calibri"/>
                <w:b/>
                <w:i w:val="0"/>
                <w:color w:val="212121"/>
                <w:sz w:val="19"/>
              </w:rPr>
              <w:t>Absent anal wink (cutaneous-anal) reflex</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Failure of reflex sphincter contraction to perianal stroking suggests sacral/neurological disease.</w:t>
            </w:r>
          </w:p>
        </w:tc>
      </w:tr>
      <w:tr>
        <w:trPr>
          <w:cantSplit/>
        </w:trPr>
        <w:tc>
          <w:tcPr>
            <w:tcW w:type="dxa" w:w="3456"/>
            <w:vAlign w:val="top"/>
          </w:tcPr>
          <w:p>
            <w:pPr>
              <w:spacing w:after="40" w:before="0" w:line="259" w:lineRule="auto"/>
            </w:pPr>
            <w:r>
              <w:rPr>
                <w:rFonts w:ascii="Calibri" w:hAnsi="Calibri"/>
                <w:b/>
                <w:i w:val="0"/>
                <w:color w:val="212121"/>
                <w:sz w:val="19"/>
              </w:rPr>
              <w:t>Perineal descent &gt; 3 cm on straining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Excessive perineal descent reflects pelvic-floor weakness and pudendal stretch injury.</w:t>
            </w:r>
          </w:p>
        </w:tc>
      </w:tr>
      <w:tr>
        <w:trPr>
          <w:cantSplit/>
        </w:trPr>
        <w:tc>
          <w:tcPr>
            <w:tcW w:type="dxa" w:w="3456"/>
            <w:vAlign w:val="top"/>
          </w:tcPr>
          <w:p>
            <w:pPr>
              <w:spacing w:after="40" w:before="0" w:line="259" w:lineRule="auto"/>
            </w:pPr>
            <w:r>
              <w:rPr>
                <w:rFonts w:ascii="Calibri" w:hAnsi="Calibri"/>
                <w:b/>
                <w:i w:val="0"/>
                <w:color w:val="212121"/>
                <w:sz w:val="19"/>
              </w:rPr>
              <w:t>Rectal prolapse on straining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Full-thickness protrusion of rectal wall, a structural cause that both produces and worsens incontinence.</w:t>
            </w:r>
          </w:p>
        </w:tc>
      </w:tr>
      <w:tr>
        <w:trPr>
          <w:cantSplit/>
        </w:trPr>
        <w:tc>
          <w:tcPr>
            <w:tcW w:type="dxa" w:w="3456"/>
            <w:vAlign w:val="top"/>
          </w:tcPr>
          <w:p>
            <w:pPr>
              <w:spacing w:after="40" w:before="0" w:line="259" w:lineRule="auto"/>
            </w:pPr>
            <w:r>
              <w:rPr>
                <w:rFonts w:ascii="Calibri" w:hAnsi="Calibri"/>
                <w:b/>
                <w:i w:val="0"/>
                <w:color w:val="212121"/>
                <w:sz w:val="19"/>
              </w:rPr>
              <w:t>Palpable sphincter defect / keyhole deformity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scar or groove in the sphincter ring, typically after obstetric or surgical injury.</w:t>
            </w:r>
          </w:p>
        </w:tc>
      </w:tr>
      <w:tr>
        <w:trPr>
          <w:cantSplit/>
        </w:trPr>
        <w:tc>
          <w:tcPr>
            <w:tcW w:type="dxa" w:w="3456"/>
            <w:vAlign w:val="top"/>
          </w:tcPr>
          <w:p>
            <w:pPr>
              <w:spacing w:after="40" w:before="0" w:line="259" w:lineRule="auto"/>
            </w:pPr>
            <w:r>
              <w:rPr>
                <w:rFonts w:ascii="Calibri" w:hAnsi="Calibri"/>
                <w:b/>
                <w:i w:val="0"/>
                <w:color w:val="212121"/>
                <w:sz w:val="19"/>
              </w:rPr>
              <w:t>Diminished perianal sensation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Reduced pinprick/light-touch sensation indicates pudendal or sacral neuropathy.</w:t>
            </w:r>
          </w:p>
        </w:tc>
      </w:tr>
      <w:tr>
        <w:trPr>
          <w:cantSplit/>
        </w:trPr>
        <w:tc>
          <w:tcPr>
            <w:tcW w:type="dxa" w:w="3456"/>
            <w:vAlign w:val="top"/>
          </w:tcPr>
          <w:p>
            <w:pPr>
              <w:spacing w:after="40" w:before="0" w:line="259" w:lineRule="auto"/>
            </w:pPr>
            <w:r>
              <w:rPr>
                <w:rFonts w:ascii="Calibri" w:hAnsi="Calibri"/>
                <w:b/>
                <w:i w:val="0"/>
                <w:color w:val="212121"/>
                <w:sz w:val="19"/>
              </w:rPr>
              <w:t>Rectovaginal fistula opening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Stool or gas passing per vagina after obstetric, surgical or Crohn-related fistula formation.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Perianal excoriation, moisture-associated dermatitis and pruritus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Skin breakdown and maceration from repeated soiling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 discomfort, pain and recurrent perianal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Contamination and recurrent urinary tract infection</w:t>
            </w:r>
          </w:p>
        </w:tc>
        <w:tc>
          <w:tcPr>
            <w:tcW w:type="dxa" w:w="2980"/>
            <w:vAlign w:val="top"/>
          </w:tcPr>
          <w:p>
            <w:pPr>
              <w:spacing w:after="40" w:before="0" w:line="259" w:lineRule="auto"/>
            </w:pPr>
            <w:r>
              <w:rPr>
                <w:rFonts w:ascii="Calibri" w:hAnsi="Calibri"/>
                <w:b w:val="0"/>
                <w:i w:val="0"/>
                <w:color w:val="212121"/>
                <w:sz w:val="19"/>
              </w:rPr>
              <w:t>Direct local consequences of repeated contact of stool with perianal and perineal skin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Pressure ulcers and perianal candidiasis in the bedbound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withdrawal, embarrassment and loss of confidence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and depression (about 3x higher odds of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employment, schooling or social participation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 burden and relationship strain</w:t>
            </w:r>
          </w:p>
        </w:tc>
        <w:tc>
          <w:tcPr>
            <w:tcW w:type="dxa" w:w="2980"/>
            <w:vAlign w:val="top"/>
          </w:tcPr>
          <w:p>
            <w:pPr>
              <w:spacing w:after="40" w:before="0" w:line="259" w:lineRule="auto"/>
            </w:pPr>
            <w:r>
              <w:rPr>
                <w:rFonts w:ascii="Calibri" w:hAnsi="Calibri"/>
                <w:b w:val="0"/>
                <w:i w:val="0"/>
                <w:color w:val="212121"/>
                <w:sz w:val="19"/>
              </w:rPr>
              <w:t>Arise from chronic soiling combined with the profound psychosocial and hygienic burden of the symptom</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Nursing-home placement / institutionalisation (a leading precipitant)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treatment-resistant depression and complete social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 and dehydration from self-imposed food/fluid restriction to avoid leakage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Dependence on a permanent stoma (colostomy) in refractory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sustained loss of quality of life and independence</w:t>
            </w:r>
          </w:p>
        </w:tc>
        <w:tc>
          <w:tcPr>
            <w:tcW w:type="dxa" w:w="2980"/>
            <w:vAlign w:val="top"/>
          </w:tcPr>
          <w:p>
            <w:pPr>
              <w:spacing w:after="40" w:before="0" w:line="259" w:lineRule="auto"/>
            </w:pPr>
            <w:r>
              <w:rPr>
                <w:rFonts w:ascii="Calibri" w:hAnsi="Calibri"/>
                <w:b w:val="0"/>
                <w:i w:val="0"/>
                <w:color w:val="212121"/>
                <w:sz w:val="19"/>
              </w:rPr>
              <w:t>Disabling, often irreversible outcomes of longstanding, severe or refractory incontinence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Obstetric anal sphincter injury (OASI)</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Third/fourth-degree perineal tears and instrumental delivery directly disrupt the sphincter and pudendal nerve - the leading cause of FI in women, often manifesting years later.</w:t>
            </w:r>
          </w:p>
          <w:p>
            <w:pPr>
              <w:spacing w:after="40" w:before="0" w:line="259" w:lineRule="auto"/>
            </w:pPr>
            <w:r>
              <w:rPr>
                <w:rFonts w:ascii="Calibri" w:hAnsi="Calibri"/>
                <w:b/>
                <w:i w:val="0"/>
                <w:color w:val="212121"/>
                <w:sz w:val="19"/>
              </w:rPr>
              <w:t>~2.1% of vaginal births (south India)</w:t>
            </w:r>
          </w:p>
        </w:tc>
      </w:tr>
      <w:tr>
        <w:trPr>
          <w:cantSplit/>
        </w:trPr>
        <w:tc>
          <w:tcPr>
            <w:tcW w:type="dxa" w:w="2232"/>
            <w:vAlign w:val="top"/>
          </w:tcPr>
          <w:p>
            <w:pPr>
              <w:spacing w:after="40" w:before="0" w:line="259" w:lineRule="auto"/>
            </w:pPr>
            <w:r>
              <w:rPr>
                <w:rFonts w:ascii="Calibri" w:hAnsi="Calibri"/>
                <w:b/>
                <w:i w:val="0"/>
                <w:color w:val="212121"/>
                <w:sz w:val="19"/>
              </w:rPr>
              <w:t>Irritable bowel syndrome (IBS-D)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Loose, urgent, frequent stools and rectal hypersensitivity repeatedly overwhelm the sphincter; women with FI are notably prone to IBS.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Autonomic and pudendal neuropathy weaken the internal sphincter and blunt rectal sensation, while diabetic enteropathy causes diarrhea - classically nocturnal leakage.</w:t>
            </w:r>
          </w:p>
          <w:p>
            <w:pPr>
              <w:spacing w:after="40" w:before="0" w:line="259" w:lineRule="auto"/>
            </w:pPr>
            <w:r>
              <w:rPr>
                <w:rFonts w:ascii="Calibri" w:hAnsi="Calibri"/>
                <w:b/>
                <w:i w:val="0"/>
                <w:color w:val="212121"/>
                <w:sz w:val="19"/>
              </w:rPr>
              <w:t>~22% of diabetics have frequent diarrhea</w:t>
            </w:r>
          </w:p>
        </w:tc>
      </w:tr>
      <w:tr>
        <w:trPr>
          <w:cantSplit/>
        </w:trPr>
        <w:tc>
          <w:tcPr>
            <w:tcW w:type="dxa" w:w="2232"/>
            <w:vAlign w:val="top"/>
          </w:tcPr>
          <w:p>
            <w:pPr>
              <w:spacing w:after="40" w:before="0" w:line="259" w:lineRule="auto"/>
            </w:pPr>
            <w:r>
              <w:rPr>
                <w:rFonts w:ascii="Calibri" w:hAnsi="Calibri"/>
                <w:b/>
                <w:i w:val="0"/>
                <w:color w:val="212121"/>
                <w:sz w:val="19"/>
              </w:rPr>
              <w:t>Chronic constipation &amp; fecal impaction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Hard impacted stool causes paradoxical overflow leakage around the mass; disimpaction and a bowel regimen are curative.</w:t>
            </w:r>
          </w:p>
        </w:tc>
      </w:tr>
      <w:tr>
        <w:trPr>
          <w:cantSplit/>
        </w:trPr>
        <w:tc>
          <w:tcPr>
            <w:tcW w:type="dxa" w:w="2232"/>
            <w:vAlign w:val="top"/>
          </w:tcPr>
          <w:p>
            <w:pPr>
              <w:spacing w:after="40" w:before="0" w:line="259" w:lineRule="auto"/>
            </w:pPr>
            <w:r>
              <w:rPr>
                <w:rFonts w:ascii="Calibri" w:hAnsi="Calibri"/>
                <w:b/>
                <w:i w:val="0"/>
                <w:color w:val="212121"/>
                <w:sz w:val="19"/>
              </w:rPr>
              <w:t>Urinary incontinence (double incontinence)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pelvic-floor and pudendal-nerve injury means urinary and fecal incontinence frequently coexist, altering assessment and management.</w:t>
            </w:r>
          </w:p>
        </w:tc>
      </w:tr>
      <w:tr>
        <w:trPr>
          <w:cantSplit/>
        </w:trPr>
        <w:tc>
          <w:tcPr>
            <w:tcW w:type="dxa" w:w="2232"/>
            <w:vAlign w:val="top"/>
          </w:tcPr>
          <w:p>
            <w:pPr>
              <w:spacing w:after="40" w:before="0" w:line="259" w:lineRule="auto"/>
            </w:pPr>
            <w:r>
              <w:rPr>
                <w:rFonts w:ascii="Calibri" w:hAnsi="Calibri"/>
                <w:b/>
                <w:i w:val="0"/>
                <w:color w:val="212121"/>
                <w:sz w:val="19"/>
              </w:rPr>
              <w:t>Rectal prolapse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Full-thickness prolapse stretches and denervates the sphincter and disrupts the anorectal angle; repair can improve continence.</w:t>
            </w:r>
          </w:p>
        </w:tc>
      </w:tr>
      <w:tr>
        <w:trPr>
          <w:cantSplit/>
        </w:trPr>
        <w:tc>
          <w:tcPr>
            <w:tcW w:type="dxa" w:w="2232"/>
            <w:vAlign w:val="top"/>
          </w:tcPr>
          <w:p>
            <w:pPr>
              <w:spacing w:after="40" w:before="0" w:line="259" w:lineRule="auto"/>
            </w:pPr>
            <w:r>
              <w:rPr>
                <w:rFonts w:ascii="Calibri" w:hAnsi="Calibri"/>
                <w:b/>
                <w:i w:val="0"/>
                <w:color w:val="212121"/>
                <w:sz w:val="19"/>
              </w:rPr>
              <w:t>Hemorrhoids / prolapsing piles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Prolapsing hemorrhoidal tissue prevents complete anal closure and causes mucus and fecal seepage.</w:t>
            </w:r>
          </w:p>
        </w:tc>
      </w:tr>
      <w:tr>
        <w:trPr>
          <w:cantSplit/>
        </w:trPr>
        <w:tc>
          <w:tcPr>
            <w:tcW w:type="dxa" w:w="2232"/>
            <w:vAlign w:val="top"/>
          </w:tcPr>
          <w:p>
            <w:pPr>
              <w:spacing w:after="40" w:before="0" w:line="259" w:lineRule="auto"/>
            </w:pPr>
            <w:r>
              <w:rPr>
                <w:rFonts w:ascii="Calibri" w:hAnsi="Calibri"/>
                <w:b/>
                <w:i w:val="0"/>
                <w:color w:val="212121"/>
                <w:sz w:val="19"/>
              </w:rPr>
              <w:t>Inflammatory bowel disease (UC / Crohn)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Diarrhea, urgency, reduced rectal compliance and (in Crohn) fistula or sphincter damage all promote incontinence and complicate its treatment.</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 - FI causes shame, isolation and mood disorder, while stress and anxiety worsen diarrhea, urgency and symptom perception.</w:t>
            </w:r>
          </w:p>
          <w:p>
            <w:pPr>
              <w:spacing w:after="40" w:before="0" w:line="259" w:lineRule="auto"/>
            </w:pPr>
            <w:r>
              <w:rPr>
                <w:rFonts w:ascii="Calibri" w:hAnsi="Calibri"/>
                <w:b/>
                <w:i w:val="0"/>
                <w:color w:val="212121"/>
                <w:sz w:val="19"/>
              </w:rPr>
              <w:t>~3x higher odds of depression</w:t>
            </w:r>
          </w:p>
        </w:tc>
      </w:tr>
      <w:tr>
        <w:trPr>
          <w:cantSplit/>
        </w:trPr>
        <w:tc>
          <w:tcPr>
            <w:tcW w:type="dxa" w:w="2232"/>
            <w:vAlign w:val="top"/>
          </w:tcPr>
          <w:p>
            <w:pPr>
              <w:spacing w:after="40" w:before="0" w:line="259" w:lineRule="auto"/>
            </w:pPr>
            <w:r>
              <w:rPr>
                <w:rFonts w:ascii="Calibri" w:hAnsi="Calibri"/>
                <w:b/>
                <w:i w:val="0"/>
                <w:color w:val="212121"/>
                <w:sz w:val="19"/>
              </w:rPr>
              <w:t>Neurological disease (spinal cord injury, stroke, MS, dementia)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Interrupts spinal/cortical control and anorectal sensation, abolishing the continence reflex and appropriate toileting behaviour.</w:t>
            </w:r>
          </w:p>
        </w:tc>
      </w:tr>
      <w:tr>
        <w:trPr>
          <w:cantSplit/>
        </w:trPr>
        <w:tc>
          <w:tcPr>
            <w:tcW w:type="dxa" w:w="2232"/>
            <w:vAlign w:val="top"/>
          </w:tcPr>
          <w:p>
            <w:pPr>
              <w:spacing w:after="40" w:before="0" w:line="259" w:lineRule="auto"/>
            </w:pPr>
            <w:r>
              <w:rPr>
                <w:rFonts w:ascii="Calibri" w:hAnsi="Calibri"/>
                <w:b/>
                <w:i w:val="0"/>
                <w:color w:val="212121"/>
                <w:sz w:val="19"/>
              </w:rPr>
              <w:t>Prior anorectal surgery (fistulotomy, hemorrhoidectomy, sphincterotomy)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Division or scarring of the sphincter is a direct iatrogenic cause; the risk shapes the choice and technique of anal surgery.</w:t>
            </w:r>
          </w:p>
        </w:tc>
      </w:tr>
      <w:tr>
        <w:trPr>
          <w:cantSplit/>
        </w:trPr>
        <w:tc>
          <w:tcPr>
            <w:tcW w:type="dxa" w:w="2232"/>
            <w:vAlign w:val="top"/>
          </w:tcPr>
          <w:p>
            <w:pPr>
              <w:spacing w:after="40" w:before="0" w:line="259" w:lineRule="auto"/>
            </w:pPr>
            <w:r>
              <w:rPr>
                <w:rFonts w:ascii="Calibri" w:hAnsi="Calibri"/>
                <w:b/>
                <w:i w:val="0"/>
                <w:color w:val="212121"/>
                <w:sz w:val="19"/>
              </w:rPr>
              <w:t>Pelvic-organ prolapse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Shared pelvic-floor weakness links prolapse with fecal (and urinary) incontinence and influences combined surgical planning.</w:t>
            </w:r>
          </w:p>
        </w:tc>
      </w:tr>
      <w:tr>
        <w:trPr>
          <w:cantSplit/>
        </w:trPr>
        <w:tc>
          <w:tcPr>
            <w:tcW w:type="dxa" w:w="2232"/>
            <w:vAlign w:val="top"/>
          </w:tcPr>
          <w:p>
            <w:pPr>
              <w:spacing w:after="40" w:before="0" w:line="259" w:lineRule="auto"/>
            </w:pPr>
            <w:r>
              <w:rPr>
                <w:rFonts w:ascii="Calibri" w:hAnsi="Calibri"/>
                <w:b/>
                <w:i w:val="0"/>
                <w:color w:val="212121"/>
                <w:sz w:val="19"/>
              </w:rPr>
              <w:t>Obesity (central)</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Raised intra-abdominal pressure stresses the pelvic floor and alters rectal sensitivity; abdominal fat distribution predicts FI.</w:t>
            </w:r>
          </w:p>
          <w:p>
            <w:pPr>
              <w:spacing w:after="40" w:before="0" w:line="259" w:lineRule="auto"/>
            </w:pPr>
            <w:r>
              <w:rPr>
                <w:rFonts w:ascii="Calibri" w:hAnsi="Calibri"/>
                <w:b/>
                <w:i w:val="0"/>
                <w:color w:val="212121"/>
                <w:sz w:val="19"/>
              </w:rPr>
              <w:t>WHtR &gt; 0.592: OR 1.77</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fecal incontinence is common and treatable - it should be reported to a clinician, not hidden out of shame.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skilled birth attendance and timely recognition and repair of third/fourth-degree perineal tears to prevent obstetric sphincter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constipation and diarrhea early, and avoid habitual straining and overuse of laxatives.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1-2 week bowel diary (stool form, frequency, leakage, foods) to identify patterns and triggers.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perianal skin protection - gentle cleansing, drying and barrier creams - to prevent soreness and breakdown.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about pelvic-floor physiotherapy and biofeedback, which are effective, non-surgical first-line options.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Parous and 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and carers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and neurological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Post-anorectal-surgery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soluble fibre (psyllium/isabgol, oats, banana) to firm loose stool toward Bristol type 3-4, the single most effective continence measure.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avoid personal trigger foods - caffeine, very spicy dishes, alcohol, lactose (if intolerant) and sorbitol/artificial sweeteners.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regular, unhurried meals and avoid large, fatty or fried meals that speed transit.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food-symptom diary to pinpoint items that loosen stool and provoke urgency.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 time-limited trial reducing poorly absorbed sugars (FODMAPs) when IBS-type diarrhea coexists, with dietitian guidance.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Diarrhea- and urge-predominant FI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IBS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poor stool form</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25-35 g/day of dietary fibre with adequate fluid to keep stool formed and prevent both diarrhea and impaction.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(about 1.5-2 L/day) to avoid hard, impacted stool and overflow leakage.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manage lactose or other food intolerances that cause chronic loose stools.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caffeinated drinks (tea, coffee, cola) which stimulate colonic motility and urgency.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and immobile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parous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irregular bowel habit</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pelvic-floor muscle training (Kegel exercises), ideally supervised, to strengthen the external sphincter and improve squeeze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pelvic-floor training with biofeedback, which enhances outcomes over exercises alone in suitable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scheduled/timed toileting (e.g. after meals, using the gastrocolic reflex) to pre-empt urgency and overflow.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correct toileting posture - feet on a low stool, leaning slightly forward - to aid complete evacuation and reduce seepage.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Pursue gradual weight loss where centrally obese to lower intra-abdominal pressure on the pelvic floor.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Urge / sphincter-weakness FI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Post-obstetric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Motivated, cognitively intact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and mobile to prevent constipation and fecal impaction, especially in older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and waist-to-height ratio below 0.5 to reduce pelvic-floor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regular pelvic-floor exercises during and after pregnancy to protect 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straining and heavy lifting that weaken the pelvic floor over time.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and postnatal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and elderly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 a regular daily bowel routine and empty the bowel before bedtime to reduce nocturnal leakage.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large, spicy or fatty meals late at night that can loosen stool and disturb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nocturnal or passive leakage, seek evaluation for internal-sphincter dysfunction (e.g. diabetic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protective bedding and barrier skin care overnight to preserve skin integrity and sleep quality.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nocturnal/passive FI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 with irregular habit</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chronic cough that repeatedly strains the pelvic floor and sphincter.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Cutting nicotine also reduces its stimulant effect on colonic motility and urgency.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quit-lines and pharmacotherapy.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can aggravate chronic cough.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urge FI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cough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Pelvic-floor-weakness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which accelerates gut transit and provokes loose, urgent stools.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heavy and binge drinking to prevent alcohol-related peripheral and autonomic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at times when continence is most needed (travel, social events,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de-addiction support for alcohol dependence.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Diarrhea-predominant FI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neuropathy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Actively screen for and treat the depression and anxiety that commonly accompany incontinence (about 3x higher odds of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stigma with reassurance, counselling and, where helpful, peer or support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cognitive-behavioural strategies and stress management, which also reduce IBS-type urgency and diarrhea.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and carers to reduce isolation and share the toileting and skin-care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staged goals and use severity/quality-of-life scores to reinforce progress.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social withdrawal or low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IBS-related FI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 of dependent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Institutionalised elderly</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ournals.sagepub.com/doi/10.1177/26339447241264680" TargetMode="External"/><Relationship Id="rId10" Type="http://schemas.openxmlformats.org/officeDocument/2006/relationships/hyperlink" Target="https://www.ncbi.nlm.nih.gov/books/NBK459128/" TargetMode="External"/><Relationship Id="rId11" Type="http://schemas.openxmlformats.org/officeDocument/2006/relationships/hyperlink" Target="https://www.frontiersin.org/journals/gastroenterology/articles/10.3389/fgstr.2024.1398102/xml" TargetMode="External"/><Relationship Id="rId12" Type="http://schemas.openxmlformats.org/officeDocument/2006/relationships/hyperlink" Target="https://link.springer.com/article/10.1007/s00192-017-3398-0" TargetMode="External"/><Relationship Id="rId13" Type="http://schemas.openxmlformats.org/officeDocument/2006/relationships/hyperlink" Target="https://www.emjreviews.com/gastroenterology/news/unveiling-the-link-obesity-and-faecal-incontinence-relationship/" TargetMode="External"/><Relationship Id="rId14" Type="http://schemas.openxmlformats.org/officeDocument/2006/relationships/hyperlink" Target="https://my.clevelandclinic.org/health/symptoms/22843-diabetic-diarrhea" TargetMode="External"/><Relationship Id="rId15" Type="http://schemas.openxmlformats.org/officeDocument/2006/relationships/hyperlink" Target="https://link.springer.com/article/10.1007/s00384-023-04563-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