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Hepatitis E</w:t>
      </w:r>
    </w:p>
    <w:p>
      <w:pPr>
        <w:spacing w:before="0" w:after="160"/>
      </w:pPr>
      <w:r>
        <w:rPr>
          <w:rFonts w:ascii="Calibri" w:hAnsi="Calibri"/>
          <w:b/>
          <w:i w:val="0"/>
          <w:color w:val="212121"/>
          <w:sz w:val="22"/>
        </w:rPr>
        <w:t xml:space="preserve">AKA </w:t>
      </w:r>
      <w:r>
        <w:rPr>
          <w:rFonts w:ascii="Calibri" w:hAnsi="Calibri"/>
          <w:b w:val="0"/>
          <w:i w:val="0"/>
          <w:color w:val="212121"/>
          <w:sz w:val="22"/>
        </w:rPr>
        <w:t>i.e., HEV infection, Hepatitis E virus infection, Enterically transmitted non-A non-B hepatitis, Epidemic hepatitis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Hepatitis E is an acute (and, in immunocompromised people, occasionally chronic) inflammatory disease of the liver caused by the hepatitis E virus (HEV), a small non-enveloped RNA virus. It is transmitted mainly by the faecal-oral route through faecally contaminated water and, for zoonotic strains, through undercooked animal meat. Most infections are self-limiting, but the disease can progress to fulminant hepatic failure and carries a very high mortality in pregnant women, especially during the third trimester.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Hepatitis E is the most important cause of epidemic (waterborne) hepatitis in India, and in the Indian setting most cases of acute liver failure are attributable to HEV. Globally an estimated 20 million HEV infections occur each year, of which about 3.3 million are symptomatic. Genotype 1 is hyperendemic across the Indian subcontinent, which accounts for the majority of the world's travel-associated hepatitis E; pregnant women infected in the third trimester face a case-fatality of up to 20-25%.</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Hepatitis E is suspected in anyone with acute hepatitis (jaundice, raised transaminases) plus a compatible exposure, and is confirmed by HEV-specific serology and/or molecular testing after excluding other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of anti-HEV IgM antibodies in serum (ELISA) — the principal test confirming acute or recent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of HEV RNA in serum and/or stool by RT-PCR — confirms active viraemia and is the gold standard, essential in immunocompromised patients in whom serology is unreliable;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Anti-HEV IgG seroconversion or a rising titre — supports recent infection and indicates immunity;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ALT/AST and serum bilirubin in a hepatitic pattern consistent with acute viral hepatitis;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Persistence of HEV RNA for more than 3-6 months defines chronic hepatitis E (seen almost exclusively in immunocompromised hosts);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hepatitis A, B and C and other causes of acute hepatitis.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Hepatitis E virus (genus Orthohepevirus A) has four major genotypes that infect humans, which differ in transmission, geography and clinical behaviour; disease is also classified by its clinical course:</w:t>
      </w:r>
    </w:p>
    <w:p>
      <w:pPr>
        <w:spacing w:before="0" w:after="80"/>
      </w:pPr>
      <w:r>
        <w:rPr>
          <w:rFonts w:ascii="Calibri" w:hAnsi="Calibri"/>
          <w:b w:val="0"/>
          <w:i w:val="0"/>
          <w:color w:val="212121"/>
          <w:sz w:val="21"/>
        </w:rPr>
        <w:t>(1) Genotypes 1 and 2 — obligate human pathogens transmitted by faecally contaminated water; they cause the large waterborne epidemics and endemic disease of South Asia (including India), Africa and Central America, chiefly affect young adults (15-40 years), are usually self-limiting, but cause severe, often fatal disease in pregnancy;</w:t>
      </w:r>
    </w:p>
    <w:p>
      <w:pPr>
        <w:spacing w:before="0" w:after="80"/>
      </w:pPr>
      <w:r>
        <w:rPr>
          <w:rFonts w:ascii="Calibri" w:hAnsi="Calibri"/>
          <w:b w:val="0"/>
          <w:i w:val="0"/>
          <w:color w:val="212121"/>
          <w:sz w:val="21"/>
        </w:rPr>
        <w:t>(2) Genotypes 3 and 4 — zoonotic strains with reservoirs in pigs, wild boar and deer, transmitted mainly by undercooked meat and offal; they cause sporadic cases (more common in higher-income settings and in adults over 40) and can become chronic in immunocompromised people;</w:t>
      </w:r>
    </w:p>
    <w:p>
      <w:pPr>
        <w:spacing w:before="0" w:after="80"/>
      </w:pPr>
      <w:r>
        <w:rPr>
          <w:rFonts w:ascii="Calibri" w:hAnsi="Calibri"/>
          <w:b w:val="0"/>
          <w:i w:val="0"/>
          <w:color w:val="212121"/>
          <w:sz w:val="21"/>
        </w:rPr>
        <w:t>(3) By clinical course: acute hepatitis E (icteric or anicteric/subclinical), fulminant hepatic failure (acute liver failure), acute-on-chronic liver failure when superimposed on pre-existing liver disease, and chronic hepatitis E (HEV RNA persistence beyond 6 months) which occurs almost only in the immunosuppressed;</w:t>
      </w:r>
    </w:p>
    <w:p>
      <w:pPr>
        <w:spacing w:before="0" w:after="80"/>
      </w:pPr>
      <w:r>
        <w:rPr>
          <w:rFonts w:ascii="Calibri" w:hAnsi="Calibri"/>
          <w:b w:val="0"/>
          <w:i w:val="0"/>
          <w:color w:val="212121"/>
          <w:sz w:val="21"/>
        </w:rPr>
        <w:t>(4) Extrahepatic hepatitis E — neurological, renal and haematological manifestations that may accompany or dominate the illness. A rarer camel-associated genotype (HEV-7) causes occasional human infection.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Hepatitis E virus infection: A small non-enveloped, single-stranded RNA virus (Orthohepevirus A) is the sole cause; genotypes 1-4 account for essentially all human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Faecally contaminated water: Ingestion of drinking water contaminated with human sewage is the dominant route for genotypes 1 &amp; 2 and drives India's waterborne epidemics, particularly during monsoon flooding.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Zoonotic food exposure: Eating raw or undercooked pork, wild-boar and deer meat, offal/liver and shellfish transmits genotypes 3 &amp; 4 from animal reservoirs.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Poor sanitation and hygiene: Open defecation, inadequate sewage containment and lack of handwashing sustain faecal-oral transmission.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Pregnancy: Third-trimester pregnancy is a powerful host factor that transforms infection into fulminant, frequently fatal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Solid-organ transplantation, immunosuppressive therapy and HIV permit viral persistence and chronic infection.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Rare routes: Blood transfusion and vertical (mother-to-child) transmission can also spread HEV.</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 15-40 y)</w:t>
            </w:r>
          </w:p>
        </w:tc>
        <w:tc>
          <w:tcPr>
            <w:tcW w:type="dxa" w:w="4276"/>
            <w:vAlign w:val="top"/>
          </w:tcPr>
          <w:p>
            <w:pPr>
              <w:spacing w:after="60" w:line="259" w:lineRule="auto"/>
            </w:pPr>
            <w:r>
              <w:rPr>
                <w:rFonts w:ascii="Calibri" w:hAnsi="Calibri"/>
                <w:b w:val="0"/>
                <w:i w:val="0"/>
                <w:color w:val="212121"/>
                <w:sz w:val="19"/>
              </w:rPr>
              <w:t>Symptomatic hepatitis E from waterborne genotypes 1 &amp; 2 is most common in young to middle-aged adults, who mount a clinical icteric illness far more often than children (who are usually asymptomatic) and have the greatest exposure to contaminated water and food.</w:t>
            </w:r>
          </w:p>
          <w:p>
            <w:pPr>
              <w:spacing w:after="40" w:before="60" w:line="259" w:lineRule="auto"/>
            </w:pPr>
            <w:r>
              <w:rPr>
                <w:rFonts w:ascii="Calibri" w:hAnsi="Calibri"/>
                <w:b w:val="0"/>
                <w:i w:val="0"/>
                <w:color w:val="212121"/>
                <w:sz w:val="19"/>
              </w:rPr>
              <w:t>WHO reports that symptomatic infection is most common in young adults aged 15-40 years.</w:t>
            </w:r>
          </w:p>
          <w:p>
            <w:pPr>
              <w:spacing w:after="40" w:line="252" w:lineRule="auto"/>
            </w:pPr>
            <w:hyperlink r:id="rId9">
              <w:r>
                <w:rPr>
                  <w:rFonts w:ascii="Calibri" w:hAnsi="Calibri" w:cs="Calibri"/>
                  <w:sz w:val="18"/>
                  <w:color w:val="1155CC"/>
                  <w:u w:val="single"/>
                </w:rPr>
                <w:t xml:space="preserve">who.int — hepatitis E fact sheet</w:t>
              </w:r>
            </w:hyperlink>
          </w:p>
          <w:p>
            <w:pPr>
              <w:spacing w:before="60" w:after="40"/>
            </w:pPr>
            <w:r>
              <w:rPr>
                <w:rFonts w:ascii="Calibri" w:hAnsi="Calibri"/>
                <w:b w:val="0"/>
                <w:i w:val="0"/>
                <w:color w:val="5A5A5A"/>
                <w:sz w:val="18"/>
              </w:rPr>
              <w:t>#youngadults  #waterborne  #genotype1  #icterichepatitis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adults over 40</w:t>
            </w:r>
          </w:p>
        </w:tc>
        <w:tc>
          <w:tcPr>
            <w:tcW w:type="dxa" w:w="4276"/>
            <w:vAlign w:val="top"/>
          </w:tcPr>
          <w:p>
            <w:pPr>
              <w:spacing w:after="60" w:line="259" w:lineRule="auto"/>
            </w:pPr>
            <w:r>
              <w:rPr>
                <w:rFonts w:ascii="Calibri" w:hAnsi="Calibri"/>
                <w:b w:val="0"/>
                <w:i w:val="0"/>
                <w:color w:val="212121"/>
                <w:sz w:val="19"/>
              </w:rPr>
              <w:t>Older adults, especially with comorbidity, tolerate acute hepatitis poorly and are the main group affected by zoonotic genotype 3; case fatality rises with age and background liver disease.</w:t>
            </w:r>
          </w:p>
          <w:p>
            <w:pPr>
              <w:spacing w:after="40" w:before="60" w:line="259" w:lineRule="auto"/>
            </w:pPr>
            <w:r>
              <w:rPr>
                <w:rFonts w:ascii="Calibri" w:hAnsi="Calibri"/>
                <w:b w:val="0"/>
                <w:i w:val="0"/>
                <w:color w:val="212121"/>
                <w:sz w:val="19"/>
              </w:rPr>
              <w:t>Zoonotic genotypes 3 &amp; 4 predominantly affect adults over 40 and can cause chronic infection in the immunocompromised.</w:t>
            </w:r>
          </w:p>
          <w:p>
            <w:pPr>
              <w:spacing w:after="40" w:line="252" w:lineRule="auto"/>
            </w:pPr>
            <w:hyperlink r:id="rId10">
              <w:r>
                <w:rPr>
                  <w:rFonts w:ascii="Calibri" w:hAnsi="Calibri" w:cs="Calibri"/>
                  <w:sz w:val="18"/>
                  <w:color w:val="1155CC"/>
                  <w:u w:val="single"/>
                </w:rPr>
                <w:t xml:space="preserve">ncbi.nlm.nih.gov — Hepatitis E (StatPearls)</w:t>
              </w:r>
            </w:hyperlink>
          </w:p>
          <w:p>
            <w:pPr>
              <w:spacing w:before="60" w:after="40"/>
            </w:pPr>
            <w:r>
              <w:rPr>
                <w:rFonts w:ascii="Calibri" w:hAnsi="Calibri"/>
                <w:b w:val="0"/>
                <w:i w:val="0"/>
                <w:color w:val="5A5A5A"/>
                <w:sz w:val="18"/>
              </w:rPr>
              <w:t>#elderly  #comorbidity  #genotype3  #severity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 / pregnancy</w:t>
            </w:r>
          </w:p>
        </w:tc>
        <w:tc>
          <w:tcPr>
            <w:tcW w:type="dxa" w:w="2160"/>
            <w:vAlign w:val="top"/>
          </w:tcPr>
          <w:p>
            <w:pPr>
              <w:spacing w:after="40" w:before="0" w:line="259" w:lineRule="auto"/>
            </w:pPr>
            <w:r>
              <w:rPr>
                <w:rFonts w:ascii="Calibri" w:hAnsi="Calibri"/>
                <w:b w:val="0"/>
                <w:i w:val="0"/>
                <w:color w:val="212121"/>
                <w:sz w:val="19"/>
              </w:rPr>
              <w:t>Pregnant women (third trimester)</w:t>
            </w:r>
          </w:p>
        </w:tc>
        <w:tc>
          <w:tcPr>
            <w:tcW w:type="dxa" w:w="4276"/>
            <w:vAlign w:val="top"/>
          </w:tcPr>
          <w:p>
            <w:pPr>
              <w:spacing w:after="60" w:line="259" w:lineRule="auto"/>
            </w:pPr>
            <w:r>
              <w:rPr>
                <w:rFonts w:ascii="Calibri" w:hAnsi="Calibri"/>
                <w:b w:val="0"/>
                <w:i w:val="0"/>
                <w:color w:val="212121"/>
                <w:sz w:val="19"/>
              </w:rPr>
              <w:t>Pregnancy, particularly the third trimester, is the single greatest risk factor for severe and fatal hepatitis E; immunological and hormonal changes with high viral replication drive fulminant hepatic failure and adverse fetal outcomes.</w:t>
            </w:r>
          </w:p>
          <w:p>
            <w:pPr>
              <w:spacing w:after="40" w:before="60" w:line="259" w:lineRule="auto"/>
            </w:pPr>
            <w:r>
              <w:rPr>
                <w:rFonts w:ascii="Calibri" w:hAnsi="Calibri"/>
                <w:b w:val="0"/>
                <w:i w:val="0"/>
                <w:color w:val="212121"/>
                <w:sz w:val="19"/>
              </w:rPr>
              <w:t>Up to 20-25% of pregnant women who acquire HEV in the third trimester die.</w:t>
            </w:r>
          </w:p>
          <w:p>
            <w:pPr>
              <w:spacing w:after="40" w:line="252" w:lineRule="auto"/>
            </w:pPr>
            <w:hyperlink r:id="rId9">
              <w:r>
                <w:rPr>
                  <w:rFonts w:ascii="Calibri" w:hAnsi="Calibri" w:cs="Calibri"/>
                  <w:sz w:val="18"/>
                  <w:color w:val="1155CC"/>
                  <w:u w:val="single"/>
                </w:rPr>
                <w:t xml:space="preserve">who.int — hepatitis E fact sheet</w:t>
              </w:r>
            </w:hyperlink>
          </w:p>
          <w:p>
            <w:pPr>
              <w:spacing w:before="60" w:after="40"/>
            </w:pPr>
            <w:r>
              <w:rPr>
                <w:rFonts w:ascii="Calibri" w:hAnsi="Calibri"/>
                <w:b w:val="0"/>
                <w:i w:val="0"/>
                <w:color w:val="5A5A5A"/>
                <w:sz w:val="18"/>
              </w:rPr>
              <w:t>#pregnancy  #thirdtrimester  #maternalmortality  #fulminant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subcontinent &amp; South Asians</w:t>
            </w:r>
          </w:p>
        </w:tc>
        <w:tc>
          <w:tcPr>
            <w:tcW w:type="dxa" w:w="4276"/>
            <w:vAlign w:val="top"/>
          </w:tcPr>
          <w:p>
            <w:pPr>
              <w:spacing w:after="60" w:line="259" w:lineRule="auto"/>
            </w:pPr>
            <w:r>
              <w:rPr>
                <w:rFonts w:ascii="Calibri" w:hAnsi="Calibri"/>
                <w:b w:val="0"/>
                <w:i w:val="0"/>
                <w:color w:val="212121"/>
                <w:sz w:val="19"/>
              </w:rPr>
              <w:t>HEV genotype 1 is hyperendemic across the Indian subcontinent; the region accounts for the majority of the world's waterborne HEV disease and of travel-associated cases.</w:t>
            </w:r>
          </w:p>
          <w:p>
            <w:pPr>
              <w:spacing w:after="40" w:before="60" w:line="259" w:lineRule="auto"/>
            </w:pPr>
            <w:r>
              <w:rPr>
                <w:rFonts w:ascii="Calibri" w:hAnsi="Calibri"/>
                <w:b w:val="0"/>
                <w:i w:val="0"/>
                <w:color w:val="212121"/>
                <w:sz w:val="19"/>
              </w:rPr>
              <w:t>Most travel-associated hepatitis E cases occur among travellers returning from the Indian subcontinent.</w:t>
            </w:r>
          </w:p>
          <w:p>
            <w:pPr>
              <w:spacing w:after="40" w:line="252" w:lineRule="auto"/>
            </w:pPr>
            <w:hyperlink r:id="rId11">
              <w:r>
                <w:rPr>
                  <w:rFonts w:ascii="Calibri" w:hAnsi="Calibri" w:cs="Calibri"/>
                  <w:sz w:val="18"/>
                  <w:color w:val="1155CC"/>
                  <w:u w:val="single"/>
                </w:rPr>
                <w:t xml:space="preserve">wwwnc.cdc.gov — CDC Yellow Book: Hepatitis E</w:t>
              </w:r>
            </w:hyperlink>
          </w:p>
          <w:p>
            <w:pPr>
              <w:spacing w:before="60" w:after="40"/>
            </w:pPr>
            <w:r>
              <w:rPr>
                <w:rFonts w:ascii="Calibri" w:hAnsi="Calibri"/>
                <w:b w:val="0"/>
                <w:i w:val="0"/>
                <w:color w:val="5A5A5A"/>
                <w:sz w:val="18"/>
              </w:rPr>
              <w:t>#India  #endemic  #genotype1  #southasia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Sanitation / water supply</w:t>
            </w:r>
          </w:p>
        </w:tc>
        <w:tc>
          <w:tcPr>
            <w:tcW w:type="dxa" w:w="2160"/>
            <w:vAlign w:val="top"/>
          </w:tcPr>
          <w:p>
            <w:pPr>
              <w:spacing w:after="40" w:before="0" w:line="259" w:lineRule="auto"/>
            </w:pPr>
            <w:r>
              <w:rPr>
                <w:rFonts w:ascii="Calibri" w:hAnsi="Calibri"/>
                <w:b w:val="0"/>
                <w:i w:val="0"/>
                <w:color w:val="212121"/>
                <w:sz w:val="19"/>
              </w:rPr>
              <w:t>Rural &amp; peri-urban areas with unsafe water</w:t>
            </w:r>
          </w:p>
        </w:tc>
        <w:tc>
          <w:tcPr>
            <w:tcW w:type="dxa" w:w="4276"/>
            <w:vAlign w:val="top"/>
          </w:tcPr>
          <w:p>
            <w:pPr>
              <w:spacing w:after="60" w:line="259" w:lineRule="auto"/>
            </w:pPr>
            <w:r>
              <w:rPr>
                <w:rFonts w:ascii="Calibri" w:hAnsi="Calibri"/>
                <w:b w:val="0"/>
                <w:i w:val="0"/>
                <w:color w:val="212121"/>
                <w:sz w:val="19"/>
              </w:rPr>
              <w:t>Communities relying on untreated surface or shallow groundwater — especially where sewage contaminates drinking water during monsoon flooding — experience explosive point-source epidemics.</w:t>
            </w:r>
          </w:p>
          <w:p>
            <w:pPr>
              <w:spacing w:after="40" w:before="60" w:line="259" w:lineRule="auto"/>
            </w:pPr>
            <w:r>
              <w:rPr>
                <w:rFonts w:ascii="Calibri" w:hAnsi="Calibri"/>
                <w:b w:val="0"/>
                <w:i w:val="0"/>
                <w:color w:val="212121"/>
                <w:sz w:val="19"/>
              </w:rPr>
              <w:t>HEV is the most important cause of epidemic (waterborne) hepatitis in India.</w:t>
            </w:r>
          </w:p>
          <w:p>
            <w:pPr>
              <w:spacing w:after="40" w:line="252" w:lineRule="auto"/>
            </w:pPr>
            <w:hyperlink r:id="rId12">
              <w:r>
                <w:rPr>
                  <w:rFonts w:ascii="Calibri" w:hAnsi="Calibri" w:cs="Calibri"/>
                  <w:sz w:val="18"/>
                  <w:color w:val="1155CC"/>
                  <w:u w:val="single"/>
                </w:rPr>
                <w:t xml:space="preserve">who.int — India hepatitis</w:t>
              </w:r>
            </w:hyperlink>
          </w:p>
          <w:p>
            <w:pPr>
              <w:spacing w:before="60" w:after="40"/>
            </w:pPr>
            <w:r>
              <w:rPr>
                <w:rFonts w:ascii="Calibri" w:hAnsi="Calibri"/>
                <w:b w:val="0"/>
                <w:i w:val="0"/>
                <w:color w:val="5A5A5A"/>
                <w:sz w:val="18"/>
              </w:rPr>
              <w:t>#sanitation  #monsoon  #waterborne  #outbreak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Displacement / crowding</w:t>
            </w:r>
          </w:p>
        </w:tc>
        <w:tc>
          <w:tcPr>
            <w:tcW w:type="dxa" w:w="2160"/>
            <w:vAlign w:val="top"/>
          </w:tcPr>
          <w:p>
            <w:pPr>
              <w:spacing w:after="40" w:before="0" w:line="259" w:lineRule="auto"/>
            </w:pPr>
            <w:r>
              <w:rPr>
                <w:rFonts w:ascii="Calibri" w:hAnsi="Calibri"/>
                <w:b w:val="0"/>
                <w:i w:val="0"/>
                <w:color w:val="212121"/>
                <w:sz w:val="19"/>
              </w:rPr>
              <w:t>Refugee &amp; displaced-person camps</w:t>
            </w:r>
          </w:p>
        </w:tc>
        <w:tc>
          <w:tcPr>
            <w:tcW w:type="dxa" w:w="4276"/>
            <w:vAlign w:val="top"/>
          </w:tcPr>
          <w:p>
            <w:pPr>
              <w:spacing w:after="60" w:line="259" w:lineRule="auto"/>
            </w:pPr>
            <w:r>
              <w:rPr>
                <w:rFonts w:ascii="Calibri" w:hAnsi="Calibri"/>
                <w:b w:val="0"/>
                <w:i w:val="0"/>
                <w:color w:val="212121"/>
                <w:sz w:val="19"/>
              </w:rPr>
              <w:t>Overcrowding with poor water and sanitation infrastructure produces large, sustained outbreaks; these settings account for a large share of reported epidemics.</w:t>
            </w:r>
          </w:p>
          <w:p>
            <w:pPr>
              <w:spacing w:after="40" w:before="60" w:line="259" w:lineRule="auto"/>
            </w:pPr>
            <w:r>
              <w:rPr>
                <w:rFonts w:ascii="Calibri" w:hAnsi="Calibri"/>
                <w:b w:val="0"/>
                <w:i w:val="0"/>
                <w:color w:val="212121"/>
                <w:sz w:val="19"/>
              </w:rPr>
              <w:t>Nearly half of hepatitis E outbreaks occur in camps for refugees or displaced persons.</w:t>
            </w:r>
          </w:p>
          <w:p>
            <w:pPr>
              <w:spacing w:after="40" w:line="252" w:lineRule="auto"/>
            </w:pPr>
            <w:hyperlink r:id="rId9">
              <w:r>
                <w:rPr>
                  <w:rFonts w:ascii="Calibri" w:hAnsi="Calibri" w:cs="Calibri"/>
                  <w:sz w:val="18"/>
                  <w:color w:val="1155CC"/>
                  <w:u w:val="single"/>
                </w:rPr>
                <w:t xml:space="preserve">who.int — hepatitis E fact sheet</w:t>
              </w:r>
            </w:hyperlink>
          </w:p>
          <w:p>
            <w:pPr>
              <w:spacing w:before="60" w:after="40"/>
            </w:pPr>
            <w:r>
              <w:rPr>
                <w:rFonts w:ascii="Calibri" w:hAnsi="Calibri"/>
                <w:b w:val="0"/>
                <w:i w:val="0"/>
                <w:color w:val="5A5A5A"/>
                <w:sz w:val="18"/>
              </w:rPr>
              <w:t>#camps  #displacement  #overcrowding  #outbreak</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Unsafe water use</w:t>
            </w:r>
          </w:p>
        </w:tc>
        <w:tc>
          <w:tcPr>
            <w:tcW w:type="dxa" w:w="2160"/>
            <w:vAlign w:val="top"/>
          </w:tcPr>
          <w:p>
            <w:pPr>
              <w:spacing w:after="40" w:before="0" w:line="259" w:lineRule="auto"/>
            </w:pPr>
            <w:r>
              <w:rPr>
                <w:rFonts w:ascii="Calibri" w:hAnsi="Calibri"/>
                <w:b w:val="0"/>
                <w:i w:val="0"/>
                <w:color w:val="212121"/>
                <w:sz w:val="19"/>
              </w:rPr>
              <w:t>People drinking untreated water</w:t>
            </w:r>
          </w:p>
        </w:tc>
        <w:tc>
          <w:tcPr>
            <w:tcW w:type="dxa" w:w="4276"/>
            <w:vAlign w:val="top"/>
          </w:tcPr>
          <w:p>
            <w:pPr>
              <w:spacing w:after="60" w:line="259" w:lineRule="auto"/>
            </w:pPr>
            <w:r>
              <w:rPr>
                <w:rFonts w:ascii="Calibri" w:hAnsi="Calibri"/>
                <w:b w:val="0"/>
                <w:i w:val="0"/>
                <w:color w:val="212121"/>
                <w:sz w:val="19"/>
              </w:rPr>
              <w:t>Ingestion of faecally contaminated water is the dominant route for genotypes 1 &amp; 2; boiling or chlorination interrupts transmission.</w:t>
            </w:r>
          </w:p>
          <w:p>
            <w:pPr>
              <w:spacing w:after="40" w:before="60" w:line="259" w:lineRule="auto"/>
            </w:pPr>
            <w:r>
              <w:rPr>
                <w:rFonts w:ascii="Calibri" w:hAnsi="Calibri"/>
                <w:b w:val="0"/>
                <w:i w:val="0"/>
                <w:color w:val="212121"/>
                <w:sz w:val="19"/>
              </w:rPr>
              <w:t>Genotypes 1 &amp; 2 are transmitted through faecal contamination of drinking water.</w:t>
            </w:r>
          </w:p>
          <w:p>
            <w:pPr>
              <w:spacing w:after="40" w:line="252" w:lineRule="auto"/>
            </w:pPr>
            <w:hyperlink r:id="rId9">
              <w:r>
                <w:rPr>
                  <w:rFonts w:ascii="Calibri" w:hAnsi="Calibri" w:cs="Calibri"/>
                  <w:sz w:val="18"/>
                  <w:color w:val="1155CC"/>
                  <w:u w:val="single"/>
                </w:rPr>
                <w:t xml:space="preserve">who.int — hepatitis E fact sheet</w:t>
              </w:r>
            </w:hyperlink>
          </w:p>
          <w:p>
            <w:pPr>
              <w:spacing w:before="60" w:after="40"/>
            </w:pPr>
            <w:r>
              <w:rPr>
                <w:rFonts w:ascii="Calibri" w:hAnsi="Calibri"/>
                <w:b w:val="0"/>
                <w:i w:val="0"/>
                <w:color w:val="5A5A5A"/>
                <w:sz w:val="18"/>
              </w:rPr>
              <w:t>#drinkingwater  #fecaloral  #boilwater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Swine &amp; animal handlers, abattoir/pork workers, vets</w:t>
            </w:r>
          </w:p>
        </w:tc>
        <w:tc>
          <w:tcPr>
            <w:tcW w:type="dxa" w:w="4276"/>
            <w:vAlign w:val="top"/>
          </w:tcPr>
          <w:p>
            <w:pPr>
              <w:spacing w:after="60" w:line="259" w:lineRule="auto"/>
            </w:pPr>
            <w:r>
              <w:rPr>
                <w:rFonts w:ascii="Calibri" w:hAnsi="Calibri"/>
                <w:b w:val="0"/>
                <w:i w:val="0"/>
                <w:color w:val="212121"/>
                <w:sz w:val="19"/>
              </w:rPr>
              <w:t>Occupational contact with pigs, wild boar and their products raises zoonotic genotype 3/4 exposure; higher anti-HEV seroprevalence is documented in these workers.</w:t>
            </w:r>
          </w:p>
          <w:p>
            <w:pPr>
              <w:spacing w:after="40" w:before="60" w:line="259" w:lineRule="auto"/>
            </w:pPr>
            <w:r>
              <w:rPr>
                <w:rFonts w:ascii="Calibri" w:hAnsi="Calibri"/>
                <w:b w:val="0"/>
                <w:i w:val="0"/>
                <w:color w:val="212121"/>
                <w:sz w:val="19"/>
              </w:rPr>
              <w:t>Genotypes 3 &amp; 4 are zoonotic and spread from animal reservoirs (chiefly pigs) to humans.</w:t>
            </w:r>
          </w:p>
          <w:p>
            <w:pPr>
              <w:spacing w:after="40" w:line="252" w:lineRule="auto"/>
            </w:pPr>
            <w:hyperlink r:id="rId9">
              <w:r>
                <w:rPr>
                  <w:rFonts w:ascii="Calibri" w:hAnsi="Calibri" w:cs="Calibri"/>
                  <w:sz w:val="18"/>
                  <w:color w:val="1155CC"/>
                  <w:u w:val="single"/>
                </w:rPr>
                <w:t xml:space="preserve">who.int — hepatitis E fact sheet</w:t>
              </w:r>
            </w:hyperlink>
          </w:p>
          <w:p>
            <w:pPr>
              <w:spacing w:before="60" w:after="40"/>
            </w:pPr>
            <w:r>
              <w:rPr>
                <w:rFonts w:ascii="Calibri" w:hAnsi="Calibri"/>
                <w:b w:val="0"/>
                <w:i w:val="0"/>
                <w:color w:val="5A5A5A"/>
                <w:sz w:val="18"/>
              </w:rPr>
              <w:t>#zoonotic  #swine  #occupational  #genotype3</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w:t>
            </w:r>
          </w:p>
        </w:tc>
        <w:tc>
          <w:tcPr>
            <w:tcW w:type="dxa" w:w="2160"/>
            <w:vAlign w:val="top"/>
          </w:tcPr>
          <w:p>
            <w:pPr>
              <w:spacing w:after="40" w:before="0" w:line="259" w:lineRule="auto"/>
            </w:pPr>
            <w:r>
              <w:rPr>
                <w:rFonts w:ascii="Calibri" w:hAnsi="Calibri"/>
                <w:b w:val="0"/>
                <w:i w:val="0"/>
                <w:color w:val="212121"/>
                <w:sz w:val="19"/>
              </w:rPr>
              <w:t>Travellers to endemic regions</w:t>
            </w:r>
          </w:p>
        </w:tc>
        <w:tc>
          <w:tcPr>
            <w:tcW w:type="dxa" w:w="4276"/>
            <w:vAlign w:val="top"/>
          </w:tcPr>
          <w:p>
            <w:pPr>
              <w:spacing w:after="60" w:line="259" w:lineRule="auto"/>
            </w:pPr>
            <w:r>
              <w:rPr>
                <w:rFonts w:ascii="Calibri" w:hAnsi="Calibri"/>
                <w:b w:val="0"/>
                <w:i w:val="0"/>
                <w:color w:val="212121"/>
                <w:sz w:val="19"/>
              </w:rPr>
              <w:t>Non-immune travellers to South Asia and other endemic areas acquire HEV through local water and food; hepatitis E is a leading cause of travel-associated acute viral hepatitis.</w:t>
            </w:r>
          </w:p>
          <w:p>
            <w:pPr>
              <w:spacing w:after="40" w:before="60" w:line="259" w:lineRule="auto"/>
            </w:pPr>
            <w:r>
              <w:rPr>
                <w:rFonts w:ascii="Calibri" w:hAnsi="Calibri"/>
                <w:b w:val="0"/>
                <w:i w:val="0"/>
                <w:color w:val="212121"/>
                <w:sz w:val="19"/>
              </w:rPr>
              <w:t>CDC lists travellers to areas with poor sanitation as an at-risk group for hepatitis E.</w:t>
            </w:r>
          </w:p>
          <w:p>
            <w:pPr>
              <w:spacing w:after="40" w:line="252" w:lineRule="auto"/>
            </w:pPr>
            <w:hyperlink r:id="rId13">
              <w:r>
                <w:rPr>
                  <w:rFonts w:ascii="Calibri" w:hAnsi="Calibri" w:cs="Calibri"/>
                  <w:sz w:val="18"/>
                  <w:color w:val="1155CC"/>
                  <w:u w:val="single"/>
                </w:rPr>
                <w:t xml:space="preserve">cdc.gov — About Hepatitis E</w:t>
              </w:r>
            </w:hyperlink>
          </w:p>
          <w:p>
            <w:pPr>
              <w:spacing w:before="60" w:after="40"/>
            </w:pPr>
            <w:r>
              <w:rPr>
                <w:rFonts w:ascii="Calibri" w:hAnsi="Calibri"/>
                <w:b w:val="0"/>
                <w:i w:val="0"/>
                <w:color w:val="5A5A5A"/>
                <w:sz w:val="18"/>
              </w:rPr>
              <w:t>#travel  #endemic  #foodandwater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Undercooked meat</w:t>
            </w:r>
          </w:p>
        </w:tc>
        <w:tc>
          <w:tcPr>
            <w:tcW w:type="dxa" w:w="2160"/>
            <w:vAlign w:val="top"/>
          </w:tcPr>
          <w:p>
            <w:pPr>
              <w:spacing w:after="40" w:before="0" w:line="259" w:lineRule="auto"/>
            </w:pPr>
            <w:r>
              <w:rPr>
                <w:rFonts w:ascii="Calibri" w:hAnsi="Calibri"/>
                <w:b w:val="0"/>
                <w:i w:val="0"/>
                <w:color w:val="212121"/>
                <w:sz w:val="19"/>
              </w:rPr>
              <w:t>Consumers of raw/undercooked pork, wild boar, deer, offal/liver</w:t>
            </w:r>
          </w:p>
        </w:tc>
        <w:tc>
          <w:tcPr>
            <w:tcW w:type="dxa" w:w="4276"/>
            <w:vAlign w:val="top"/>
          </w:tcPr>
          <w:p>
            <w:pPr>
              <w:spacing w:after="60" w:line="259" w:lineRule="auto"/>
            </w:pPr>
            <w:r>
              <w:rPr>
                <w:rFonts w:ascii="Calibri" w:hAnsi="Calibri"/>
                <w:b w:val="0"/>
                <w:i w:val="0"/>
                <w:color w:val="212121"/>
                <w:sz w:val="19"/>
              </w:rPr>
              <w:t>Zoonotic HEV survives in undercooked pork, game meat and organ meats; thorough cooking inactivates the virus.</w:t>
            </w:r>
          </w:p>
          <w:p>
            <w:pPr>
              <w:spacing w:after="40" w:before="60" w:line="259" w:lineRule="auto"/>
            </w:pPr>
            <w:r>
              <w:rPr>
                <w:rFonts w:ascii="Calibri" w:hAnsi="Calibri"/>
                <w:b w:val="0"/>
                <w:i w:val="0"/>
                <w:color w:val="212121"/>
                <w:sz w:val="19"/>
              </w:rPr>
              <w:t>Genotypes 3 &amp; 4 spread mainly through consumption of uncooked or undercooked meat.</w:t>
            </w:r>
          </w:p>
          <w:p>
            <w:pPr>
              <w:spacing w:after="40" w:line="252" w:lineRule="auto"/>
            </w:pPr>
            <w:hyperlink r:id="rId9">
              <w:r>
                <w:rPr>
                  <w:rFonts w:ascii="Calibri" w:hAnsi="Calibri" w:cs="Calibri"/>
                  <w:sz w:val="18"/>
                  <w:color w:val="1155CC"/>
                  <w:u w:val="single"/>
                </w:rPr>
                <w:t xml:space="preserve">who.int — hepatitis E fact sheet</w:t>
              </w:r>
            </w:hyperlink>
          </w:p>
          <w:p>
            <w:pPr>
              <w:spacing w:before="60" w:after="40"/>
            </w:pPr>
            <w:r>
              <w:rPr>
                <w:rFonts w:ascii="Calibri" w:hAnsi="Calibri"/>
                <w:b w:val="0"/>
                <w:i w:val="0"/>
                <w:color w:val="5A5A5A"/>
                <w:sz w:val="18"/>
              </w:rPr>
              <w:t>#pork  #gamemeat  #offal  #undercooked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Shellfish</w:t>
            </w:r>
          </w:p>
        </w:tc>
        <w:tc>
          <w:tcPr>
            <w:tcW w:type="dxa" w:w="2160"/>
            <w:vAlign w:val="top"/>
          </w:tcPr>
          <w:p>
            <w:pPr>
              <w:spacing w:after="40" w:before="0" w:line="259" w:lineRule="auto"/>
            </w:pPr>
            <w:r>
              <w:rPr>
                <w:rFonts w:ascii="Calibri" w:hAnsi="Calibri"/>
                <w:b w:val="0"/>
                <w:i w:val="0"/>
                <w:color w:val="212121"/>
                <w:sz w:val="19"/>
              </w:rPr>
              <w:t>Consumers of raw/undercooked shellfish</w:t>
            </w:r>
          </w:p>
        </w:tc>
        <w:tc>
          <w:tcPr>
            <w:tcW w:type="dxa" w:w="4276"/>
            <w:vAlign w:val="top"/>
          </w:tcPr>
          <w:p>
            <w:pPr>
              <w:spacing w:after="60" w:line="259" w:lineRule="auto"/>
            </w:pPr>
            <w:r>
              <w:rPr>
                <w:rFonts w:ascii="Calibri" w:hAnsi="Calibri"/>
                <w:b w:val="0"/>
                <w:i w:val="0"/>
                <w:color w:val="212121"/>
                <w:sz w:val="19"/>
              </w:rPr>
              <w:t>Filter-feeding shellfish from contaminated waters can concentrate HEV and transmit infection when eaten raw or lightly cooked.</w:t>
            </w:r>
          </w:p>
          <w:p>
            <w:pPr>
              <w:spacing w:after="40" w:before="60" w:line="259" w:lineRule="auto"/>
            </w:pPr>
            <w:r>
              <w:rPr>
                <w:rFonts w:ascii="Calibri" w:hAnsi="Calibri"/>
                <w:b w:val="0"/>
                <w:i w:val="0"/>
                <w:color w:val="212121"/>
                <w:sz w:val="19"/>
              </w:rPr>
              <w:t>Prevention requires thoroughly cooking all meat and seafood.</w:t>
            </w:r>
          </w:p>
          <w:p>
            <w:pPr>
              <w:spacing w:after="40" w:line="252" w:lineRule="auto"/>
            </w:pPr>
            <w:hyperlink r:id="rId11">
              <w:r>
                <w:rPr>
                  <w:rFonts w:ascii="Calibri" w:hAnsi="Calibri" w:cs="Calibri"/>
                  <w:sz w:val="18"/>
                  <w:color w:val="1155CC"/>
                  <w:u w:val="single"/>
                </w:rPr>
                <w:t xml:space="preserve">wwwnc.cdc.gov — CDC Yellow Book: Hepatitis E</w:t>
              </w:r>
            </w:hyperlink>
          </w:p>
          <w:p>
            <w:pPr>
              <w:spacing w:before="60" w:after="40"/>
            </w:pPr>
            <w:r>
              <w:rPr>
                <w:rFonts w:ascii="Calibri" w:hAnsi="Calibri"/>
                <w:b w:val="0"/>
                <w:i w:val="0"/>
                <w:color w:val="5A5A5A"/>
                <w:sz w:val="18"/>
              </w:rPr>
              <w:t>#shellfish  #seafood  #rawfood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Contaminated food &amp; drink</w:t>
            </w:r>
          </w:p>
        </w:tc>
        <w:tc>
          <w:tcPr>
            <w:tcW w:type="dxa" w:w="2160"/>
            <w:vAlign w:val="top"/>
          </w:tcPr>
          <w:p>
            <w:pPr>
              <w:spacing w:after="40" w:before="0" w:line="259" w:lineRule="auto"/>
            </w:pPr>
            <w:r>
              <w:rPr>
                <w:rFonts w:ascii="Calibri" w:hAnsi="Calibri"/>
                <w:b w:val="0"/>
                <w:i w:val="0"/>
                <w:color w:val="212121"/>
                <w:sz w:val="19"/>
              </w:rPr>
              <w:t>Street food, unwashed produce, ice consumers</w:t>
            </w:r>
          </w:p>
        </w:tc>
        <w:tc>
          <w:tcPr>
            <w:tcW w:type="dxa" w:w="4276"/>
            <w:vAlign w:val="top"/>
          </w:tcPr>
          <w:p>
            <w:pPr>
              <w:spacing w:after="60" w:line="259" w:lineRule="auto"/>
            </w:pPr>
            <w:r>
              <w:rPr>
                <w:rFonts w:ascii="Calibri" w:hAnsi="Calibri"/>
                <w:b w:val="0"/>
                <w:i w:val="0"/>
                <w:color w:val="212121"/>
                <w:sz w:val="19"/>
              </w:rPr>
              <w:t>Food and beverages prepared with contaminated water (salads, ice, street food) transmit genotype 1 in endemic settings.</w:t>
            </w:r>
          </w:p>
          <w:p>
            <w:pPr>
              <w:spacing w:after="40" w:before="60" w:line="259" w:lineRule="auto"/>
            </w:pPr>
            <w:r>
              <w:rPr>
                <w:rFonts w:ascii="Calibri" w:hAnsi="Calibri"/>
                <w:b w:val="0"/>
                <w:i w:val="0"/>
                <w:color w:val="212121"/>
                <w:sz w:val="19"/>
              </w:rPr>
              <w:t>HEV is spread when someone ingests even microscopic amounts of the virus present in contaminated stool.</w:t>
            </w:r>
          </w:p>
          <w:p>
            <w:pPr>
              <w:spacing w:after="40" w:line="252" w:lineRule="auto"/>
            </w:pPr>
            <w:hyperlink r:id="rId13">
              <w:r>
                <w:rPr>
                  <w:rFonts w:ascii="Calibri" w:hAnsi="Calibri" w:cs="Calibri"/>
                  <w:sz w:val="18"/>
                  <w:color w:val="1155CC"/>
                  <w:u w:val="single"/>
                </w:rPr>
                <w:t xml:space="preserve">cdc.gov — About Hepatitis E</w:t>
              </w:r>
            </w:hyperlink>
          </w:p>
          <w:p>
            <w:pPr>
              <w:spacing w:before="60" w:after="40"/>
            </w:pPr>
            <w:r>
              <w:rPr>
                <w:rFonts w:ascii="Calibri" w:hAnsi="Calibri"/>
                <w:b w:val="0"/>
                <w:i w:val="0"/>
                <w:color w:val="5A5A5A"/>
                <w:sz w:val="18"/>
              </w:rPr>
              <w:t>#streetfood  #ice  #produce  #fecaloral</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factors</w:t>
            </w:r>
          </w:p>
        </w:tc>
        <w:tc>
          <w:tcPr>
            <w:tcW w:type="dxa" w:w="2160"/>
            <w:vAlign w:val="top"/>
          </w:tcPr>
          <w:p>
            <w:pPr>
              <w:spacing w:after="40" w:before="0" w:line="259" w:lineRule="auto"/>
            </w:pPr>
            <w:r>
              <w:rPr>
                <w:rFonts w:ascii="Calibri" w:hAnsi="Calibri"/>
                <w:b w:val="0"/>
                <w:i w:val="0"/>
                <w:color w:val="212121"/>
                <w:sz w:val="19"/>
              </w:rPr>
              <w:t>No strong inherited predisposition; host immune status governs severity</w:t>
            </w:r>
          </w:p>
        </w:tc>
        <w:tc>
          <w:tcPr>
            <w:tcW w:type="dxa" w:w="4276"/>
            <w:vAlign w:val="top"/>
          </w:tcPr>
          <w:p>
            <w:pPr>
              <w:spacing w:after="60" w:line="259" w:lineRule="auto"/>
            </w:pPr>
            <w:r>
              <w:rPr>
                <w:rFonts w:ascii="Calibri" w:hAnsi="Calibri"/>
                <w:b w:val="0"/>
                <w:i w:val="0"/>
                <w:color w:val="212121"/>
                <w:sz w:val="19"/>
              </w:rPr>
              <w:t>Hepatitis E has no established strong Mendelian susceptibility; rather, host immune competence and pregnancy-related immune modulation — not inherited genes — chiefly determine whether infection is self-limited, fulminant or chronic.</w:t>
            </w:r>
          </w:p>
          <w:p>
            <w:pPr>
              <w:spacing w:after="40" w:before="60" w:line="259" w:lineRule="auto"/>
            </w:pPr>
            <w:r>
              <w:rPr>
                <w:rFonts w:ascii="Calibri" w:hAnsi="Calibri"/>
                <w:b w:val="0"/>
                <w:i w:val="0"/>
                <w:color w:val="212121"/>
                <w:sz w:val="19"/>
              </w:rPr>
              <w:t>Severity and chronicity are driven by host immune status (pregnancy, immunosuppression) rather than heritable genetic risk.</w:t>
            </w:r>
          </w:p>
          <w:p>
            <w:pPr>
              <w:spacing w:before="60" w:after="40"/>
            </w:pPr>
            <w:r>
              <w:rPr>
                <w:rFonts w:ascii="Calibri" w:hAnsi="Calibri"/>
                <w:b w:val="0"/>
                <w:i w:val="0"/>
                <w:color w:val="5A5A5A"/>
                <w:sz w:val="18"/>
              </w:rPr>
              <w:t>#hostfactors  #immunestatus  #noheritability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especially third trimester</w:t>
            </w:r>
          </w:p>
        </w:tc>
        <w:tc>
          <w:tcPr>
            <w:tcW w:type="dxa" w:w="4276"/>
            <w:vAlign w:val="top"/>
          </w:tcPr>
          <w:p>
            <w:pPr>
              <w:spacing w:after="60" w:line="259" w:lineRule="auto"/>
            </w:pPr>
            <w:r>
              <w:rPr>
                <w:rFonts w:ascii="Calibri" w:hAnsi="Calibri"/>
                <w:b w:val="0"/>
                <w:i w:val="0"/>
                <w:color w:val="212121"/>
                <w:sz w:val="19"/>
              </w:rPr>
              <w:t>Pregnancy dramatically worsens HEV outcomes with high rates of fulminant hepatic failure, obstetric haemorrhage, prematurity, stillbirth and vertical transmission.</w:t>
            </w:r>
          </w:p>
          <w:p>
            <w:pPr>
              <w:spacing w:after="40" w:before="60" w:line="259" w:lineRule="auto"/>
            </w:pPr>
            <w:r>
              <w:rPr>
                <w:rFonts w:ascii="Calibri" w:hAnsi="Calibri"/>
                <w:b w:val="0"/>
                <w:i w:val="0"/>
                <w:color w:val="212121"/>
                <w:sz w:val="19"/>
              </w:rPr>
              <w:t>Maternal mortality is 15-25% with third-trimester infection, and more than half of infants die in utero or shortly after birth.</w:t>
            </w:r>
          </w:p>
          <w:p>
            <w:pPr>
              <w:spacing w:after="40" w:line="252" w:lineRule="auto"/>
            </w:pPr>
            <w:hyperlink r:id="rId10">
              <w:r>
                <w:rPr>
                  <w:rFonts w:ascii="Calibri" w:hAnsi="Calibri" w:cs="Calibri"/>
                  <w:sz w:val="18"/>
                  <w:color w:val="1155CC"/>
                  <w:u w:val="single"/>
                </w:rPr>
                <w:t xml:space="preserve">ncbi.nlm.nih.gov — Hepatitis E (StatPearls)</w:t>
              </w:r>
            </w:hyperlink>
          </w:p>
          <w:p>
            <w:pPr>
              <w:spacing w:before="60" w:after="40"/>
            </w:pPr>
            <w:r>
              <w:rPr>
                <w:rFonts w:ascii="Calibri" w:hAnsi="Calibri"/>
                <w:b w:val="0"/>
                <w:i w:val="0"/>
                <w:color w:val="5A5A5A"/>
                <w:sz w:val="18"/>
              </w:rPr>
              <w:t>#pregnancy  #ALF  #stillbirth  #verticaltransmission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liver disease</w:t>
            </w:r>
          </w:p>
        </w:tc>
        <w:tc>
          <w:tcPr>
            <w:tcW w:type="dxa" w:w="2160"/>
            <w:vAlign w:val="top"/>
          </w:tcPr>
          <w:p>
            <w:pPr>
              <w:spacing w:after="40" w:before="0" w:line="259" w:lineRule="auto"/>
            </w:pPr>
            <w:r>
              <w:rPr>
                <w:rFonts w:ascii="Calibri" w:hAnsi="Calibri"/>
                <w:b w:val="0"/>
                <w:i w:val="0"/>
                <w:color w:val="212121"/>
                <w:sz w:val="19"/>
              </w:rPr>
              <w:t>Cirrhosis, chronic HBV or alcohol-related liver disease</w:t>
            </w:r>
          </w:p>
        </w:tc>
        <w:tc>
          <w:tcPr>
            <w:tcW w:type="dxa" w:w="4276"/>
            <w:vAlign w:val="top"/>
          </w:tcPr>
          <w:p>
            <w:pPr>
              <w:spacing w:after="60" w:line="259" w:lineRule="auto"/>
            </w:pPr>
            <w:r>
              <w:rPr>
                <w:rFonts w:ascii="Calibri" w:hAnsi="Calibri"/>
                <w:b w:val="0"/>
                <w:i w:val="0"/>
                <w:color w:val="212121"/>
                <w:sz w:val="19"/>
              </w:rPr>
              <w:t>Superimposed acute HEV precipitates acute-on-chronic liver failure with very high mortality in patients with pre-existing chronic liver disease.</w:t>
            </w:r>
          </w:p>
          <w:p>
            <w:pPr>
              <w:spacing w:after="40" w:before="60" w:line="259" w:lineRule="auto"/>
            </w:pPr>
            <w:r>
              <w:rPr>
                <w:rFonts w:ascii="Calibri" w:hAnsi="Calibri"/>
                <w:b w:val="0"/>
                <w:i w:val="0"/>
                <w:color w:val="212121"/>
                <w:sz w:val="19"/>
              </w:rPr>
              <w:t>In patients with pre-existing chronic liver disease, HEV superinfection mortality reaches up to 70%.</w:t>
            </w:r>
          </w:p>
          <w:p>
            <w:pPr>
              <w:spacing w:after="40" w:line="252" w:lineRule="auto"/>
            </w:pPr>
            <w:hyperlink r:id="rId10">
              <w:r>
                <w:rPr>
                  <w:rFonts w:ascii="Calibri" w:hAnsi="Calibri" w:cs="Calibri"/>
                  <w:sz w:val="18"/>
                  <w:color w:val="1155CC"/>
                  <w:u w:val="single"/>
                </w:rPr>
                <w:t xml:space="preserve">ncbi.nlm.nih.gov — Hepatitis E (StatPearls)</w:t>
              </w:r>
            </w:hyperlink>
          </w:p>
          <w:p>
            <w:pPr>
              <w:spacing w:before="60" w:after="40"/>
            </w:pPr>
            <w:r>
              <w:rPr>
                <w:rFonts w:ascii="Calibri" w:hAnsi="Calibri"/>
                <w:b w:val="0"/>
                <w:i w:val="0"/>
                <w:color w:val="5A5A5A"/>
                <w:sz w:val="18"/>
              </w:rPr>
              <w:t>#cirrhosis  #ACLF  #decompensation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Solid-organ transplant recipients</w:t>
            </w:r>
          </w:p>
        </w:tc>
        <w:tc>
          <w:tcPr>
            <w:tcW w:type="dxa" w:w="4276"/>
            <w:vAlign w:val="top"/>
          </w:tcPr>
          <w:p>
            <w:pPr>
              <w:spacing w:after="60" w:line="259" w:lineRule="auto"/>
            </w:pPr>
            <w:r>
              <w:rPr>
                <w:rFonts w:ascii="Calibri" w:hAnsi="Calibri"/>
                <w:b w:val="0"/>
                <w:i w:val="0"/>
                <w:color w:val="212121"/>
                <w:sz w:val="19"/>
              </w:rPr>
              <w:t>Under immunosuppression (especially calcineurin inhibitors) genotype 3 HEV can persist and become chronic, progressing to fibrosis and cirrhosis.</w:t>
            </w:r>
          </w:p>
          <w:p>
            <w:pPr>
              <w:spacing w:after="40" w:before="60" w:line="259" w:lineRule="auto"/>
            </w:pPr>
            <w:r>
              <w:rPr>
                <w:rFonts w:ascii="Calibri" w:hAnsi="Calibri"/>
                <w:b w:val="0"/>
                <w:i w:val="0"/>
                <w:color w:val="212121"/>
                <w:sz w:val="19"/>
              </w:rPr>
              <w:t>HEV-3 can progress to chronic infection, particularly in solid-organ allograft recipients, with cirrhosis developing within about 2-5 years.</w:t>
            </w:r>
          </w:p>
          <w:p>
            <w:pPr>
              <w:spacing w:after="40" w:line="252" w:lineRule="auto"/>
            </w:pPr>
            <w:hyperlink r:id="rId11">
              <w:r>
                <w:rPr>
                  <w:rFonts w:ascii="Calibri" w:hAnsi="Calibri" w:cs="Calibri"/>
                  <w:sz w:val="18"/>
                  <w:color w:val="1155CC"/>
                  <w:u w:val="single"/>
                </w:rPr>
                <w:t xml:space="preserve">wwwnc.cdc.gov — CDC Yellow Book: Hepatitis E</w:t>
              </w:r>
            </w:hyperlink>
          </w:p>
          <w:p>
            <w:pPr>
              <w:spacing w:before="60" w:after="40"/>
            </w:pPr>
            <w:r>
              <w:rPr>
                <w:rFonts w:ascii="Calibri" w:hAnsi="Calibri"/>
                <w:b w:val="0"/>
                <w:i w:val="0"/>
                <w:color w:val="5A5A5A"/>
                <w:sz w:val="18"/>
              </w:rPr>
              <w:t>#transplant  #chronicHEV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immunodeficiency</w:t>
            </w:r>
          </w:p>
        </w:tc>
        <w:tc>
          <w:tcPr>
            <w:tcW w:type="dxa" w:w="2160"/>
            <w:vAlign w:val="top"/>
          </w:tcPr>
          <w:p>
            <w:pPr>
              <w:spacing w:after="40" w:before="0" w:line="259" w:lineRule="auto"/>
            </w:pPr>
            <w:r>
              <w:rPr>
                <w:rFonts w:ascii="Calibri" w:hAnsi="Calibri"/>
                <w:b w:val="0"/>
                <w:i w:val="0"/>
                <w:color w:val="212121"/>
                <w:sz w:val="19"/>
              </w:rPr>
              <w:t>People with HIV or advanced immunodeficiency</w:t>
            </w:r>
          </w:p>
        </w:tc>
        <w:tc>
          <w:tcPr>
            <w:tcW w:type="dxa" w:w="4276"/>
            <w:vAlign w:val="top"/>
          </w:tcPr>
          <w:p>
            <w:pPr>
              <w:spacing w:after="60" w:line="259" w:lineRule="auto"/>
            </w:pPr>
            <w:r>
              <w:rPr>
                <w:rFonts w:ascii="Calibri" w:hAnsi="Calibri"/>
                <w:b w:val="0"/>
                <w:i w:val="0"/>
                <w:color w:val="212121"/>
                <w:sz w:val="19"/>
              </w:rPr>
              <w:t>People with HIV and low CD4 counts, or other severe immunodeficiency, are at risk of chronic HEV infection and delayed viral clearance.</w:t>
            </w:r>
          </w:p>
          <w:p>
            <w:pPr>
              <w:spacing w:after="40" w:before="60" w:line="259" w:lineRule="auto"/>
            </w:pPr>
            <w:r>
              <w:rPr>
                <w:rFonts w:ascii="Calibri" w:hAnsi="Calibri"/>
                <w:b w:val="0"/>
                <w:i w:val="0"/>
                <w:color w:val="212121"/>
                <w:sz w:val="19"/>
              </w:rPr>
              <w:t>Chronic hepatitis E develops in people with compromised immune systems.</w:t>
            </w:r>
          </w:p>
          <w:p>
            <w:pPr>
              <w:spacing w:after="40" w:line="252" w:lineRule="auto"/>
            </w:pPr>
            <w:hyperlink r:id="rId13">
              <w:r>
                <w:rPr>
                  <w:rFonts w:ascii="Calibri" w:hAnsi="Calibri" w:cs="Calibri"/>
                  <w:sz w:val="18"/>
                  <w:color w:val="1155CC"/>
                  <w:u w:val="single"/>
                </w:rPr>
                <w:t xml:space="preserve">cdc.gov — About Hepatitis E</w:t>
              </w:r>
            </w:hyperlink>
          </w:p>
          <w:p>
            <w:pPr>
              <w:spacing w:before="60" w:after="40"/>
            </w:pPr>
            <w:r>
              <w:rPr>
                <w:rFonts w:ascii="Calibri" w:hAnsi="Calibri"/>
                <w:b w:val="0"/>
                <w:i w:val="0"/>
                <w:color w:val="5A5A5A"/>
                <w:sz w:val="18"/>
              </w:rPr>
              <w:t>#HIV  #immunocompromised  #chronic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role in acquiring HEV; during acute icteric illness rest is advised and strenuous activity avoided until transaminases normalise. Physical fitness matters mainly in acute-on-chronic liver failure.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Eating raw or undercooked pork, wild-boar and game meat, offal and shellfish transmits zoonotic genotypes 3 &amp; 4; food prepared with contaminated water transmits genotype 1.</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Fatigue and malaise are prominent during acute hepatitis and adequate rest aids recovery, but sleep has no established role in transmission or prevention.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with HEV acquisition; cessation is advised for general and liver health, especially where chronic liver disease coexists.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does not transmit HEV, but alcohol-related liver disease markedly worsens outcomes; acute HEV on an alcohol-damaged liver can precipitate acute-on-chronic liver failure.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risk factor for infection; acute illness and, rarely, chronic infection cause anxiety and fatigue that benefit from reassurance and support.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Faecally contaminated drinking water is the dominant transmission route for epidemic genotype 1 &amp; 2 HEV in India; safe water interrupts outbreaks.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with hepatitis E acquisition or outcome.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HEV is transmitted faecal-orally; handwashing with soap, safe sanitation and safe food handling are central to prevention and outbreak control.</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Pregnancy (especially the third trimester), pre-existing chronic liver disease and immunosuppression provoke severe, fulminant or chronic disease and dictate prognosis.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treatment</w:t>
            </w:r>
          </w:p>
        </w:tc>
        <w:tc>
          <w:tcPr>
            <w:tcW w:type="dxa" w:w="1655"/>
            <w:vAlign w:val="top"/>
          </w:tcPr>
          <w:p>
            <w:pPr>
              <w:spacing w:after="40" w:before="0" w:line="259" w:lineRule="auto"/>
            </w:pPr>
            <w:r>
              <w:rPr>
                <w:rFonts w:ascii="Calibri" w:hAnsi="Calibri"/>
                <w:b w:val="0"/>
                <w:i w:val="0"/>
                <w:color w:val="212121"/>
                <w:sz w:val="19"/>
              </w:rPr>
              <w:t>All, endemic-area residents</w:t>
            </w:r>
          </w:p>
        </w:tc>
        <w:tc>
          <w:tcPr>
            <w:tcW w:type="dxa" w:w="1512"/>
            <w:vAlign w:val="top"/>
          </w:tcPr>
          <w:p>
            <w:pPr>
              <w:spacing w:after="40" w:before="0" w:line="259" w:lineRule="auto"/>
            </w:pPr>
            <w:r>
              <w:rPr>
                <w:rFonts w:ascii="Calibri" w:hAnsi="Calibri"/>
                <w:b w:val="0"/>
                <w:i w:val="0"/>
                <w:color w:val="212121"/>
                <w:sz w:val="19"/>
              </w:rPr>
              <w:t>Boiled, filtered or adequately chlorinated water</w:t>
            </w:r>
          </w:p>
        </w:tc>
        <w:tc>
          <w:tcPr>
            <w:tcW w:type="dxa" w:w="1512"/>
            <w:vAlign w:val="top"/>
          </w:tcPr>
          <w:p>
            <w:pPr>
              <w:spacing w:after="40" w:before="0" w:line="259" w:lineRule="auto"/>
            </w:pPr>
            <w:r>
              <w:rPr>
                <w:rFonts w:ascii="Calibri" w:hAnsi="Calibri"/>
                <w:b w:val="0"/>
                <w:i w:val="0"/>
                <w:color w:val="212121"/>
                <w:sz w:val="19"/>
              </w:rPr>
              <w:t>Untreated surface, river or shallow-well water (especially during monsoon/flooding)</w:t>
            </w:r>
          </w:p>
        </w:tc>
        <w:tc>
          <w:tcPr>
            <w:tcW w:type="dxa" w:w="1468"/>
            <w:vAlign w:val="top"/>
          </w:tcPr>
          <w:p>
            <w:pPr>
              <w:spacing w:after="60" w:line="259" w:lineRule="auto"/>
            </w:pPr>
            <w:r>
              <w:rPr>
                <w:rFonts w:ascii="Calibri" w:hAnsi="Calibri"/>
                <w:b w:val="0"/>
                <w:i w:val="0"/>
                <w:color w:val="212121"/>
                <w:sz w:val="19"/>
              </w:rPr>
              <w:t>Primary transmission route for genotypes 1 &amp; 2</w:t>
            </w:r>
          </w:p>
          <w:p>
            <w:pPr>
              <w:spacing w:after="40" w:line="252" w:lineRule="auto"/>
            </w:pPr>
            <w:hyperlink r:id="rId9">
              <w:r>
                <w:rPr>
                  <w:rFonts w:ascii="Calibri" w:hAnsi="Calibri" w:cs="Calibri"/>
                  <w:sz w:val="18"/>
                  <w:color w:val="1155CC"/>
                  <w:u w:val="single"/>
                </w:rPr>
                <w:t xml:space="preserve">https://www.who.int/news-room/fact-sheets/detail/hepatitis-e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Faecal (thermotolerant) coliforms in drinking water</w:t>
            </w:r>
          </w:p>
        </w:tc>
        <w:tc>
          <w:tcPr>
            <w:tcW w:type="dxa" w:w="1655"/>
            <w:vAlign w:val="top"/>
          </w:tcPr>
          <w:p>
            <w:pPr>
              <w:spacing w:after="40" w:before="0" w:line="259" w:lineRule="auto"/>
            </w:pPr>
            <w:r>
              <w:rPr>
                <w:rFonts w:ascii="Calibri" w:hAnsi="Calibri"/>
                <w:b w:val="0"/>
                <w:i w:val="0"/>
                <w:color w:val="212121"/>
                <w:sz w:val="19"/>
              </w:rPr>
              <w:t>Community water supply</w:t>
            </w:r>
          </w:p>
        </w:tc>
        <w:tc>
          <w:tcPr>
            <w:tcW w:type="dxa" w:w="1512"/>
            <w:vAlign w:val="top"/>
          </w:tcPr>
          <w:p>
            <w:pPr>
              <w:spacing w:after="40" w:before="0" w:line="259" w:lineRule="auto"/>
            </w:pPr>
            <w:r>
              <w:rPr>
                <w:rFonts w:ascii="Calibri" w:hAnsi="Calibri"/>
                <w:b w:val="0"/>
                <w:i w:val="0"/>
                <w:color w:val="212121"/>
                <w:sz w:val="19"/>
              </w:rPr>
              <w:t>E. coli / faecal coliforms not detectable per 100 mL</w:t>
            </w:r>
          </w:p>
        </w:tc>
        <w:tc>
          <w:tcPr>
            <w:tcW w:type="dxa" w:w="1512"/>
            <w:vAlign w:val="top"/>
          </w:tcPr>
          <w:p>
            <w:pPr>
              <w:spacing w:after="40" w:before="0" w:line="259" w:lineRule="auto"/>
            </w:pPr>
            <w:r>
              <w:rPr>
                <w:rFonts w:ascii="Calibri" w:hAnsi="Calibri"/>
                <w:b w:val="0"/>
                <w:i w:val="0"/>
                <w:color w:val="212121"/>
                <w:sz w:val="19"/>
              </w:rPr>
              <w:t>Any faecal coliform contamination detected</w:t>
            </w:r>
          </w:p>
        </w:tc>
        <w:tc>
          <w:tcPr>
            <w:tcW w:type="dxa" w:w="1468"/>
            <w:vAlign w:val="top"/>
          </w:tcPr>
          <w:p>
            <w:pPr>
              <w:spacing w:after="40" w:before="0" w:line="259" w:lineRule="auto"/>
            </w:pPr>
            <w:r>
              <w:rPr>
                <w:rFonts w:ascii="Calibri" w:hAnsi="Calibri"/>
                <w:b w:val="0"/>
                <w:i w:val="0"/>
                <w:color w:val="212121"/>
                <w:sz w:val="19"/>
              </w:rPr>
              <w:t>Faecal contamination signals HEV transmission risk</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 (after defecation, before food)</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Consistent handwashing</w:t>
            </w:r>
          </w:p>
        </w:tc>
        <w:tc>
          <w:tcPr>
            <w:tcW w:type="dxa" w:w="1512"/>
            <w:vAlign w:val="top"/>
          </w:tcPr>
          <w:p>
            <w:pPr>
              <w:spacing w:after="40" w:before="0" w:line="259" w:lineRule="auto"/>
            </w:pPr>
            <w:r>
              <w:rPr>
                <w:rFonts w:ascii="Calibri" w:hAnsi="Calibri"/>
                <w:b w:val="0"/>
                <w:i w:val="0"/>
                <w:color w:val="212121"/>
                <w:sz w:val="19"/>
              </w:rPr>
              <w:t>Inconsistent, or soap/safe water unavailable</w:t>
            </w:r>
          </w:p>
        </w:tc>
        <w:tc>
          <w:tcPr>
            <w:tcW w:type="dxa" w:w="1468"/>
            <w:vAlign w:val="top"/>
          </w:tcPr>
          <w:p>
            <w:pPr>
              <w:spacing w:after="40" w:before="0" w:line="259" w:lineRule="auto"/>
            </w:pPr>
            <w:r>
              <w:rPr>
                <w:rFonts w:ascii="Calibri" w:hAnsi="Calibri"/>
                <w:b w:val="0"/>
                <w:i w:val="0"/>
                <w:color w:val="212121"/>
                <w:sz w:val="19"/>
              </w:rPr>
              <w:t>Interrupts faecal-oral transmission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Access to improved sanitation</w:t>
            </w:r>
          </w:p>
        </w:tc>
        <w:tc>
          <w:tcPr>
            <w:tcW w:type="dxa" w:w="1655"/>
            <w:vAlign w:val="top"/>
          </w:tcPr>
          <w:p>
            <w:pPr>
              <w:spacing w:after="40" w:before="0" w:line="259" w:lineRule="auto"/>
            </w:pPr>
            <w:r>
              <w:rPr>
                <w:rFonts w:ascii="Calibri" w:hAnsi="Calibri"/>
                <w:b w:val="0"/>
                <w:i w:val="0"/>
                <w:color w:val="212121"/>
                <w:sz w:val="19"/>
              </w:rPr>
              <w:t>Communities</w:t>
            </w:r>
          </w:p>
        </w:tc>
        <w:tc>
          <w:tcPr>
            <w:tcW w:type="dxa" w:w="1512"/>
            <w:vAlign w:val="top"/>
          </w:tcPr>
          <w:p>
            <w:pPr>
              <w:spacing w:after="40" w:before="0" w:line="259" w:lineRule="auto"/>
            </w:pPr>
            <w:r>
              <w:rPr>
                <w:rFonts w:ascii="Calibri" w:hAnsi="Calibri"/>
                <w:b w:val="0"/>
                <w:i w:val="0"/>
                <w:color w:val="212121"/>
                <w:sz w:val="19"/>
              </w:rPr>
              <w:t>Safe toilet with sewage containment</w:t>
            </w:r>
          </w:p>
        </w:tc>
        <w:tc>
          <w:tcPr>
            <w:tcW w:type="dxa" w:w="1512"/>
            <w:vAlign w:val="top"/>
          </w:tcPr>
          <w:p>
            <w:pPr>
              <w:spacing w:after="40" w:before="0" w:line="259" w:lineRule="auto"/>
            </w:pPr>
            <w:r>
              <w:rPr>
                <w:rFonts w:ascii="Calibri" w:hAnsi="Calibri"/>
                <w:b w:val="0"/>
                <w:i w:val="0"/>
                <w:color w:val="212121"/>
                <w:sz w:val="19"/>
              </w:rPr>
              <w:t>Open defecation or sewage-contaminated water sources</w:t>
            </w:r>
          </w:p>
        </w:tc>
        <w:tc>
          <w:tcPr>
            <w:tcW w:type="dxa" w:w="1468"/>
            <w:vAlign w:val="top"/>
          </w:tcPr>
          <w:p>
            <w:pPr>
              <w:spacing w:after="40" w:before="0" w:line="259" w:lineRule="auto"/>
            </w:pPr>
            <w:r>
              <w:rPr>
                <w:rFonts w:ascii="Calibri" w:hAnsi="Calibri"/>
                <w:b w:val="0"/>
                <w:i w:val="0"/>
                <w:color w:val="212121"/>
                <w:sz w:val="19"/>
              </w:rPr>
              <w:t>Population-level determinant of epidemics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Pork &amp; game-meat core cooking temperature</w:t>
            </w:r>
          </w:p>
        </w:tc>
        <w:tc>
          <w:tcPr>
            <w:tcW w:type="dxa" w:w="1655"/>
            <w:vAlign w:val="top"/>
          </w:tcPr>
          <w:p>
            <w:pPr>
              <w:spacing w:after="40" w:before="0" w:line="259" w:lineRule="auto"/>
            </w:pPr>
            <w:r>
              <w:rPr>
                <w:rFonts w:ascii="Calibri" w:hAnsi="Calibri"/>
                <w:b w:val="0"/>
                <w:i w:val="0"/>
                <w:color w:val="212121"/>
                <w:sz w:val="19"/>
              </w:rPr>
              <w:t>Meat consumers, occupationally exposed</w:t>
            </w:r>
          </w:p>
        </w:tc>
        <w:tc>
          <w:tcPr>
            <w:tcW w:type="dxa" w:w="1512"/>
            <w:vAlign w:val="top"/>
          </w:tcPr>
          <w:p>
            <w:pPr>
              <w:spacing w:after="40" w:before="0" w:line="259" w:lineRule="auto"/>
            </w:pPr>
            <w:r>
              <w:rPr>
                <w:rFonts w:ascii="Calibri" w:hAnsi="Calibri"/>
                <w:b w:val="0"/>
                <w:i w:val="0"/>
                <w:color w:val="212121"/>
                <w:sz w:val="19"/>
              </w:rPr>
              <w:t>Cooked throughout to &gt;= 71 C (&gt;= 63 C with rest)</w:t>
            </w:r>
          </w:p>
        </w:tc>
        <w:tc>
          <w:tcPr>
            <w:tcW w:type="dxa" w:w="1512"/>
            <w:vAlign w:val="top"/>
          </w:tcPr>
          <w:p>
            <w:pPr>
              <w:spacing w:after="40" w:before="0" w:line="259" w:lineRule="auto"/>
            </w:pPr>
            <w:r>
              <w:rPr>
                <w:rFonts w:ascii="Calibri" w:hAnsi="Calibri"/>
                <w:b w:val="0"/>
                <w:i w:val="0"/>
                <w:color w:val="212121"/>
                <w:sz w:val="19"/>
              </w:rPr>
              <w:t>Raw or undercooked meat/offal</w:t>
            </w:r>
          </w:p>
        </w:tc>
        <w:tc>
          <w:tcPr>
            <w:tcW w:type="dxa" w:w="1468"/>
            <w:vAlign w:val="top"/>
          </w:tcPr>
          <w:p>
            <w:pPr>
              <w:spacing w:after="60" w:line="259" w:lineRule="auto"/>
            </w:pPr>
            <w:r>
              <w:rPr>
                <w:rFonts w:ascii="Calibri" w:hAnsi="Calibri"/>
                <w:b w:val="0"/>
                <w:i w:val="0"/>
                <w:color w:val="212121"/>
                <w:sz w:val="19"/>
              </w:rPr>
              <w:t>Adequate cooking inactivates zoonotic HEV-3/4</w:t>
            </w:r>
          </w:p>
          <w:p>
            <w:pPr>
              <w:spacing w:after="40" w:line="252" w:lineRule="auto"/>
            </w:pPr>
            <w:hyperlink r:id="rId11">
              <w:r>
                <w:rPr>
                  <w:rFonts w:ascii="Calibri" w:hAnsi="Calibri" w:cs="Calibri"/>
                  <w:sz w:val="18"/>
                  <w:color w:val="1155CC"/>
                  <w:u w:val="single"/>
                </w:rPr>
                <w:t xml:space="preserve">https://wwwnc.cdc.gov/travel/yellowbook/2024/infections-diseases/hepatitis-e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Shellfish preparation</w:t>
            </w:r>
          </w:p>
        </w:tc>
        <w:tc>
          <w:tcPr>
            <w:tcW w:type="dxa" w:w="1655"/>
            <w:vAlign w:val="top"/>
          </w:tcPr>
          <w:p>
            <w:pPr>
              <w:spacing w:after="40" w:before="0" w:line="259" w:lineRule="auto"/>
            </w:pPr>
            <w:r>
              <w:rPr>
                <w:rFonts w:ascii="Calibri" w:hAnsi="Calibri"/>
                <w:b w:val="0"/>
                <w:i w:val="0"/>
                <w:color w:val="212121"/>
                <w:sz w:val="19"/>
              </w:rPr>
              <w:t>Seafood consumers</w:t>
            </w:r>
          </w:p>
        </w:tc>
        <w:tc>
          <w:tcPr>
            <w:tcW w:type="dxa" w:w="1512"/>
            <w:vAlign w:val="top"/>
          </w:tcPr>
          <w:p>
            <w:pPr>
              <w:spacing w:after="40" w:before="0" w:line="259" w:lineRule="auto"/>
            </w:pPr>
            <w:r>
              <w:rPr>
                <w:rFonts w:ascii="Calibri" w:hAnsi="Calibri"/>
                <w:b w:val="0"/>
                <w:i w:val="0"/>
                <w:color w:val="212121"/>
                <w:sz w:val="19"/>
              </w:rPr>
              <w:t>Thoroughly cooked</w:t>
            </w:r>
          </w:p>
        </w:tc>
        <w:tc>
          <w:tcPr>
            <w:tcW w:type="dxa" w:w="1512"/>
            <w:vAlign w:val="top"/>
          </w:tcPr>
          <w:p>
            <w:pPr>
              <w:spacing w:after="40" w:before="0" w:line="259" w:lineRule="auto"/>
            </w:pPr>
            <w:r>
              <w:rPr>
                <w:rFonts w:ascii="Calibri" w:hAnsi="Calibri"/>
                <w:b w:val="0"/>
                <w:i w:val="0"/>
                <w:color w:val="212121"/>
                <w:sz w:val="19"/>
              </w:rPr>
              <w:t>Raw or lightly cooked shellfish</w:t>
            </w:r>
          </w:p>
        </w:tc>
        <w:tc>
          <w:tcPr>
            <w:tcW w:type="dxa" w:w="1468"/>
            <w:vAlign w:val="top"/>
          </w:tcPr>
          <w:p>
            <w:pPr>
              <w:spacing w:after="60" w:line="259" w:lineRule="auto"/>
            </w:pPr>
            <w:r>
              <w:rPr>
                <w:rFonts w:ascii="Calibri" w:hAnsi="Calibri"/>
                <w:b w:val="0"/>
                <w:i w:val="0"/>
                <w:color w:val="212121"/>
                <w:sz w:val="19"/>
              </w:rPr>
              <w:t>Filter feeders can concentrate HEV</w:t>
            </w:r>
          </w:p>
          <w:p>
            <w:pPr>
              <w:spacing w:after="40" w:line="252" w:lineRule="auto"/>
            </w:pPr>
            <w:hyperlink r:id="rId11">
              <w:r>
                <w:rPr>
                  <w:rFonts w:ascii="Calibri" w:hAnsi="Calibri" w:cs="Calibri"/>
                  <w:sz w:val="18"/>
                  <w:color w:val="1155CC"/>
                  <w:u w:val="single"/>
                </w:rPr>
                <w:t xml:space="preserve">https://wwwnc.cdc.gov/travel/yellowbook/2024/infections-diseases/hepatitis-e</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during/after acute HEV or with liver disease</w:t>
            </w:r>
          </w:p>
        </w:tc>
        <w:tc>
          <w:tcPr>
            <w:tcW w:type="dxa" w:w="1655"/>
            <w:vAlign w:val="top"/>
          </w:tcPr>
          <w:p>
            <w:pPr>
              <w:spacing w:after="40" w:before="0" w:line="259" w:lineRule="auto"/>
            </w:pPr>
            <w:r>
              <w:rPr>
                <w:rFonts w:ascii="Calibri" w:hAnsi="Calibri"/>
                <w:b w:val="0"/>
                <w:i w:val="0"/>
                <w:color w:val="212121"/>
                <w:sz w:val="19"/>
              </w:rPr>
              <w:t>Adults, patients with CLD</w:t>
            </w:r>
          </w:p>
        </w:tc>
        <w:tc>
          <w:tcPr>
            <w:tcW w:type="dxa" w:w="1512"/>
            <w:vAlign w:val="top"/>
          </w:tcPr>
          <w:p>
            <w:pPr>
              <w:spacing w:after="40" w:before="0" w:line="259" w:lineRule="auto"/>
            </w:pPr>
            <w:r>
              <w:rPr>
                <w:rFonts w:ascii="Calibri" w:hAnsi="Calibri"/>
                <w:b w:val="0"/>
                <w:i w:val="0"/>
                <w:color w:val="212121"/>
                <w:sz w:val="19"/>
              </w:rPr>
              <w:t>Complete abstinence</w:t>
            </w:r>
          </w:p>
        </w:tc>
        <w:tc>
          <w:tcPr>
            <w:tcW w:type="dxa" w:w="1512"/>
            <w:vAlign w:val="top"/>
          </w:tcPr>
          <w:p>
            <w:pPr>
              <w:spacing w:after="40" w:before="0" w:line="259" w:lineRule="auto"/>
            </w:pPr>
            <w:r>
              <w:rPr>
                <w:rFonts w:ascii="Calibri" w:hAnsi="Calibri"/>
                <w:b w:val="0"/>
                <w:i w:val="0"/>
                <w:color w:val="212121"/>
                <w:sz w:val="19"/>
              </w:rPr>
              <w:t>Any ongoing intake, especially with liver disease</w:t>
            </w:r>
          </w:p>
        </w:tc>
        <w:tc>
          <w:tcPr>
            <w:tcW w:type="dxa" w:w="1468"/>
            <w:vAlign w:val="top"/>
          </w:tcPr>
          <w:p>
            <w:pPr>
              <w:spacing w:after="40" w:before="0" w:line="259" w:lineRule="auto"/>
            </w:pPr>
            <w:r>
              <w:rPr>
                <w:rFonts w:ascii="Calibri" w:hAnsi="Calibri"/>
                <w:b w:val="0"/>
                <w:i w:val="0"/>
                <w:color w:val="212121"/>
                <w:sz w:val="19"/>
              </w:rPr>
              <w:t>Worsens hepatic injury and acute-on-chronic failure risk</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Pregnancy trimester at time of infection</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Avoid exposure; not applicable if uninfected</w:t>
            </w:r>
          </w:p>
        </w:tc>
        <w:tc>
          <w:tcPr>
            <w:tcW w:type="dxa" w:w="1512"/>
            <w:vAlign w:val="top"/>
          </w:tcPr>
          <w:p>
            <w:pPr>
              <w:spacing w:after="40" w:before="0" w:line="259" w:lineRule="auto"/>
            </w:pPr>
            <w:r>
              <w:rPr>
                <w:rFonts w:ascii="Calibri" w:hAnsi="Calibri"/>
                <w:b w:val="0"/>
                <w:i w:val="0"/>
                <w:color w:val="212121"/>
                <w:sz w:val="19"/>
              </w:rPr>
              <w:t>Infection in the third trimester</w:t>
            </w:r>
          </w:p>
        </w:tc>
        <w:tc>
          <w:tcPr>
            <w:tcW w:type="dxa" w:w="1468"/>
            <w:vAlign w:val="top"/>
          </w:tcPr>
          <w:p>
            <w:pPr>
              <w:spacing w:after="60" w:line="259" w:lineRule="auto"/>
            </w:pPr>
            <w:r>
              <w:rPr>
                <w:rFonts w:ascii="Calibri" w:hAnsi="Calibri"/>
                <w:b w:val="0"/>
                <w:i w:val="0"/>
                <w:color w:val="212121"/>
                <w:sz w:val="19"/>
              </w:rPr>
              <w:t>Highest maternal case fatality and fetal loss</w:t>
            </w:r>
          </w:p>
          <w:p>
            <w:pPr>
              <w:spacing w:after="40" w:line="252" w:lineRule="auto"/>
            </w:pPr>
            <w:hyperlink r:id="rId9">
              <w:r>
                <w:rPr>
                  <w:rFonts w:ascii="Calibri" w:hAnsi="Calibri" w:cs="Calibri"/>
                  <w:sz w:val="18"/>
                  <w:color w:val="1155CC"/>
                  <w:u w:val="single"/>
                </w:rPr>
                <w:t xml:space="preserve">https://www.who.int/news-room/fact-sheets/detail/hepatitis-e</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Anti-HEV IgM</w:t>
            </w:r>
          </w:p>
        </w:tc>
        <w:tc>
          <w:tcPr>
            <w:tcW w:type="dxa" w:w="892"/>
            <w:vAlign w:val="top"/>
          </w:tcPr>
          <w:p>
            <w:pPr>
              <w:spacing w:after="40" w:before="0" w:line="259" w:lineRule="auto"/>
            </w:pPr>
            <w:r>
              <w:rPr>
                <w:rFonts w:ascii="Calibri" w:hAnsi="Calibri"/>
                <w:b w:val="0"/>
                <w:i w:val="0"/>
                <w:color w:val="212121"/>
                <w:sz w:val="16"/>
              </w:rPr>
              <w:t>HEV Serology (ELISA)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Indicates acute or recent HEV infection; the principal diagnostic test</w:t>
            </w:r>
          </w:p>
        </w:tc>
        <w:tc>
          <w:tcPr>
            <w:tcW w:type="dxa" w:w="1036"/>
            <w:vAlign w:val="top"/>
          </w:tcPr>
          <w:p>
            <w:pPr>
              <w:spacing w:after="40" w:before="0" w:line="259" w:lineRule="auto"/>
            </w:pPr>
            <w:r>
              <w:rPr>
                <w:rFonts w:ascii="Calibri" w:hAnsi="Calibri"/>
                <w:b w:val="0"/>
                <w:i w:val="0"/>
                <w:color w:val="212121"/>
                <w:sz w:val="16"/>
              </w:rPr>
              <w:t>Suspected acute hepatitis, pregnant women, travellers</w:t>
            </w:r>
          </w:p>
        </w:tc>
        <w:tc>
          <w:tcPr>
            <w:tcW w:type="dxa" w:w="720"/>
            <w:vAlign w:val="top"/>
          </w:tcPr>
          <w:p>
            <w:pPr>
              <w:spacing w:after="40" w:before="0" w:line="259" w:lineRule="auto"/>
            </w:pPr>
            <w:r>
              <w:rPr>
                <w:rFonts w:ascii="Calibri" w:hAnsi="Calibri"/>
                <w:b w:val="0"/>
                <w:i w:val="0"/>
                <w:color w:val="212121"/>
                <w:sz w:val="16"/>
              </w:rPr>
              <w:t>Water; Food; Hygiene</w:t>
            </w:r>
          </w:p>
        </w:tc>
        <w:tc>
          <w:tcPr>
            <w:tcW w:type="dxa" w:w="720"/>
            <w:vAlign w:val="top"/>
          </w:tcPr>
          <w:p>
            <w:pPr>
              <w:spacing w:after="40" w:before="0" w:line="259" w:lineRule="auto"/>
            </w:pPr>
            <w:r>
              <w:rPr>
                <w:rFonts w:ascii="Calibri" w:hAnsi="Calibri"/>
                <w:b w:val="0"/>
                <w:i w:val="0"/>
                <w:color w:val="212121"/>
                <w:sz w:val="16"/>
              </w:rPr>
              <w:t>Primary diagnostic</w:t>
            </w:r>
          </w:p>
        </w:tc>
        <w:tc>
          <w:tcPr>
            <w:tcW w:type="dxa" w:w="720"/>
            <w:vAlign w:val="top"/>
          </w:tcPr>
          <w:p>
            <w:pPr>
              <w:spacing w:after="40" w:before="0" w:line="259" w:lineRule="auto"/>
            </w:pPr>
            <w:r>
              <w:rPr>
                <w:rFonts w:ascii="Calibri" w:hAnsi="Calibri"/>
                <w:b w:val="0"/>
                <w:i w:val="0"/>
                <w:color w:val="212121"/>
                <w:sz w:val="16"/>
              </w:rPr>
              <w:t>False positives/negatives occur; confirm with HEV RNA in immunocompromised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Anti-HEV IgG</w:t>
            </w:r>
          </w:p>
        </w:tc>
        <w:tc>
          <w:tcPr>
            <w:tcW w:type="dxa" w:w="892"/>
            <w:vAlign w:val="top"/>
          </w:tcPr>
          <w:p>
            <w:pPr>
              <w:spacing w:after="40" w:before="0" w:line="259" w:lineRule="auto"/>
            </w:pPr>
            <w:r>
              <w:rPr>
                <w:rFonts w:ascii="Calibri" w:hAnsi="Calibri"/>
                <w:b w:val="0"/>
                <w:i w:val="0"/>
                <w:color w:val="212121"/>
                <w:sz w:val="16"/>
              </w:rPr>
              <w:t>HEV Serology (ELISA)</w:t>
            </w:r>
          </w:p>
        </w:tc>
        <w:tc>
          <w:tcPr>
            <w:tcW w:type="dxa" w:w="950"/>
            <w:vAlign w:val="top"/>
          </w:tcPr>
          <w:p>
            <w:pPr>
              <w:spacing w:after="40" w:before="0" w:line="259" w:lineRule="auto"/>
            </w:pPr>
            <w:r>
              <w:rPr>
                <w:rFonts w:ascii="Calibri" w:hAnsi="Calibri"/>
                <w:b w:val="0"/>
                <w:i w:val="0"/>
                <w:color w:val="212121"/>
                <w:sz w:val="16"/>
              </w:rPr>
              <w:t>Negative (non-immune)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Past exposure or evolving immunity; seroconversion or rising titre supports recent infection</w:t>
            </w:r>
          </w:p>
        </w:tc>
        <w:tc>
          <w:tcPr>
            <w:tcW w:type="dxa" w:w="1036"/>
            <w:vAlign w:val="top"/>
          </w:tcPr>
          <w:p>
            <w:pPr>
              <w:spacing w:after="40" w:before="0" w:line="259" w:lineRule="auto"/>
            </w:pPr>
            <w:r>
              <w:rPr>
                <w:rFonts w:ascii="Calibri" w:hAnsi="Calibri"/>
                <w:b w:val="0"/>
                <w:i w:val="0"/>
                <w:color w:val="212121"/>
                <w:sz w:val="16"/>
              </w:rPr>
              <w:t>Convalescent, seroprevalence studies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Marker of prior infection and immunity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HEV RNA (serum &amp;/or stool)</w:t>
            </w:r>
          </w:p>
        </w:tc>
        <w:tc>
          <w:tcPr>
            <w:tcW w:type="dxa" w:w="892"/>
            <w:vAlign w:val="top"/>
          </w:tcPr>
          <w:p>
            <w:pPr>
              <w:spacing w:after="40" w:before="0" w:line="259" w:lineRule="auto"/>
            </w:pPr>
            <w:r>
              <w:rPr>
                <w:rFonts w:ascii="Calibri" w:hAnsi="Calibri"/>
                <w:b w:val="0"/>
                <w:i w:val="0"/>
                <w:color w:val="212121"/>
                <w:sz w:val="16"/>
              </w:rPr>
              <w:t>RT-PCR (nucleic acid test)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w:t>
            </w:r>
          </w:p>
        </w:tc>
        <w:tc>
          <w:tcPr>
            <w:tcW w:type="dxa" w:w="1036"/>
            <w:vAlign w:val="top"/>
          </w:tcPr>
          <w:p>
            <w:pPr>
              <w:spacing w:after="40" w:before="0" w:line="259" w:lineRule="auto"/>
            </w:pPr>
            <w:r>
              <w:rPr>
                <w:rFonts w:ascii="Calibri" w:hAnsi="Calibri"/>
                <w:b w:val="0"/>
                <w:i w:val="0"/>
                <w:color w:val="212121"/>
                <w:sz w:val="16"/>
              </w:rPr>
              <w:t>Confirms active viraemia; gold standard, essential where serology is unreliable; persistence &gt;6 months defines chronic infection</w:t>
            </w:r>
          </w:p>
        </w:tc>
        <w:tc>
          <w:tcPr>
            <w:tcW w:type="dxa" w:w="1036"/>
            <w:vAlign w:val="top"/>
          </w:tcPr>
          <w:p>
            <w:pPr>
              <w:spacing w:after="40" w:before="0" w:line="259" w:lineRule="auto"/>
            </w:pPr>
            <w:r>
              <w:rPr>
                <w:rFonts w:ascii="Calibri" w:hAnsi="Calibri"/>
                <w:b w:val="0"/>
                <w:i w:val="0"/>
                <w:color w:val="212121"/>
                <w:sz w:val="16"/>
              </w:rPr>
              <w:t>Immunocompromised, transplant, HIV,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 gold standard</w:t>
            </w:r>
          </w:p>
        </w:tc>
        <w:tc>
          <w:tcPr>
            <w:tcW w:type="dxa" w:w="720"/>
            <w:vAlign w:val="top"/>
          </w:tcPr>
          <w:p>
            <w:pPr>
              <w:spacing w:after="40" w:before="0" w:line="259" w:lineRule="auto"/>
            </w:pPr>
            <w:r>
              <w:rPr>
                <w:rFonts w:ascii="Calibri" w:hAnsi="Calibri"/>
                <w:b w:val="0"/>
                <w:i w:val="0"/>
                <w:color w:val="212121"/>
                <w:sz w:val="16"/>
              </w:rPr>
              <w:t>Also used to detect and monitor chronicity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ALT &amp; AST (transaminases)</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ALT ~7-55 U/L; AST ~8-48 U/L</w:t>
            </w:r>
          </w:p>
        </w:tc>
        <w:tc>
          <w:tcPr>
            <w:tcW w:type="dxa" w:w="950"/>
            <w:vAlign w:val="top"/>
          </w:tcPr>
          <w:p>
            <w:pPr>
              <w:spacing w:after="40" w:before="0" w:line="259" w:lineRule="auto"/>
            </w:pPr>
            <w:r>
              <w:rPr>
                <w:rFonts w:ascii="Calibri" w:hAnsi="Calibri"/>
                <w:b w:val="0"/>
                <w:i w:val="0"/>
                <w:color w:val="212121"/>
                <w:sz w:val="16"/>
              </w:rPr>
              <w:t>Markedly elevated, often &gt;10x upper limit of normal</w:t>
            </w:r>
          </w:p>
        </w:tc>
        <w:tc>
          <w:tcPr>
            <w:tcW w:type="dxa" w:w="1036"/>
            <w:vAlign w:val="top"/>
          </w:tcPr>
          <w:p>
            <w:pPr>
              <w:spacing w:after="40" w:before="0" w:line="259" w:lineRule="auto"/>
            </w:pPr>
            <w:r>
              <w:rPr>
                <w:rFonts w:ascii="Calibri" w:hAnsi="Calibri"/>
                <w:b w:val="0"/>
                <w:i w:val="0"/>
                <w:color w:val="212121"/>
                <w:sz w:val="16"/>
              </w:rPr>
              <w:t>Hepatocellular injury of acute hepatitis; peaks then declines</w:t>
            </w:r>
          </w:p>
        </w:tc>
        <w:tc>
          <w:tcPr>
            <w:tcW w:type="dxa" w:w="1036"/>
            <w:vAlign w:val="top"/>
          </w:tcPr>
          <w:p>
            <w:pPr>
              <w:spacing w:after="40" w:before="0" w:line="259" w:lineRule="auto"/>
            </w:pPr>
            <w:r>
              <w:rPr>
                <w:rFonts w:ascii="Calibri" w:hAnsi="Calibri"/>
                <w:b w:val="0"/>
                <w:i w:val="0"/>
                <w:color w:val="212121"/>
                <w:sz w:val="16"/>
              </w:rPr>
              <w:t>All symptomatic / jaundiced patients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Magnitude of rise does not predict outcome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bilirubin (total &amp; direct)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Total &lt; 1.2 mg/dL</w:t>
            </w:r>
          </w:p>
        </w:tc>
        <w:tc>
          <w:tcPr>
            <w:tcW w:type="dxa" w:w="950"/>
            <w:vAlign w:val="top"/>
          </w:tcPr>
          <w:p>
            <w:pPr>
              <w:spacing w:after="40" w:before="0" w:line="259" w:lineRule="auto"/>
            </w:pPr>
            <w:r>
              <w:rPr>
                <w:rFonts w:ascii="Calibri" w:hAnsi="Calibri"/>
                <w:b w:val="0"/>
                <w:i w:val="0"/>
                <w:color w:val="212121"/>
                <w:sz w:val="16"/>
              </w:rPr>
              <w:t>Elevated (conjugated predominant)</w:t>
            </w:r>
          </w:p>
        </w:tc>
        <w:tc>
          <w:tcPr>
            <w:tcW w:type="dxa" w:w="1036"/>
            <w:vAlign w:val="top"/>
          </w:tcPr>
          <w:p>
            <w:pPr>
              <w:spacing w:after="40" w:before="0" w:line="259" w:lineRule="auto"/>
            </w:pPr>
            <w:r>
              <w:rPr>
                <w:rFonts w:ascii="Calibri" w:hAnsi="Calibri"/>
                <w:b w:val="0"/>
                <w:i w:val="0"/>
                <w:color w:val="212121"/>
                <w:sz w:val="16"/>
              </w:rPr>
              <w:t>Reflects cholestasis and jaundice; prolonged elevation in cholestatic hepatitis E</w:t>
            </w:r>
          </w:p>
        </w:tc>
        <w:tc>
          <w:tcPr>
            <w:tcW w:type="dxa" w:w="1036"/>
            <w:vAlign w:val="top"/>
          </w:tcPr>
          <w:p>
            <w:pPr>
              <w:spacing w:after="40" w:before="0" w:line="259" w:lineRule="auto"/>
            </w:pPr>
            <w:r>
              <w:rPr>
                <w:rFonts w:ascii="Calibri" w:hAnsi="Calibri"/>
                <w:b w:val="0"/>
                <w:i w:val="0"/>
                <w:color w:val="212121"/>
                <w:sz w:val="16"/>
              </w:rPr>
              <w:t>Icteric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Clinical jaundice usually apparent above ~2.5-3 mg/dL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Prothrombin time / INR</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&lt; 1.1</w:t>
            </w:r>
          </w:p>
        </w:tc>
        <w:tc>
          <w:tcPr>
            <w:tcW w:type="dxa" w:w="950"/>
            <w:vAlign w:val="top"/>
          </w:tcPr>
          <w:p>
            <w:pPr>
              <w:spacing w:after="40" w:before="0" w:line="259" w:lineRule="auto"/>
            </w:pPr>
            <w:r>
              <w:rPr>
                <w:rFonts w:ascii="Calibri" w:hAnsi="Calibri"/>
                <w:b w:val="0"/>
                <w:i w:val="0"/>
                <w:color w:val="212121"/>
                <w:sz w:val="16"/>
              </w:rPr>
              <w:t>Prolonged (INR &gt;= 1.5)</w:t>
            </w:r>
          </w:p>
        </w:tc>
        <w:tc>
          <w:tcPr>
            <w:tcW w:type="dxa" w:w="1036"/>
            <w:vAlign w:val="top"/>
          </w:tcPr>
          <w:p>
            <w:pPr>
              <w:spacing w:after="40" w:before="0" w:line="259" w:lineRule="auto"/>
            </w:pPr>
            <w:r>
              <w:rPr>
                <w:rFonts w:ascii="Calibri" w:hAnsi="Calibri"/>
                <w:b w:val="0"/>
                <w:i w:val="0"/>
                <w:color w:val="212121"/>
                <w:sz w:val="16"/>
              </w:rPr>
              <w:t>Marker of hepatic synthetic failure; a key prognostic sign of acute liver failure, especially in pregnancy</w:t>
            </w:r>
          </w:p>
        </w:tc>
        <w:tc>
          <w:tcPr>
            <w:tcW w:type="dxa" w:w="1036"/>
            <w:vAlign w:val="top"/>
          </w:tcPr>
          <w:p>
            <w:pPr>
              <w:spacing w:after="40" w:before="0" w:line="259" w:lineRule="auto"/>
            </w:pPr>
            <w:r>
              <w:rPr>
                <w:rFonts w:ascii="Calibri" w:hAnsi="Calibri"/>
                <w:b w:val="0"/>
                <w:i w:val="0"/>
                <w:color w:val="212121"/>
                <w:sz w:val="16"/>
              </w:rPr>
              <w:t>Pregnant women, suspected ALF, chronic liver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critical</w:t>
            </w:r>
          </w:p>
        </w:tc>
        <w:tc>
          <w:tcPr>
            <w:tcW w:type="dxa" w:w="720"/>
            <w:vAlign w:val="top"/>
          </w:tcPr>
          <w:p>
            <w:pPr>
              <w:spacing w:after="40" w:before="0" w:line="259" w:lineRule="auto"/>
            </w:pPr>
            <w:r>
              <w:rPr>
                <w:rFonts w:ascii="Calibri" w:hAnsi="Calibri"/>
                <w:b w:val="0"/>
                <w:i w:val="0"/>
                <w:color w:val="212121"/>
                <w:sz w:val="16"/>
              </w:rPr>
              <w:t>Rising INR with encephalopathy indicates fulminant failure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3.5-5.0 g/dL</w:t>
            </w:r>
          </w:p>
        </w:tc>
        <w:tc>
          <w:tcPr>
            <w:tcW w:type="dxa" w:w="950"/>
            <w:vAlign w:val="top"/>
          </w:tcPr>
          <w:p>
            <w:pPr>
              <w:spacing w:after="40" w:before="0" w:line="259" w:lineRule="auto"/>
            </w:pPr>
            <w:r>
              <w:rPr>
                <w:rFonts w:ascii="Calibri" w:hAnsi="Calibri"/>
                <w:b w:val="0"/>
                <w:i w:val="0"/>
                <w:color w:val="212121"/>
                <w:sz w:val="16"/>
              </w:rPr>
              <w:t>Low</w:t>
            </w:r>
          </w:p>
        </w:tc>
        <w:tc>
          <w:tcPr>
            <w:tcW w:type="dxa" w:w="1036"/>
            <w:vAlign w:val="top"/>
          </w:tcPr>
          <w:p>
            <w:pPr>
              <w:spacing w:after="40" w:before="0" w:line="259" w:lineRule="auto"/>
            </w:pPr>
            <w:r>
              <w:rPr>
                <w:rFonts w:ascii="Calibri" w:hAnsi="Calibri"/>
                <w:b w:val="0"/>
                <w:i w:val="0"/>
                <w:color w:val="212121"/>
                <w:sz w:val="16"/>
              </w:rPr>
              <w:t>Falls in severe or chronic / acute-on-chronic disease</w:t>
            </w:r>
          </w:p>
        </w:tc>
        <w:tc>
          <w:tcPr>
            <w:tcW w:type="dxa" w:w="1036"/>
            <w:vAlign w:val="top"/>
          </w:tcPr>
          <w:p>
            <w:pPr>
              <w:spacing w:after="40" w:before="0" w:line="259" w:lineRule="auto"/>
            </w:pPr>
            <w:r>
              <w:rPr>
                <w:rFonts w:ascii="Calibri" w:hAnsi="Calibri"/>
                <w:b w:val="0"/>
                <w:i w:val="0"/>
                <w:color w:val="212121"/>
                <w:sz w:val="16"/>
              </w:rPr>
              <w:t>Chronic liver disease, chronic HEV</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Reflects hepatic synthetic function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Platelet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150,000-450,000 /uL</w:t>
            </w:r>
          </w:p>
        </w:tc>
        <w:tc>
          <w:tcPr>
            <w:tcW w:type="dxa" w:w="950"/>
            <w:vAlign w:val="top"/>
          </w:tcPr>
          <w:p>
            <w:pPr>
              <w:spacing w:after="40" w:before="0" w:line="259" w:lineRule="auto"/>
            </w:pPr>
            <w:r>
              <w:rPr>
                <w:rFonts w:ascii="Calibri" w:hAnsi="Calibri"/>
                <w:b w:val="0"/>
                <w:i w:val="0"/>
                <w:color w:val="212121"/>
                <w:sz w:val="16"/>
              </w:rPr>
              <w:t>Thrombocytopenia</w:t>
            </w:r>
          </w:p>
        </w:tc>
        <w:tc>
          <w:tcPr>
            <w:tcW w:type="dxa" w:w="1036"/>
            <w:vAlign w:val="top"/>
          </w:tcPr>
          <w:p>
            <w:pPr>
              <w:spacing w:after="40" w:before="0" w:line="259" w:lineRule="auto"/>
            </w:pPr>
            <w:r>
              <w:rPr>
                <w:rFonts w:ascii="Calibri" w:hAnsi="Calibri"/>
                <w:b w:val="0"/>
                <w:i w:val="0"/>
                <w:color w:val="212121"/>
                <w:sz w:val="16"/>
              </w:rPr>
              <w:t>Extrahepatic haematological manifestation; also seen in advanced liver disease</w:t>
            </w:r>
          </w:p>
        </w:tc>
        <w:tc>
          <w:tcPr>
            <w:tcW w:type="dxa" w:w="1036"/>
            <w:vAlign w:val="top"/>
          </w:tcPr>
          <w:p>
            <w:pPr>
              <w:spacing w:after="40" w:before="0" w:line="259" w:lineRule="auto"/>
            </w:pPr>
            <w:r>
              <w:rPr>
                <w:rFonts w:ascii="Calibri" w:hAnsi="Calibri"/>
                <w:b w:val="0"/>
                <w:i w:val="0"/>
                <w:color w:val="212121"/>
                <w:sz w:val="16"/>
              </w:rPr>
              <w:t>Patients with bleeding or extrahepatic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HEV is linked to thrombocytopenia and, rarely, aplastic anaemia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Water, food &amp; travel exposure</w:t>
            </w:r>
          </w:p>
        </w:tc>
        <w:tc>
          <w:tcPr>
            <w:tcW w:type="dxa" w:w="950"/>
            <w:vAlign w:val="top"/>
          </w:tcPr>
          <w:p>
            <w:pPr>
              <w:spacing w:after="40" w:before="0" w:line="259" w:lineRule="auto"/>
            </w:pPr>
            <w:r>
              <w:rPr>
                <w:rFonts w:ascii="Calibri" w:hAnsi="Calibri"/>
                <w:b w:val="0"/>
                <w:i w:val="0"/>
                <w:color w:val="212121"/>
                <w:sz w:val="16"/>
              </w:rPr>
              <w:t>Safe water, no risk exposure</w:t>
            </w:r>
          </w:p>
        </w:tc>
        <w:tc>
          <w:tcPr>
            <w:tcW w:type="dxa" w:w="950"/>
            <w:vAlign w:val="top"/>
          </w:tcPr>
          <w:p>
            <w:pPr>
              <w:spacing w:after="40" w:before="0" w:line="259" w:lineRule="auto"/>
            </w:pPr>
            <w:r>
              <w:rPr>
                <w:rFonts w:ascii="Calibri" w:hAnsi="Calibri"/>
                <w:b w:val="0"/>
                <w:i w:val="0"/>
                <w:color w:val="212121"/>
                <w:sz w:val="16"/>
              </w:rPr>
              <w:t>Untreated water, undercooked pork/shellfish, travel to endemic area, or outbreak contact</w:t>
            </w:r>
          </w:p>
        </w:tc>
        <w:tc>
          <w:tcPr>
            <w:tcW w:type="dxa" w:w="1036"/>
            <w:vAlign w:val="top"/>
          </w:tcPr>
          <w:p>
            <w:pPr>
              <w:spacing w:after="40" w:before="0" w:line="259" w:lineRule="auto"/>
            </w:pPr>
            <w:r>
              <w:rPr>
                <w:rFonts w:ascii="Calibri" w:hAnsi="Calibri"/>
                <w:b w:val="0"/>
                <w:i w:val="0"/>
                <w:color w:val="212121"/>
                <w:sz w:val="16"/>
              </w:rPr>
              <w:t>Establishes epidemiological risk for HEV</w:t>
            </w:r>
          </w:p>
        </w:tc>
        <w:tc>
          <w:tcPr>
            <w:tcW w:type="dxa" w:w="1036"/>
            <w:vAlign w:val="top"/>
          </w:tcPr>
          <w:p>
            <w:pPr>
              <w:spacing w:after="40" w:before="0" w:line="259" w:lineRule="auto"/>
            </w:pPr>
            <w:r>
              <w:rPr>
                <w:rFonts w:ascii="Calibri" w:hAnsi="Calibri"/>
                <w:b w:val="0"/>
                <w:i w:val="0"/>
                <w:color w:val="212121"/>
                <w:sz w:val="16"/>
              </w:rPr>
              <w:t>Suspected acute hepatitis</w:t>
            </w:r>
          </w:p>
        </w:tc>
        <w:tc>
          <w:tcPr>
            <w:tcW w:type="dxa" w:w="720"/>
            <w:vAlign w:val="top"/>
          </w:tcPr>
          <w:p>
            <w:pPr>
              <w:spacing w:after="40" w:before="0" w:line="259" w:lineRule="auto"/>
            </w:pPr>
            <w:r>
              <w:rPr>
                <w:rFonts w:ascii="Calibri" w:hAnsi="Calibri"/>
                <w:b w:val="0"/>
                <w:i w:val="0"/>
                <w:color w:val="212121"/>
                <w:sz w:val="16"/>
              </w:rPr>
              <w:t>Water; Food;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Point-source waterborne outbreaks are common during monsoon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Pregnancy status &amp; trimester</w:t>
            </w:r>
          </w:p>
        </w:tc>
        <w:tc>
          <w:tcPr>
            <w:tcW w:type="dxa" w:w="979"/>
            <w:vAlign w:val="top"/>
          </w:tcPr>
          <w:p>
            <w:pPr>
              <w:spacing w:after="40" w:before="0" w:line="259" w:lineRule="auto"/>
            </w:pPr>
            <w:r>
              <w:rPr>
                <w:rFonts w:ascii="Calibri" w:hAnsi="Calibri"/>
                <w:b w:val="0"/>
                <w:i w:val="0"/>
                <w:color w:val="212121"/>
                <w:sz w:val="16"/>
              </w:rPr>
              <w:t>Obstetric history</w:t>
            </w:r>
          </w:p>
        </w:tc>
        <w:tc>
          <w:tcPr>
            <w:tcW w:type="dxa" w:w="950"/>
            <w:vAlign w:val="top"/>
          </w:tcPr>
          <w:p>
            <w:pPr>
              <w:spacing w:after="40" w:before="0" w:line="259" w:lineRule="auto"/>
            </w:pPr>
            <w:r>
              <w:rPr>
                <w:rFonts w:ascii="Calibri" w:hAnsi="Calibri"/>
                <w:b w:val="0"/>
                <w:i w:val="0"/>
                <w:color w:val="212121"/>
                <w:sz w:val="16"/>
              </w:rPr>
              <w:t>Not pregnant</w:t>
            </w:r>
          </w:p>
        </w:tc>
        <w:tc>
          <w:tcPr>
            <w:tcW w:type="dxa" w:w="950"/>
            <w:vAlign w:val="top"/>
          </w:tcPr>
          <w:p>
            <w:pPr>
              <w:spacing w:after="40" w:before="0" w:line="259" w:lineRule="auto"/>
            </w:pPr>
            <w:r>
              <w:rPr>
                <w:rFonts w:ascii="Calibri" w:hAnsi="Calibri"/>
                <w:b w:val="0"/>
                <w:i w:val="0"/>
                <w:color w:val="212121"/>
                <w:sz w:val="16"/>
              </w:rPr>
              <w:t>Pregnant, especially third trimester</w:t>
            </w:r>
          </w:p>
        </w:tc>
        <w:tc>
          <w:tcPr>
            <w:tcW w:type="dxa" w:w="1036"/>
            <w:vAlign w:val="top"/>
          </w:tcPr>
          <w:p>
            <w:pPr>
              <w:spacing w:after="40" w:before="0" w:line="259" w:lineRule="auto"/>
            </w:pPr>
            <w:r>
              <w:rPr>
                <w:rFonts w:ascii="Calibri" w:hAnsi="Calibri"/>
                <w:b w:val="0"/>
                <w:i w:val="0"/>
                <w:color w:val="212121"/>
                <w:sz w:val="16"/>
              </w:rPr>
              <w:t>Identifies the highest-risk group for fulminant disease and adverse fetal outcomes</w:t>
            </w:r>
          </w:p>
        </w:tc>
        <w:tc>
          <w:tcPr>
            <w:tcW w:type="dxa" w:w="1036"/>
            <w:vAlign w:val="top"/>
          </w:tcPr>
          <w:p>
            <w:pPr>
              <w:spacing w:after="40" w:before="0" w:line="259" w:lineRule="auto"/>
            </w:pPr>
            <w:r>
              <w:rPr>
                <w:rFonts w:ascii="Calibri" w:hAnsi="Calibri"/>
                <w:b w:val="0"/>
                <w:i w:val="0"/>
                <w:color w:val="212121"/>
                <w:sz w:val="16"/>
              </w:rPr>
              <w:t>Women of reproductive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Alters monitoring and treatment; ribavirin is contraindicated in pregnancy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Immune status</w:t>
            </w:r>
          </w:p>
        </w:tc>
        <w:tc>
          <w:tcPr>
            <w:tcW w:type="dxa" w:w="979"/>
            <w:vAlign w:val="top"/>
          </w:tcPr>
          <w:p>
            <w:pPr>
              <w:spacing w:after="40" w:before="0" w:line="259" w:lineRule="auto"/>
            </w:pPr>
            <w:r>
              <w:rPr>
                <w:rFonts w:ascii="Calibri" w:hAnsi="Calibri"/>
                <w:b w:val="0"/>
                <w:i w:val="0"/>
                <w:color w:val="212121"/>
                <w:sz w:val="16"/>
              </w:rPr>
              <w:t>Immunosuppression, transplant, HIV</w:t>
            </w:r>
          </w:p>
        </w:tc>
        <w:tc>
          <w:tcPr>
            <w:tcW w:type="dxa" w:w="950"/>
            <w:vAlign w:val="top"/>
          </w:tcPr>
          <w:p>
            <w:pPr>
              <w:spacing w:after="40" w:before="0" w:line="259" w:lineRule="auto"/>
            </w:pPr>
            <w:r>
              <w:rPr>
                <w:rFonts w:ascii="Calibri" w:hAnsi="Calibri"/>
                <w:b w:val="0"/>
                <w:i w:val="0"/>
                <w:color w:val="212121"/>
                <w:sz w:val="16"/>
              </w:rPr>
              <w:t>Immunocompetent</w:t>
            </w:r>
          </w:p>
        </w:tc>
        <w:tc>
          <w:tcPr>
            <w:tcW w:type="dxa" w:w="950"/>
            <w:vAlign w:val="top"/>
          </w:tcPr>
          <w:p>
            <w:pPr>
              <w:spacing w:after="40" w:before="0" w:line="259" w:lineRule="auto"/>
            </w:pPr>
            <w:r>
              <w:rPr>
                <w:rFonts w:ascii="Calibri" w:hAnsi="Calibri"/>
                <w:b w:val="0"/>
                <w:i w:val="0"/>
                <w:color w:val="212121"/>
                <w:sz w:val="16"/>
              </w:rPr>
              <w:t>Transplant, immunosuppressive drugs or HIV</w:t>
            </w:r>
          </w:p>
        </w:tc>
        <w:tc>
          <w:tcPr>
            <w:tcW w:type="dxa" w:w="1036"/>
            <w:vAlign w:val="top"/>
          </w:tcPr>
          <w:p>
            <w:pPr>
              <w:spacing w:after="40" w:before="0" w:line="259" w:lineRule="auto"/>
            </w:pPr>
            <w:r>
              <w:rPr>
                <w:rFonts w:ascii="Calibri" w:hAnsi="Calibri"/>
                <w:b w:val="0"/>
                <w:i w:val="0"/>
                <w:color w:val="212121"/>
                <w:sz w:val="16"/>
              </w:rPr>
              <w:t>Identifies risk of chronic HEV and of unreliable serology</w:t>
            </w:r>
          </w:p>
        </w:tc>
        <w:tc>
          <w:tcPr>
            <w:tcW w:type="dxa" w:w="1036"/>
            <w:vAlign w:val="top"/>
          </w:tcPr>
          <w:p>
            <w:pPr>
              <w:spacing w:after="40" w:before="0" w:line="259" w:lineRule="auto"/>
            </w:pPr>
            <w:r>
              <w:rPr>
                <w:rFonts w:ascii="Calibri" w:hAnsi="Calibri"/>
                <w:b w:val="0"/>
                <w:i w:val="0"/>
                <w:color w:val="212121"/>
                <w:sz w:val="16"/>
              </w:rPr>
              <w:t>Transplant recipients, HIV, immunosuppressed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Test HEV RNA rather than relying on antibodies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Jaundice</w:t>
            </w:r>
          </w:p>
        </w:tc>
        <w:tc>
          <w:tcPr>
            <w:tcW w:type="dxa" w:w="979"/>
            <w:vAlign w:val="top"/>
          </w:tcPr>
          <w:p>
            <w:pPr>
              <w:spacing w:after="40" w:before="0" w:line="259" w:lineRule="auto"/>
            </w:pPr>
            <w:r>
              <w:rPr>
                <w:rFonts w:ascii="Calibri" w:hAnsi="Calibri"/>
                <w:b w:val="0"/>
                <w:i w:val="0"/>
                <w:color w:val="212121"/>
                <w:sz w:val="16"/>
              </w:rPr>
              <w:t>Scleral &amp; cutaneous icterus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Scleral icterus, skin and mucosal jaundice</w:t>
            </w:r>
          </w:p>
        </w:tc>
        <w:tc>
          <w:tcPr>
            <w:tcW w:type="dxa" w:w="1036"/>
            <w:vAlign w:val="top"/>
          </w:tcPr>
          <w:p>
            <w:pPr>
              <w:spacing w:after="40" w:before="0" w:line="259" w:lineRule="auto"/>
            </w:pPr>
            <w:r>
              <w:rPr>
                <w:rFonts w:ascii="Calibri" w:hAnsi="Calibri"/>
                <w:b w:val="0"/>
                <w:i w:val="0"/>
                <w:color w:val="212121"/>
                <w:sz w:val="16"/>
              </w:rPr>
              <w:t>Cardinal sign of hepatitis; present in about two-thirds of symptomatic cases</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Accompanied by dark urine and pale stools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Abdominal examination</w:t>
            </w:r>
          </w:p>
        </w:tc>
        <w:tc>
          <w:tcPr>
            <w:tcW w:type="dxa" w:w="950"/>
            <w:vAlign w:val="top"/>
          </w:tcPr>
          <w:p>
            <w:pPr>
              <w:spacing w:after="40" w:before="0" w:line="259" w:lineRule="auto"/>
            </w:pPr>
            <w:r>
              <w:rPr>
                <w:rFonts w:ascii="Calibri" w:hAnsi="Calibri"/>
                <w:b w:val="0"/>
                <w:i w:val="0"/>
                <w:color w:val="212121"/>
                <w:sz w:val="16"/>
              </w:rPr>
              <w:t>Hepatomegaly &amp; RUQ tenderness</w:t>
            </w:r>
          </w:p>
        </w:tc>
        <w:tc>
          <w:tcPr>
            <w:tcW w:type="dxa" w:w="979"/>
            <w:vAlign w:val="top"/>
          </w:tcPr>
          <w:p>
            <w:pPr>
              <w:spacing w:after="40" w:before="0" w:line="259" w:lineRule="auto"/>
            </w:pPr>
            <w:r>
              <w:rPr>
                <w:rFonts w:ascii="Calibri" w:hAnsi="Calibri"/>
                <w:b w:val="0"/>
                <w:i w:val="0"/>
                <w:color w:val="212121"/>
                <w:sz w:val="16"/>
              </w:rPr>
              <w:t>Abdominal palpation</w:t>
            </w:r>
          </w:p>
        </w:tc>
        <w:tc>
          <w:tcPr>
            <w:tcW w:type="dxa" w:w="950"/>
            <w:vAlign w:val="top"/>
          </w:tcPr>
          <w:p>
            <w:pPr>
              <w:spacing w:after="40" w:before="0" w:line="259" w:lineRule="auto"/>
            </w:pPr>
            <w:r>
              <w:rPr>
                <w:rFonts w:ascii="Calibri" w:hAnsi="Calibri"/>
                <w:b w:val="0"/>
                <w:i w:val="0"/>
                <w:color w:val="212121"/>
                <w:sz w:val="16"/>
              </w:rPr>
              <w:t>No hepatomegaly, non-tender</w:t>
            </w:r>
          </w:p>
        </w:tc>
        <w:tc>
          <w:tcPr>
            <w:tcW w:type="dxa" w:w="950"/>
            <w:vAlign w:val="top"/>
          </w:tcPr>
          <w:p>
            <w:pPr>
              <w:spacing w:after="40" w:before="0" w:line="259" w:lineRule="auto"/>
            </w:pPr>
            <w:r>
              <w:rPr>
                <w:rFonts w:ascii="Calibri" w:hAnsi="Calibri"/>
                <w:b w:val="0"/>
                <w:i w:val="0"/>
                <w:color w:val="212121"/>
                <w:sz w:val="16"/>
              </w:rPr>
              <w:t>Tender hepatomegaly</w:t>
            </w:r>
          </w:p>
        </w:tc>
        <w:tc>
          <w:tcPr>
            <w:tcW w:type="dxa" w:w="1036"/>
            <w:vAlign w:val="top"/>
          </w:tcPr>
          <w:p>
            <w:pPr>
              <w:spacing w:after="40" w:before="0" w:line="259" w:lineRule="auto"/>
            </w:pPr>
            <w:r>
              <w:rPr>
                <w:rFonts w:ascii="Calibri" w:hAnsi="Calibri"/>
                <w:b w:val="0"/>
                <w:i w:val="0"/>
                <w:color w:val="212121"/>
                <w:sz w:val="16"/>
              </w:rPr>
              <w:t>Reflects hepatic inflammation of acute hepatitis</w:t>
            </w:r>
          </w:p>
        </w:tc>
        <w:tc>
          <w:tcPr>
            <w:tcW w:type="dxa" w:w="1036"/>
            <w:vAlign w:val="top"/>
          </w:tcPr>
          <w:p>
            <w:pPr>
              <w:spacing w:after="40" w:before="0" w:line="259" w:lineRule="auto"/>
            </w:pPr>
            <w:r>
              <w:rPr>
                <w:rFonts w:ascii="Calibri" w:hAnsi="Calibri"/>
                <w:b w:val="0"/>
                <w:i w:val="0"/>
                <w:color w:val="212121"/>
                <w:sz w:val="16"/>
              </w:rPr>
              <w:t>Acute hepatitis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Mild splenomegaly occasionally present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examination</w:t>
            </w:r>
          </w:p>
        </w:tc>
        <w:tc>
          <w:tcPr>
            <w:tcW w:type="dxa" w:w="950"/>
            <w:vAlign w:val="top"/>
          </w:tcPr>
          <w:p>
            <w:pPr>
              <w:spacing w:after="40" w:before="0" w:line="259" w:lineRule="auto"/>
            </w:pPr>
            <w:r>
              <w:rPr>
                <w:rFonts w:ascii="Calibri" w:hAnsi="Calibri"/>
                <w:b w:val="0"/>
                <w:i w:val="0"/>
                <w:color w:val="212121"/>
                <w:sz w:val="16"/>
              </w:rPr>
              <w:t>Encephalopathy assessment</w:t>
            </w:r>
          </w:p>
        </w:tc>
        <w:tc>
          <w:tcPr>
            <w:tcW w:type="dxa" w:w="979"/>
            <w:vAlign w:val="top"/>
          </w:tcPr>
          <w:p>
            <w:pPr>
              <w:spacing w:after="40" w:before="0" w:line="259" w:lineRule="auto"/>
            </w:pPr>
            <w:r>
              <w:rPr>
                <w:rFonts w:ascii="Calibri" w:hAnsi="Calibri"/>
                <w:b w:val="0"/>
                <w:i w:val="0"/>
                <w:color w:val="212121"/>
                <w:sz w:val="16"/>
              </w:rPr>
              <w:t>Mental status &amp; asterixis</w:t>
            </w:r>
          </w:p>
        </w:tc>
        <w:tc>
          <w:tcPr>
            <w:tcW w:type="dxa" w:w="950"/>
            <w:vAlign w:val="top"/>
          </w:tcPr>
          <w:p>
            <w:pPr>
              <w:spacing w:after="40" w:before="0" w:line="259" w:lineRule="auto"/>
            </w:pPr>
            <w:r>
              <w:rPr>
                <w:rFonts w:ascii="Calibri" w:hAnsi="Calibri"/>
                <w:b w:val="0"/>
                <w:i w:val="0"/>
                <w:color w:val="212121"/>
                <w:sz w:val="16"/>
              </w:rPr>
              <w:t>Alert, no asterixis</w:t>
            </w:r>
          </w:p>
        </w:tc>
        <w:tc>
          <w:tcPr>
            <w:tcW w:type="dxa" w:w="950"/>
            <w:vAlign w:val="top"/>
          </w:tcPr>
          <w:p>
            <w:pPr>
              <w:spacing w:after="40" w:before="0" w:line="259" w:lineRule="auto"/>
            </w:pPr>
            <w:r>
              <w:rPr>
                <w:rFonts w:ascii="Calibri" w:hAnsi="Calibri"/>
                <w:b w:val="0"/>
                <w:i w:val="0"/>
                <w:color w:val="212121"/>
                <w:sz w:val="16"/>
              </w:rPr>
              <w:t>Confusion, drowsiness, asterixis</w:t>
            </w:r>
          </w:p>
        </w:tc>
        <w:tc>
          <w:tcPr>
            <w:tcW w:type="dxa" w:w="1036"/>
            <w:vAlign w:val="top"/>
          </w:tcPr>
          <w:p>
            <w:pPr>
              <w:spacing w:after="40" w:before="0" w:line="259" w:lineRule="auto"/>
            </w:pPr>
            <w:r>
              <w:rPr>
                <w:rFonts w:ascii="Calibri" w:hAnsi="Calibri"/>
                <w:b w:val="0"/>
                <w:i w:val="0"/>
                <w:color w:val="212121"/>
                <w:sz w:val="16"/>
              </w:rPr>
              <w:t>Hepatic encephalopathy signals acute liver failure — a medical emergency</w:t>
            </w:r>
          </w:p>
        </w:tc>
        <w:tc>
          <w:tcPr>
            <w:tcW w:type="dxa" w:w="1036"/>
            <w:vAlign w:val="top"/>
          </w:tcPr>
          <w:p>
            <w:pPr>
              <w:spacing w:after="40" w:before="0" w:line="259" w:lineRule="auto"/>
            </w:pPr>
            <w:r>
              <w:rPr>
                <w:rFonts w:ascii="Calibri" w:hAnsi="Calibri"/>
                <w:b w:val="0"/>
                <w:i w:val="0"/>
                <w:color w:val="212121"/>
                <w:sz w:val="16"/>
              </w:rPr>
              <w:t>Pregnant women, chronic liver disease, severe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 prognostic</w:t>
            </w:r>
          </w:p>
        </w:tc>
        <w:tc>
          <w:tcPr>
            <w:tcW w:type="dxa" w:w="720"/>
            <w:vAlign w:val="top"/>
          </w:tcPr>
          <w:p>
            <w:pPr>
              <w:spacing w:after="40" w:before="0" w:line="259" w:lineRule="auto"/>
            </w:pPr>
            <w:r>
              <w:rPr>
                <w:rFonts w:ascii="Calibri" w:hAnsi="Calibri"/>
                <w:b w:val="0"/>
                <w:i w:val="0"/>
                <w:color w:val="212121"/>
                <w:sz w:val="16"/>
              </w:rPr>
              <w:t>Encephalopathy with coagulopathy defines fulminant failure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Systemic examination</w:t>
            </w:r>
          </w:p>
        </w:tc>
        <w:tc>
          <w:tcPr>
            <w:tcW w:type="dxa" w:w="950"/>
            <w:vAlign w:val="top"/>
          </w:tcPr>
          <w:p>
            <w:pPr>
              <w:spacing w:after="40" w:before="0" w:line="259" w:lineRule="auto"/>
            </w:pPr>
            <w:r>
              <w:rPr>
                <w:rFonts w:ascii="Calibri" w:hAnsi="Calibri"/>
                <w:b w:val="0"/>
                <w:i w:val="0"/>
                <w:color w:val="212121"/>
                <w:sz w:val="16"/>
              </w:rPr>
              <w:t>Extrahepatic features</w:t>
            </w:r>
          </w:p>
        </w:tc>
        <w:tc>
          <w:tcPr>
            <w:tcW w:type="dxa" w:w="979"/>
            <w:vAlign w:val="top"/>
          </w:tcPr>
          <w:p>
            <w:pPr>
              <w:spacing w:after="40" w:before="0" w:line="259" w:lineRule="auto"/>
            </w:pPr>
            <w:r>
              <w:rPr>
                <w:rFonts w:ascii="Calibri" w:hAnsi="Calibri"/>
                <w:b w:val="0"/>
                <w:i w:val="0"/>
                <w:color w:val="212121"/>
                <w:sz w:val="16"/>
              </w:rPr>
              <w:t>Neurological &amp; renal screen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Limb weakness / Guillain-Barre syndrome, neuralgic amyotrophy, features of glomerulonephritis</w:t>
            </w:r>
          </w:p>
        </w:tc>
        <w:tc>
          <w:tcPr>
            <w:tcW w:type="dxa" w:w="1036"/>
            <w:vAlign w:val="top"/>
          </w:tcPr>
          <w:p>
            <w:pPr>
              <w:spacing w:after="40" w:before="0" w:line="259" w:lineRule="auto"/>
            </w:pPr>
            <w:r>
              <w:rPr>
                <w:rFonts w:ascii="Calibri" w:hAnsi="Calibri"/>
                <w:b w:val="0"/>
                <w:i w:val="0"/>
                <w:color w:val="212121"/>
                <w:sz w:val="16"/>
              </w:rPr>
              <w:t>Recognises extrahepatic manifestations of HEV</w:t>
            </w:r>
          </w:p>
        </w:tc>
        <w:tc>
          <w:tcPr>
            <w:tcW w:type="dxa" w:w="1036"/>
            <w:vAlign w:val="top"/>
          </w:tcPr>
          <w:p>
            <w:pPr>
              <w:spacing w:after="40" w:before="0" w:line="259" w:lineRule="auto"/>
            </w:pPr>
            <w:r>
              <w:rPr>
                <w:rFonts w:ascii="Calibri" w:hAnsi="Calibri"/>
                <w:b w:val="0"/>
                <w:i w:val="0"/>
                <w:color w:val="212121"/>
                <w:sz w:val="16"/>
              </w:rPr>
              <w:t>Atypical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Neurological involvement affects about 8% of patients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Yellowing of the skin and eyes; the most recognised feature, seen in about two-thirds of symptomatic cases.</w:t>
            </w:r>
          </w:p>
        </w:tc>
      </w:tr>
      <w:tr>
        <w:trPr>
          <w:cantSplit/>
        </w:trPr>
        <w:tc>
          <w:tcPr>
            <w:tcW w:type="dxa" w:w="2304"/>
            <w:vAlign w:val="top"/>
          </w:tcPr>
          <w:p>
            <w:pPr>
              <w:spacing w:after="40" w:before="0" w:line="259" w:lineRule="auto"/>
            </w:pPr>
            <w:r>
              <w:rPr>
                <w:rFonts w:ascii="Calibri" w:hAnsi="Calibri"/>
                <w:b/>
                <w:i w:val="0"/>
                <w:color w:val="212121"/>
                <w:sz w:val="19"/>
              </w:rPr>
              <w:t>Fatigue /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tiredness and general unwellness, often the earliest prodromal symptom.</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desire to eat during the prodromal and icteric phases.</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gastrointestinal prodrome that precedes the onset of jaundice.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low-grade, occurring in the pre-icteric prodrome.</w:t>
            </w:r>
          </w:p>
        </w:tc>
      </w:tr>
      <w:tr>
        <w:trPr>
          <w:cantSplit/>
        </w:trPr>
        <w:tc>
          <w:tcPr>
            <w:tcW w:type="dxa" w:w="2304"/>
            <w:vAlign w:val="top"/>
          </w:tcPr>
          <w:p>
            <w:pPr>
              <w:spacing w:after="40" w:before="0" w:line="259" w:lineRule="auto"/>
            </w:pPr>
            <w:r>
              <w:rPr>
                <w:rFonts w:ascii="Calibri" w:hAnsi="Calibri"/>
                <w:b/>
                <w:i w:val="0"/>
                <w:color w:val="212121"/>
                <w:sz w:val="19"/>
              </w:rPr>
              <w:t>Dark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Tea or cola-coloured urine from conjugated bilirubinuria.</w:t>
            </w:r>
          </w:p>
        </w:tc>
      </w:tr>
      <w:tr>
        <w:trPr>
          <w:cantSplit/>
        </w:trPr>
        <w:tc>
          <w:tcPr>
            <w:tcW w:type="dxa" w:w="2304"/>
            <w:vAlign w:val="top"/>
          </w:tcPr>
          <w:p>
            <w:pPr>
              <w:spacing w:after="40" w:before="0" w:line="259" w:lineRule="auto"/>
            </w:pPr>
            <w:r>
              <w:rPr>
                <w:rFonts w:ascii="Calibri" w:hAnsi="Calibri"/>
                <w:b/>
                <w:i w:val="0"/>
                <w:color w:val="212121"/>
                <w:sz w:val="19"/>
              </w:rPr>
              <w:t>Pale / clay-coloured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cholestasis and reduced bile pigment reaching the stool.</w:t>
            </w:r>
          </w:p>
        </w:tc>
      </w:tr>
      <w:tr>
        <w:trPr>
          <w:cantSplit/>
        </w:trPr>
        <w:tc>
          <w:tcPr>
            <w:tcW w:type="dxa" w:w="2304"/>
            <w:vAlign w:val="top"/>
          </w:tcPr>
          <w:p>
            <w:pPr>
              <w:spacing w:after="40" w:before="0" w:line="259" w:lineRule="auto"/>
            </w:pPr>
            <w:r>
              <w:rPr>
                <w:rFonts w:ascii="Calibri" w:hAnsi="Calibri"/>
                <w:b/>
                <w:i w:val="0"/>
                <w:color w:val="212121"/>
                <w:sz w:val="19"/>
              </w:rPr>
              <w:t>Abdominal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Right-upper-quadrant discomfort from hepatic inflammation.</w:t>
            </w:r>
          </w:p>
        </w:tc>
      </w:tr>
      <w:tr>
        <w:trPr>
          <w:cantSplit/>
        </w:trPr>
        <w:tc>
          <w:tcPr>
            <w:tcW w:type="dxa" w:w="2304"/>
            <w:vAlign w:val="top"/>
          </w:tcPr>
          <w:p>
            <w:pPr>
              <w:spacing w:after="40" w:before="0" w:line="259" w:lineRule="auto"/>
            </w:pPr>
            <w:r>
              <w:rPr>
                <w:rFonts w:ascii="Calibri" w:hAnsi="Calibri"/>
                <w:b/>
                <w:i w:val="0"/>
                <w:color w:val="212121"/>
                <w:sz w:val="19"/>
              </w:rPr>
              <w:t>Joint pain /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Arthralgia and muscle aches during the prodrome.</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cholestasis; prominent in prolonged cholestatic hepatitis E.</w:t>
            </w:r>
          </w:p>
        </w:tc>
      </w:tr>
      <w:tr>
        <w:trPr>
          <w:cantSplit/>
        </w:trPr>
        <w:tc>
          <w:tcPr>
            <w:tcW w:type="dxa" w:w="2304"/>
            <w:vAlign w:val="top"/>
          </w:tcPr>
          <w:p>
            <w:pPr>
              <w:spacing w:after="40" w:before="0" w:line="259" w:lineRule="auto"/>
            </w:pPr>
            <w:r>
              <w:rPr>
                <w:rFonts w:ascii="Calibri" w:hAnsi="Calibri"/>
                <w:b/>
                <w:i w:val="0"/>
                <w:color w:val="212121"/>
                <w:sz w:val="19"/>
              </w:rPr>
              <w:t>Asymptomatic / subclinical infection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infected people, especially children, have no symptoms and clear the virus silently.</w:t>
            </w:r>
          </w:p>
        </w:tc>
      </w:tr>
      <w:tr>
        <w:trPr>
          <w:cantSplit/>
        </w:trPr>
        <w:tc>
          <w:tcPr>
            <w:tcW w:type="dxa" w:w="2304"/>
            <w:vAlign w:val="top"/>
          </w:tcPr>
          <w:p>
            <w:pPr>
              <w:spacing w:after="40" w:before="0" w:line="259" w:lineRule="auto"/>
            </w:pPr>
            <w:r>
              <w:rPr>
                <w:rFonts w:ascii="Calibri" w:hAnsi="Calibri"/>
                <w:b/>
                <w:i w:val="0"/>
                <w:color w:val="212121"/>
                <w:sz w:val="19"/>
              </w:rPr>
              <w:t>Confusion / altered consciousness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Hepatic encephalopathy indicating acute liver failure; a medical emergency, particularly in pregnancy.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yellow discolouration of sclerae and skin from hyperbilirubinaemia.</w:t>
            </w:r>
          </w:p>
        </w:tc>
      </w:tr>
      <w:tr>
        <w:trPr>
          <w:cantSplit/>
        </w:trPr>
        <w:tc>
          <w:tcPr>
            <w:tcW w:type="dxa" w:w="3456"/>
            <w:vAlign w:val="top"/>
          </w:tcPr>
          <w:p>
            <w:pPr>
              <w:spacing w:after="40" w:before="0" w:line="259" w:lineRule="auto"/>
            </w:pPr>
            <w:r>
              <w:rPr>
                <w:rFonts w:ascii="Calibri" w:hAnsi="Calibri"/>
                <w:b/>
                <w:i w:val="0"/>
                <w:color w:val="212121"/>
                <w:sz w:val="19"/>
              </w:rPr>
              <w:t>Tender 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tender liver on palpation reflecting acute hepatitis.</w:t>
            </w:r>
          </w:p>
        </w:tc>
      </w:tr>
      <w:tr>
        <w:trPr>
          <w:cantSplit/>
        </w:trPr>
        <w:tc>
          <w:tcPr>
            <w:tcW w:type="dxa" w:w="3456"/>
            <w:vAlign w:val="top"/>
          </w:tcPr>
          <w:p>
            <w:pPr>
              <w:spacing w:after="40" w:before="0" w:line="259" w:lineRule="auto"/>
            </w:pPr>
            <w:r>
              <w:rPr>
                <w:rFonts w:ascii="Calibri" w:hAnsi="Calibri"/>
                <w:b/>
                <w:i w:val="0"/>
                <w:color w:val="212121"/>
                <w:sz w:val="19"/>
              </w:rPr>
              <w:t>Bilirubinuria (dark urine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Conjugated bilirubin detectable in urine; may precede clinical jaundice.</w:t>
            </w:r>
          </w:p>
        </w:tc>
      </w:tr>
      <w:tr>
        <w:trPr>
          <w:cantSplit/>
        </w:trPr>
        <w:tc>
          <w:tcPr>
            <w:tcW w:type="dxa" w:w="3456"/>
            <w:vAlign w:val="top"/>
          </w:tcPr>
          <w:p>
            <w:pPr>
              <w:spacing w:after="40" w:before="0" w:line="259" w:lineRule="auto"/>
            </w:pPr>
            <w:r>
              <w:rPr>
                <w:rFonts w:ascii="Calibri" w:hAnsi="Calibri"/>
                <w:b/>
                <w:i w:val="0"/>
                <w:color w:val="212121"/>
                <w:sz w:val="19"/>
              </w:rPr>
              <w:t>Right-upper-quadrant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Elicited on abdominal examination over the liver.</w:t>
            </w:r>
          </w:p>
        </w:tc>
      </w:tr>
      <w:tr>
        <w:trPr>
          <w:cantSplit/>
        </w:trPr>
        <w:tc>
          <w:tcPr>
            <w:tcW w:type="dxa" w:w="3456"/>
            <w:vAlign w:val="top"/>
          </w:tcPr>
          <w:p>
            <w:pPr>
              <w:spacing w:after="40" w:before="0" w:line="259" w:lineRule="auto"/>
            </w:pPr>
            <w:r>
              <w:rPr>
                <w:rFonts w:ascii="Calibri" w:hAnsi="Calibri"/>
                <w:b/>
                <w:i w:val="0"/>
                <w:color w:val="212121"/>
                <w:sz w:val="19"/>
              </w:rPr>
              <w:t>Excoriations from pruritus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Scratch marks seen in cholestatic disease.</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Occasionally palpable in acute viral hepatitis.</w:t>
            </w:r>
          </w:p>
        </w:tc>
      </w:tr>
      <w:tr>
        <w:trPr>
          <w:cantSplit/>
        </w:trPr>
        <w:tc>
          <w:tcPr>
            <w:tcW w:type="dxa" w:w="3456"/>
            <w:vAlign w:val="top"/>
          </w:tcPr>
          <w:p>
            <w:pPr>
              <w:spacing w:after="40" w:before="0" w:line="259" w:lineRule="auto"/>
            </w:pPr>
            <w:r>
              <w:rPr>
                <w:rFonts w:ascii="Calibri" w:hAnsi="Calibri"/>
                <w:b/>
                <w:i w:val="0"/>
                <w:color w:val="212121"/>
                <w:sz w:val="19"/>
              </w:rPr>
              <w:t>Asterixis / altered sensorium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Flapping tremor and encephalopathy signalling acute liver failure.</w:t>
            </w:r>
          </w:p>
        </w:tc>
      </w:tr>
      <w:tr>
        <w:trPr>
          <w:cantSplit/>
        </w:trPr>
        <w:tc>
          <w:tcPr>
            <w:tcW w:type="dxa" w:w="3456"/>
            <w:vAlign w:val="top"/>
          </w:tcPr>
          <w:p>
            <w:pPr>
              <w:spacing w:after="40" w:before="0" w:line="259" w:lineRule="auto"/>
            </w:pPr>
            <w:r>
              <w:rPr>
                <w:rFonts w:ascii="Calibri" w:hAnsi="Calibri"/>
                <w:b/>
                <w:i w:val="0"/>
                <w:color w:val="212121"/>
                <w:sz w:val="19"/>
              </w:rPr>
              <w:t>Coagulopathy — bruising / bleeding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Ecchymoses and mucosal bleeding from impaired hepatic clotting-factor synthesis in fulminant disease.</w:t>
            </w:r>
          </w:p>
        </w:tc>
      </w:tr>
      <w:tr>
        <w:trPr>
          <w:cantSplit/>
        </w:trPr>
        <w:tc>
          <w:tcPr>
            <w:tcW w:type="dxa" w:w="3456"/>
            <w:vAlign w:val="top"/>
          </w:tcPr>
          <w:p>
            <w:pPr>
              <w:spacing w:after="40" w:before="0" w:line="259" w:lineRule="auto"/>
            </w:pPr>
            <w:r>
              <w:rPr>
                <w:rFonts w:ascii="Calibri" w:hAnsi="Calibri"/>
                <w:b/>
                <w:i w:val="0"/>
                <w:color w:val="212121"/>
                <w:sz w:val="19"/>
              </w:rPr>
              <w:t>Ascites &amp; peripheral 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when HEV precipitates acute-on-chronic liver failure or decompensation.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icteric hepatitis (self-limiting in most immunocompetent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cholestatic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liver failure / fulminant hepatic failure</w:t>
            </w:r>
          </w:p>
        </w:tc>
        <w:tc>
          <w:tcPr>
            <w:tcW w:type="dxa" w:w="2980"/>
            <w:vAlign w:val="top"/>
          </w:tcPr>
          <w:p>
            <w:pPr>
              <w:spacing w:after="40" w:before="0" w:line="259" w:lineRule="auto"/>
            </w:pPr>
            <w:r>
              <w:rPr>
                <w:rFonts w:ascii="Calibri" w:hAnsi="Calibri"/>
                <w:b w:val="0"/>
                <w:i w:val="0"/>
                <w:color w:val="212121"/>
                <w:sz w:val="19"/>
              </w:rPr>
              <w:t>Direct consequences of acute hepatocellular injury and cholestasis.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fulminant hepatic failure, obstetric haemorrhage, eclampsia, membrane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Fetal / neonatal: miscarriage, preterm birth, stillbirth, vertical (mother-to-child)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Acute-on-chronic liver failure in pre-existing chronic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Extrahepatic neurological disease (Guillain-Barre syndrome, neuralgic amyotrophy, encephalitis, transverse 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Extrahepatic renal disease (membranoproliferative / membranous glomerulonephritis, cryoglobulinaemia)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Extrahepatic haematological disease (thrombocytopenia, aplastic anaemia) and acute pancreatitis</w:t>
            </w:r>
          </w:p>
        </w:tc>
        <w:tc>
          <w:tcPr>
            <w:tcW w:type="dxa" w:w="2980"/>
            <w:vAlign w:val="top"/>
          </w:tcPr>
          <w:p>
            <w:pPr>
              <w:spacing w:after="40" w:before="0" w:line="259" w:lineRule="auto"/>
            </w:pPr>
            <w:r>
              <w:rPr>
                <w:rFonts w:ascii="Calibri" w:hAnsi="Calibri"/>
                <w:b w:val="0"/>
                <w:i w:val="0"/>
                <w:color w:val="212121"/>
                <w:sz w:val="19"/>
              </w:rPr>
              <w:t>Result from severe host response, pregnancy-specific physiology, decompensation of chronic liver disease, and immune-mediated extrahepatic injury.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hepatitis E progressing to fibrosis and cirrhosis in immunosuppressed / transplant / HIV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Fetal / neonatal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liver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Residual neurological disability</w:t>
            </w:r>
          </w:p>
        </w:tc>
        <w:tc>
          <w:tcPr>
            <w:tcW w:type="dxa" w:w="2980"/>
            <w:vAlign w:val="top"/>
          </w:tcPr>
          <w:p>
            <w:pPr>
              <w:spacing w:after="40" w:before="0" w:line="259" w:lineRule="auto"/>
            </w:pPr>
            <w:r>
              <w:rPr>
                <w:rFonts w:ascii="Calibri" w:hAnsi="Calibri"/>
                <w:b w:val="0"/>
                <w:i w:val="0"/>
                <w:color w:val="212121"/>
                <w:sz w:val="19"/>
              </w:rPr>
              <w:t>Irreversible, disabling or fatal outcomes of chronic infection and of fulminant or acute-on-chronic liver failure.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Pregnancy (third trimester)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Pregnancy, especially the third trimester, converts usually self-limiting HEV into fulminant disease with high maternal and fetal mortality; management is altered (ribavirin contraindicated) and close obstetric-hepatology co-care is required.</w:t>
            </w:r>
          </w:p>
          <w:p>
            <w:pPr>
              <w:spacing w:after="40" w:before="0" w:line="259" w:lineRule="auto"/>
            </w:pPr>
            <w:r>
              <w:rPr>
                <w:rFonts w:ascii="Calibri" w:hAnsi="Calibri"/>
                <w:b/>
                <w:i w:val="0"/>
                <w:color w:val="212121"/>
                <w:sz w:val="19"/>
              </w:rPr>
              <w:t>Maternal mortality up to 20-25%</w:t>
            </w:r>
          </w:p>
        </w:tc>
      </w:tr>
      <w:tr>
        <w:trPr>
          <w:cantSplit/>
        </w:trPr>
        <w:tc>
          <w:tcPr>
            <w:tcW w:type="dxa" w:w="2232"/>
            <w:vAlign w:val="top"/>
          </w:tcPr>
          <w:p>
            <w:pPr>
              <w:spacing w:after="40" w:before="0" w:line="259" w:lineRule="auto"/>
            </w:pPr>
            <w:r>
              <w:rPr>
                <w:rFonts w:ascii="Calibri" w:hAnsi="Calibri"/>
                <w:b/>
                <w:i w:val="0"/>
                <w:color w:val="212121"/>
                <w:sz w:val="19"/>
              </w:rPr>
              <w:t>Acute liver failure (fulminant hepatic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HEV is a leading cause of acute liver failure in endemic India; it presents with coagulopathy and encephalopathy and may require transplantation.</w:t>
            </w:r>
          </w:p>
        </w:tc>
      </w:tr>
      <w:tr>
        <w:trPr>
          <w:cantSplit/>
        </w:trPr>
        <w:tc>
          <w:tcPr>
            <w:tcW w:type="dxa" w:w="2232"/>
            <w:vAlign w:val="top"/>
          </w:tcPr>
          <w:p>
            <w:pPr>
              <w:spacing w:after="40" w:before="0" w:line="259" w:lineRule="auto"/>
            </w:pPr>
            <w:r>
              <w:rPr>
                <w:rFonts w:ascii="Calibri" w:hAnsi="Calibri"/>
                <w:b/>
                <w:i w:val="0"/>
                <w:color w:val="212121"/>
                <w:sz w:val="19"/>
              </w:rPr>
              <w:t>Chronic liver disease / cirrhosis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Superimposed acute HEV precipitates acute-on-chronic liver failure; pre-existing chronic liver disease sharply increases mortality.</w:t>
            </w:r>
          </w:p>
          <w:p>
            <w:pPr>
              <w:spacing w:after="40" w:before="0" w:line="259" w:lineRule="auto"/>
            </w:pPr>
            <w:r>
              <w:rPr>
                <w:rFonts w:ascii="Calibri" w:hAnsi="Calibri"/>
                <w:b/>
                <w:i w:val="0"/>
                <w:color w:val="212121"/>
                <w:sz w:val="19"/>
              </w:rPr>
              <w:t>Mortality up to 70% with pre-existing CLD</w:t>
            </w:r>
          </w:p>
        </w:tc>
      </w:tr>
      <w:tr>
        <w:trPr>
          <w:cantSplit/>
        </w:trPr>
        <w:tc>
          <w:tcPr>
            <w:tcW w:type="dxa" w:w="2232"/>
            <w:vAlign w:val="top"/>
          </w:tcPr>
          <w:p>
            <w:pPr>
              <w:spacing w:after="40" w:before="0" w:line="259" w:lineRule="auto"/>
            </w:pPr>
            <w:r>
              <w:rPr>
                <w:rFonts w:ascii="Calibri" w:hAnsi="Calibri"/>
                <w:b/>
                <w:i w:val="0"/>
                <w:color w:val="212121"/>
                <w:sz w:val="19"/>
              </w:rPr>
              <w:t>Solid-organ transplantation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 immunosuppression genotype 3 HEV can persist as chronic infection and progress to cirrhosis within a few years; needs HEV RNA testing and reduction of immunosuppression or ribavirin.</w:t>
            </w:r>
          </w:p>
        </w:tc>
      </w:tr>
      <w:tr>
        <w:trPr>
          <w:cantSplit/>
        </w:trPr>
        <w:tc>
          <w:tcPr>
            <w:tcW w:type="dxa" w:w="2232"/>
            <w:vAlign w:val="top"/>
          </w:tcPr>
          <w:p>
            <w:pPr>
              <w:spacing w:after="40" w:before="0" w:line="259" w:lineRule="auto"/>
            </w:pPr>
            <w:r>
              <w:rPr>
                <w:rFonts w:ascii="Calibri" w:hAnsi="Calibri"/>
                <w:b/>
                <w:i w:val="0"/>
                <w:color w:val="212121"/>
                <w:sz w:val="19"/>
              </w:rPr>
              <w:t>HIV / immunodeficiency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Advanced immunodeficiency permits chronic HEV infection and delayed viral clearance.</w:t>
            </w:r>
          </w:p>
        </w:tc>
      </w:tr>
      <w:tr>
        <w:trPr>
          <w:cantSplit/>
        </w:trPr>
        <w:tc>
          <w:tcPr>
            <w:tcW w:type="dxa" w:w="2232"/>
            <w:vAlign w:val="top"/>
          </w:tcPr>
          <w:p>
            <w:pPr>
              <w:spacing w:after="40" w:before="0" w:line="259" w:lineRule="auto"/>
            </w:pPr>
            <w:r>
              <w:rPr>
                <w:rFonts w:ascii="Calibri" w:hAnsi="Calibri"/>
                <w:b/>
                <w:i w:val="0"/>
                <w:color w:val="212121"/>
                <w:sz w:val="19"/>
              </w:rPr>
              <w:t>Guillain-Barre syndrome &amp; other neurological disorders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HEV is an increasingly recognised trigger of Guillain-Barre syndrome, neuralgic amyotrophy and encephalitis through immune-mediated mechanisms.</w:t>
            </w:r>
          </w:p>
          <w:p>
            <w:pPr>
              <w:spacing w:after="40" w:before="0" w:line="259" w:lineRule="auto"/>
            </w:pPr>
            <w:r>
              <w:rPr>
                <w:rFonts w:ascii="Calibri" w:hAnsi="Calibri"/>
                <w:b/>
                <w:i w:val="0"/>
                <w:color w:val="212121"/>
                <w:sz w:val="19"/>
              </w:rPr>
              <w:t>Neurological involvement ~8%</w:t>
            </w:r>
          </w:p>
        </w:tc>
      </w:tr>
      <w:tr>
        <w:trPr>
          <w:cantSplit/>
        </w:trPr>
        <w:tc>
          <w:tcPr>
            <w:tcW w:type="dxa" w:w="2232"/>
            <w:vAlign w:val="top"/>
          </w:tcPr>
          <w:p>
            <w:pPr>
              <w:spacing w:after="40" w:before="0" w:line="259" w:lineRule="auto"/>
            </w:pPr>
            <w:r>
              <w:rPr>
                <w:rFonts w:ascii="Calibri" w:hAnsi="Calibri"/>
                <w:b/>
                <w:i w:val="0"/>
                <w:color w:val="212121"/>
                <w:sz w:val="19"/>
              </w:rPr>
              <w:t>Glomerulonephritis (membranoproliferative / membranous)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Immune-complex-mediated renal injury can complicate HEV, especially chronic infection.</w:t>
            </w:r>
          </w:p>
        </w:tc>
      </w:tr>
      <w:tr>
        <w:trPr>
          <w:cantSplit/>
        </w:trPr>
        <w:tc>
          <w:tcPr>
            <w:tcW w:type="dxa" w:w="2232"/>
            <w:vAlign w:val="top"/>
          </w:tcPr>
          <w:p>
            <w:pPr>
              <w:spacing w:after="40" w:before="0" w:line="259" w:lineRule="auto"/>
            </w:pPr>
            <w:r>
              <w:rPr>
                <w:rFonts w:ascii="Calibri" w:hAnsi="Calibri"/>
                <w:b/>
                <w:i w:val="0"/>
                <w:color w:val="212121"/>
                <w:sz w:val="19"/>
              </w:rPr>
              <w:t>Hepatitis A (co-endemic faecal-oral hepatitis)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faecal-oral transmission and endemic settings with HEV; co-infection or sequential infection worsens hepatitis and complicates the differential diagnosis.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water that has been boiled, filtered or adequately chlorinated, particularly during the monsoon and in outbreak-prone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(yellow eyes/skin, dark urine, marked fatigue, nausea, poor appetite) and seek testing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pregnant women — especially in the third trimester — face the highest risk of severe, life-threatening disease and must seek urgent care for any jaundice.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strict handwashing with soap after using the toilet and before preparing or 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endemic areas, including much of India, should avoid untreated water and ice and avoid raw or undercooked meat and shellfish.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Contacts in an outbreak</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icteric phase and avoid strenuous exertion until symptoms settle and liver enzymes improve.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gradually as fatigue and transaminases normalise.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contact sports and heavy lifting while significant hepatomegaly or coagulopathy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pork, wild boar, deer and other game meat and offal thoroughly (well done, adequate core temperature) before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shellfish and seafood thoroughly and avoid raw or lightly cooked shellfish.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street food, salads, unpeeled fruit and ice prepared with water of uncertain quality in endemic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utensils and produce with safe water during food preparation.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Meat and seafood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balanced, easily digestible diet with adequate calories during recovery; extreme fat restriction is unnecessary.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manage nausea with small, frequent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hepatotoxic supplements and unregulated herbal remedies during the acute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and sleep, which support recovery from the fatigue of acute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routine during convalescence.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stop smoking to protect overall and long-term liver health, particularly where chronic liver disease coexists.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completely from alcohol during acute hepatitis E and throughout recovery to avoid additional liver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pre-existing liver disease should remain abstinent to reduce the risk of acute-on-chronic liver failure.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most immunocompetent patients that hepatitis E is self-limiting and usually resolves within a few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to pregnant patients and those with severe or chronic disease, who face higher anxiety and uncertainty.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hepatitis 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 chronic HEV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hepatitis-e" TargetMode="External"/><Relationship Id="rId10" Type="http://schemas.openxmlformats.org/officeDocument/2006/relationships/hyperlink" Target="https://www.ncbi.nlm.nih.gov/books/NBK532278/" TargetMode="External"/><Relationship Id="rId11" Type="http://schemas.openxmlformats.org/officeDocument/2006/relationships/hyperlink" Target="https://wwwnc.cdc.gov/travel/yellowbook/2024/infections-diseases/hepatitis-e" TargetMode="External"/><Relationship Id="rId12" Type="http://schemas.openxmlformats.org/officeDocument/2006/relationships/hyperlink" Target="https://www.who.int/india/health-topics/hepatitis" TargetMode="External"/><Relationship Id="rId13" Type="http://schemas.openxmlformats.org/officeDocument/2006/relationships/hyperlink" Target="https://www.cdc.gov/hepatitis-e/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