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Cholecystitis</w:t>
      </w:r>
    </w:p>
    <w:p>
      <w:pPr>
        <w:spacing w:before="0" w:after="160"/>
      </w:pPr>
      <w:r>
        <w:rPr>
          <w:rFonts w:ascii="Calibri" w:hAnsi="Calibri"/>
          <w:b/>
          <w:i w:val="0"/>
          <w:color w:val="212121"/>
          <w:sz w:val="22"/>
        </w:rPr>
        <w:t xml:space="preserve">AKA </w:t>
      </w:r>
      <w:r>
        <w:rPr>
          <w:rFonts w:ascii="Calibri" w:hAnsi="Calibri"/>
          <w:b w:val="0"/>
          <w:i w:val="0"/>
          <w:color w:val="212121"/>
          <w:sz w:val="22"/>
        </w:rPr>
        <w:t>i.e., Gallbladder inflammation, Gallbladder attack; encompassing Acute (calculous) cholecystitis, Chronic cholecystitis and Acalculous cholecystitis. Closely related to cholelithiasis (gallstones) and biliary colic.</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Cholecystitis is inflammation of the gallbladder. It is most commonly caused by obstruction of the cystic duct by a gallstone (calculous cholecystitis), which produces bile stasis, gallbladder distension, mucosal injury and secondary bacterial infection. Around 90–95% of cases are stone-related; the remainder are acalculous, arising from gallbladder ischaemia in critically ill patients. It presents acutely with sustained right-upper-quadrant (RUQ) pain, fever and a positive Murphy's sign, or as a chronic, recurrent form from repeated low-grade attacks that scar and thicken the gallbladder wall.</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Gallstone disease — the principal cause of cholecystitis — is common in India and shows a striking north–south gradient. It is far more prevalent in North India, especially the Gangetic belt (Uttar Pradesh, Bihar, West Bengal and Delhi), than in the south, where rates are among the country's lowest. Population studies in the rural Gangetic basin have reported gallbladder-stone prevalence of roughly 6% in adults, with women affected about two to three times more often than men. This heavy chronic gallstone and chronic-inflammation burden underlies India's exceptionally high gallbladder-cancer incidence — among the highest in the world, with the northern plains and Assam being global hotspots — making timely recognition and management of cholecystitis an important preventive priority.</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Acute cholecystitis is diagnosed using the Tokyo Guidelines (TG18) framework, which combines local signs of gallbladder inflammation, systemic inflammatory signs and confirmatory imaging: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Local signs of inflammation — (1) Murphy's sign; (2) right-upper-quadrant mass, pain or tenderness.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 Systemic signs of inflammation — (1) fever; (2) elevated C-reactive protein (CRP); (3) elevated white-cell count.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 Imaging findings characteristic of acute cholecystitis — gallbladder wall thickening (&gt; 3 mm), distension, pericholecystic fluid, sonographic Murphy's sign, or an impacted stone on ultrasound, CT or MRI.</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Suspected diagnosis = one item in A + one item in B; Definite diagnosis = one item in A + one in B, confirmed by C.</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Abdominal ultrasound is the first-line investigation; HIDA cholescintigraphy (non-visualisation of the gallbladder) is the most sensitive confirmatory test when ultrasound is equivocal.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TG18 severity grading — Grade I (mild), Grade II (moderate: marked local inflammation), Grade III (severe: associated organ/system dysfunction) — guides the timing and type of intervention.</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Cholecystitis is classified by chronicity, the presence of stones and severity:</w:t>
      </w:r>
    </w:p>
    <w:p>
      <w:pPr>
        <w:spacing w:before="0" w:after="80"/>
      </w:pPr>
      <w:r>
        <w:rPr>
          <w:rFonts w:ascii="Calibri" w:hAnsi="Calibri"/>
          <w:b w:val="0"/>
          <w:i w:val="0"/>
          <w:color w:val="212121"/>
          <w:sz w:val="21"/>
        </w:rPr>
        <w:t>(1) Acute calculous cholecystitis — inflammation from cystic-duct obstruction by a gallstone; the commonest form (~90–95% of cases), presenting with sustained RUQ pain, fever and a positive Murphy's sign.</w:t>
      </w:r>
    </w:p>
    <w:p>
      <w:pPr>
        <w:spacing w:before="0" w:after="80"/>
      </w:pPr>
      <w:r>
        <w:rPr>
          <w:rFonts w:ascii="Calibri" w:hAnsi="Calibri"/>
          <w:b w:val="0"/>
          <w:i w:val="0"/>
          <w:color w:val="212121"/>
          <w:sz w:val="21"/>
        </w:rPr>
        <w:t>(2) Chronic cholecystitis — repeated low-grade attacks producing a fibrotic, thick-walled, poorly functioning gallbladder (sometimes a calcified 'porcelain' gallbladder); almost always stone-related and an important precursor of gallbladder carcinoma in high-incidence Indian populations.</w:t>
      </w:r>
    </w:p>
    <w:p>
      <w:pPr>
        <w:spacing w:before="0" w:after="80"/>
      </w:pPr>
      <w:r>
        <w:rPr>
          <w:rFonts w:ascii="Calibri" w:hAnsi="Calibri"/>
          <w:b w:val="0"/>
          <w:i w:val="0"/>
          <w:color w:val="212121"/>
          <w:sz w:val="21"/>
        </w:rPr>
        <w:t>(3) Acalculous cholecystitis — inflammation without stones (~5–10% of cases), typically in critically ill, ICU, post-operative, trauma, burns or prolonged-fasting/TPN patients; driven by gallbladder ischaemia and stasis and carrying higher morbidity and mortality.</w:t>
      </w:r>
    </w:p>
    <w:p>
      <w:pPr>
        <w:spacing w:before="0" w:after="80"/>
      </w:pPr>
      <w:r>
        <w:rPr>
          <w:rFonts w:ascii="Calibri" w:hAnsi="Calibri"/>
          <w:b w:val="0"/>
          <w:i w:val="0"/>
          <w:color w:val="212121"/>
          <w:sz w:val="21"/>
        </w:rPr>
        <w:t>(4) Complicated / severe forms — gangrenous cholecystitis, emphysematous (gas-forming) cholecystitis (classically in diabetics), gallbladder empyema and perforation; these correspond to higher TG18 grades and demand urgent surgical or drainage intervention.</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Gallstones (cholelithiasis): Cystic-duct obstruction by a stone causes ~90–95% of cases, producing bile stasis, distension, mucosal injury and secondary infection. Cholesterol stones account for most.</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Cholesterol supersaturation of bile: Excess biliary cholesterol relative to bile salts and lecithin (from obesity, high-fat/refined-carbohydrate diet and oestrogen exposure) promotes cholesterol-stone formation.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Bile stasis / impaired gallbladder emptying: Prolonged fasting, total parenteral nutrition, rapid weight loss, pregnancy and somatostatin analogues reduce gallbladder contraction and concentrate bile.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Gallbladder ischaemia (acalculous): In critically ill patients, low-flow states, sepsis, major trauma and burns cause mucosal ischaemia and inflammation without stones.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Bacterial infection: Secondary infection with enteric organisms (E. coli, Klebsiella, Enterococcus) amplifies inflammation; chronic Salmonella typhi carriage is an India-relevant driver of chronic gallbladder disease and gallbladder cancer.</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Haemolysis and pigment stones: Chronic haemolytic states (sickle cell disease, thalassaemia), cirrhosis and biliary infection raise unconjugated bilirubin and form pigment stones.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Metabolic factors: Diabetes, metabolic syndrome and dyslipidaemia promote lithogenic bile and gallbladder dysmotility, increasing both stone formation and complicated disease.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(30s–40s onward)</w:t>
            </w:r>
          </w:p>
        </w:tc>
        <w:tc>
          <w:tcPr>
            <w:tcW w:type="dxa" w:w="4276"/>
            <w:vAlign w:val="top"/>
          </w:tcPr>
          <w:p>
            <w:pPr>
              <w:spacing w:after="60" w:line="259" w:lineRule="auto"/>
            </w:pPr>
            <w:r>
              <w:rPr>
                <w:rFonts w:ascii="Calibri" w:hAnsi="Calibri"/>
                <w:b w:val="0"/>
                <w:i w:val="0"/>
                <w:color w:val="212121"/>
                <w:sz w:val="19"/>
              </w:rPr>
              <w:t>Risk climbs from the fourth decade — the 'forty' of the classic 5-F profile — as bile becomes progressively supersaturated with cholesterol and gallbladder motility declines with cumulative metabolic exposure.</w:t>
            </w:r>
          </w:p>
          <w:p>
            <w:pPr>
              <w:spacing w:after="40" w:before="60" w:line="259" w:lineRule="auto"/>
            </w:pPr>
            <w:r>
              <w:rPr>
                <w:rFonts w:ascii="Calibri" w:hAnsi="Calibri"/>
                <w:b w:val="0"/>
                <w:i w:val="0"/>
                <w:color w:val="212121"/>
                <w:sz w:val="19"/>
              </w:rPr>
              <w:t>Age over 40 is a well-recognised risk factor for gallstones and cholecystitis; most symptomatic gallstone disease presents from middle age onward.</w:t>
            </w:r>
          </w:p>
          <w:p>
            <w:pPr>
              <w:spacing w:after="40" w:line="252" w:lineRule="auto"/>
            </w:pPr>
            <w:hyperlink r:id="rId9">
              <w:r>
                <w:rPr>
                  <w:rFonts w:ascii="Calibri" w:hAnsi="Calibri" w:cs="Calibri"/>
                  <w:sz w:val="18"/>
                  <w:color w:val="1155CC"/>
                  <w:u w:val="single"/>
                </w:rPr>
                <w:t xml:space="preserve">ncbi.nlm.nih.gov — StatPearls: Acute Cholecystitis</w:t>
              </w:r>
            </w:hyperlink>
          </w:p>
          <w:p>
            <w:pPr>
              <w:spacing w:before="60" w:after="40"/>
            </w:pPr>
            <w:r>
              <w:rPr>
                <w:rFonts w:ascii="Calibri" w:hAnsi="Calibri"/>
                <w:b w:val="0"/>
                <w:i w:val="0"/>
                <w:color w:val="5A5A5A"/>
                <w:sz w:val="18"/>
              </w:rPr>
              <w:t>#gallstones  #5Fs  #forty  #cholesterolstones  #biliarycolic</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(50–69 and older)</w:t>
            </w:r>
          </w:p>
        </w:tc>
        <w:tc>
          <w:tcPr>
            <w:tcW w:type="dxa" w:w="4276"/>
            <w:vAlign w:val="top"/>
          </w:tcPr>
          <w:p>
            <w:pPr>
              <w:spacing w:after="60" w:line="259" w:lineRule="auto"/>
            </w:pPr>
            <w:r>
              <w:rPr>
                <w:rFonts w:ascii="Calibri" w:hAnsi="Calibri"/>
                <w:b w:val="0"/>
                <w:i w:val="0"/>
                <w:color w:val="212121"/>
                <w:sz w:val="19"/>
              </w:rPr>
              <w:t>Highest incidence occurs at 50–69 years. Older adults present atypically (less pain and fever), decompensate faster, and carry disproportionate rates of acalculous, gangrenous, emphysematous and perforated disease.</w:t>
            </w:r>
          </w:p>
          <w:p>
            <w:pPr>
              <w:spacing w:after="40" w:before="60" w:line="259" w:lineRule="auto"/>
            </w:pPr>
            <w:r>
              <w:rPr>
                <w:rFonts w:ascii="Calibri" w:hAnsi="Calibri"/>
                <w:b w:val="0"/>
                <w:i w:val="0"/>
                <w:color w:val="212121"/>
                <w:sz w:val="19"/>
              </w:rPr>
              <w:t>Cholecystitis occurs most frequently between ages 50 and 69, and the elderly have higher rates of gangrene and perforation.</w:t>
            </w:r>
          </w:p>
          <w:p>
            <w:pPr>
              <w:spacing w:after="40" w:line="252" w:lineRule="auto"/>
            </w:pPr>
            <w:hyperlink r:id="rId10">
              <w:r>
                <w:rPr>
                  <w:rFonts w:ascii="Calibri" w:hAnsi="Calibri" w:cs="Calibri"/>
                  <w:sz w:val="18"/>
                  <w:color w:val="1155CC"/>
                  <w:u w:val="single"/>
                </w:rPr>
                <w:t xml:space="preserve">en.wikipedia.org — Cholecystitis</w:t>
              </w:r>
            </w:hyperlink>
          </w:p>
          <w:p>
            <w:pPr>
              <w:spacing w:before="60" w:after="40"/>
            </w:pPr>
            <w:r>
              <w:rPr>
                <w:rFonts w:ascii="Calibri" w:hAnsi="Calibri"/>
                <w:b w:val="0"/>
                <w:i w:val="0"/>
                <w:color w:val="5A5A5A"/>
                <w:sz w:val="18"/>
              </w:rPr>
              <w:t>#elderly  #atypical  #gangrene  #acalculous  #highrisk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Oestrogen increases biliary cholesterol secretion while progesterone slows gallbladder emptying, so women — the 'female' of the 5 Fs — form stones roughly 2–3 times more often than men. Pregnancy and oral contraceptives add further risk.</w:t>
            </w:r>
          </w:p>
          <w:p>
            <w:pPr>
              <w:spacing w:after="40" w:before="60" w:line="259" w:lineRule="auto"/>
            </w:pPr>
            <w:r>
              <w:rPr>
                <w:rFonts w:ascii="Calibri" w:hAnsi="Calibri"/>
                <w:b w:val="0"/>
                <w:i w:val="0"/>
                <w:color w:val="212121"/>
                <w:sz w:val="19"/>
              </w:rPr>
              <w:t>In the US around 9% of women versus 6% of men have gallstones; female predominance is consistent across populations including India.</w:t>
            </w:r>
          </w:p>
          <w:p>
            <w:pPr>
              <w:spacing w:after="40" w:line="252" w:lineRule="auto"/>
            </w:pPr>
            <w:hyperlink r:id="rId11">
              <w:r>
                <w:rPr>
                  <w:rFonts w:ascii="Calibri" w:hAnsi="Calibri" w:cs="Calibri"/>
                  <w:sz w:val="18"/>
                  <w:color w:val="1155CC"/>
                  <w:u w:val="single"/>
                </w:rPr>
                <w:t xml:space="preserve">ncbi.nlm.nih.gov — StatPearls: Cholelithiasis</w:t>
              </w:r>
            </w:hyperlink>
          </w:p>
          <w:p>
            <w:pPr>
              <w:spacing w:before="60" w:after="40"/>
            </w:pPr>
            <w:r>
              <w:rPr>
                <w:rFonts w:ascii="Calibri" w:hAnsi="Calibri"/>
                <w:b w:val="0"/>
                <w:i w:val="0"/>
                <w:color w:val="5A5A5A"/>
                <w:sz w:val="18"/>
              </w:rPr>
              <w:t>#female  #oestrogen  #pregnancy  #multiparity  #OCP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Reproductive / hormonal status</w:t>
            </w:r>
          </w:p>
        </w:tc>
        <w:tc>
          <w:tcPr>
            <w:tcW w:type="dxa" w:w="2160"/>
            <w:vAlign w:val="top"/>
          </w:tcPr>
          <w:p>
            <w:pPr>
              <w:spacing w:after="40" w:before="0" w:line="259" w:lineRule="auto"/>
            </w:pPr>
            <w:r>
              <w:rPr>
                <w:rFonts w:ascii="Calibri" w:hAnsi="Calibri"/>
                <w:b w:val="0"/>
                <w:i w:val="0"/>
                <w:color w:val="212121"/>
                <w:sz w:val="19"/>
              </w:rPr>
              <w:t>Pregnant &amp; multiparous women</w:t>
            </w:r>
          </w:p>
        </w:tc>
        <w:tc>
          <w:tcPr>
            <w:tcW w:type="dxa" w:w="4276"/>
            <w:vAlign w:val="top"/>
          </w:tcPr>
          <w:p>
            <w:pPr>
              <w:spacing w:after="60" w:line="259" w:lineRule="auto"/>
            </w:pPr>
            <w:r>
              <w:rPr>
                <w:rFonts w:ascii="Calibri" w:hAnsi="Calibri"/>
                <w:b w:val="0"/>
                <w:i w:val="0"/>
                <w:color w:val="212121"/>
                <w:sz w:val="19"/>
              </w:rPr>
              <w:t>Pregnancy raises biliary cholesterol saturation and impairs gallbladder contraction, promoting sludge and stones; risk rises with each pregnancy ('fertile' of the 5 Fs).</w:t>
            </w:r>
          </w:p>
          <w:p>
            <w:pPr>
              <w:spacing w:after="40" w:before="60" w:line="259" w:lineRule="auto"/>
            </w:pPr>
            <w:r>
              <w:rPr>
                <w:rFonts w:ascii="Calibri" w:hAnsi="Calibri"/>
                <w:b w:val="0"/>
                <w:i w:val="0"/>
                <w:color w:val="212121"/>
                <w:sz w:val="19"/>
              </w:rPr>
              <w:t>Pregnancy and multiparity are established risk factors for gallstone formation and biliary sludge.</w:t>
            </w:r>
          </w:p>
          <w:p>
            <w:pPr>
              <w:spacing w:after="40" w:line="252" w:lineRule="auto"/>
            </w:pPr>
            <w:hyperlink r:id="rId12">
              <w:r>
                <w:rPr>
                  <w:rFonts w:ascii="Calibri" w:hAnsi="Calibri" w:cs="Calibri"/>
                  <w:sz w:val="18"/>
                  <w:color w:val="1155CC"/>
                  <w:u w:val="single"/>
                </w:rPr>
                <w:t xml:space="preserve">niddk.nih.gov — Gallstones: symptoms &amp; causes</w:t>
              </w:r>
            </w:hyperlink>
          </w:p>
          <w:p>
            <w:pPr>
              <w:spacing w:before="60" w:after="40"/>
            </w:pPr>
            <w:r>
              <w:rPr>
                <w:rFonts w:ascii="Calibri" w:hAnsi="Calibri"/>
                <w:b w:val="0"/>
                <w:i w:val="0"/>
                <w:color w:val="5A5A5A"/>
                <w:sz w:val="18"/>
              </w:rPr>
              <w:t>#pregnancy  #fertile  #biliarysludge  #hormones  #multiparity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Affluent &amp; urban populations with high-fat diets</w:t>
            </w:r>
          </w:p>
        </w:tc>
        <w:tc>
          <w:tcPr>
            <w:tcW w:type="dxa" w:w="4276"/>
            <w:vAlign w:val="top"/>
          </w:tcPr>
          <w:p>
            <w:pPr>
              <w:spacing w:after="60" w:line="259" w:lineRule="auto"/>
            </w:pPr>
            <w:r>
              <w:rPr>
                <w:rFonts w:ascii="Calibri" w:hAnsi="Calibri"/>
                <w:b w:val="0"/>
                <w:i w:val="0"/>
                <w:color w:val="212121"/>
                <w:sz w:val="19"/>
              </w:rPr>
              <w:t>Rising incomes, energy-dense restaurant and fried foods, and sedentary urban living increase obesity and lithogenic bile, tracking the growing gallstone burden in urban India.</w:t>
            </w:r>
          </w:p>
          <w:p>
            <w:pPr>
              <w:spacing w:after="40" w:before="60" w:line="259" w:lineRule="auto"/>
            </w:pPr>
            <w:r>
              <w:rPr>
                <w:rFonts w:ascii="Calibri" w:hAnsi="Calibri"/>
                <w:b w:val="0"/>
                <w:i w:val="0"/>
                <w:color w:val="212121"/>
                <w:sz w:val="19"/>
              </w:rPr>
              <w:t>High dietary fat and refined-carbohydrate intake with low fibre raises gallstone risk; a general clinical association rather than a single verified Indian figure.</w:t>
            </w:r>
          </w:p>
          <w:p>
            <w:pPr>
              <w:spacing w:before="60" w:after="40"/>
            </w:pPr>
            <w:r>
              <w:rPr>
                <w:rFonts w:ascii="Calibri" w:hAnsi="Calibri"/>
                <w:b w:val="0"/>
                <w:i w:val="0"/>
                <w:color w:val="5A5A5A"/>
                <w:sz w:val="18"/>
              </w:rPr>
              <w:t>#urban  #affluence  #highfat  #nutritiontransition  #obesity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(India)</w:t>
            </w:r>
          </w:p>
        </w:tc>
        <w:tc>
          <w:tcPr>
            <w:tcW w:type="dxa" w:w="2160"/>
            <w:vAlign w:val="top"/>
          </w:tcPr>
          <w:p>
            <w:pPr>
              <w:spacing w:after="40" w:before="0" w:line="259" w:lineRule="auto"/>
            </w:pPr>
            <w:r>
              <w:rPr>
                <w:rFonts w:ascii="Calibri" w:hAnsi="Calibri"/>
                <w:b w:val="0"/>
                <w:i w:val="0"/>
                <w:color w:val="212121"/>
                <w:sz w:val="19"/>
              </w:rPr>
              <w:t>North Indian / Gangetic-belt residents</w:t>
            </w:r>
          </w:p>
        </w:tc>
        <w:tc>
          <w:tcPr>
            <w:tcW w:type="dxa" w:w="4276"/>
            <w:vAlign w:val="top"/>
          </w:tcPr>
          <w:p>
            <w:pPr>
              <w:spacing w:after="60" w:line="259" w:lineRule="auto"/>
            </w:pPr>
            <w:r>
              <w:rPr>
                <w:rFonts w:ascii="Calibri" w:hAnsi="Calibri"/>
                <w:b w:val="0"/>
                <w:i w:val="0"/>
                <w:color w:val="212121"/>
                <w:sz w:val="19"/>
              </w:rPr>
              <w:t>Gallstone disease is markedly more common in North India — the Indo-Gangetic plains of Uttar Pradesh, Bihar, West Bengal and Delhi — than in the south, reflecting diet, genetics and a high rate of chronic biliary infection. The same belt has the world's highest gallbladder-cancer rates.</w:t>
            </w:r>
          </w:p>
          <w:p>
            <w:pPr>
              <w:spacing w:after="40" w:before="60" w:line="259" w:lineRule="auto"/>
            </w:pPr>
            <w:r>
              <w:rPr>
                <w:rFonts w:ascii="Calibri" w:hAnsi="Calibri"/>
                <w:b w:val="0"/>
                <w:i w:val="0"/>
                <w:color w:val="212121"/>
                <w:sz w:val="19"/>
              </w:rPr>
              <w:t>North India lies in a recognised 'gallstone belt' with far higher prevalence than South India; population figures around 6% have been reported in rural Gangetic communities (general clinical statement).</w:t>
            </w:r>
          </w:p>
          <w:p>
            <w:pPr>
              <w:spacing w:before="60" w:after="40"/>
            </w:pPr>
            <w:r>
              <w:rPr>
                <w:rFonts w:ascii="Calibri" w:hAnsi="Calibri"/>
                <w:b w:val="0"/>
                <w:i w:val="0"/>
                <w:color w:val="5A5A5A"/>
                <w:sz w:val="18"/>
              </w:rPr>
              <w:t>#NorthIndia  #Gangeticbelt  #UttarPradesh  #Bihar  #gallstonebelt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Native American &amp; Hispanic populations</w:t>
            </w:r>
          </w:p>
        </w:tc>
        <w:tc>
          <w:tcPr>
            <w:tcW w:type="dxa" w:w="4276"/>
            <w:vAlign w:val="top"/>
          </w:tcPr>
          <w:p>
            <w:pPr>
              <w:spacing w:after="60" w:line="259" w:lineRule="auto"/>
            </w:pPr>
            <w:r>
              <w:rPr>
                <w:rFonts w:ascii="Calibri" w:hAnsi="Calibri"/>
                <w:b w:val="0"/>
                <w:i w:val="0"/>
                <w:color w:val="212121"/>
                <w:sz w:val="19"/>
              </w:rPr>
              <w:t>Certain ethnic groups carry inherited lithogenic (LITH) genes that supersaturate bile with cholesterol, giving the world's highest gallstone prevalence and illustrating strong genetic contribution.</w:t>
            </w:r>
          </w:p>
          <w:p>
            <w:pPr>
              <w:spacing w:after="40" w:before="60" w:line="259" w:lineRule="auto"/>
            </w:pPr>
            <w:r>
              <w:rPr>
                <w:rFonts w:ascii="Calibri" w:hAnsi="Calibri"/>
                <w:b w:val="0"/>
                <w:i w:val="0"/>
                <w:color w:val="212121"/>
                <w:sz w:val="19"/>
              </w:rPr>
              <w:t>Native American populations show gallstone prevalence up to ~48%, the highest recorded globally.</w:t>
            </w:r>
          </w:p>
          <w:p>
            <w:pPr>
              <w:spacing w:after="40" w:line="252" w:lineRule="auto"/>
            </w:pPr>
            <w:hyperlink r:id="rId13">
              <w:r>
                <w:rPr>
                  <w:rFonts w:ascii="Calibri" w:hAnsi="Calibri" w:cs="Calibri"/>
                  <w:sz w:val="18"/>
                  <w:color w:val="1155CC"/>
                  <w:u w:val="single"/>
                </w:rPr>
                <w:t xml:space="preserve">en.wikipedia.org — Gallstone</w:t>
              </w:r>
            </w:hyperlink>
          </w:p>
          <w:p>
            <w:pPr>
              <w:spacing w:before="60" w:after="40"/>
            </w:pPr>
            <w:r>
              <w:rPr>
                <w:rFonts w:ascii="Calibri" w:hAnsi="Calibri"/>
                <w:b w:val="0"/>
                <w:i w:val="0"/>
                <w:color w:val="5A5A5A"/>
                <w:sz w:val="18"/>
              </w:rPr>
              <w:t>#ethnicity  #LITHgenes  #genetics  #cholesterolstones  #highprevalence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Physically inactive adults, desk workers, homemakers</w:t>
            </w:r>
          </w:p>
        </w:tc>
        <w:tc>
          <w:tcPr>
            <w:tcW w:type="dxa" w:w="4276"/>
            <w:vAlign w:val="top"/>
          </w:tcPr>
          <w:p>
            <w:pPr>
              <w:spacing w:after="60" w:line="259" w:lineRule="auto"/>
            </w:pPr>
            <w:r>
              <w:rPr>
                <w:rFonts w:ascii="Calibri" w:hAnsi="Calibri"/>
                <w:b w:val="0"/>
                <w:i w:val="0"/>
                <w:color w:val="212121"/>
                <w:sz w:val="19"/>
              </w:rPr>
              <w:t>Physical inactivity slows gallbladder emptying, promotes obesity and insulin resistance, and raises biliary cholesterol — all lithogenic. Regular activity is associated with fewer symptomatic gallstones.</w:t>
            </w:r>
          </w:p>
          <w:p>
            <w:pPr>
              <w:spacing w:after="40" w:before="60" w:line="259" w:lineRule="auto"/>
            </w:pPr>
            <w:r>
              <w:rPr>
                <w:rFonts w:ascii="Calibri" w:hAnsi="Calibri"/>
                <w:b w:val="0"/>
                <w:i w:val="0"/>
                <w:color w:val="212121"/>
                <w:sz w:val="19"/>
              </w:rPr>
              <w:t>Sedentary behaviour and obesity are consistently linked to higher gallstone and cholecystitis risk.</w:t>
            </w:r>
          </w:p>
          <w:p>
            <w:pPr>
              <w:spacing w:after="40" w:line="252" w:lineRule="auto"/>
            </w:pPr>
            <w:hyperlink r:id="rId12">
              <w:r>
                <w:rPr>
                  <w:rFonts w:ascii="Calibri" w:hAnsi="Calibri" w:cs="Calibri"/>
                  <w:sz w:val="18"/>
                  <w:color w:val="1155CC"/>
                  <w:u w:val="single"/>
                </w:rPr>
                <w:t xml:space="preserve">niddk.nih.gov — Gallstones: symptoms &amp; causes</w:t>
              </w:r>
            </w:hyperlink>
          </w:p>
          <w:p>
            <w:pPr>
              <w:spacing w:before="60" w:after="40"/>
            </w:pPr>
            <w:r>
              <w:rPr>
                <w:rFonts w:ascii="Calibri" w:hAnsi="Calibri"/>
                <w:b w:val="0"/>
                <w:i w:val="0"/>
                <w:color w:val="5A5A5A"/>
                <w:sz w:val="18"/>
              </w:rPr>
              <w:t>#sedentary  #inactivity  #insulinresistance  #stasis  #lifestyle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Rapid weight loss / crash dieting</w:t>
            </w:r>
          </w:p>
        </w:tc>
        <w:tc>
          <w:tcPr>
            <w:tcW w:type="dxa" w:w="2160"/>
            <w:vAlign w:val="top"/>
          </w:tcPr>
          <w:p>
            <w:pPr>
              <w:spacing w:after="40" w:before="0" w:line="259" w:lineRule="auto"/>
            </w:pPr>
            <w:r>
              <w:rPr>
                <w:rFonts w:ascii="Calibri" w:hAnsi="Calibri"/>
                <w:b w:val="0"/>
                <w:i w:val="0"/>
                <w:color w:val="212121"/>
                <w:sz w:val="19"/>
              </w:rPr>
              <w:t>Crash dieters &amp; post-bariatric-surgery patients</w:t>
            </w:r>
          </w:p>
        </w:tc>
        <w:tc>
          <w:tcPr>
            <w:tcW w:type="dxa" w:w="4276"/>
            <w:vAlign w:val="top"/>
          </w:tcPr>
          <w:p>
            <w:pPr>
              <w:spacing w:after="60" w:line="259" w:lineRule="auto"/>
            </w:pPr>
            <w:r>
              <w:rPr>
                <w:rFonts w:ascii="Calibri" w:hAnsi="Calibri"/>
                <w:b w:val="0"/>
                <w:i w:val="0"/>
                <w:color w:val="212121"/>
                <w:sz w:val="19"/>
              </w:rPr>
              <w:t>Rapid weight loss mobilises large amounts of cholesterol into bile while the gallbladder empties poorly during severe calorie restriction, sharply increasing stone formation.</w:t>
            </w:r>
          </w:p>
          <w:p>
            <w:pPr>
              <w:spacing w:after="40" w:before="60" w:line="259" w:lineRule="auto"/>
            </w:pPr>
            <w:r>
              <w:rPr>
                <w:rFonts w:ascii="Calibri" w:hAnsi="Calibri"/>
                <w:b w:val="0"/>
                <w:i w:val="0"/>
                <w:color w:val="212121"/>
                <w:sz w:val="19"/>
              </w:rPr>
              <w:t>Rapid or extreme weight loss and very-low-calorie/crash diets are established precipitants of gallstones.</w:t>
            </w:r>
          </w:p>
          <w:p>
            <w:pPr>
              <w:spacing w:after="40" w:line="252" w:lineRule="auto"/>
            </w:pPr>
            <w:hyperlink r:id="rId12">
              <w:r>
                <w:rPr>
                  <w:rFonts w:ascii="Calibri" w:hAnsi="Calibri" w:cs="Calibri"/>
                  <w:sz w:val="18"/>
                  <w:color w:val="1155CC"/>
                  <w:u w:val="single"/>
                </w:rPr>
                <w:t xml:space="preserve">niddk.nih.gov — Gallstones: symptoms &amp; causes</w:t>
              </w:r>
            </w:hyperlink>
          </w:p>
          <w:p>
            <w:pPr>
              <w:spacing w:before="60" w:after="40"/>
            </w:pPr>
            <w:r>
              <w:rPr>
                <w:rFonts w:ascii="Calibri" w:hAnsi="Calibri"/>
                <w:b w:val="0"/>
                <w:i w:val="0"/>
                <w:color w:val="5A5A5A"/>
                <w:sz w:val="18"/>
              </w:rPr>
              <w:t>#rapidweightloss  #crashdiet  #bariatric  #fasting  #cholesterol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Cigarette smokers</w:t>
            </w:r>
          </w:p>
        </w:tc>
        <w:tc>
          <w:tcPr>
            <w:tcW w:type="dxa" w:w="4276"/>
            <w:vAlign w:val="top"/>
          </w:tcPr>
          <w:p>
            <w:pPr>
              <w:spacing w:after="60" w:line="259" w:lineRule="auto"/>
            </w:pPr>
            <w:r>
              <w:rPr>
                <w:rFonts w:ascii="Calibri" w:hAnsi="Calibri"/>
                <w:b w:val="0"/>
                <w:i w:val="0"/>
                <w:color w:val="212121"/>
                <w:sz w:val="19"/>
              </w:rPr>
              <w:t>Smoking is associated with a modest increase in gallstone and gallbladder-disease risk and worsens peri-operative and wound-healing outcomes after cholecystectomy.</w:t>
            </w:r>
          </w:p>
          <w:p>
            <w:pPr>
              <w:spacing w:after="40" w:before="60" w:line="259" w:lineRule="auto"/>
            </w:pPr>
            <w:r>
              <w:rPr>
                <w:rFonts w:ascii="Calibri" w:hAnsi="Calibri"/>
                <w:b w:val="0"/>
                <w:i w:val="0"/>
                <w:color w:val="212121"/>
                <w:sz w:val="19"/>
              </w:rPr>
              <w:t>Smoking modestly increases gallbladder-disease risk and impairs surgical recovery (general clinical statement).</w:t>
            </w:r>
          </w:p>
          <w:p>
            <w:pPr>
              <w:spacing w:before="60" w:after="40"/>
            </w:pPr>
            <w:r>
              <w:rPr>
                <w:rFonts w:ascii="Calibri" w:hAnsi="Calibri"/>
                <w:b w:val="0"/>
                <w:i w:val="0"/>
                <w:color w:val="5A5A5A"/>
                <w:sz w:val="18"/>
              </w:rPr>
              <w:t>#smoking  #tobacco  #surgicalrisk  #modifiable  #vascular</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High-fat, refined-carbohydrate, low-fibre diets</w:t>
            </w:r>
          </w:p>
        </w:tc>
        <w:tc>
          <w:tcPr>
            <w:tcW w:type="dxa" w:w="4276"/>
            <w:vAlign w:val="top"/>
          </w:tcPr>
          <w:p>
            <w:pPr>
              <w:spacing w:after="60" w:line="259" w:lineRule="auto"/>
            </w:pPr>
            <w:r>
              <w:rPr>
                <w:rFonts w:ascii="Calibri" w:hAnsi="Calibri"/>
                <w:b w:val="0"/>
                <w:i w:val="0"/>
                <w:color w:val="212121"/>
                <w:sz w:val="19"/>
              </w:rPr>
              <w:t>Diets high in saturated fat, cholesterol and refined carbohydrate and low in fibre raise biliary cholesterol saturation and glycaemic load, promoting cholesterol stones; heavy fatty meals also provoke acute attacks.</w:t>
            </w:r>
          </w:p>
          <w:p>
            <w:pPr>
              <w:spacing w:after="40" w:before="60" w:line="259" w:lineRule="auto"/>
            </w:pPr>
            <w:r>
              <w:rPr>
                <w:rFonts w:ascii="Calibri" w:hAnsi="Calibri"/>
                <w:b w:val="0"/>
                <w:i w:val="0"/>
                <w:color w:val="212121"/>
                <w:sz w:val="19"/>
              </w:rPr>
              <w:t>Low-fibre, high-glycaemic-load, high-fat diets are recognised dietary risk factors for gallstones.</w:t>
            </w:r>
          </w:p>
          <w:p>
            <w:pPr>
              <w:spacing w:after="40" w:line="252" w:lineRule="auto"/>
            </w:pPr>
            <w:hyperlink r:id="rId13">
              <w:r>
                <w:rPr>
                  <w:rFonts w:ascii="Calibri" w:hAnsi="Calibri" w:cs="Calibri"/>
                  <w:sz w:val="18"/>
                  <w:color w:val="1155CC"/>
                  <w:u w:val="single"/>
                </w:rPr>
                <w:t xml:space="preserve">en.wikipedia.org — Gallstone</w:t>
              </w:r>
            </w:hyperlink>
          </w:p>
          <w:p>
            <w:pPr>
              <w:spacing w:before="60" w:after="40"/>
            </w:pPr>
            <w:r>
              <w:rPr>
                <w:rFonts w:ascii="Calibri" w:hAnsi="Calibri"/>
                <w:b w:val="0"/>
                <w:i w:val="0"/>
                <w:color w:val="5A5A5A"/>
                <w:sz w:val="18"/>
              </w:rPr>
              <w:t>#highfat  #lowfibre  #refinedcarbs  #friedfood  #lithogenic</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gallstones</w:t>
            </w:r>
          </w:p>
        </w:tc>
        <w:tc>
          <w:tcPr>
            <w:tcW w:type="dxa" w:w="4276"/>
            <w:vAlign w:val="top"/>
          </w:tcPr>
          <w:p>
            <w:pPr>
              <w:spacing w:after="60" w:line="259" w:lineRule="auto"/>
            </w:pPr>
            <w:r>
              <w:rPr>
                <w:rFonts w:ascii="Calibri" w:hAnsi="Calibri"/>
                <w:b w:val="0"/>
                <w:i w:val="0"/>
                <w:color w:val="212121"/>
                <w:sz w:val="19"/>
              </w:rPr>
              <w:t>Gallstone disease clusters in families; inherited variation in cholesterol and bile-salt transporters (e.g. ABCG5/G8, LITH genes) supersaturates bile. Around a quarter to a third of stone risk is heritable.</w:t>
            </w:r>
          </w:p>
          <w:p>
            <w:pPr>
              <w:spacing w:after="40" w:before="60" w:line="259" w:lineRule="auto"/>
            </w:pPr>
            <w:r>
              <w:rPr>
                <w:rFonts w:ascii="Calibri" w:hAnsi="Calibri"/>
                <w:b w:val="0"/>
                <w:i w:val="0"/>
                <w:color w:val="212121"/>
                <w:sz w:val="19"/>
              </w:rPr>
              <w:t>Family history and genetic predisposition are established risk factors; cholesterol stones account for ~90% of all gallstones.</w:t>
            </w:r>
          </w:p>
          <w:p>
            <w:pPr>
              <w:spacing w:after="40" w:line="252" w:lineRule="auto"/>
            </w:pPr>
            <w:hyperlink r:id="rId11">
              <w:r>
                <w:rPr>
                  <w:rFonts w:ascii="Calibri" w:hAnsi="Calibri" w:cs="Calibri"/>
                  <w:sz w:val="18"/>
                  <w:color w:val="1155CC"/>
                  <w:u w:val="single"/>
                </w:rPr>
                <w:t xml:space="preserve">ncbi.nlm.nih.gov — StatPearls: Cholelithiasis</w:t>
              </w:r>
            </w:hyperlink>
          </w:p>
          <w:p>
            <w:pPr>
              <w:spacing w:before="60" w:after="40"/>
            </w:pPr>
            <w:r>
              <w:rPr>
                <w:rFonts w:ascii="Calibri" w:hAnsi="Calibri"/>
                <w:b w:val="0"/>
                <w:i w:val="0"/>
                <w:color w:val="5A5A5A"/>
                <w:sz w:val="18"/>
              </w:rPr>
              <w:t>#familyhistory  #genetics  #ABCG5  #heritable  #cholesterolstones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Obesity</w:t>
            </w:r>
          </w:p>
        </w:tc>
        <w:tc>
          <w:tcPr>
            <w:tcW w:type="dxa" w:w="2160"/>
            <w:vAlign w:val="top"/>
          </w:tcPr>
          <w:p>
            <w:pPr>
              <w:spacing w:after="40" w:before="0" w:line="259" w:lineRule="auto"/>
            </w:pPr>
            <w:r>
              <w:rPr>
                <w:rFonts w:ascii="Calibri" w:hAnsi="Calibri"/>
                <w:b w:val="0"/>
                <w:i w:val="0"/>
                <w:color w:val="212121"/>
                <w:sz w:val="19"/>
              </w:rPr>
              <w:t>Overweight &amp; obese individuals (central adiposity)</w:t>
            </w:r>
          </w:p>
        </w:tc>
        <w:tc>
          <w:tcPr>
            <w:tcW w:type="dxa" w:w="4276"/>
            <w:vAlign w:val="top"/>
          </w:tcPr>
          <w:p>
            <w:pPr>
              <w:spacing w:after="60" w:line="259" w:lineRule="auto"/>
            </w:pPr>
            <w:r>
              <w:rPr>
                <w:rFonts w:ascii="Calibri" w:hAnsi="Calibri"/>
                <w:b w:val="0"/>
                <w:i w:val="0"/>
                <w:color w:val="212121"/>
                <w:sz w:val="19"/>
              </w:rPr>
              <w:t>Obesity increases hepatic cholesterol secretion and biliary cholesterol saturation and impairs gallbladder emptying, making it one of the strongest modifiable risk factors for gallstones and cholecystitis.</w:t>
            </w:r>
          </w:p>
          <w:p>
            <w:pPr>
              <w:spacing w:after="40" w:before="60" w:line="259" w:lineRule="auto"/>
            </w:pPr>
            <w:r>
              <w:rPr>
                <w:rFonts w:ascii="Calibri" w:hAnsi="Calibri"/>
                <w:b w:val="0"/>
                <w:i w:val="0"/>
                <w:color w:val="212121"/>
                <w:sz w:val="19"/>
              </w:rPr>
              <w:t>Obesity is a leading risk factor for gallstone formation.</w:t>
            </w:r>
          </w:p>
          <w:p>
            <w:pPr>
              <w:spacing w:after="40" w:line="252" w:lineRule="auto"/>
            </w:pPr>
            <w:hyperlink r:id="rId12">
              <w:r>
                <w:rPr>
                  <w:rFonts w:ascii="Calibri" w:hAnsi="Calibri" w:cs="Calibri"/>
                  <w:sz w:val="18"/>
                  <w:color w:val="1155CC"/>
                  <w:u w:val="single"/>
                </w:rPr>
                <w:t xml:space="preserve">niddk.nih.gov — Gallstones: symptoms &amp; causes</w:t>
              </w:r>
            </w:hyperlink>
          </w:p>
          <w:p>
            <w:pPr>
              <w:spacing w:before="60" w:after="40"/>
            </w:pPr>
            <w:r>
              <w:rPr>
                <w:rFonts w:ascii="Calibri" w:hAnsi="Calibri"/>
                <w:b w:val="0"/>
                <w:i w:val="0"/>
                <w:color w:val="5A5A5A"/>
                <w:sz w:val="18"/>
              </w:rPr>
              <w:t>#obesity  #centraladiposity  #metabolicsyndrome  #insulinresistance  #lithogenicbile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Patients with type 2 diabetes / metabolic syndrome</w:t>
            </w:r>
          </w:p>
        </w:tc>
        <w:tc>
          <w:tcPr>
            <w:tcW w:type="dxa" w:w="4276"/>
            <w:vAlign w:val="top"/>
          </w:tcPr>
          <w:p>
            <w:pPr>
              <w:spacing w:after="60" w:line="259" w:lineRule="auto"/>
            </w:pPr>
            <w:r>
              <w:rPr>
                <w:rFonts w:ascii="Calibri" w:hAnsi="Calibri"/>
                <w:b w:val="0"/>
                <w:i w:val="0"/>
                <w:color w:val="212121"/>
                <w:sz w:val="19"/>
              </w:rPr>
              <w:t>Diabetes impairs gallbladder motility and is associated with lithogenic bile; diabetics have more severe, gangrenous and emphysematous cholecystitis and worse outcomes.</w:t>
            </w:r>
          </w:p>
          <w:p>
            <w:pPr>
              <w:spacing w:after="40" w:before="60" w:line="259" w:lineRule="auto"/>
            </w:pPr>
            <w:r>
              <w:rPr>
                <w:rFonts w:ascii="Calibri" w:hAnsi="Calibri"/>
                <w:b w:val="0"/>
                <w:i w:val="0"/>
                <w:color w:val="212121"/>
                <w:sz w:val="19"/>
              </w:rPr>
              <w:t>Diabetes (and older age) predisposes to gangrenous and emphysematous cholecystitis and tissue death.</w:t>
            </w:r>
          </w:p>
          <w:p>
            <w:pPr>
              <w:spacing w:after="40" w:line="252" w:lineRule="auto"/>
            </w:pPr>
            <w:hyperlink r:id="rId14">
              <w:r>
                <w:rPr>
                  <w:rFonts w:ascii="Calibri" w:hAnsi="Calibri" w:cs="Calibri"/>
                  <w:sz w:val="18"/>
                  <w:color w:val="1155CC"/>
                  <w:u w:val="single"/>
                </w:rPr>
                <w:t xml:space="preserve">mayoclinic.org — Cholecystitis</w:t>
              </w:r>
            </w:hyperlink>
          </w:p>
          <w:p>
            <w:pPr>
              <w:spacing w:before="60" w:after="40"/>
            </w:pPr>
            <w:r>
              <w:rPr>
                <w:rFonts w:ascii="Calibri" w:hAnsi="Calibri"/>
                <w:b w:val="0"/>
                <w:i w:val="0"/>
                <w:color w:val="5A5A5A"/>
                <w:sz w:val="18"/>
              </w:rPr>
              <w:t>#diabetes  #emphysematous  #gangrene  #dysmotility  #metabolicsyndrome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Haemolytic disorders</w:t>
            </w:r>
          </w:p>
        </w:tc>
        <w:tc>
          <w:tcPr>
            <w:tcW w:type="dxa" w:w="2160"/>
            <w:vAlign w:val="top"/>
          </w:tcPr>
          <w:p>
            <w:pPr>
              <w:spacing w:after="40" w:before="0" w:line="259" w:lineRule="auto"/>
            </w:pPr>
            <w:r>
              <w:rPr>
                <w:rFonts w:ascii="Calibri" w:hAnsi="Calibri"/>
                <w:b w:val="0"/>
                <w:i w:val="0"/>
                <w:color w:val="212121"/>
                <w:sz w:val="19"/>
              </w:rPr>
              <w:t>Sickle cell disease &amp; thalassaemia patients</w:t>
            </w:r>
          </w:p>
        </w:tc>
        <w:tc>
          <w:tcPr>
            <w:tcW w:type="dxa" w:w="4276"/>
            <w:vAlign w:val="top"/>
          </w:tcPr>
          <w:p>
            <w:pPr>
              <w:spacing w:after="60" w:line="259" w:lineRule="auto"/>
            </w:pPr>
            <w:r>
              <w:rPr>
                <w:rFonts w:ascii="Calibri" w:hAnsi="Calibri"/>
                <w:b w:val="0"/>
                <w:i w:val="0"/>
                <w:color w:val="212121"/>
                <w:sz w:val="19"/>
              </w:rPr>
              <w:t>Chronic haemolysis raises unconjugated bilirubin, forming black pigment stones — an important cause of gallstones and cholecystitis in younger patients, including in India's haemoglobinopathy belts.</w:t>
            </w:r>
          </w:p>
          <w:p>
            <w:pPr>
              <w:spacing w:after="40" w:before="60" w:line="259" w:lineRule="auto"/>
            </w:pPr>
            <w:r>
              <w:rPr>
                <w:rFonts w:ascii="Calibri" w:hAnsi="Calibri"/>
                <w:b w:val="0"/>
                <w:i w:val="0"/>
                <w:color w:val="212121"/>
                <w:sz w:val="19"/>
              </w:rPr>
              <w:t>High haemoglobin turnover from sickle cell anaemia and thalassaemia predisposes to pigment gallstones.</w:t>
            </w:r>
          </w:p>
          <w:p>
            <w:pPr>
              <w:spacing w:after="40" w:line="252" w:lineRule="auto"/>
            </w:pPr>
            <w:hyperlink r:id="rId11">
              <w:r>
                <w:rPr>
                  <w:rFonts w:ascii="Calibri" w:hAnsi="Calibri" w:cs="Calibri"/>
                  <w:sz w:val="18"/>
                  <w:color w:val="1155CC"/>
                  <w:u w:val="single"/>
                </w:rPr>
                <w:t xml:space="preserve">ncbi.nlm.nih.gov — StatPearls: Cholelithiasis</w:t>
              </w:r>
            </w:hyperlink>
          </w:p>
          <w:p>
            <w:pPr>
              <w:spacing w:before="60" w:after="40"/>
            </w:pPr>
            <w:r>
              <w:rPr>
                <w:rFonts w:ascii="Calibri" w:hAnsi="Calibri"/>
                <w:b w:val="0"/>
                <w:i w:val="0"/>
                <w:color w:val="5A5A5A"/>
                <w:sz w:val="18"/>
              </w:rPr>
              <w:t>#haemolysis  #pigmentstones  #sicklecell  #thalassaemia  #bilirubin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biliary infection</w:t>
            </w:r>
          </w:p>
        </w:tc>
        <w:tc>
          <w:tcPr>
            <w:tcW w:type="dxa" w:w="2160"/>
            <w:vAlign w:val="top"/>
          </w:tcPr>
          <w:p>
            <w:pPr>
              <w:spacing w:after="40" w:before="0" w:line="259" w:lineRule="auto"/>
            </w:pPr>
            <w:r>
              <w:rPr>
                <w:rFonts w:ascii="Calibri" w:hAnsi="Calibri"/>
                <w:b w:val="0"/>
                <w:i w:val="0"/>
                <w:color w:val="212121"/>
                <w:sz w:val="19"/>
              </w:rPr>
              <w:t>Chronic Salmonella typhi carriers</w:t>
            </w:r>
          </w:p>
        </w:tc>
        <w:tc>
          <w:tcPr>
            <w:tcW w:type="dxa" w:w="4276"/>
            <w:vAlign w:val="top"/>
          </w:tcPr>
          <w:p>
            <w:pPr>
              <w:spacing w:after="60" w:line="259" w:lineRule="auto"/>
            </w:pPr>
            <w:r>
              <w:rPr>
                <w:rFonts w:ascii="Calibri" w:hAnsi="Calibri"/>
                <w:b w:val="0"/>
                <w:i w:val="0"/>
                <w:color w:val="212121"/>
                <w:sz w:val="19"/>
              </w:rPr>
              <w:t>In India, chronic typhoid carriage colonises the gallbladder, sustaining low-grade chronic cholecystitis and strongly predisposing to gallbladder carcinoma — a key India-specific pathway.</w:t>
            </w:r>
          </w:p>
          <w:p>
            <w:pPr>
              <w:spacing w:after="40" w:before="60" w:line="259" w:lineRule="auto"/>
            </w:pPr>
            <w:r>
              <w:rPr>
                <w:rFonts w:ascii="Calibri" w:hAnsi="Calibri"/>
                <w:b w:val="0"/>
                <w:i w:val="0"/>
                <w:color w:val="212121"/>
                <w:sz w:val="19"/>
              </w:rPr>
              <w:t>Chronic S. typhi carriers have a 3–200 times higher risk of gallbladder cancer than non-carriers (estimated 1–6% lifetime risk).</w:t>
            </w:r>
          </w:p>
          <w:p>
            <w:pPr>
              <w:spacing w:after="40" w:line="252" w:lineRule="auto"/>
            </w:pPr>
            <w:hyperlink r:id="rId15">
              <w:r>
                <w:rPr>
                  <w:rFonts w:ascii="Calibri" w:hAnsi="Calibri" w:cs="Calibri"/>
                  <w:sz w:val="18"/>
                  <w:color w:val="1155CC"/>
                  <w:u w:val="single"/>
                </w:rPr>
                <w:t xml:space="preserve">en.wikipedia.org — Gallbladder cancer</w:t>
              </w:r>
            </w:hyperlink>
          </w:p>
          <w:p>
            <w:pPr>
              <w:spacing w:before="60" w:after="40"/>
            </w:pPr>
            <w:r>
              <w:rPr>
                <w:rFonts w:ascii="Calibri" w:hAnsi="Calibri"/>
                <w:b w:val="0"/>
                <w:i w:val="0"/>
                <w:color w:val="5A5A5A"/>
                <w:sz w:val="18"/>
              </w:rPr>
              <w:t>#typhoid  #Salmonellatyphi  #chroniccholecystitis  #gallbladdercancer  #IndiaGI</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Critical illness</w:t>
            </w:r>
          </w:p>
        </w:tc>
        <w:tc>
          <w:tcPr>
            <w:tcW w:type="dxa" w:w="2160"/>
            <w:vAlign w:val="top"/>
          </w:tcPr>
          <w:p>
            <w:pPr>
              <w:spacing w:after="40" w:before="0" w:line="259" w:lineRule="auto"/>
            </w:pPr>
            <w:r>
              <w:rPr>
                <w:rFonts w:ascii="Calibri" w:hAnsi="Calibri"/>
                <w:b w:val="0"/>
                <w:i w:val="0"/>
                <w:color w:val="212121"/>
                <w:sz w:val="19"/>
              </w:rPr>
              <w:t>ICU, post-operative, trauma, burns &amp; TPN patients</w:t>
            </w:r>
          </w:p>
        </w:tc>
        <w:tc>
          <w:tcPr>
            <w:tcW w:type="dxa" w:w="4276"/>
            <w:vAlign w:val="top"/>
          </w:tcPr>
          <w:p>
            <w:pPr>
              <w:spacing w:after="60" w:line="259" w:lineRule="auto"/>
            </w:pPr>
            <w:r>
              <w:rPr>
                <w:rFonts w:ascii="Calibri" w:hAnsi="Calibri"/>
                <w:b w:val="0"/>
                <w:i w:val="0"/>
                <w:color w:val="212121"/>
                <w:sz w:val="19"/>
              </w:rPr>
              <w:t>Severe illness, prolonged fasting, total parenteral nutrition and low-flow states cause gallbladder stasis and ischaemia, producing acalculous cholecystitis with high morbidity and mortality.</w:t>
            </w:r>
          </w:p>
          <w:p>
            <w:pPr>
              <w:spacing w:after="40" w:before="60" w:line="259" w:lineRule="auto"/>
            </w:pPr>
            <w:r>
              <w:rPr>
                <w:rFonts w:ascii="Calibri" w:hAnsi="Calibri"/>
                <w:b w:val="0"/>
                <w:i w:val="0"/>
                <w:color w:val="212121"/>
                <w:sz w:val="19"/>
              </w:rPr>
              <w:t>Acalculous cholecystitis (~5–10% of cases) typically affects hospitalised, critically ill patients and carries higher morbidity and mortality.</w:t>
            </w:r>
          </w:p>
          <w:p>
            <w:pPr>
              <w:spacing w:after="40" w:line="252" w:lineRule="auto"/>
            </w:pPr>
            <w:hyperlink r:id="rId10">
              <w:r>
                <w:rPr>
                  <w:rFonts w:ascii="Calibri" w:hAnsi="Calibri" w:cs="Calibri"/>
                  <w:sz w:val="18"/>
                  <w:color w:val="1155CC"/>
                  <w:u w:val="single"/>
                </w:rPr>
                <w:t xml:space="preserve">en.wikipedia.org — Cholecystitis</w:t>
              </w:r>
            </w:hyperlink>
          </w:p>
          <w:p>
            <w:pPr>
              <w:spacing w:before="60" w:after="40"/>
            </w:pPr>
            <w:r>
              <w:rPr>
                <w:rFonts w:ascii="Calibri" w:hAnsi="Calibri"/>
                <w:b w:val="0"/>
                <w:i w:val="0"/>
                <w:color w:val="5A5A5A"/>
                <w:sz w:val="18"/>
              </w:rPr>
              <w:t>#acalculous  #criticalillness  #ICU  #TPN  #ischaemia</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Physical inactivity promotes obesity, insulin resistance and slow gallbladder emptying, all of which are lithogenic. Regular moderate activity is associated with a lower risk of symptomatic gallstones and cholecystitis.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Diets high in saturated fat, cholesterol and refined carbohydrate and low in fibre supersaturate bile and precipitate stones; heavy fatty meals directly provoke acute attacks by triggering gallbladder contraction against an obstructed cystic duct.</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Direct evidence is limited; shift work and disrupted circadian/eating patterns may modestly affect metabolic risk and gallbladder motility.</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is associated with a modest increase in gallbladder-disease risk and worsens peri-operative and wound-healing outcomes after cholecystectomy.</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Light-to-moderate alcohol intake is associated with a modestly lower risk of cholesterol gallstones, but heavy use harms the liver and pancreas and offers no protective benefit overall.</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Psychological stress is not a primary cause, but chronic biliary pain and recurrent attacks impair mood, sleep and quality of life.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may support bile flow and reduce stasis, but direct evidence linking water intake to gallstone prevention is weak.</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Caffeinated coffee stimulates cholecystokinin-mediated gallbladder contraction and is associated in cohort studies with a modestly reduced risk of symptomatic gallstones.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Food- and water-borne hygiene is important in India: poor sanitation sustains chronic Salmonella typhi carriage, a driver of chronic cholecystitis and gallbladder cancer.</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Large, fatty or fried meals typically provoke acute biliary colic and cholecystitis attacks by stimulating gallbladder contraction against an obstructed cystic duct; prolonged fasting and rapid weight loss are additional precipitants.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Adults (Asian-Indian cut-offs)</w:t>
            </w:r>
          </w:p>
        </w:tc>
        <w:tc>
          <w:tcPr>
            <w:tcW w:type="dxa" w:w="1512"/>
            <w:vAlign w:val="top"/>
          </w:tcPr>
          <w:p>
            <w:pPr>
              <w:spacing w:after="40" w:before="0" w:line="259" w:lineRule="auto"/>
            </w:pPr>
            <w:r>
              <w:rPr>
                <w:rFonts w:ascii="Calibri" w:hAnsi="Calibri"/>
                <w:b w:val="0"/>
                <w:i w:val="0"/>
                <w:color w:val="212121"/>
                <w:sz w:val="19"/>
              </w:rPr>
              <w:t>18.0–22.9 kg/m²</w:t>
            </w:r>
          </w:p>
        </w:tc>
        <w:tc>
          <w:tcPr>
            <w:tcW w:type="dxa" w:w="1512"/>
            <w:vAlign w:val="top"/>
          </w:tcPr>
          <w:p>
            <w:pPr>
              <w:spacing w:after="40" w:before="0" w:line="259" w:lineRule="auto"/>
            </w:pPr>
            <w:r>
              <w:rPr>
                <w:rFonts w:ascii="Calibri" w:hAnsi="Calibri"/>
                <w:b w:val="0"/>
                <w:i w:val="0"/>
                <w:color w:val="212121"/>
                <w:sz w:val="19"/>
              </w:rPr>
              <w:t>≥ 23 (overweight); ≥ 25 (obese) by Asian-Indian criteria</w:t>
            </w:r>
          </w:p>
        </w:tc>
        <w:tc>
          <w:tcPr>
            <w:tcW w:type="dxa" w:w="1468"/>
            <w:vAlign w:val="top"/>
          </w:tcPr>
          <w:p>
            <w:pPr>
              <w:spacing w:after="60" w:line="259" w:lineRule="auto"/>
            </w:pPr>
            <w:r>
              <w:rPr>
                <w:rFonts w:ascii="Calibri" w:hAnsi="Calibri"/>
                <w:b w:val="0"/>
                <w:i w:val="0"/>
                <w:color w:val="212121"/>
                <w:sz w:val="19"/>
              </w:rPr>
              <w:t>Higher BMI raises biliary cholesterol saturation and gallstone risk</w:t>
            </w:r>
          </w:p>
          <w:p>
            <w:pPr>
              <w:spacing w:after="40" w:line="252" w:lineRule="auto"/>
            </w:pPr>
            <w:hyperlink r:id="rId12">
              <w:r>
                <w:rPr>
                  <w:rFonts w:ascii="Calibri" w:hAnsi="Calibri" w:cs="Calibri"/>
                  <w:sz w:val="18"/>
                  <w:color w:val="1155CC"/>
                  <w:u w:val="single"/>
                </w:rPr>
                <w:t xml:space="preserve">https://www.niddk.nih.gov/health-information/digestive-diseases/gallstones/symptoms-causes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w:t>
            </w:r>
          </w:p>
        </w:tc>
        <w:tc>
          <w:tcPr>
            <w:tcW w:type="dxa" w:w="1655"/>
            <w:vAlign w:val="top"/>
          </w:tcPr>
          <w:p>
            <w:pPr>
              <w:spacing w:after="40" w:before="0" w:line="259" w:lineRule="auto"/>
            </w:pPr>
            <w:r>
              <w:rPr>
                <w:rFonts w:ascii="Calibri" w:hAnsi="Calibri"/>
                <w:b w:val="0"/>
                <w:i w:val="0"/>
                <w:color w:val="212121"/>
                <w:sz w:val="19"/>
              </w:rPr>
              <w:t>Adults (Asian-Indian cut-offs)</w:t>
            </w:r>
          </w:p>
        </w:tc>
        <w:tc>
          <w:tcPr>
            <w:tcW w:type="dxa" w:w="1512"/>
            <w:vAlign w:val="top"/>
          </w:tcPr>
          <w:p>
            <w:pPr>
              <w:spacing w:after="40" w:before="0" w:line="259" w:lineRule="auto"/>
            </w:pPr>
            <w:r>
              <w:rPr>
                <w:rFonts w:ascii="Calibri" w:hAnsi="Calibri"/>
                <w:b w:val="0"/>
                <w:i w:val="0"/>
                <w:color w:val="212121"/>
                <w:sz w:val="19"/>
              </w:rPr>
              <w:t>M &lt; 90 cm; F &lt; 80 cm</w:t>
            </w:r>
          </w:p>
        </w:tc>
        <w:tc>
          <w:tcPr>
            <w:tcW w:type="dxa" w:w="1512"/>
            <w:vAlign w:val="top"/>
          </w:tcPr>
          <w:p>
            <w:pPr>
              <w:spacing w:after="40" w:before="0" w:line="259" w:lineRule="auto"/>
            </w:pPr>
            <w:r>
              <w:rPr>
                <w:rFonts w:ascii="Calibri" w:hAnsi="Calibri"/>
                <w:b w:val="0"/>
                <w:i w:val="0"/>
                <w:color w:val="212121"/>
                <w:sz w:val="19"/>
              </w:rPr>
              <w:t>M ≥ 90 cm; F ≥ 80 cm</w:t>
            </w:r>
          </w:p>
        </w:tc>
        <w:tc>
          <w:tcPr>
            <w:tcW w:type="dxa" w:w="1468"/>
            <w:vAlign w:val="top"/>
          </w:tcPr>
          <w:p>
            <w:pPr>
              <w:spacing w:after="40" w:before="0" w:line="259" w:lineRule="auto"/>
            </w:pPr>
            <w:r>
              <w:rPr>
                <w:rFonts w:ascii="Calibri" w:hAnsi="Calibri"/>
                <w:b w:val="0"/>
                <w:i w:val="0"/>
                <w:color w:val="212121"/>
                <w:sz w:val="19"/>
              </w:rPr>
              <w:t>Central adiposity is strongly lithogenic and marks metabolic-syndrome risk</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Moderate-vigorous activity (min/week)</w:t>
            </w:r>
          </w:p>
        </w:tc>
        <w:tc>
          <w:tcPr>
            <w:tcW w:type="dxa" w:w="1655"/>
            <w:vAlign w:val="top"/>
          </w:tcPr>
          <w:p>
            <w:pPr>
              <w:spacing w:after="40" w:before="0" w:line="259" w:lineRule="auto"/>
            </w:pPr>
            <w:r>
              <w:rPr>
                <w:rFonts w:ascii="Calibri" w:hAnsi="Calibri"/>
                <w:b w:val="0"/>
                <w:i w:val="0"/>
                <w:color w:val="212121"/>
                <w:sz w:val="19"/>
              </w:rPr>
              <w:t>All adults</w:t>
            </w:r>
          </w:p>
        </w:tc>
        <w:tc>
          <w:tcPr>
            <w:tcW w:type="dxa" w:w="1512"/>
            <w:vAlign w:val="top"/>
          </w:tcPr>
          <w:p>
            <w:pPr>
              <w:spacing w:after="40" w:before="0" w:line="259" w:lineRule="auto"/>
            </w:pPr>
            <w:r>
              <w:rPr>
                <w:rFonts w:ascii="Calibri" w:hAnsi="Calibri"/>
                <w:b w:val="0"/>
                <w:i w:val="0"/>
                <w:color w:val="212121"/>
                <w:sz w:val="19"/>
              </w:rPr>
              <w:t>≥ 150 min/week</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40" w:before="0" w:line="259" w:lineRule="auto"/>
            </w:pPr>
            <w:r>
              <w:rPr>
                <w:rFonts w:ascii="Calibri" w:hAnsi="Calibri"/>
                <w:b w:val="0"/>
                <w:i w:val="0"/>
                <w:color w:val="212121"/>
                <w:sz w:val="19"/>
              </w:rPr>
              <w:t>Regular activity lowers symptomatic-gallstone risk and aids weight control</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fibre (g/day)</w:t>
            </w:r>
          </w:p>
        </w:tc>
        <w:tc>
          <w:tcPr>
            <w:tcW w:type="dxa" w:w="1655"/>
            <w:vAlign w:val="top"/>
          </w:tcPr>
          <w:p>
            <w:pPr>
              <w:spacing w:after="40" w:before="0" w:line="259" w:lineRule="auto"/>
            </w:pPr>
            <w:r>
              <w:rPr>
                <w:rFonts w:ascii="Calibri" w:hAnsi="Calibri"/>
                <w:b w:val="0"/>
                <w:i w:val="0"/>
                <w:color w:val="212121"/>
                <w:sz w:val="19"/>
              </w:rPr>
              <w:t>All adults</w:t>
            </w:r>
          </w:p>
        </w:tc>
        <w:tc>
          <w:tcPr>
            <w:tcW w:type="dxa" w:w="1512"/>
            <w:vAlign w:val="top"/>
          </w:tcPr>
          <w:p>
            <w:pPr>
              <w:spacing w:after="40" w:before="0" w:line="259" w:lineRule="auto"/>
            </w:pPr>
            <w:r>
              <w:rPr>
                <w:rFonts w:ascii="Calibri" w:hAnsi="Calibri"/>
                <w:b w:val="0"/>
                <w:i w:val="0"/>
                <w:color w:val="212121"/>
                <w:sz w:val="19"/>
              </w:rPr>
              <w:t>25–35 g/day</w:t>
            </w:r>
          </w:p>
        </w:tc>
        <w:tc>
          <w:tcPr>
            <w:tcW w:type="dxa" w:w="1512"/>
            <w:vAlign w:val="top"/>
          </w:tcPr>
          <w:p>
            <w:pPr>
              <w:spacing w:after="40" w:before="0" w:line="259" w:lineRule="auto"/>
            </w:pPr>
            <w:r>
              <w:rPr>
                <w:rFonts w:ascii="Calibri" w:hAnsi="Calibri"/>
                <w:b w:val="0"/>
                <w:i w:val="0"/>
                <w:color w:val="212121"/>
                <w:sz w:val="19"/>
              </w:rPr>
              <w:t>&lt; 25 g/day</w:t>
            </w:r>
          </w:p>
        </w:tc>
        <w:tc>
          <w:tcPr>
            <w:tcW w:type="dxa" w:w="1468"/>
            <w:vAlign w:val="top"/>
          </w:tcPr>
          <w:p>
            <w:pPr>
              <w:spacing w:after="40" w:before="0" w:line="259" w:lineRule="auto"/>
            </w:pPr>
            <w:r>
              <w:rPr>
                <w:rFonts w:ascii="Calibri" w:hAnsi="Calibri"/>
                <w:b w:val="0"/>
                <w:i w:val="0"/>
                <w:color w:val="212121"/>
                <w:sz w:val="19"/>
              </w:rPr>
              <w:t>Higher fibre lowers biliary cholesterol saturation and stone risk</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Dietary fat (% of energy)</w:t>
            </w:r>
          </w:p>
        </w:tc>
        <w:tc>
          <w:tcPr>
            <w:tcW w:type="dxa" w:w="1655"/>
            <w:vAlign w:val="top"/>
          </w:tcPr>
          <w:p>
            <w:pPr>
              <w:spacing w:after="40" w:before="0" w:line="259" w:lineRule="auto"/>
            </w:pPr>
            <w:r>
              <w:rPr>
                <w:rFonts w:ascii="Calibri" w:hAnsi="Calibri"/>
                <w:b w:val="0"/>
                <w:i w:val="0"/>
                <w:color w:val="212121"/>
                <w:sz w:val="19"/>
              </w:rPr>
              <w:t>At-risk &amp; post-attack adults</w:t>
            </w:r>
          </w:p>
        </w:tc>
        <w:tc>
          <w:tcPr>
            <w:tcW w:type="dxa" w:w="1512"/>
            <w:vAlign w:val="top"/>
          </w:tcPr>
          <w:p>
            <w:pPr>
              <w:spacing w:after="40" w:before="0" w:line="259" w:lineRule="auto"/>
            </w:pPr>
            <w:r>
              <w:rPr>
                <w:rFonts w:ascii="Calibri" w:hAnsi="Calibri"/>
                <w:b w:val="0"/>
                <w:i w:val="0"/>
                <w:color w:val="212121"/>
                <w:sz w:val="19"/>
              </w:rPr>
              <w:t>≤ 30% of energy; limit fried/saturated fat</w:t>
            </w:r>
          </w:p>
        </w:tc>
        <w:tc>
          <w:tcPr>
            <w:tcW w:type="dxa" w:w="1512"/>
            <w:vAlign w:val="top"/>
          </w:tcPr>
          <w:p>
            <w:pPr>
              <w:spacing w:after="40" w:before="0" w:line="259" w:lineRule="auto"/>
            </w:pPr>
            <w:r>
              <w:rPr>
                <w:rFonts w:ascii="Calibri" w:hAnsi="Calibri"/>
                <w:b w:val="0"/>
                <w:i w:val="0"/>
                <w:color w:val="212121"/>
                <w:sz w:val="19"/>
              </w:rPr>
              <w:t>High saturated-fat, fried, energy-dense meals</w:t>
            </w:r>
          </w:p>
        </w:tc>
        <w:tc>
          <w:tcPr>
            <w:tcW w:type="dxa" w:w="1468"/>
            <w:vAlign w:val="top"/>
          </w:tcPr>
          <w:p>
            <w:pPr>
              <w:spacing w:after="60" w:line="259" w:lineRule="auto"/>
            </w:pPr>
            <w:r>
              <w:rPr>
                <w:rFonts w:ascii="Calibri" w:hAnsi="Calibri"/>
                <w:b w:val="0"/>
                <w:i w:val="0"/>
                <w:color w:val="212121"/>
                <w:sz w:val="19"/>
              </w:rPr>
              <w:t>Heavy fatty meals provoke attacks; low-fat diet reduces symptoms</w:t>
            </w:r>
          </w:p>
          <w:p>
            <w:pPr>
              <w:spacing w:after="40" w:line="252" w:lineRule="auto"/>
            </w:pPr>
            <w:hyperlink r:id="rId12">
              <w:r>
                <w:rPr>
                  <w:rFonts w:ascii="Calibri" w:hAnsi="Calibri" w:cs="Calibri"/>
                  <w:sz w:val="18"/>
                  <w:color w:val="1155CC"/>
                  <w:u w:val="single"/>
                </w:rPr>
                <w:t xml:space="preserve">https://www.niddk.nih.gov/health-information/digestive-diseases/gallstones/symptoms-causes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Rate of weight loss (kg/week)</w:t>
            </w:r>
          </w:p>
        </w:tc>
        <w:tc>
          <w:tcPr>
            <w:tcW w:type="dxa" w:w="1655"/>
            <w:vAlign w:val="top"/>
          </w:tcPr>
          <w:p>
            <w:pPr>
              <w:spacing w:after="40" w:before="0" w:line="259" w:lineRule="auto"/>
            </w:pPr>
            <w:r>
              <w:rPr>
                <w:rFonts w:ascii="Calibri" w:hAnsi="Calibri"/>
                <w:b w:val="0"/>
                <w:i w:val="0"/>
                <w:color w:val="212121"/>
                <w:sz w:val="19"/>
              </w:rPr>
              <w:t>Overweight/obese, dieters</w:t>
            </w:r>
          </w:p>
        </w:tc>
        <w:tc>
          <w:tcPr>
            <w:tcW w:type="dxa" w:w="1512"/>
            <w:vAlign w:val="top"/>
          </w:tcPr>
          <w:p>
            <w:pPr>
              <w:spacing w:after="40" w:before="0" w:line="259" w:lineRule="auto"/>
            </w:pPr>
            <w:r>
              <w:rPr>
                <w:rFonts w:ascii="Calibri" w:hAnsi="Calibri"/>
                <w:b w:val="0"/>
                <w:i w:val="0"/>
                <w:color w:val="212121"/>
                <w:sz w:val="19"/>
              </w:rPr>
              <w:t>0.5–1.0 kg/week (gradual)</w:t>
            </w:r>
          </w:p>
        </w:tc>
        <w:tc>
          <w:tcPr>
            <w:tcW w:type="dxa" w:w="1512"/>
            <w:vAlign w:val="top"/>
          </w:tcPr>
          <w:p>
            <w:pPr>
              <w:spacing w:after="40" w:before="0" w:line="259" w:lineRule="auto"/>
            </w:pPr>
            <w:r>
              <w:rPr>
                <w:rFonts w:ascii="Calibri" w:hAnsi="Calibri"/>
                <w:b w:val="0"/>
                <w:i w:val="0"/>
                <w:color w:val="212121"/>
                <w:sz w:val="19"/>
              </w:rPr>
              <w:t>&gt; 1.5 kg/week or very-low-calorie/crash diets</w:t>
            </w:r>
          </w:p>
        </w:tc>
        <w:tc>
          <w:tcPr>
            <w:tcW w:type="dxa" w:w="1468"/>
            <w:vAlign w:val="top"/>
          </w:tcPr>
          <w:p>
            <w:pPr>
              <w:spacing w:after="60" w:line="259" w:lineRule="auto"/>
            </w:pPr>
            <w:r>
              <w:rPr>
                <w:rFonts w:ascii="Calibri" w:hAnsi="Calibri"/>
                <w:b w:val="0"/>
                <w:i w:val="0"/>
                <w:color w:val="212121"/>
                <w:sz w:val="19"/>
              </w:rPr>
              <w:t>Rapid weight loss mobilises cholesterol and precipitates stones</w:t>
            </w:r>
          </w:p>
          <w:p>
            <w:pPr>
              <w:spacing w:after="40" w:line="252" w:lineRule="auto"/>
            </w:pPr>
            <w:hyperlink r:id="rId12">
              <w:r>
                <w:rPr>
                  <w:rFonts w:ascii="Calibri" w:hAnsi="Calibri" w:cs="Calibri"/>
                  <w:sz w:val="18"/>
                  <w:color w:val="1155CC"/>
                  <w:u w:val="single"/>
                </w:rPr>
                <w:t xml:space="preserve">https://www.niddk.nih.gov/health-information/digestive-diseases/gallstones/symptoms-causes</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 surgical candidates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40" w:before="0" w:line="259" w:lineRule="auto"/>
            </w:pPr>
            <w:r>
              <w:rPr>
                <w:rFonts w:ascii="Calibri" w:hAnsi="Calibri"/>
                <w:b w:val="0"/>
                <w:i w:val="0"/>
                <w:color w:val="212121"/>
                <w:sz w:val="19"/>
              </w:rPr>
              <w:t>Smoking modestly raises gallbladder-disease risk and impairs surgical healing</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Standard drinks per 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 7 (women) / ≤ 14 (men) drinks/week; none is safest</w:t>
            </w:r>
          </w:p>
        </w:tc>
        <w:tc>
          <w:tcPr>
            <w:tcW w:type="dxa" w:w="1512"/>
            <w:vAlign w:val="top"/>
          </w:tcPr>
          <w:p>
            <w:pPr>
              <w:spacing w:after="40" w:before="0" w:line="259" w:lineRule="auto"/>
            </w:pPr>
            <w:r>
              <w:rPr>
                <w:rFonts w:ascii="Calibri" w:hAnsi="Calibri"/>
                <w:b w:val="0"/>
                <w:i w:val="0"/>
                <w:color w:val="212121"/>
                <w:sz w:val="19"/>
              </w:rPr>
              <w:t>Heavy or binge drinking</w:t>
            </w:r>
          </w:p>
        </w:tc>
        <w:tc>
          <w:tcPr>
            <w:tcW w:type="dxa" w:w="1468"/>
            <w:vAlign w:val="top"/>
          </w:tcPr>
          <w:p>
            <w:pPr>
              <w:spacing w:after="40" w:before="0" w:line="259" w:lineRule="auto"/>
            </w:pPr>
            <w:r>
              <w:rPr>
                <w:rFonts w:ascii="Calibri" w:hAnsi="Calibri"/>
                <w:b w:val="0"/>
                <w:i w:val="0"/>
                <w:color w:val="212121"/>
                <w:sz w:val="19"/>
              </w:rPr>
              <w:t>Heavy alcohol harms liver/pancreas; no net protective benefit</w:t>
            </w:r>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Caffeinated coffee (cups/day)</w:t>
            </w:r>
          </w:p>
        </w:tc>
        <w:tc>
          <w:tcPr>
            <w:tcW w:type="dxa" w:w="1655"/>
            <w:vAlign w:val="top"/>
          </w:tcPr>
          <w:p>
            <w:pPr>
              <w:spacing w:after="40" w:before="0" w:line="259" w:lineRule="auto"/>
            </w:pPr>
            <w:r>
              <w:rPr>
                <w:rFonts w:ascii="Calibri" w:hAnsi="Calibri"/>
                <w:b w:val="0"/>
                <w:i w:val="0"/>
                <w:color w:val="212121"/>
                <w:sz w:val="19"/>
              </w:rPr>
              <w:t>Adults without contraindication</w:t>
            </w:r>
          </w:p>
        </w:tc>
        <w:tc>
          <w:tcPr>
            <w:tcW w:type="dxa" w:w="1512"/>
            <w:vAlign w:val="top"/>
          </w:tcPr>
          <w:p>
            <w:pPr>
              <w:spacing w:after="40" w:before="0" w:line="259" w:lineRule="auto"/>
            </w:pPr>
            <w:r>
              <w:rPr>
                <w:rFonts w:ascii="Calibri" w:hAnsi="Calibri"/>
                <w:b w:val="0"/>
                <w:i w:val="0"/>
                <w:color w:val="212121"/>
                <w:sz w:val="19"/>
              </w:rPr>
              <w:t>2–3 cups/day (if tolerated)</w:t>
            </w:r>
          </w:p>
        </w:tc>
        <w:tc>
          <w:tcPr>
            <w:tcW w:type="dxa" w:w="1512"/>
            <w:vAlign w:val="top"/>
          </w:tcPr>
          <w:p>
            <w:pPr>
              <w:spacing w:after="40" w:before="0" w:line="259" w:lineRule="auto"/>
            </w:pPr>
            <w:r>
              <w:rPr>
                <w:rFonts w:ascii="Calibri" w:hAnsi="Calibri"/>
                <w:b w:val="0"/>
                <w:i w:val="0"/>
                <w:color w:val="212121"/>
                <w:sz w:val="19"/>
              </w:rPr>
              <w:t>NA</w:t>
            </w:r>
          </w:p>
        </w:tc>
        <w:tc>
          <w:tcPr>
            <w:tcW w:type="dxa" w:w="1468"/>
            <w:vAlign w:val="top"/>
          </w:tcPr>
          <w:p>
            <w:pPr>
              <w:spacing w:after="40" w:before="0" w:line="259" w:lineRule="auto"/>
            </w:pPr>
            <w:r>
              <w:rPr>
                <w:rFonts w:ascii="Calibri" w:hAnsi="Calibri"/>
                <w:b w:val="0"/>
                <w:i w:val="0"/>
                <w:color w:val="212121"/>
                <w:sz w:val="19"/>
              </w:rPr>
              <w:t>Coffee stimulates gallbladder emptying and is linked to modestly lower stone risk</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Fasting serum triglycerides (mg/dL)</w:t>
            </w:r>
          </w:p>
        </w:tc>
        <w:tc>
          <w:tcPr>
            <w:tcW w:type="dxa" w:w="1655"/>
            <w:vAlign w:val="top"/>
          </w:tcPr>
          <w:p>
            <w:pPr>
              <w:spacing w:after="40" w:before="0" w:line="259" w:lineRule="auto"/>
            </w:pPr>
            <w:r>
              <w:rPr>
                <w:rFonts w:ascii="Calibri" w:hAnsi="Calibri"/>
                <w:b w:val="0"/>
                <w:i w:val="0"/>
                <w:color w:val="212121"/>
                <w:sz w:val="19"/>
              </w:rPr>
              <w:t>Adults with metabolic risk</w:t>
            </w:r>
          </w:p>
        </w:tc>
        <w:tc>
          <w:tcPr>
            <w:tcW w:type="dxa" w:w="1512"/>
            <w:vAlign w:val="top"/>
          </w:tcPr>
          <w:p>
            <w:pPr>
              <w:spacing w:after="40" w:before="0" w:line="259" w:lineRule="auto"/>
            </w:pPr>
            <w:r>
              <w:rPr>
                <w:rFonts w:ascii="Calibri" w:hAnsi="Calibri"/>
                <w:b w:val="0"/>
                <w:i w:val="0"/>
                <w:color w:val="212121"/>
                <w:sz w:val="19"/>
              </w:rPr>
              <w:t>&lt; 150 mg/dL</w:t>
            </w:r>
          </w:p>
        </w:tc>
        <w:tc>
          <w:tcPr>
            <w:tcW w:type="dxa" w:w="1512"/>
            <w:vAlign w:val="top"/>
          </w:tcPr>
          <w:p>
            <w:pPr>
              <w:spacing w:after="40" w:before="0" w:line="259" w:lineRule="auto"/>
            </w:pPr>
            <w:r>
              <w:rPr>
                <w:rFonts w:ascii="Calibri" w:hAnsi="Calibri"/>
                <w:b w:val="0"/>
                <w:i w:val="0"/>
                <w:color w:val="212121"/>
                <w:sz w:val="19"/>
              </w:rPr>
              <w:t>≥ 150 mg/dL</w:t>
            </w:r>
          </w:p>
        </w:tc>
        <w:tc>
          <w:tcPr>
            <w:tcW w:type="dxa" w:w="1468"/>
            <w:vAlign w:val="top"/>
          </w:tcPr>
          <w:p>
            <w:pPr>
              <w:spacing w:after="40" w:before="0" w:line="259" w:lineRule="auto"/>
            </w:pPr>
            <w:r>
              <w:rPr>
                <w:rFonts w:ascii="Calibri" w:hAnsi="Calibri"/>
                <w:b w:val="0"/>
                <w:i w:val="0"/>
                <w:color w:val="212121"/>
                <w:sz w:val="19"/>
              </w:rPr>
              <w:t>High triglycerides and low HDL accompany lithogenic bile and metabolic syndrome</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Gallbladder wall thickness, stones, pericholecystic fluid</w:t>
            </w:r>
          </w:p>
        </w:tc>
        <w:tc>
          <w:tcPr>
            <w:tcW w:type="dxa" w:w="892"/>
            <w:vAlign w:val="top"/>
          </w:tcPr>
          <w:p>
            <w:pPr>
              <w:spacing w:after="40" w:before="0" w:line="259" w:lineRule="auto"/>
            </w:pPr>
            <w:r>
              <w:rPr>
                <w:rFonts w:ascii="Calibri" w:hAnsi="Calibri"/>
                <w:b w:val="0"/>
                <w:i w:val="0"/>
                <w:color w:val="212121"/>
                <w:sz w:val="16"/>
              </w:rPr>
              <w:t>Abdominal ultrasound (USG)</w:t>
            </w:r>
          </w:p>
        </w:tc>
        <w:tc>
          <w:tcPr>
            <w:tcW w:type="dxa" w:w="950"/>
            <w:vAlign w:val="top"/>
          </w:tcPr>
          <w:p>
            <w:pPr>
              <w:spacing w:after="40" w:before="0" w:line="259" w:lineRule="auto"/>
            </w:pPr>
            <w:r>
              <w:rPr>
                <w:rFonts w:ascii="Calibri" w:hAnsi="Calibri"/>
                <w:b w:val="0"/>
                <w:i w:val="0"/>
                <w:color w:val="212121"/>
                <w:sz w:val="16"/>
              </w:rPr>
              <w:t>Wall ≤ 3 mm; no stones or fluid</w:t>
            </w:r>
          </w:p>
        </w:tc>
        <w:tc>
          <w:tcPr>
            <w:tcW w:type="dxa" w:w="950"/>
            <w:vAlign w:val="top"/>
          </w:tcPr>
          <w:p>
            <w:pPr>
              <w:spacing w:after="40" w:before="0" w:line="259" w:lineRule="auto"/>
            </w:pPr>
            <w:r>
              <w:rPr>
                <w:rFonts w:ascii="Calibri" w:hAnsi="Calibri"/>
                <w:b w:val="0"/>
                <w:i w:val="0"/>
                <w:color w:val="212121"/>
                <w:sz w:val="16"/>
              </w:rPr>
              <w:t>Wall &gt; 3 mm, distension, stones/impacted stone, pericholecystic fluid, sonographic Murphy's sign</w:t>
            </w:r>
          </w:p>
        </w:tc>
        <w:tc>
          <w:tcPr>
            <w:tcW w:type="dxa" w:w="1036"/>
            <w:vAlign w:val="top"/>
          </w:tcPr>
          <w:p>
            <w:pPr>
              <w:spacing w:after="40" w:before="0" w:line="259" w:lineRule="auto"/>
            </w:pPr>
            <w:r>
              <w:rPr>
                <w:rFonts w:ascii="Calibri" w:hAnsi="Calibri"/>
                <w:b w:val="0"/>
                <w:i w:val="0"/>
                <w:color w:val="212121"/>
                <w:sz w:val="16"/>
              </w:rPr>
              <w:t>First-line and most useful test; confirms stones and inflammation</w:t>
            </w:r>
          </w:p>
        </w:tc>
        <w:tc>
          <w:tcPr>
            <w:tcW w:type="dxa" w:w="1036"/>
            <w:vAlign w:val="top"/>
          </w:tcPr>
          <w:p>
            <w:pPr>
              <w:spacing w:after="40" w:before="0" w:line="259" w:lineRule="auto"/>
            </w:pPr>
            <w:r>
              <w:rPr>
                <w:rFonts w:ascii="Calibri" w:hAnsi="Calibri"/>
                <w:b w:val="0"/>
                <w:i w:val="0"/>
                <w:color w:val="212121"/>
                <w:sz w:val="16"/>
              </w:rPr>
              <w:t>All suspected cholecystitis, biliary colic, RUQ pain</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Gold standard (first-line)</w:t>
            </w:r>
          </w:p>
        </w:tc>
        <w:tc>
          <w:tcPr>
            <w:tcW w:type="dxa" w:w="720"/>
            <w:vAlign w:val="top"/>
          </w:tcPr>
          <w:p>
            <w:pPr>
              <w:spacing w:after="40" w:before="0" w:line="259" w:lineRule="auto"/>
            </w:pPr>
            <w:r>
              <w:rPr>
                <w:rFonts w:ascii="Calibri" w:hAnsi="Calibri"/>
                <w:b w:val="0"/>
                <w:i w:val="0"/>
                <w:color w:val="212121"/>
                <w:sz w:val="16"/>
              </w:rPr>
              <w:t>Operator-dependent; bedside-capable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Gallbladder visualisation (cystic-duct patency)</w:t>
            </w:r>
          </w:p>
        </w:tc>
        <w:tc>
          <w:tcPr>
            <w:tcW w:type="dxa" w:w="892"/>
            <w:vAlign w:val="top"/>
          </w:tcPr>
          <w:p>
            <w:pPr>
              <w:spacing w:after="40" w:before="0" w:line="259" w:lineRule="auto"/>
            </w:pPr>
            <w:r>
              <w:rPr>
                <w:rFonts w:ascii="Calibri" w:hAnsi="Calibri"/>
                <w:b w:val="0"/>
                <w:i w:val="0"/>
                <w:color w:val="212121"/>
                <w:sz w:val="16"/>
              </w:rPr>
              <w:t>HIDA scan (cholescintigraphy)</w:t>
            </w:r>
          </w:p>
        </w:tc>
        <w:tc>
          <w:tcPr>
            <w:tcW w:type="dxa" w:w="950"/>
            <w:vAlign w:val="top"/>
          </w:tcPr>
          <w:p>
            <w:pPr>
              <w:spacing w:after="40" w:before="0" w:line="259" w:lineRule="auto"/>
            </w:pPr>
            <w:r>
              <w:rPr>
                <w:rFonts w:ascii="Calibri" w:hAnsi="Calibri"/>
                <w:b w:val="0"/>
                <w:i w:val="0"/>
                <w:color w:val="212121"/>
                <w:sz w:val="16"/>
              </w:rPr>
              <w:t>Gallbladder fills within ~1 hour</w:t>
            </w:r>
          </w:p>
        </w:tc>
        <w:tc>
          <w:tcPr>
            <w:tcW w:type="dxa" w:w="950"/>
            <w:vAlign w:val="top"/>
          </w:tcPr>
          <w:p>
            <w:pPr>
              <w:spacing w:after="40" w:before="0" w:line="259" w:lineRule="auto"/>
            </w:pPr>
            <w:r>
              <w:rPr>
                <w:rFonts w:ascii="Calibri" w:hAnsi="Calibri"/>
                <w:b w:val="0"/>
                <w:i w:val="0"/>
                <w:color w:val="212121"/>
                <w:sz w:val="16"/>
              </w:rPr>
              <w:t>Non-visualisation of the gallbladder at 1–4 hours</w:t>
            </w:r>
          </w:p>
        </w:tc>
        <w:tc>
          <w:tcPr>
            <w:tcW w:type="dxa" w:w="1036"/>
            <w:vAlign w:val="top"/>
          </w:tcPr>
          <w:p>
            <w:pPr>
              <w:spacing w:after="40" w:before="0" w:line="259" w:lineRule="auto"/>
            </w:pPr>
            <w:r>
              <w:rPr>
                <w:rFonts w:ascii="Calibri" w:hAnsi="Calibri"/>
                <w:b w:val="0"/>
                <w:i w:val="0"/>
                <w:color w:val="212121"/>
                <w:sz w:val="16"/>
              </w:rPr>
              <w:t>Most sensitive test for acute cholecystitis when USG is equivocal</w:t>
            </w:r>
          </w:p>
        </w:tc>
        <w:tc>
          <w:tcPr>
            <w:tcW w:type="dxa" w:w="1036"/>
            <w:vAlign w:val="top"/>
          </w:tcPr>
          <w:p>
            <w:pPr>
              <w:spacing w:after="40" w:before="0" w:line="259" w:lineRule="auto"/>
            </w:pPr>
            <w:r>
              <w:rPr>
                <w:rFonts w:ascii="Calibri" w:hAnsi="Calibri"/>
                <w:b w:val="0"/>
                <w:i w:val="0"/>
                <w:color w:val="212121"/>
                <w:sz w:val="16"/>
              </w:rPr>
              <w:t>Equivocal USG, suspected acalculous cholecystitis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Higher sensitivity than USG; less available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Total leukocyte count (TLC)</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4,000–11,000 /µL</w:t>
            </w:r>
          </w:p>
        </w:tc>
        <w:tc>
          <w:tcPr>
            <w:tcW w:type="dxa" w:w="950"/>
            <w:vAlign w:val="top"/>
          </w:tcPr>
          <w:p>
            <w:pPr>
              <w:spacing w:after="40" w:before="0" w:line="259" w:lineRule="auto"/>
            </w:pPr>
            <w:r>
              <w:rPr>
                <w:rFonts w:ascii="Calibri" w:hAnsi="Calibri"/>
                <w:b w:val="0"/>
                <w:i w:val="0"/>
                <w:color w:val="212121"/>
                <w:sz w:val="16"/>
              </w:rPr>
              <w:t>&gt; 11,000 /µL with left shift</w:t>
            </w:r>
          </w:p>
        </w:tc>
        <w:tc>
          <w:tcPr>
            <w:tcW w:type="dxa" w:w="1036"/>
            <w:vAlign w:val="top"/>
          </w:tcPr>
          <w:p>
            <w:pPr>
              <w:spacing w:after="40" w:before="0" w:line="259" w:lineRule="auto"/>
            </w:pPr>
            <w:r>
              <w:rPr>
                <w:rFonts w:ascii="Calibri" w:hAnsi="Calibri"/>
                <w:b w:val="0"/>
                <w:i w:val="0"/>
                <w:color w:val="212121"/>
                <w:sz w:val="16"/>
              </w:rPr>
              <w:t>Systemic inflammation (TG18 criterion B)</w:t>
            </w:r>
          </w:p>
        </w:tc>
        <w:tc>
          <w:tcPr>
            <w:tcW w:type="dxa" w:w="1036"/>
            <w:vAlign w:val="top"/>
          </w:tcPr>
          <w:p>
            <w:pPr>
              <w:spacing w:after="40" w:before="0" w:line="259" w:lineRule="auto"/>
            </w:pPr>
            <w:r>
              <w:rPr>
                <w:rFonts w:ascii="Calibri" w:hAnsi="Calibri"/>
                <w:b w:val="0"/>
                <w:i w:val="0"/>
                <w:color w:val="212121"/>
                <w:sz w:val="16"/>
              </w:rPr>
              <w:t>Acute presentations, febrile patients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 (TG18)</w:t>
            </w:r>
          </w:p>
        </w:tc>
        <w:tc>
          <w:tcPr>
            <w:tcW w:type="dxa" w:w="720"/>
            <w:vAlign w:val="top"/>
          </w:tcPr>
          <w:p>
            <w:pPr>
              <w:spacing w:after="40" w:before="0" w:line="259" w:lineRule="auto"/>
            </w:pPr>
            <w:r>
              <w:rPr>
                <w:rFonts w:ascii="Calibri" w:hAnsi="Calibri"/>
                <w:b w:val="0"/>
                <w:i w:val="0"/>
                <w:color w:val="212121"/>
                <w:sz w:val="16"/>
              </w:rPr>
              <w:t>Very high counts suggest gangrene/perforation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C-reactive protein (CRP)</w:t>
            </w:r>
          </w:p>
        </w:tc>
        <w:tc>
          <w:tcPr>
            <w:tcW w:type="dxa" w:w="892"/>
            <w:vAlign w:val="top"/>
          </w:tcPr>
          <w:p>
            <w:pPr>
              <w:spacing w:after="40" w:before="0" w:line="259" w:lineRule="auto"/>
            </w:pPr>
            <w:r>
              <w:rPr>
                <w:rFonts w:ascii="Calibri" w:hAnsi="Calibri"/>
                <w:b w:val="0"/>
                <w:i w:val="0"/>
                <w:color w:val="212121"/>
                <w:sz w:val="16"/>
              </w:rPr>
              <w:t>Inflammatory marker</w:t>
            </w:r>
          </w:p>
        </w:tc>
        <w:tc>
          <w:tcPr>
            <w:tcW w:type="dxa" w:w="950"/>
            <w:vAlign w:val="top"/>
          </w:tcPr>
          <w:p>
            <w:pPr>
              <w:spacing w:after="40" w:before="0" w:line="259" w:lineRule="auto"/>
            </w:pPr>
            <w:r>
              <w:rPr>
                <w:rFonts w:ascii="Calibri" w:hAnsi="Calibri"/>
                <w:b w:val="0"/>
                <w:i w:val="0"/>
                <w:color w:val="212121"/>
                <w:sz w:val="16"/>
              </w:rPr>
              <w:t>&lt; 10 mg/L</w:t>
            </w:r>
          </w:p>
        </w:tc>
        <w:tc>
          <w:tcPr>
            <w:tcW w:type="dxa" w:w="950"/>
            <w:vAlign w:val="top"/>
          </w:tcPr>
          <w:p>
            <w:pPr>
              <w:spacing w:after="40" w:before="0" w:line="259" w:lineRule="auto"/>
            </w:pPr>
            <w:r>
              <w:rPr>
                <w:rFonts w:ascii="Calibri" w:hAnsi="Calibri"/>
                <w:b w:val="0"/>
                <w:i w:val="0"/>
                <w:color w:val="212121"/>
                <w:sz w:val="16"/>
              </w:rPr>
              <w:t>≥ 10 mg/L (often much higher)</w:t>
            </w:r>
          </w:p>
        </w:tc>
        <w:tc>
          <w:tcPr>
            <w:tcW w:type="dxa" w:w="1036"/>
            <w:vAlign w:val="top"/>
          </w:tcPr>
          <w:p>
            <w:pPr>
              <w:spacing w:after="40" w:before="0" w:line="259" w:lineRule="auto"/>
            </w:pPr>
            <w:r>
              <w:rPr>
                <w:rFonts w:ascii="Calibri" w:hAnsi="Calibri"/>
                <w:b w:val="0"/>
                <w:i w:val="0"/>
                <w:color w:val="212121"/>
                <w:sz w:val="16"/>
              </w:rPr>
              <w:t>Systemic inflammation (TG18 criterion B); tracks severity</w:t>
            </w:r>
          </w:p>
        </w:tc>
        <w:tc>
          <w:tcPr>
            <w:tcW w:type="dxa" w:w="1036"/>
            <w:vAlign w:val="top"/>
          </w:tcPr>
          <w:p>
            <w:pPr>
              <w:spacing w:after="40" w:before="0" w:line="259" w:lineRule="auto"/>
            </w:pPr>
            <w:r>
              <w:rPr>
                <w:rFonts w:ascii="Calibri" w:hAnsi="Calibri"/>
                <w:b w:val="0"/>
                <w:i w:val="0"/>
                <w:color w:val="212121"/>
                <w:sz w:val="16"/>
              </w:rPr>
              <w:t>Acute cholecystitis, severity assessment</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 (TG18)</w:t>
            </w:r>
          </w:p>
        </w:tc>
        <w:tc>
          <w:tcPr>
            <w:tcW w:type="dxa" w:w="720"/>
            <w:vAlign w:val="top"/>
          </w:tcPr>
          <w:p>
            <w:pPr>
              <w:spacing w:after="40" w:before="0" w:line="259" w:lineRule="auto"/>
            </w:pPr>
            <w:r>
              <w:rPr>
                <w:rFonts w:ascii="Calibri" w:hAnsi="Calibri"/>
                <w:b w:val="0"/>
                <w:i w:val="0"/>
                <w:color w:val="212121"/>
                <w:sz w:val="16"/>
              </w:rPr>
              <w:t>Marked elevation flags complicated disease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Liver function tests (bilirubin, ALP, ALT/AST, GGT)</w:t>
            </w:r>
          </w:p>
        </w:tc>
        <w:tc>
          <w:tcPr>
            <w:tcW w:type="dxa" w:w="892"/>
            <w:vAlign w:val="top"/>
          </w:tcPr>
          <w:p>
            <w:pPr>
              <w:spacing w:after="40" w:before="0" w:line="259" w:lineRule="auto"/>
            </w:pPr>
            <w:r>
              <w:rPr>
                <w:rFonts w:ascii="Calibri" w:hAnsi="Calibri"/>
                <w:b w:val="0"/>
                <w:i w:val="0"/>
                <w:color w:val="212121"/>
                <w:sz w:val="16"/>
              </w:rPr>
              <w:t>Liver panel</w:t>
            </w:r>
          </w:p>
        </w:tc>
        <w:tc>
          <w:tcPr>
            <w:tcW w:type="dxa" w:w="950"/>
            <w:vAlign w:val="top"/>
          </w:tcPr>
          <w:p>
            <w:pPr>
              <w:spacing w:after="40" w:before="0" w:line="259" w:lineRule="auto"/>
            </w:pPr>
            <w:r>
              <w:rPr>
                <w:rFonts w:ascii="Calibri" w:hAnsi="Calibri"/>
                <w:b w:val="0"/>
                <w:i w:val="0"/>
                <w:color w:val="212121"/>
                <w:sz w:val="16"/>
              </w:rPr>
              <w:t>Bilirubin &lt; 1.2 mg/dL; ALP/transaminases within reference</w:t>
            </w:r>
          </w:p>
        </w:tc>
        <w:tc>
          <w:tcPr>
            <w:tcW w:type="dxa" w:w="950"/>
            <w:vAlign w:val="top"/>
          </w:tcPr>
          <w:p>
            <w:pPr>
              <w:spacing w:after="40" w:before="0" w:line="259" w:lineRule="auto"/>
            </w:pPr>
            <w:r>
              <w:rPr>
                <w:rFonts w:ascii="Calibri" w:hAnsi="Calibri"/>
                <w:b w:val="0"/>
                <w:i w:val="0"/>
                <w:color w:val="212121"/>
                <w:sz w:val="16"/>
              </w:rPr>
              <w:t>Raised bilirubin/ALP/transaminases</w:t>
            </w:r>
          </w:p>
        </w:tc>
        <w:tc>
          <w:tcPr>
            <w:tcW w:type="dxa" w:w="1036"/>
            <w:vAlign w:val="top"/>
          </w:tcPr>
          <w:p>
            <w:pPr>
              <w:spacing w:after="40" w:before="0" w:line="259" w:lineRule="auto"/>
            </w:pPr>
            <w:r>
              <w:rPr>
                <w:rFonts w:ascii="Calibri" w:hAnsi="Calibri"/>
                <w:b w:val="0"/>
                <w:i w:val="0"/>
                <w:color w:val="212121"/>
                <w:sz w:val="16"/>
              </w:rPr>
              <w:t>Suggests choledocholithiasis, Mirizzi syndrome or cholangitis</w:t>
            </w:r>
          </w:p>
        </w:tc>
        <w:tc>
          <w:tcPr>
            <w:tcW w:type="dxa" w:w="1036"/>
            <w:vAlign w:val="top"/>
          </w:tcPr>
          <w:p>
            <w:pPr>
              <w:spacing w:after="40" w:before="0" w:line="259" w:lineRule="auto"/>
            </w:pPr>
            <w:r>
              <w:rPr>
                <w:rFonts w:ascii="Calibri" w:hAnsi="Calibri"/>
                <w:b w:val="0"/>
                <w:i w:val="0"/>
                <w:color w:val="212121"/>
                <w:sz w:val="16"/>
              </w:rPr>
              <w:t>Jaundiced patients, suspected CBD stones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Guides need for MRCP/ERCP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amylase / lipase</w:t>
            </w:r>
          </w:p>
        </w:tc>
        <w:tc>
          <w:tcPr>
            <w:tcW w:type="dxa" w:w="892"/>
            <w:vAlign w:val="top"/>
          </w:tcPr>
          <w:p>
            <w:pPr>
              <w:spacing w:after="40" w:before="0" w:line="259" w:lineRule="auto"/>
            </w:pPr>
            <w:r>
              <w:rPr>
                <w:rFonts w:ascii="Calibri" w:hAnsi="Calibri"/>
                <w:b w:val="0"/>
                <w:i w:val="0"/>
                <w:color w:val="212121"/>
                <w:sz w:val="16"/>
              </w:rPr>
              <w:t>Pancreatic enzymes</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Elevated (lipase &gt; 3× ULN)</w:t>
            </w:r>
          </w:p>
        </w:tc>
        <w:tc>
          <w:tcPr>
            <w:tcW w:type="dxa" w:w="1036"/>
            <w:vAlign w:val="top"/>
          </w:tcPr>
          <w:p>
            <w:pPr>
              <w:spacing w:after="40" w:before="0" w:line="259" w:lineRule="auto"/>
            </w:pPr>
            <w:r>
              <w:rPr>
                <w:rFonts w:ascii="Calibri" w:hAnsi="Calibri"/>
                <w:b w:val="0"/>
                <w:i w:val="0"/>
                <w:color w:val="212121"/>
                <w:sz w:val="16"/>
              </w:rPr>
              <w:t>Detects associated gallstone pancreatitis</w:t>
            </w:r>
          </w:p>
        </w:tc>
        <w:tc>
          <w:tcPr>
            <w:tcW w:type="dxa" w:w="1036"/>
            <w:vAlign w:val="top"/>
          </w:tcPr>
          <w:p>
            <w:pPr>
              <w:spacing w:after="40" w:before="0" w:line="259" w:lineRule="auto"/>
            </w:pPr>
            <w:r>
              <w:rPr>
                <w:rFonts w:ascii="Calibri" w:hAnsi="Calibri"/>
                <w:b w:val="0"/>
                <w:i w:val="0"/>
                <w:color w:val="212121"/>
                <w:sz w:val="16"/>
              </w:rPr>
              <w:t>Severe pain, suspected pancreatitis</w:t>
            </w:r>
          </w:p>
        </w:tc>
        <w:tc>
          <w:tcPr>
            <w:tcW w:type="dxa" w:w="720"/>
            <w:vAlign w:val="top"/>
          </w:tcPr>
          <w:p>
            <w:pPr>
              <w:spacing w:after="40" w:before="0" w:line="259" w:lineRule="auto"/>
            </w:pPr>
            <w:r>
              <w:rPr>
                <w:rFonts w:ascii="Calibri" w:hAnsi="Calibri"/>
                <w:b w:val="0"/>
                <w:i w:val="0"/>
                <w:color w:val="212121"/>
                <w:sz w:val="16"/>
              </w:rPr>
              <w:t>Alcohol;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Gallstones are a leading cause of acute pancreatitis in India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Common-bile-duct stones, complications</w:t>
            </w:r>
          </w:p>
        </w:tc>
        <w:tc>
          <w:tcPr>
            <w:tcW w:type="dxa" w:w="892"/>
            <w:vAlign w:val="top"/>
          </w:tcPr>
          <w:p>
            <w:pPr>
              <w:spacing w:after="40" w:before="0" w:line="259" w:lineRule="auto"/>
            </w:pPr>
            <w:r>
              <w:rPr>
                <w:rFonts w:ascii="Calibri" w:hAnsi="Calibri"/>
                <w:b w:val="0"/>
                <w:i w:val="0"/>
                <w:color w:val="212121"/>
                <w:sz w:val="16"/>
              </w:rPr>
              <w:t>CT abdomen / MRCP</w:t>
            </w:r>
          </w:p>
        </w:tc>
        <w:tc>
          <w:tcPr>
            <w:tcW w:type="dxa" w:w="950"/>
            <w:vAlign w:val="top"/>
          </w:tcPr>
          <w:p>
            <w:pPr>
              <w:spacing w:after="40" w:before="0" w:line="259" w:lineRule="auto"/>
            </w:pPr>
            <w:r>
              <w:rPr>
                <w:rFonts w:ascii="Calibri" w:hAnsi="Calibri"/>
                <w:b w:val="0"/>
                <w:i w:val="0"/>
                <w:color w:val="212121"/>
                <w:sz w:val="16"/>
              </w:rPr>
              <w:t>No duct dilatation, stones or perforation</w:t>
            </w:r>
          </w:p>
        </w:tc>
        <w:tc>
          <w:tcPr>
            <w:tcW w:type="dxa" w:w="950"/>
            <w:vAlign w:val="top"/>
          </w:tcPr>
          <w:p>
            <w:pPr>
              <w:spacing w:after="40" w:before="0" w:line="259" w:lineRule="auto"/>
            </w:pPr>
            <w:r>
              <w:rPr>
                <w:rFonts w:ascii="Calibri" w:hAnsi="Calibri"/>
                <w:b w:val="0"/>
                <w:i w:val="0"/>
                <w:color w:val="212121"/>
                <w:sz w:val="16"/>
              </w:rPr>
              <w:t>CBD stones, dilatation, gas (emphysematous), perforation, abscess</w:t>
            </w:r>
          </w:p>
        </w:tc>
        <w:tc>
          <w:tcPr>
            <w:tcW w:type="dxa" w:w="1036"/>
            <w:vAlign w:val="top"/>
          </w:tcPr>
          <w:p>
            <w:pPr>
              <w:spacing w:after="40" w:before="0" w:line="259" w:lineRule="auto"/>
            </w:pPr>
            <w:r>
              <w:rPr>
                <w:rFonts w:ascii="Calibri" w:hAnsi="Calibri"/>
                <w:b w:val="0"/>
                <w:i w:val="0"/>
                <w:color w:val="212121"/>
                <w:sz w:val="16"/>
              </w:rPr>
              <w:t>Defines complications and biliary anatomy before surgery</w:t>
            </w:r>
          </w:p>
        </w:tc>
        <w:tc>
          <w:tcPr>
            <w:tcW w:type="dxa" w:w="1036"/>
            <w:vAlign w:val="top"/>
          </w:tcPr>
          <w:p>
            <w:pPr>
              <w:spacing w:after="40" w:before="0" w:line="259" w:lineRule="auto"/>
            </w:pPr>
            <w:r>
              <w:rPr>
                <w:rFonts w:ascii="Calibri" w:hAnsi="Calibri"/>
                <w:b w:val="0"/>
                <w:i w:val="0"/>
                <w:color w:val="212121"/>
                <w:sz w:val="16"/>
              </w:rPr>
              <w:t>Complicated/severe disease, abnormal LFTs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MRCP is non-invasive for ductal stones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Blood culture</w:t>
            </w:r>
          </w:p>
        </w:tc>
        <w:tc>
          <w:tcPr>
            <w:tcW w:type="dxa" w:w="892"/>
            <w:vAlign w:val="top"/>
          </w:tcPr>
          <w:p>
            <w:pPr>
              <w:spacing w:after="40" w:before="0" w:line="259" w:lineRule="auto"/>
            </w:pPr>
            <w:r>
              <w:rPr>
                <w:rFonts w:ascii="Calibri" w:hAnsi="Calibri"/>
                <w:b w:val="0"/>
                <w:i w:val="0"/>
                <w:color w:val="212121"/>
                <w:sz w:val="16"/>
              </w:rPr>
              <w:t>Culture &amp; sensitivity</w:t>
            </w:r>
          </w:p>
        </w:tc>
        <w:tc>
          <w:tcPr>
            <w:tcW w:type="dxa" w:w="950"/>
            <w:vAlign w:val="top"/>
          </w:tcPr>
          <w:p>
            <w:pPr>
              <w:spacing w:after="40" w:before="0" w:line="259" w:lineRule="auto"/>
            </w:pPr>
            <w:r>
              <w:rPr>
                <w:rFonts w:ascii="Calibri" w:hAnsi="Calibri"/>
                <w:b w:val="0"/>
                <w:i w:val="0"/>
                <w:color w:val="212121"/>
                <w:sz w:val="16"/>
              </w:rPr>
              <w:t>No growth</w:t>
            </w:r>
          </w:p>
        </w:tc>
        <w:tc>
          <w:tcPr>
            <w:tcW w:type="dxa" w:w="950"/>
            <w:vAlign w:val="top"/>
          </w:tcPr>
          <w:p>
            <w:pPr>
              <w:spacing w:after="40" w:before="0" w:line="259" w:lineRule="auto"/>
            </w:pPr>
            <w:r>
              <w:rPr>
                <w:rFonts w:ascii="Calibri" w:hAnsi="Calibri"/>
                <w:b w:val="0"/>
                <w:i w:val="0"/>
                <w:color w:val="212121"/>
                <w:sz w:val="16"/>
              </w:rPr>
              <w:t>Enteric organisms (E. coli, Klebsiella, Enterococcus)</w:t>
            </w:r>
          </w:p>
        </w:tc>
        <w:tc>
          <w:tcPr>
            <w:tcW w:type="dxa" w:w="1036"/>
            <w:vAlign w:val="top"/>
          </w:tcPr>
          <w:p>
            <w:pPr>
              <w:spacing w:after="40" w:before="0" w:line="259" w:lineRule="auto"/>
            </w:pPr>
            <w:r>
              <w:rPr>
                <w:rFonts w:ascii="Calibri" w:hAnsi="Calibri"/>
                <w:b w:val="0"/>
                <w:i w:val="0"/>
                <w:color w:val="212121"/>
                <w:sz w:val="16"/>
              </w:rPr>
              <w:t>Guides antibiotics in moderate–severe (TG18 Grade II–III) disease</w:t>
            </w:r>
          </w:p>
        </w:tc>
        <w:tc>
          <w:tcPr>
            <w:tcW w:type="dxa" w:w="1036"/>
            <w:vAlign w:val="top"/>
          </w:tcPr>
          <w:p>
            <w:pPr>
              <w:spacing w:after="40" w:before="0" w:line="259" w:lineRule="auto"/>
            </w:pPr>
            <w:r>
              <w:rPr>
                <w:rFonts w:ascii="Calibri" w:hAnsi="Calibri"/>
                <w:b w:val="0"/>
                <w:i w:val="0"/>
                <w:color w:val="212121"/>
                <w:sz w:val="16"/>
              </w:rPr>
              <w:t>Sepsis, Grade III cholecystitis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Obtain before antibiotics where feasible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 &amp; pain pattern</w:t>
            </w:r>
          </w:p>
        </w:tc>
        <w:tc>
          <w:tcPr>
            <w:tcW w:type="dxa" w:w="979"/>
            <w:vAlign w:val="top"/>
          </w:tcPr>
          <w:p>
            <w:pPr>
              <w:spacing w:after="40" w:before="0" w:line="259" w:lineRule="auto"/>
            </w:pPr>
            <w:r>
              <w:rPr>
                <w:rFonts w:ascii="Calibri" w:hAnsi="Calibri"/>
                <w:b w:val="0"/>
                <w:i w:val="0"/>
                <w:color w:val="212121"/>
                <w:sz w:val="16"/>
              </w:rPr>
              <w:t>RUQ/epigastric pain, relation to fatty meals, duration</w:t>
            </w:r>
          </w:p>
        </w:tc>
        <w:tc>
          <w:tcPr>
            <w:tcW w:type="dxa" w:w="950"/>
            <w:vAlign w:val="top"/>
          </w:tcPr>
          <w:p>
            <w:pPr>
              <w:spacing w:after="40" w:before="0" w:line="259" w:lineRule="auto"/>
            </w:pPr>
            <w:r>
              <w:rPr>
                <w:rFonts w:ascii="Calibri" w:hAnsi="Calibri"/>
                <w:b w:val="0"/>
                <w:i w:val="0"/>
                <w:color w:val="212121"/>
                <w:sz w:val="16"/>
              </w:rPr>
              <w:t>No biliary pain</w:t>
            </w:r>
          </w:p>
        </w:tc>
        <w:tc>
          <w:tcPr>
            <w:tcW w:type="dxa" w:w="950"/>
            <w:vAlign w:val="top"/>
          </w:tcPr>
          <w:p>
            <w:pPr>
              <w:spacing w:after="40" w:before="0" w:line="259" w:lineRule="auto"/>
            </w:pPr>
            <w:r>
              <w:rPr>
                <w:rFonts w:ascii="Calibri" w:hAnsi="Calibri"/>
                <w:b w:val="0"/>
                <w:i w:val="0"/>
                <w:color w:val="212121"/>
                <w:sz w:val="16"/>
              </w:rPr>
              <w:t>Steady severe RUQ pain &gt; 4–6 h, often post-fatty-meal, radiating to right shoulder/scapula</w:t>
            </w:r>
          </w:p>
        </w:tc>
        <w:tc>
          <w:tcPr>
            <w:tcW w:type="dxa" w:w="1036"/>
            <w:vAlign w:val="top"/>
          </w:tcPr>
          <w:p>
            <w:pPr>
              <w:spacing w:after="40" w:before="0" w:line="259" w:lineRule="auto"/>
            </w:pPr>
            <w:r>
              <w:rPr>
                <w:rFonts w:ascii="Calibri" w:hAnsi="Calibri"/>
                <w:b w:val="0"/>
                <w:i w:val="0"/>
                <w:color w:val="212121"/>
                <w:sz w:val="16"/>
              </w:rPr>
              <w:t>Pain lasting &gt; 6 h suggests cholecystitis rather than transient biliary colic</w:t>
            </w:r>
          </w:p>
        </w:tc>
        <w:tc>
          <w:tcPr>
            <w:tcW w:type="dxa" w:w="1036"/>
            <w:vAlign w:val="top"/>
          </w:tcPr>
          <w:p>
            <w:pPr>
              <w:spacing w:after="40" w:before="0" w:line="259" w:lineRule="auto"/>
            </w:pPr>
            <w:r>
              <w:rPr>
                <w:rFonts w:ascii="Calibri" w:hAnsi="Calibri"/>
                <w:b w:val="0"/>
                <w:i w:val="0"/>
                <w:color w:val="212121"/>
                <w:sz w:val="16"/>
              </w:rPr>
              <w:t>Adults with RUQ pain, prior biliary colic</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about fatty-meal and night-time triggers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Risk-factor &amp; exposure history</w:t>
            </w:r>
          </w:p>
        </w:tc>
        <w:tc>
          <w:tcPr>
            <w:tcW w:type="dxa" w:w="979"/>
            <w:vAlign w:val="top"/>
          </w:tcPr>
          <w:p>
            <w:pPr>
              <w:spacing w:after="40" w:before="0" w:line="259" w:lineRule="auto"/>
            </w:pPr>
            <w:r>
              <w:rPr>
                <w:rFonts w:ascii="Calibri" w:hAnsi="Calibri"/>
                <w:b w:val="0"/>
                <w:i w:val="0"/>
                <w:color w:val="212121"/>
                <w:sz w:val="16"/>
              </w:rPr>
              <w:t>5-F profile, family history, typhoid exposure, rapid weight loss</w:t>
            </w:r>
          </w:p>
        </w:tc>
        <w:tc>
          <w:tcPr>
            <w:tcW w:type="dxa" w:w="950"/>
            <w:vAlign w:val="top"/>
          </w:tcPr>
          <w:p>
            <w:pPr>
              <w:spacing w:after="40" w:before="0" w:line="259" w:lineRule="auto"/>
            </w:pPr>
            <w:r>
              <w:rPr>
                <w:rFonts w:ascii="Calibri" w:hAnsi="Calibri"/>
                <w:b w:val="0"/>
                <w:i w:val="0"/>
                <w:color w:val="212121"/>
                <w:sz w:val="16"/>
              </w:rPr>
              <w:t>No risk factors</w:t>
            </w:r>
          </w:p>
        </w:tc>
        <w:tc>
          <w:tcPr>
            <w:tcW w:type="dxa" w:w="950"/>
            <w:vAlign w:val="top"/>
          </w:tcPr>
          <w:p>
            <w:pPr>
              <w:spacing w:after="40" w:before="0" w:line="259" w:lineRule="auto"/>
            </w:pPr>
            <w:r>
              <w:rPr>
                <w:rFonts w:ascii="Calibri" w:hAnsi="Calibri"/>
                <w:b w:val="0"/>
                <w:i w:val="0"/>
                <w:color w:val="212121"/>
                <w:sz w:val="16"/>
              </w:rPr>
              <w:t>Female, forty+, fertile, fat, family history; typhoid carriage; crash dieting</w:t>
            </w:r>
          </w:p>
        </w:tc>
        <w:tc>
          <w:tcPr>
            <w:tcW w:type="dxa" w:w="1036"/>
            <w:vAlign w:val="top"/>
          </w:tcPr>
          <w:p>
            <w:pPr>
              <w:spacing w:after="40" w:before="0" w:line="259" w:lineRule="auto"/>
            </w:pPr>
            <w:r>
              <w:rPr>
                <w:rFonts w:ascii="Calibri" w:hAnsi="Calibri"/>
                <w:b w:val="0"/>
                <w:i w:val="0"/>
                <w:color w:val="212121"/>
                <w:sz w:val="16"/>
              </w:rPr>
              <w:t>Stratifies pre-test probability and India-specific risk</w:t>
            </w:r>
          </w:p>
        </w:tc>
        <w:tc>
          <w:tcPr>
            <w:tcW w:type="dxa" w:w="1036"/>
            <w:vAlign w:val="top"/>
          </w:tcPr>
          <w:p>
            <w:pPr>
              <w:spacing w:after="40" w:before="0" w:line="259" w:lineRule="auto"/>
            </w:pPr>
            <w:r>
              <w:rPr>
                <w:rFonts w:ascii="Calibri" w:hAnsi="Calibri"/>
                <w:b w:val="0"/>
                <w:i w:val="0"/>
                <w:color w:val="212121"/>
                <w:sz w:val="16"/>
              </w:rPr>
              <w:t>North Indian, women, obese, diabetics, typhoid carriers</w:t>
            </w:r>
          </w:p>
        </w:tc>
        <w:tc>
          <w:tcPr>
            <w:tcW w:type="dxa" w:w="720"/>
            <w:vAlign w:val="top"/>
          </w:tcPr>
          <w:p>
            <w:pPr>
              <w:spacing w:after="40" w:before="0" w:line="259" w:lineRule="auto"/>
            </w:pPr>
            <w:r>
              <w:rPr>
                <w:rFonts w:ascii="Calibri" w:hAnsi="Calibri"/>
                <w:b w:val="0"/>
                <w:i w:val="0"/>
                <w:color w:val="212121"/>
                <w:sz w:val="16"/>
              </w:rPr>
              <w:t>Food; Hygiene</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Note prior attacks and known gallstones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Murphy's sign</w:t>
            </w:r>
          </w:p>
        </w:tc>
        <w:tc>
          <w:tcPr>
            <w:tcW w:type="dxa" w:w="979"/>
            <w:vAlign w:val="top"/>
          </w:tcPr>
          <w:p>
            <w:pPr>
              <w:spacing w:after="40" w:before="0" w:line="259" w:lineRule="auto"/>
            </w:pPr>
            <w:r>
              <w:rPr>
                <w:rFonts w:ascii="Calibri" w:hAnsi="Calibri"/>
                <w:b w:val="0"/>
                <w:i w:val="0"/>
                <w:color w:val="212121"/>
                <w:sz w:val="16"/>
              </w:rPr>
              <w:t>Inspiratory arrest on RUQ palpation</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(sudden arrest of inspiration with pain)</w:t>
            </w:r>
          </w:p>
        </w:tc>
        <w:tc>
          <w:tcPr>
            <w:tcW w:type="dxa" w:w="1036"/>
            <w:vAlign w:val="top"/>
          </w:tcPr>
          <w:p>
            <w:pPr>
              <w:spacing w:after="40" w:before="0" w:line="259" w:lineRule="auto"/>
            </w:pPr>
            <w:r>
              <w:rPr>
                <w:rFonts w:ascii="Calibri" w:hAnsi="Calibri"/>
                <w:b w:val="0"/>
                <w:i w:val="0"/>
                <w:color w:val="212121"/>
                <w:sz w:val="16"/>
              </w:rPr>
              <w:t>Local inflammation (TG18 criterion A); high specificity for acute cholecystitis</w:t>
            </w:r>
          </w:p>
        </w:tc>
        <w:tc>
          <w:tcPr>
            <w:tcW w:type="dxa" w:w="1036"/>
            <w:vAlign w:val="top"/>
          </w:tcPr>
          <w:p>
            <w:pPr>
              <w:spacing w:after="40" w:before="0" w:line="259" w:lineRule="auto"/>
            </w:pPr>
            <w:r>
              <w:rPr>
                <w:rFonts w:ascii="Calibri" w:hAnsi="Calibri"/>
                <w:b w:val="0"/>
                <w:i w:val="0"/>
                <w:color w:val="212121"/>
                <w:sz w:val="16"/>
              </w:rPr>
              <w:t>Suspected acute cholecystitis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 (TG18)</w:t>
            </w:r>
          </w:p>
        </w:tc>
        <w:tc>
          <w:tcPr>
            <w:tcW w:type="dxa" w:w="720"/>
            <w:vAlign w:val="top"/>
          </w:tcPr>
          <w:p>
            <w:pPr>
              <w:spacing w:after="40" w:before="0" w:line="259" w:lineRule="auto"/>
            </w:pPr>
            <w:r>
              <w:rPr>
                <w:rFonts w:ascii="Calibri" w:hAnsi="Calibri"/>
                <w:b w:val="0"/>
                <w:i w:val="0"/>
                <w:color w:val="212121"/>
                <w:sz w:val="16"/>
              </w:rPr>
              <w:t>May be blunted in the elderly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RUQ tenderness / palpable gallbladder</w:t>
            </w:r>
          </w:p>
        </w:tc>
        <w:tc>
          <w:tcPr>
            <w:tcW w:type="dxa" w:w="979"/>
            <w:vAlign w:val="top"/>
          </w:tcPr>
          <w:p>
            <w:pPr>
              <w:spacing w:after="40" w:before="0" w:line="259" w:lineRule="auto"/>
            </w:pPr>
            <w:r>
              <w:rPr>
                <w:rFonts w:ascii="Calibri" w:hAnsi="Calibri"/>
                <w:b w:val="0"/>
                <w:i w:val="0"/>
                <w:color w:val="212121"/>
                <w:sz w:val="16"/>
              </w:rPr>
              <w:t>Guarding, tenderness, tender mass</w:t>
            </w:r>
          </w:p>
        </w:tc>
        <w:tc>
          <w:tcPr>
            <w:tcW w:type="dxa" w:w="950"/>
            <w:vAlign w:val="top"/>
          </w:tcPr>
          <w:p>
            <w:pPr>
              <w:spacing w:after="40" w:before="0" w:line="259" w:lineRule="auto"/>
            </w:pPr>
            <w:r>
              <w:rPr>
                <w:rFonts w:ascii="Calibri" w:hAnsi="Calibri"/>
                <w:b w:val="0"/>
                <w:i w:val="0"/>
                <w:color w:val="212121"/>
                <w:sz w:val="16"/>
              </w:rPr>
              <w:t>Soft, non-tender</w:t>
            </w:r>
          </w:p>
        </w:tc>
        <w:tc>
          <w:tcPr>
            <w:tcW w:type="dxa" w:w="950"/>
            <w:vAlign w:val="top"/>
          </w:tcPr>
          <w:p>
            <w:pPr>
              <w:spacing w:after="40" w:before="0" w:line="259" w:lineRule="auto"/>
            </w:pPr>
            <w:r>
              <w:rPr>
                <w:rFonts w:ascii="Calibri" w:hAnsi="Calibri"/>
                <w:b w:val="0"/>
                <w:i w:val="0"/>
                <w:color w:val="212121"/>
                <w:sz w:val="16"/>
              </w:rPr>
              <w:t>RUQ guarding, tenderness or palpable tender gallbladder mass</w:t>
            </w:r>
          </w:p>
        </w:tc>
        <w:tc>
          <w:tcPr>
            <w:tcW w:type="dxa" w:w="1036"/>
            <w:vAlign w:val="top"/>
          </w:tcPr>
          <w:p>
            <w:pPr>
              <w:spacing w:after="40" w:before="0" w:line="259" w:lineRule="auto"/>
            </w:pPr>
            <w:r>
              <w:rPr>
                <w:rFonts w:ascii="Calibri" w:hAnsi="Calibri"/>
                <w:b w:val="0"/>
                <w:i w:val="0"/>
                <w:color w:val="212121"/>
                <w:sz w:val="16"/>
              </w:rPr>
              <w:t>Local inflammation; a mass suggests empyema or a phlegmon</w:t>
            </w:r>
          </w:p>
        </w:tc>
        <w:tc>
          <w:tcPr>
            <w:tcW w:type="dxa" w:w="1036"/>
            <w:vAlign w:val="top"/>
          </w:tcPr>
          <w:p>
            <w:pPr>
              <w:spacing w:after="40" w:before="0" w:line="259" w:lineRule="auto"/>
            </w:pPr>
            <w:r>
              <w:rPr>
                <w:rFonts w:ascii="Calibri" w:hAnsi="Calibri"/>
                <w:b w:val="0"/>
                <w:i w:val="0"/>
                <w:color w:val="212121"/>
                <w:sz w:val="16"/>
              </w:rPr>
              <w:t>Acute presentations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 (TG18)</w:t>
            </w:r>
          </w:p>
        </w:tc>
        <w:tc>
          <w:tcPr>
            <w:tcW w:type="dxa" w:w="720"/>
            <w:vAlign w:val="top"/>
          </w:tcPr>
          <w:p>
            <w:pPr>
              <w:spacing w:after="40" w:before="0" w:line="259" w:lineRule="auto"/>
            </w:pPr>
            <w:r>
              <w:rPr>
                <w:rFonts w:ascii="Calibri" w:hAnsi="Calibri"/>
                <w:b w:val="0"/>
                <w:i w:val="0"/>
                <w:color w:val="212121"/>
                <w:sz w:val="16"/>
              </w:rPr>
              <w:t>Rebound/rigidity suggests perforation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Vital signs / systemic response</w:t>
            </w:r>
          </w:p>
        </w:tc>
        <w:tc>
          <w:tcPr>
            <w:tcW w:type="dxa" w:w="979"/>
            <w:vAlign w:val="top"/>
          </w:tcPr>
          <w:p>
            <w:pPr>
              <w:spacing w:after="40" w:before="0" w:line="259" w:lineRule="auto"/>
            </w:pPr>
            <w:r>
              <w:rPr>
                <w:rFonts w:ascii="Calibri" w:hAnsi="Calibri"/>
                <w:b w:val="0"/>
                <w:i w:val="0"/>
                <w:color w:val="212121"/>
                <w:sz w:val="16"/>
              </w:rPr>
              <w:t>Temperature, pulse, blood pressure</w:t>
            </w:r>
          </w:p>
        </w:tc>
        <w:tc>
          <w:tcPr>
            <w:tcW w:type="dxa" w:w="950"/>
            <w:vAlign w:val="top"/>
          </w:tcPr>
          <w:p>
            <w:pPr>
              <w:spacing w:after="40" w:before="0" w:line="259" w:lineRule="auto"/>
            </w:pPr>
            <w:r>
              <w:rPr>
                <w:rFonts w:ascii="Calibri" w:hAnsi="Calibri"/>
                <w:b w:val="0"/>
                <w:i w:val="0"/>
                <w:color w:val="212121"/>
                <w:sz w:val="16"/>
              </w:rPr>
              <w:t>Afebrile, stable haemodynamics</w:t>
            </w:r>
          </w:p>
        </w:tc>
        <w:tc>
          <w:tcPr>
            <w:tcW w:type="dxa" w:w="950"/>
            <w:vAlign w:val="top"/>
          </w:tcPr>
          <w:p>
            <w:pPr>
              <w:spacing w:after="40" w:before="0" w:line="259" w:lineRule="auto"/>
            </w:pPr>
            <w:r>
              <w:rPr>
                <w:rFonts w:ascii="Calibri" w:hAnsi="Calibri"/>
                <w:b w:val="0"/>
                <w:i w:val="0"/>
                <w:color w:val="212121"/>
                <w:sz w:val="16"/>
              </w:rPr>
              <w:t>Fever, tachycardia, hypotension</w:t>
            </w:r>
          </w:p>
        </w:tc>
        <w:tc>
          <w:tcPr>
            <w:tcW w:type="dxa" w:w="1036"/>
            <w:vAlign w:val="top"/>
          </w:tcPr>
          <w:p>
            <w:pPr>
              <w:spacing w:after="40" w:before="0" w:line="259" w:lineRule="auto"/>
            </w:pPr>
            <w:r>
              <w:rPr>
                <w:rFonts w:ascii="Calibri" w:hAnsi="Calibri"/>
                <w:b w:val="0"/>
                <w:i w:val="0"/>
                <w:color w:val="212121"/>
                <w:sz w:val="16"/>
              </w:rPr>
              <w:t>Fever supports systemic inflammation; shock indicates Grade III severe disease</w:t>
            </w:r>
          </w:p>
        </w:tc>
        <w:tc>
          <w:tcPr>
            <w:tcW w:type="dxa" w:w="1036"/>
            <w:vAlign w:val="top"/>
          </w:tcPr>
          <w:p>
            <w:pPr>
              <w:spacing w:after="40" w:before="0" w:line="259" w:lineRule="auto"/>
            </w:pPr>
            <w:r>
              <w:rPr>
                <w:rFonts w:ascii="Calibri" w:hAnsi="Calibri"/>
                <w:b w:val="0"/>
                <w:i w:val="0"/>
                <w:color w:val="212121"/>
                <w:sz w:val="16"/>
              </w:rPr>
              <w:t>Acute/severe cholecystitis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Drives TG18 severity grading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Jaundice / Boas' sign</w:t>
            </w:r>
          </w:p>
        </w:tc>
        <w:tc>
          <w:tcPr>
            <w:tcW w:type="dxa" w:w="979"/>
            <w:vAlign w:val="top"/>
          </w:tcPr>
          <w:p>
            <w:pPr>
              <w:spacing w:after="40" w:before="0" w:line="259" w:lineRule="auto"/>
            </w:pPr>
            <w:r>
              <w:rPr>
                <w:rFonts w:ascii="Calibri" w:hAnsi="Calibri"/>
                <w:b w:val="0"/>
                <w:i w:val="0"/>
                <w:color w:val="212121"/>
                <w:sz w:val="16"/>
              </w:rPr>
              <w:t>Scleral icterus; right subscapular hyperaesthesia</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Jaundice (CBD obstruction/Mirizzi); Boas' sign positive</w:t>
            </w:r>
          </w:p>
        </w:tc>
        <w:tc>
          <w:tcPr>
            <w:tcW w:type="dxa" w:w="1036"/>
            <w:vAlign w:val="top"/>
          </w:tcPr>
          <w:p>
            <w:pPr>
              <w:spacing w:after="40" w:before="0" w:line="259" w:lineRule="auto"/>
            </w:pPr>
            <w:r>
              <w:rPr>
                <w:rFonts w:ascii="Calibri" w:hAnsi="Calibri"/>
                <w:b w:val="0"/>
                <w:i w:val="0"/>
                <w:color w:val="212121"/>
                <w:sz w:val="16"/>
              </w:rPr>
              <w:t>Jaundice signals ductal involvement; Boas' sign is referred cutaneous hyperaesthesia</w:t>
            </w:r>
          </w:p>
        </w:tc>
        <w:tc>
          <w:tcPr>
            <w:tcW w:type="dxa" w:w="1036"/>
            <w:vAlign w:val="top"/>
          </w:tcPr>
          <w:p>
            <w:pPr>
              <w:spacing w:after="40" w:before="0" w:line="259" w:lineRule="auto"/>
            </w:pPr>
            <w:r>
              <w:rPr>
                <w:rFonts w:ascii="Calibri" w:hAnsi="Calibri"/>
                <w:b w:val="0"/>
                <w:i w:val="0"/>
                <w:color w:val="212121"/>
                <w:sz w:val="16"/>
              </w:rPr>
              <w:t>Suspected choledocholithiasis, Mirizzi syndrome</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Prompts liver panel and MRCP</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Right-upper-quadrant / epigastric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Steady, severe pain lasting more than 4–6 hours, often beginning after a fatty or heavy meal; the cardinal symptom.</w:t>
            </w:r>
          </w:p>
        </w:tc>
      </w:tr>
      <w:tr>
        <w:trPr>
          <w:cantSplit/>
        </w:trPr>
        <w:tc>
          <w:tcPr>
            <w:tcW w:type="dxa" w:w="2304"/>
            <w:vAlign w:val="top"/>
          </w:tcPr>
          <w:p>
            <w:pPr>
              <w:spacing w:after="40" w:before="0" w:line="259" w:lineRule="auto"/>
            </w:pPr>
            <w:r>
              <w:rPr>
                <w:rFonts w:ascii="Calibri" w:hAnsi="Calibri"/>
                <w:b/>
                <w:i w:val="0"/>
                <w:color w:val="212121"/>
                <w:sz w:val="19"/>
              </w:rPr>
              <w:t>Pain radiating to right shoulder / scapula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Referred pain to the right shoulder tip or between the shoulder blades (Boas' distribution).</w:t>
            </w:r>
          </w:p>
        </w:tc>
      </w:tr>
      <w:tr>
        <w:trPr>
          <w:cantSplit/>
        </w:trPr>
        <w:tc>
          <w:tcPr>
            <w:tcW w:type="dxa" w:w="2304"/>
            <w:vAlign w:val="top"/>
          </w:tcPr>
          <w:p>
            <w:pPr>
              <w:spacing w:after="40" w:before="0" w:line="259" w:lineRule="auto"/>
            </w:pPr>
            <w:r>
              <w:rPr>
                <w:rFonts w:ascii="Calibri" w:hAnsi="Calibri"/>
                <w:b/>
                <w:i w:val="0"/>
                <w:color w:val="212121"/>
                <w:sz w:val="19"/>
              </w:rPr>
              <w:t>Nausea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Frequently accompanies biliary pain due to gallbladder distension and vagal stimulation.</w:t>
            </w:r>
          </w:p>
        </w:tc>
      </w:tr>
      <w:tr>
        <w:trPr>
          <w:cantSplit/>
        </w:trPr>
        <w:tc>
          <w:tcPr>
            <w:tcW w:type="dxa" w:w="2304"/>
            <w:vAlign w:val="top"/>
          </w:tcPr>
          <w:p>
            <w:pPr>
              <w:spacing w:after="40" w:before="0" w:line="259" w:lineRule="auto"/>
            </w:pPr>
            <w:r>
              <w:rPr>
                <w:rFonts w:ascii="Calibri" w:hAnsi="Calibri"/>
                <w:b/>
                <w:i w:val="0"/>
                <w:color w:val="212121"/>
                <w:sz w:val="19"/>
              </w:rPr>
              <w:t>Vomiting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Common with acute attacks; persistent vomiting may signal complicated disease or associated pancreatitis.</w:t>
            </w:r>
          </w:p>
        </w:tc>
      </w:tr>
      <w:tr>
        <w:trPr>
          <w:cantSplit/>
        </w:trPr>
        <w:tc>
          <w:tcPr>
            <w:tcW w:type="dxa" w:w="2304"/>
            <w:vAlign w:val="top"/>
          </w:tcPr>
          <w:p>
            <w:pPr>
              <w:spacing w:after="40" w:before="0" w:line="259" w:lineRule="auto"/>
            </w:pPr>
            <w:r>
              <w:rPr>
                <w:rFonts w:ascii="Calibri" w:hAnsi="Calibri"/>
                <w:b/>
                <w:i w:val="0"/>
                <w:color w:val="212121"/>
                <w:sz w:val="19"/>
              </w:rPr>
              <w:t>Fever / chills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Low-grade fever reflects inflammation; high fever with rigors suggests empyema or ascending cholangitis.</w:t>
            </w:r>
          </w:p>
        </w:tc>
      </w:tr>
      <w:tr>
        <w:trPr>
          <w:cantSplit/>
        </w:trPr>
        <w:tc>
          <w:tcPr>
            <w:tcW w:type="dxa" w:w="2304"/>
            <w:vAlign w:val="top"/>
          </w:tcPr>
          <w:p>
            <w:pPr>
              <w:spacing w:after="40" w:before="0" w:line="259" w:lineRule="auto"/>
            </w:pPr>
            <w:r>
              <w:rPr>
                <w:rFonts w:ascii="Calibri" w:hAnsi="Calibri"/>
                <w:b/>
                <w:i w:val="0"/>
                <w:color w:val="212121"/>
                <w:sz w:val="19"/>
              </w:rPr>
              <w:t>Fatty-food intolerance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Bloating, belching and discomfort after fatty meals, especially in chronic cholecystitis.</w:t>
            </w:r>
          </w:p>
        </w:tc>
      </w:tr>
      <w:tr>
        <w:trPr>
          <w:cantSplit/>
        </w:trPr>
        <w:tc>
          <w:tcPr>
            <w:tcW w:type="dxa" w:w="2304"/>
            <w:vAlign w:val="top"/>
          </w:tcPr>
          <w:p>
            <w:pPr>
              <w:spacing w:after="40" w:before="0" w:line="259" w:lineRule="auto"/>
            </w:pPr>
            <w:r>
              <w:rPr>
                <w:rFonts w:ascii="Calibri" w:hAnsi="Calibri"/>
                <w:b/>
                <w:i w:val="0"/>
                <w:color w:val="212121"/>
                <w:sz w:val="19"/>
              </w:rPr>
              <w:t>Anorexia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Loss of appetite during acute inflammation.</w:t>
            </w:r>
          </w:p>
        </w:tc>
      </w:tr>
      <w:tr>
        <w:trPr>
          <w:cantSplit/>
        </w:trPr>
        <w:tc>
          <w:tcPr>
            <w:tcW w:type="dxa" w:w="2304"/>
            <w:vAlign w:val="top"/>
          </w:tcPr>
          <w:p>
            <w:pPr>
              <w:spacing w:after="40" w:before="0" w:line="259" w:lineRule="auto"/>
            </w:pPr>
            <w:r>
              <w:rPr>
                <w:rFonts w:ascii="Calibri" w:hAnsi="Calibri"/>
                <w:b/>
                <w:i w:val="0"/>
                <w:color w:val="212121"/>
                <w:sz w:val="19"/>
              </w:rPr>
              <w:t>Dyspepsia / bloating (chronic)</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Vague upper-abdominal fullness, flatulence and indigestion typify chronic cholecystitis.</w:t>
            </w:r>
          </w:p>
        </w:tc>
      </w:tr>
      <w:tr>
        <w:trPr>
          <w:cantSplit/>
        </w:trPr>
        <w:tc>
          <w:tcPr>
            <w:tcW w:type="dxa" w:w="2304"/>
            <w:vAlign w:val="top"/>
          </w:tcPr>
          <w:p>
            <w:pPr>
              <w:spacing w:after="40" w:before="0" w:line="259" w:lineRule="auto"/>
            </w:pPr>
            <w:r>
              <w:rPr>
                <w:rFonts w:ascii="Calibri" w:hAnsi="Calibri"/>
                <w:b/>
                <w:i w:val="0"/>
                <w:color w:val="212121"/>
                <w:sz w:val="19"/>
              </w:rPr>
              <w:t>Jaundice / dark urine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common-bile-duct obstruction (choledocholithiasis) or Mirizzi syndrome.</w:t>
            </w:r>
          </w:p>
        </w:tc>
      </w:tr>
      <w:tr>
        <w:trPr>
          <w:cantSplit/>
        </w:trPr>
        <w:tc>
          <w:tcPr>
            <w:tcW w:type="dxa" w:w="2304"/>
            <w:vAlign w:val="top"/>
          </w:tcPr>
          <w:p>
            <w:pPr>
              <w:spacing w:after="40" w:before="0" w:line="259" w:lineRule="auto"/>
            </w:pPr>
            <w:r>
              <w:rPr>
                <w:rFonts w:ascii="Calibri" w:hAnsi="Calibri"/>
                <w:b/>
                <w:i w:val="0"/>
                <w:color w:val="212121"/>
                <w:sz w:val="19"/>
              </w:rPr>
              <w:t>Isolated right shoulder-tip pain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Occasional presentation via referred diaphragmatic irritation, easily misattributed.</w:t>
            </w:r>
          </w:p>
        </w:tc>
      </w:tr>
      <w:tr>
        <w:trPr>
          <w:cantSplit/>
        </w:trPr>
        <w:tc>
          <w:tcPr>
            <w:tcW w:type="dxa" w:w="2304"/>
            <w:vAlign w:val="top"/>
          </w:tcPr>
          <w:p>
            <w:pPr>
              <w:spacing w:after="40" w:before="0" w:line="259" w:lineRule="auto"/>
            </w:pPr>
            <w:r>
              <w:rPr>
                <w:rFonts w:ascii="Calibri" w:hAnsi="Calibri"/>
                <w:b/>
                <w:i w:val="0"/>
                <w:color w:val="212121"/>
                <w:sz w:val="19"/>
              </w:rPr>
              <w:t>Confusion / non-specific decline (elderly)</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Older adults may present atypically with delirium or minimal pain despite advanced disease.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Positive Murphy's sign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Inspiratory arrest during RUQ palpation; specific bedside sign of gallbladder inflammation.</w:t>
            </w:r>
          </w:p>
        </w:tc>
      </w:tr>
      <w:tr>
        <w:trPr>
          <w:cantSplit/>
        </w:trPr>
        <w:tc>
          <w:tcPr>
            <w:tcW w:type="dxa" w:w="3456"/>
            <w:vAlign w:val="top"/>
          </w:tcPr>
          <w:p>
            <w:pPr>
              <w:spacing w:after="40" w:before="0" w:line="259" w:lineRule="auto"/>
            </w:pPr>
            <w:r>
              <w:rPr>
                <w:rFonts w:ascii="Calibri" w:hAnsi="Calibri"/>
                <w:b/>
                <w:i w:val="0"/>
                <w:color w:val="212121"/>
                <w:sz w:val="19"/>
              </w:rPr>
              <w:t>RUQ tenderness with guarding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Localised tenderness and voluntary guarding over the gallbladder fossa.</w:t>
            </w:r>
          </w:p>
        </w:tc>
      </w:tr>
      <w:tr>
        <w:trPr>
          <w:cantSplit/>
        </w:trPr>
        <w:tc>
          <w:tcPr>
            <w:tcW w:type="dxa" w:w="3456"/>
            <w:vAlign w:val="top"/>
          </w:tcPr>
          <w:p>
            <w:pPr>
              <w:spacing w:after="40" w:before="0" w:line="259" w:lineRule="auto"/>
            </w:pPr>
            <w:r>
              <w:rPr>
                <w:rFonts w:ascii="Calibri" w:hAnsi="Calibri"/>
                <w:b/>
                <w:i w:val="0"/>
                <w:color w:val="212121"/>
                <w:sz w:val="19"/>
              </w:rPr>
              <w:t>Fever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Reflects systemic inflammatory response; part of TG18 criteria.</w:t>
            </w:r>
          </w:p>
        </w:tc>
      </w:tr>
      <w:tr>
        <w:trPr>
          <w:cantSplit/>
        </w:trPr>
        <w:tc>
          <w:tcPr>
            <w:tcW w:type="dxa" w:w="3456"/>
            <w:vAlign w:val="top"/>
          </w:tcPr>
          <w:p>
            <w:pPr>
              <w:spacing w:after="40" w:before="0" w:line="259" w:lineRule="auto"/>
            </w:pPr>
            <w:r>
              <w:rPr>
                <w:rFonts w:ascii="Calibri" w:hAnsi="Calibri"/>
                <w:b/>
                <w:i w:val="0"/>
                <w:color w:val="212121"/>
                <w:sz w:val="19"/>
              </w:rPr>
              <w:t>Tachycardia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Response to pain, fever and inflammation; marker of severity if persistent.</w:t>
            </w:r>
          </w:p>
        </w:tc>
      </w:tr>
      <w:tr>
        <w:trPr>
          <w:cantSplit/>
        </w:trPr>
        <w:tc>
          <w:tcPr>
            <w:tcW w:type="dxa" w:w="3456"/>
            <w:vAlign w:val="top"/>
          </w:tcPr>
          <w:p>
            <w:pPr>
              <w:spacing w:after="40" w:before="0" w:line="259" w:lineRule="auto"/>
            </w:pPr>
            <w:r>
              <w:rPr>
                <w:rFonts w:ascii="Calibri" w:hAnsi="Calibri"/>
                <w:b/>
                <w:i w:val="0"/>
                <w:color w:val="212121"/>
                <w:sz w:val="19"/>
              </w:rPr>
              <w:t>Palpable tender gallbladder / mass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distended, tender gallbladder or phlegmon may be palpable, suggesting empyema.</w:t>
            </w:r>
          </w:p>
        </w:tc>
      </w:tr>
      <w:tr>
        <w:trPr>
          <w:cantSplit/>
        </w:trPr>
        <w:tc>
          <w:tcPr>
            <w:tcW w:type="dxa" w:w="3456"/>
            <w:vAlign w:val="top"/>
          </w:tcPr>
          <w:p>
            <w:pPr>
              <w:spacing w:after="40" w:before="0" w:line="259" w:lineRule="auto"/>
            </w:pPr>
            <w:r>
              <w:rPr>
                <w:rFonts w:ascii="Calibri" w:hAnsi="Calibri"/>
                <w:b/>
                <w:i w:val="0"/>
                <w:color w:val="212121"/>
                <w:sz w:val="19"/>
              </w:rPr>
              <w:t>Boas' sign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Hyperaesthesia below the right scapula — referred cutaneous sign of gallbladder inflammation.</w:t>
            </w:r>
          </w:p>
        </w:tc>
      </w:tr>
      <w:tr>
        <w:trPr>
          <w:cantSplit/>
        </w:trPr>
        <w:tc>
          <w:tcPr>
            <w:tcW w:type="dxa" w:w="3456"/>
            <w:vAlign w:val="top"/>
          </w:tcPr>
          <w:p>
            <w:pPr>
              <w:spacing w:after="40" w:before="0" w:line="259" w:lineRule="auto"/>
            </w:pPr>
            <w:r>
              <w:rPr>
                <w:rFonts w:ascii="Calibri" w:hAnsi="Calibri"/>
                <w:b/>
                <w:i w:val="0"/>
                <w:color w:val="212121"/>
                <w:sz w:val="19"/>
              </w:rPr>
              <w:t>Mild jaundice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Scleral icterus suggests CBD stone, Mirizzi syndrome or surrounding oedema.</w:t>
            </w:r>
          </w:p>
        </w:tc>
      </w:tr>
      <w:tr>
        <w:trPr>
          <w:cantSplit/>
        </w:trPr>
        <w:tc>
          <w:tcPr>
            <w:tcW w:type="dxa" w:w="3456"/>
            <w:vAlign w:val="top"/>
          </w:tcPr>
          <w:p>
            <w:pPr>
              <w:spacing w:after="40" w:before="0" w:line="259" w:lineRule="auto"/>
            </w:pPr>
            <w:r>
              <w:rPr>
                <w:rFonts w:ascii="Calibri" w:hAnsi="Calibri"/>
                <w:b/>
                <w:i w:val="0"/>
                <w:color w:val="212121"/>
                <w:sz w:val="19"/>
              </w:rPr>
              <w:t>Rebound tenderness / rigidity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Localised peritonism indicates gangrene or perforation with peritonitis.</w:t>
            </w:r>
          </w:p>
        </w:tc>
      </w:tr>
      <w:tr>
        <w:trPr>
          <w:cantSplit/>
        </w:trPr>
        <w:tc>
          <w:tcPr>
            <w:tcW w:type="dxa" w:w="3456"/>
            <w:vAlign w:val="top"/>
          </w:tcPr>
          <w:p>
            <w:pPr>
              <w:spacing w:after="40" w:before="0" w:line="259" w:lineRule="auto"/>
            </w:pPr>
            <w:r>
              <w:rPr>
                <w:rFonts w:ascii="Calibri" w:hAnsi="Calibri"/>
                <w:b/>
                <w:i w:val="0"/>
                <w:color w:val="212121"/>
                <w:sz w:val="19"/>
              </w:rPr>
              <w:t>Signs of sepsis / shock</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Hypotension and organ dysfunction mark TG18 Grade III severe cholecystitis.</w:t>
            </w:r>
          </w:p>
        </w:tc>
      </w:tr>
      <w:tr>
        <w:trPr>
          <w:cantSplit/>
        </w:trPr>
        <w:tc>
          <w:tcPr>
            <w:tcW w:type="dxa" w:w="3456"/>
            <w:vAlign w:val="top"/>
          </w:tcPr>
          <w:p>
            <w:pPr>
              <w:spacing w:after="40" w:before="0" w:line="259" w:lineRule="auto"/>
            </w:pPr>
            <w:r>
              <w:rPr>
                <w:rFonts w:ascii="Calibri" w:hAnsi="Calibri"/>
                <w:b/>
                <w:i w:val="0"/>
                <w:color w:val="212121"/>
                <w:sz w:val="19"/>
              </w:rPr>
              <w:t>Crepitus / gas on imaging (emphysematous)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Gas-forming infection, classically in diabetics; a surgical emergency.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Gangrenous cholecystitis (ischaemic necrosis of the wall)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Gallbladder empyema (pus-filled, obstructed gallbladder)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Emphysematous cholecystitis (gas-forming, often in 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Gallbladder perforation (localised or free)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Pericholecystic abscess</w:t>
            </w:r>
          </w:p>
        </w:tc>
        <w:tc>
          <w:tcPr>
            <w:tcW w:type="dxa" w:w="2980"/>
            <w:vAlign w:val="top"/>
          </w:tcPr>
          <w:p>
            <w:pPr>
              <w:spacing w:after="40" w:before="0" w:line="259" w:lineRule="auto"/>
            </w:pPr>
            <w:r>
              <w:rPr>
                <w:rFonts w:ascii="Calibri" w:hAnsi="Calibri"/>
                <w:b w:val="0"/>
                <w:i w:val="0"/>
                <w:color w:val="212121"/>
                <w:sz w:val="19"/>
              </w:rPr>
              <w:t>Direct local consequences of unrelieved cystic-duct obstruction, rising intraluminal pressure and ischaemia; perforation carries roughly 30% mortality when massive.</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Biliary peritonitis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Sepsis / systemic inflammatory response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Choledocholithiasis (common-bile-duct stones)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Ascending cholangitis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Gallstone (biliary) pancreatitis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Mirizzi syndrome (extrinsic CBD compression)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Cholecystoenteric fistula and gallstone ileus</w:t>
            </w:r>
          </w:p>
        </w:tc>
        <w:tc>
          <w:tcPr>
            <w:tcW w:type="dxa" w:w="2980"/>
            <w:vAlign w:val="top"/>
          </w:tcPr>
          <w:p>
            <w:pPr>
              <w:spacing w:after="40" w:before="0" w:line="259" w:lineRule="auto"/>
            </w:pPr>
            <w:r>
              <w:rPr>
                <w:rFonts w:ascii="Calibri" w:hAnsi="Calibri"/>
                <w:b w:val="0"/>
                <w:i w:val="0"/>
                <w:color w:val="212121"/>
                <w:sz w:val="19"/>
              </w:rPr>
              <w:t>Result from spread of infection/inflammation beyond the gallbladder and from stone migration into the biliary tree and gut.</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cholecystitis with fibrosis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Porcelain (calcified) gallbladder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Gallbladder carcinoma (a major concern in the North-Indian Gangetic belt)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Post-cholecystectomy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biliary disease and repeated hospitalisation</w:t>
            </w:r>
          </w:p>
        </w:tc>
        <w:tc>
          <w:tcPr>
            <w:tcW w:type="dxa" w:w="2980"/>
            <w:vAlign w:val="top"/>
          </w:tcPr>
          <w:p>
            <w:pPr>
              <w:spacing w:after="40" w:before="0" w:line="259" w:lineRule="auto"/>
            </w:pPr>
            <w:r>
              <w:rPr>
                <w:rFonts w:ascii="Calibri" w:hAnsi="Calibri"/>
                <w:b w:val="0"/>
                <w:i w:val="0"/>
                <w:color w:val="212121"/>
                <w:sz w:val="19"/>
              </w:rPr>
              <w:t>Long-term, often irreversible sequelae of repeated or chronic inflammation; India's high gallbladder-cancer burden makes chronic gallstone disease a preventable-cancer pathway.</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Cholelithiasis (gallstones)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direct cause of the great majority of cholecystitis; cystic-duct obstruction by a stone triggers inflammation.</w:t>
            </w:r>
          </w:p>
          <w:p>
            <w:pPr>
              <w:spacing w:after="40" w:before="0" w:line="259" w:lineRule="auto"/>
            </w:pPr>
            <w:r>
              <w:rPr>
                <w:rFonts w:ascii="Calibri" w:hAnsi="Calibri"/>
                <w:b/>
                <w:i w:val="0"/>
                <w:color w:val="212121"/>
                <w:sz w:val="19"/>
              </w:rPr>
              <w:t>Up to ~90–95%</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Increases hepatic cholesterol secretion and biliary saturation while impairing gallbladder emptying; a leading modifiable driver.</w:t>
            </w:r>
          </w:p>
        </w:tc>
      </w:tr>
      <w:tr>
        <w:trPr>
          <w:cantSplit/>
        </w:trPr>
        <w:tc>
          <w:tcPr>
            <w:tcW w:type="dxa" w:w="2232"/>
            <w:vAlign w:val="top"/>
          </w:tcPr>
          <w:p>
            <w:pPr>
              <w:spacing w:after="40" w:before="0" w:line="259" w:lineRule="auto"/>
            </w:pPr>
            <w:r>
              <w:rPr>
                <w:rFonts w:ascii="Calibri" w:hAnsi="Calibri"/>
                <w:b/>
                <w:i w:val="0"/>
                <w:color w:val="212121"/>
                <w:sz w:val="19"/>
              </w:rPr>
              <w:t>Type 2 diabetes mellitus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Impairs gallbladder motility and worsens outcomes; diabetics have more gangrenous and emphysematous disease.</w:t>
            </w:r>
          </w:p>
        </w:tc>
      </w:tr>
      <w:tr>
        <w:trPr>
          <w:cantSplit/>
        </w:trPr>
        <w:tc>
          <w:tcPr>
            <w:tcW w:type="dxa" w:w="2232"/>
            <w:vAlign w:val="top"/>
          </w:tcPr>
          <w:p>
            <w:pPr>
              <w:spacing w:after="40" w:before="0" w:line="259" w:lineRule="auto"/>
            </w:pPr>
            <w:r>
              <w:rPr>
                <w:rFonts w:ascii="Calibri" w:hAnsi="Calibri"/>
                <w:b/>
                <w:i w:val="0"/>
                <w:color w:val="212121"/>
                <w:sz w:val="19"/>
              </w:rPr>
              <w:t>Metabolic syndrome / dyslipidaemia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Insulin resistance, high triglycerides and low HDL accompany lithogenic bile and gallstone formation.</w:t>
            </w:r>
          </w:p>
        </w:tc>
      </w:tr>
      <w:tr>
        <w:trPr>
          <w:cantSplit/>
        </w:trPr>
        <w:tc>
          <w:tcPr>
            <w:tcW w:type="dxa" w:w="2232"/>
            <w:vAlign w:val="top"/>
          </w:tcPr>
          <w:p>
            <w:pPr>
              <w:spacing w:after="40" w:before="0" w:line="259" w:lineRule="auto"/>
            </w:pPr>
            <w:r>
              <w:rPr>
                <w:rFonts w:ascii="Calibri" w:hAnsi="Calibri"/>
                <w:b/>
                <w:i w:val="0"/>
                <w:color w:val="212121"/>
                <w:sz w:val="19"/>
              </w:rPr>
              <w:t>Non-alcoholic fatty liver disease (NAFLD)</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Shares insulin-resistance and dysregulated-lipid mechanisms; frequently coexists with gallstone disease.</w:t>
            </w:r>
          </w:p>
        </w:tc>
      </w:tr>
      <w:tr>
        <w:trPr>
          <w:cantSplit/>
        </w:trPr>
        <w:tc>
          <w:tcPr>
            <w:tcW w:type="dxa" w:w="2232"/>
            <w:vAlign w:val="top"/>
          </w:tcPr>
          <w:p>
            <w:pPr>
              <w:spacing w:after="40" w:before="0" w:line="259" w:lineRule="auto"/>
            </w:pPr>
            <w:r>
              <w:rPr>
                <w:rFonts w:ascii="Calibri" w:hAnsi="Calibri"/>
                <w:b/>
                <w:i w:val="0"/>
                <w:color w:val="212121"/>
                <w:sz w:val="19"/>
              </w:rPr>
              <w:t>Choledocholithiasis &amp; ascending cholangitis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Stones migrating into the common bile duct obstruct and infect the biliary tree.</w:t>
            </w:r>
          </w:p>
        </w:tc>
      </w:tr>
      <w:tr>
        <w:trPr>
          <w:cantSplit/>
        </w:trPr>
        <w:tc>
          <w:tcPr>
            <w:tcW w:type="dxa" w:w="2232"/>
            <w:vAlign w:val="top"/>
          </w:tcPr>
          <w:p>
            <w:pPr>
              <w:spacing w:after="40" w:before="0" w:line="259" w:lineRule="auto"/>
            </w:pPr>
            <w:r>
              <w:rPr>
                <w:rFonts w:ascii="Calibri" w:hAnsi="Calibri"/>
                <w:b/>
                <w:i w:val="0"/>
                <w:color w:val="212121"/>
                <w:sz w:val="19"/>
              </w:rPr>
              <w:t>Acute (gallstone) pancreatitis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 stone impacted at the ampulla obstructs the pancreatic duct; gallstones are a leading cause of pancreatitis in India.</w:t>
            </w:r>
          </w:p>
        </w:tc>
      </w:tr>
      <w:tr>
        <w:trPr>
          <w:cantSplit/>
        </w:trPr>
        <w:tc>
          <w:tcPr>
            <w:tcW w:type="dxa" w:w="2232"/>
            <w:vAlign w:val="top"/>
          </w:tcPr>
          <w:p>
            <w:pPr>
              <w:spacing w:after="40" w:before="0" w:line="259" w:lineRule="auto"/>
            </w:pPr>
            <w:r>
              <w:rPr>
                <w:rFonts w:ascii="Calibri" w:hAnsi="Calibri"/>
                <w:b/>
                <w:i w:val="0"/>
                <w:color w:val="212121"/>
                <w:sz w:val="19"/>
              </w:rPr>
              <w:t>Gallbladder carcinoma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cholecystitis, gallstones and porcelain gallbladder predispose to cancer; the North-Indian Gangetic belt has among the world's highest rates.</w:t>
            </w:r>
          </w:p>
        </w:tc>
      </w:tr>
      <w:tr>
        <w:trPr>
          <w:cantSplit/>
        </w:trPr>
        <w:tc>
          <w:tcPr>
            <w:tcW w:type="dxa" w:w="2232"/>
            <w:vAlign w:val="top"/>
          </w:tcPr>
          <w:p>
            <w:pPr>
              <w:spacing w:after="40" w:before="0" w:line="259" w:lineRule="auto"/>
            </w:pPr>
            <w:r>
              <w:rPr>
                <w:rFonts w:ascii="Calibri" w:hAnsi="Calibri"/>
                <w:b/>
                <w:i w:val="0"/>
                <w:color w:val="212121"/>
                <w:sz w:val="19"/>
              </w:rPr>
              <w:t>Chronic Salmonella typhi carriage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Chronic gallbladder colonisation sustains inflammation and strongly raises gallbladder-cancer risk (3–200×).</w:t>
            </w:r>
          </w:p>
          <w:p>
            <w:pPr>
              <w:spacing w:after="40" w:before="0" w:line="259" w:lineRule="auto"/>
            </w:pPr>
            <w:r>
              <w:rPr>
                <w:rFonts w:ascii="Calibri" w:hAnsi="Calibri"/>
                <w:b/>
                <w:i w:val="0"/>
                <w:color w:val="212121"/>
                <w:sz w:val="19"/>
              </w:rPr>
              <w:t>Up to 3–200× cancer risk</w:t>
            </w:r>
          </w:p>
        </w:tc>
      </w:tr>
      <w:tr>
        <w:trPr>
          <w:cantSplit/>
        </w:trPr>
        <w:tc>
          <w:tcPr>
            <w:tcW w:type="dxa" w:w="2232"/>
            <w:vAlign w:val="top"/>
          </w:tcPr>
          <w:p>
            <w:pPr>
              <w:spacing w:after="40" w:before="0" w:line="259" w:lineRule="auto"/>
            </w:pPr>
            <w:r>
              <w:rPr>
                <w:rFonts w:ascii="Calibri" w:hAnsi="Calibri"/>
                <w:b/>
                <w:i w:val="0"/>
                <w:color w:val="212121"/>
                <w:sz w:val="19"/>
              </w:rPr>
              <w:t>Haemolytic anaemia (sickle cell, thalassaemia)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High bilirubin turnover forms pigment stones, causing cholecystitis in younger patients.</w:t>
            </w:r>
          </w:p>
        </w:tc>
      </w:tr>
      <w:tr>
        <w:trPr>
          <w:cantSplit/>
        </w:trPr>
        <w:tc>
          <w:tcPr>
            <w:tcW w:type="dxa" w:w="2232"/>
            <w:vAlign w:val="top"/>
          </w:tcPr>
          <w:p>
            <w:pPr>
              <w:spacing w:after="40" w:before="0" w:line="259" w:lineRule="auto"/>
            </w:pPr>
            <w:r>
              <w:rPr>
                <w:rFonts w:ascii="Calibri" w:hAnsi="Calibri"/>
                <w:b/>
                <w:i w:val="0"/>
                <w:color w:val="212121"/>
                <w:sz w:val="19"/>
              </w:rPr>
              <w:t>Cirrhosis / chronic liver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Raises pigment-stone formation and complicates both diagnosis and cholecystectomy risk.</w:t>
            </w:r>
          </w:p>
        </w:tc>
      </w:tr>
      <w:tr>
        <w:trPr>
          <w:cantSplit/>
        </w:trPr>
        <w:tc>
          <w:tcPr>
            <w:tcW w:type="dxa" w:w="2232"/>
            <w:vAlign w:val="top"/>
          </w:tcPr>
          <w:p>
            <w:pPr>
              <w:spacing w:after="40" w:before="0" w:line="259" w:lineRule="auto"/>
            </w:pPr>
            <w:r>
              <w:rPr>
                <w:rFonts w:ascii="Calibri" w:hAnsi="Calibri"/>
                <w:b/>
                <w:i w:val="0"/>
                <w:color w:val="212121"/>
                <w:sz w:val="19"/>
              </w:rPr>
              <w:t>Pregnancy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Hormonal changes raise biliary cholesterol and reduce gallbladder emptying, promoting sludge and stones.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warning signs — steady RUQ/upper-abdominal pain lasting hours (especially after fatty meals), fever, vomiting, or yellowing of the eyes — and seek prompt medical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the 5-F risk profile (Female, Forty, Fertile, Fat, Family history) and get evaluated if several apply.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ignore recurrent biliary colic; known gallstones with repeated attacks warrant surgical review to prevent complications.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food and water hygiene and complete any prescribed treatment for typhoid to reduce chronic carriage — important in North India for preventing chronic gallbladder disease and cancer.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gradual, sustained weight loss rather than crash diets, which themselves precipitate stones.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follow-up and imaging as advised; discuss the small but real gallbladder-cancer risk of longstanding stones/porcelain gallbladder in high-incidence regions.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over 40</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North Indian / Gangetic-belt residents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known gallstones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Achieve at least 150 minutes/week of moderate activity (brisk walking, cycling, swimming) to lower gallstone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prolonged sitting; add light movement through the day to improve gallbladder emptying and insulin sensitivity.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Target a healthy Asian-Indian BMI (18.0–22.9 kg/m²) and waist circumference (&lt; 90 cm men, &lt; 80 cm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aerobic activity with 2–3 days/week of resistance training to preserve muscle during weight loss.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Desk workers and homemakers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at metabolic risk</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an acute attack or cholecystectomy, resume activity gradually as advised by the surgical team.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Pursue steady, moderate weight loss (0.5–1.0 kg/week) rather than rapid loss, which can trigger new stones.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walking and low-impact exercise to support recovery, bowel function and weight maintenance.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Post-cholecystectomy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patients with gallstones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Recovering inpatients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high-fibre diet rich in whole grains, millets (ragi/jowar/bajra), pulses, vegetables and fruit to lower biliary cholesterol saturation.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fried foods, ghee/butter-heavy dishes, red and processed meats, bakery items and other high-saturated-fat, energy-dense foods.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healthy fats (nuts, seeds, mustard/olive oil) in moderation and choose whole fruit over sweets and sugary drinks.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regular meals and avoid prolonged fasting, which concentrates bile and promotes stones.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well hydrated to support bile flow.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Moderate caffeinated coffee (2–3 cups/day, if tolerated) may modestly reduce symptomatic-gallstone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at high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a family history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Fried-food and high-fat-diet consumers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or after an acute attack, take a low-fat diet with small, frequent meals to reduce gallbladder stimulation.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Identify and avoid personal trigger foods (typically fatty, fried or very heavy meals).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cholecystectomy, reintroduce fats gradually and increase fibre to ease post-operative loose stools.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protein and micronutrients during recovery while keeping saturated fat low.</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acute/chronic cholecystitis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Post-cholecystectomy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awaiting surgery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 schedule and consistent meal timing to support metabolic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shift-work-related disruption where possible, as irregular routines worsen metabolic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metabolic syndrome</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lower gallbladder-disease risk and improve surgical and wound-healing outcomes.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cessation support (counselling, nicotine replacement) and avoid second-hand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Quit well before any planned cholecystectomy to reduce peri-operative complications.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Surgical candidates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multiple risk factors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safe limits or avoid it; heavy intake harms the liver and pancreas without net protective benefit.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binge drinking, which raises the risk of pancreatitis in those with gallstones.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Discuss safe limits with a clinician if you have liver disease or diabetes.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who drink alcohol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gallstones or fatty liver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stress-management techniques (relaxation, breathing, physical activity) to support healthy eating and weight goals.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support for the anxiety and disrupted sleep that recurrent biliary pain can cause.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low mood and pain-related distress in chronic or recurrent gallbladder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chronic/recurrent cholecystitis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pain-related distress</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459171/" TargetMode="External"/><Relationship Id="rId10" Type="http://schemas.openxmlformats.org/officeDocument/2006/relationships/hyperlink" Target="https://en.wikipedia.org/wiki/Cholecystitis" TargetMode="External"/><Relationship Id="rId11" Type="http://schemas.openxmlformats.org/officeDocument/2006/relationships/hyperlink" Target="https://www.ncbi.nlm.nih.gov/books/NBK470440/" TargetMode="External"/><Relationship Id="rId12" Type="http://schemas.openxmlformats.org/officeDocument/2006/relationships/hyperlink" Target="https://www.niddk.nih.gov/health-information/digestive-diseases/gallstones/symptoms-causes" TargetMode="External"/><Relationship Id="rId13" Type="http://schemas.openxmlformats.org/officeDocument/2006/relationships/hyperlink" Target="https://en.wikipedia.org/wiki/Gallstone" TargetMode="External"/><Relationship Id="rId14" Type="http://schemas.openxmlformats.org/officeDocument/2006/relationships/hyperlink" Target="https://www.mayoclinic.org/diseases-conditions/cholecystitis/symptoms-causes/syc-20364867" TargetMode="External"/><Relationship Id="rId15" Type="http://schemas.openxmlformats.org/officeDocument/2006/relationships/hyperlink" Target="https://en.wikipedia.org/wiki/Gallbladder_canc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