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Acute Pancreatitis</w:t>
      </w:r>
    </w:p>
    <w:p>
      <w:pPr>
        <w:spacing w:before="0" w:after="160"/>
      </w:pPr>
      <w:r>
        <w:rPr>
          <w:rFonts w:ascii="Calibri" w:hAnsi="Calibri"/>
          <w:b/>
          <w:i w:val="0"/>
          <w:color w:val="212121"/>
          <w:sz w:val="22"/>
        </w:rPr>
        <w:t xml:space="preserve">AKA </w:t>
      </w:r>
      <w:r>
        <w:rPr>
          <w:rFonts w:ascii="Calibri" w:hAnsi="Calibri"/>
          <w:b w:val="0"/>
          <w:i w:val="0"/>
          <w:color w:val="212121"/>
          <w:sz w:val="22"/>
        </w:rPr>
        <w:t>i.e., AP, Acute inflammation of the pancreas, Gallstone (biliary) pancreatitis, Alcoholic pancreatitis, Pancreatic attack</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Acute pancreatitis is a sudden, reversible inflammatory process of the pancreas in which digestive enzymes are prematurely activated within acinar cells, causing autodigestion (self-digestion) of pancreatic and peripancreatic tissue and a variable systemic inflammatory response. It classically presents with severe, persistent epigastric pain radiating to the back, together with a serum lipase or amylase raised to at least three times the upper limit of normal. Most attacks are mild and self-limiting, but roughly a fifth develop pancreatic necrosis, organ failure or infected collections, which carry substantial mortality. In India the two dominant causes are gallstones and alcohol, and the disease is being seen with rising frequency.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Acute pancreatitis is one of the commonest gastrointestinal emergencies worldwide and its burden is rising in India. A five-year study from Kashmir found acute pancreatitis rose steadily as a share of emergency admissions (from 5.6% to 10.3%, p=0.013), with gallstone-related cases increasing from 31% to 52.4% over the same period. Etiology is strongly region- and sex-dependent: in most Indian tertiary centres alcohol predominates (accounting for roughly 48-71% of cases and giving a marked male excess of about 2.7-3:1), whereas in the north (Kashmir, the Gangetic belt) gallstones dominate (up to ~48%) and cases are predominantly women. A pooled hospital series of over 2,000 Indian patients found 83% were male and about three-quarters were aged 19-45 years, and India also has region-specific causes such as hepatobiliary (Ascaris) worm infestation.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of acute pancreatitis follows the 2012 Revised Atlanta Classification and requires at least two of the following three criteria, after which severity is graded and the cause sought: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abdominal pain - acute onset of persistent, severe epigastric pain often radiating to the back;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lipase or amylase raised to ≥ 3 times the upper limit of normal (lipase is preferred, being more sensitive and specific and staying elevated longer, ~8-14 days);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findings of acute pancreatitis on cross-sectional imaging (contrast-enhanced CT, MRI or transabdominal ultrasound);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CT (ideally after 72 hours) is reserved for diagnostic uncertainty or to assess necrosis and local complications, graded by the CT Severity Index;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etiological work-up in every patient - transabdominal ultrasound for gallstones/biliary dilatation, liver function tests (ALT ≥ 3× ULN strongly suggests a biliary cause), serum calcium and fasting triglycerides, and MRCP/EUS when a common-bile-duct stone or occult cause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and prognosis assessed with the Revised Atlanta grades plus scoring systems (BISAP, APACHE II, Ranson), a CRP &gt; 150 mg/L at 48 hours, haematocrit and rising blood urea (BUN) all predicting severe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2012 Revised Atlanta Classification categorises acute pancreatitis by clinical severity, by morphology on imaging, and by the type of fluid/necrotic collection that develops:</w:t>
      </w:r>
    </w:p>
    <w:p>
      <w:pPr>
        <w:spacing w:before="0" w:after="80"/>
      </w:pPr>
      <w:r>
        <w:rPr>
          <w:rFonts w:ascii="Calibri" w:hAnsi="Calibri"/>
          <w:b w:val="0"/>
          <w:i w:val="0"/>
          <w:color w:val="212121"/>
          <w:sz w:val="21"/>
        </w:rPr>
        <w:t>(1) By severity - Mild acute pancreatitis: no organ failure and no local or systemic complications (the large majority, resolving within a week); Moderately severe: transient organ failure resolving within 48 hours and/or local or systemic complications; Severe: persistent organ failure (&gt; 48 hours) of one or more systems, carrying the highest mortality;</w:t>
      </w:r>
    </w:p>
    <w:p>
      <w:pPr>
        <w:spacing w:before="0" w:after="80"/>
      </w:pPr>
      <w:r>
        <w:rPr>
          <w:rFonts w:ascii="Calibri" w:hAnsi="Calibri"/>
          <w:b w:val="0"/>
          <w:i w:val="0"/>
          <w:color w:val="212121"/>
          <w:sz w:val="21"/>
        </w:rPr>
        <w:t>(2) By morphology - Interstitial oedematous pancreatitis: diffuse (or localised) enlargement of the pancreas from inflammatory oedema, with intact enhancement on contrast CT, the commoner and milder form; Necrotising pancreatitis: non-enhancing (dead) pancreatic and/or peripancreatic tissue, present in ~5-10% and prone to infection and organ failure;</w:t>
      </w:r>
    </w:p>
    <w:p>
      <w:pPr>
        <w:spacing w:before="0" w:after="80"/>
      </w:pPr>
      <w:r>
        <w:rPr>
          <w:rFonts w:ascii="Calibri" w:hAnsi="Calibri"/>
          <w:b w:val="0"/>
          <w:i w:val="0"/>
          <w:color w:val="212121"/>
          <w:sz w:val="21"/>
        </w:rPr>
        <w:t>(3) By phase - an Early phase (first week) dominated by the systemic inflammatory response (SIRS) and organ failure, and a Late phase (after the first week, only in moderately severe/severe disease) dominated by evolving local complications;</w:t>
      </w:r>
    </w:p>
    <w:p>
      <w:pPr>
        <w:spacing w:before="0" w:after="80"/>
      </w:pPr>
      <w:r>
        <w:rPr>
          <w:rFonts w:ascii="Calibri" w:hAnsi="Calibri"/>
          <w:b w:val="0"/>
          <w:i w:val="0"/>
          <w:color w:val="212121"/>
          <w:sz w:val="21"/>
        </w:rPr>
        <w:t>(4) By collections - interstitial disease may produce an acute peripancreatic fluid collection (APFC) that can mature into a pseudocyst (&gt; 4 weeks); necrotising disease produces an acute necrotic collection (ANC) that can mature into walled-off necrosis (WON), either of which may become infected.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Gallstones (biliary): Migration of a gallstone through the ampulla transiently obstructs the pancreatic duct, causing ductal hypertension and premature enzyme activation; the single commonest cause overall and the dominant cause in north India and in women, where small stones (&lt; 5 mm) and biliary sludge carry the greatest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Alcohol: Chronic heavy intake (typically 4-5 drinks/day for ≥ 5 years) and binge drinking sensitise acinar cells, promote protein plugs and directly injure the pancreas; the leading cause in Indian men and in most Indian tertiary-hospital series.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Hypertriglyceridaemia: Fasting triglycerides above ~1000 mg/dL (11.3 mmol/L) generate toxic free fatty acids; often seen with uncontrolled diabetes, obesity, alcohol or a familial lipid disorder - the third commonest identifiable cause.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Mechanical / iatrogenic and parasitic: Post-ERCP injury, ampullary or pancreatic tumours, pancreas divisum, choledocholithiasis and - characteristically in India - hepatobiliary Ascaris (roundworm) migration into the ducts.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Metabolic: Hypercalcaemia (most often from primary hyperparathyroidism) precipitates enzyme activation and ductal calcification.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Drugs and toxins: Azathioprine/6-mercaptopurine, sodium valproate, thiazide and loop diuretics, oestrogens, certain antiretrovirals and other agents are recognised precipitants.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idiopathic: Mutations in PRSS1, SPINK1, CFTR and CTRC underlie hereditary and some 'idiopathic' pancreatitis, which still accounts for a substantial minority of Indian cases.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 19-45 years)</w:t>
            </w:r>
          </w:p>
        </w:tc>
        <w:tc>
          <w:tcPr>
            <w:tcW w:type="dxa" w:w="4276"/>
            <w:vAlign w:val="top"/>
          </w:tcPr>
          <w:p>
            <w:pPr>
              <w:spacing w:after="60" w:line="259" w:lineRule="auto"/>
            </w:pPr>
            <w:r>
              <w:rPr>
                <w:rFonts w:ascii="Calibri" w:hAnsi="Calibri"/>
                <w:b w:val="0"/>
                <w:i w:val="0"/>
                <w:color w:val="212121"/>
                <w:sz w:val="19"/>
              </w:rPr>
              <w:t>Acute pancreatitis clusters in economically active adults because this is when heavy alcohol use, metabolic syndrome and symptomatic gallstones converge. Recurrent attacks in this group can progress to chronic pancreatitis and lifelong exocrine and endocrine failure.</w:t>
            </w:r>
          </w:p>
          <w:p>
            <w:pPr>
              <w:spacing w:after="40" w:before="60" w:line="259" w:lineRule="auto"/>
            </w:pPr>
            <w:r>
              <w:rPr>
                <w:rFonts w:ascii="Calibri" w:hAnsi="Calibri"/>
                <w:b w:val="0"/>
                <w:i w:val="0"/>
                <w:color w:val="212121"/>
                <w:sz w:val="19"/>
              </w:rPr>
              <w:t>In a pooled Indian hospital series of over 2,000 pancreatitis patients, about 75% of adults were aged 19-45 years, with a mean age in the mid-30s in alcohol-driven cohorts.</w:t>
            </w:r>
          </w:p>
          <w:p>
            <w:pPr>
              <w:spacing w:after="40" w:line="252" w:lineRule="auto"/>
            </w:pPr>
            <w:hyperlink r:id="rId9">
              <w:r>
                <w:rPr>
                  <w:rFonts w:ascii="Calibri" w:hAnsi="Calibri" w:cs="Calibri"/>
                  <w:sz w:val="18"/>
                  <w:color w:val="1155CC"/>
                  <w:u w:val="single"/>
                </w:rPr>
                <w:t xml:space="preserve">efi.org.in - demographic pattern of pancreatitis patients in India</w:t>
              </w:r>
            </w:hyperlink>
          </w:p>
          <w:p>
            <w:pPr>
              <w:spacing w:before="60" w:after="40"/>
            </w:pPr>
            <w:r>
              <w:rPr>
                <w:rFonts w:ascii="Calibri" w:hAnsi="Calibri"/>
                <w:b w:val="0"/>
                <w:i w:val="0"/>
                <w:color w:val="5A5A5A"/>
                <w:sz w:val="18"/>
              </w:rPr>
              <w:t>#acutepancreatitis  #youngadults  #alcohol  #gallstones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Older adults more often have gallstone pancreatitis and tolerate the systemic insult poorly, with higher rates of organ failure and death from reduced physiological reserve, comorbidity and delayed presentation.</w:t>
            </w:r>
          </w:p>
          <w:p>
            <w:pPr>
              <w:spacing w:after="40" w:before="60" w:line="259" w:lineRule="auto"/>
            </w:pPr>
            <w:r>
              <w:rPr>
                <w:rFonts w:ascii="Calibri" w:hAnsi="Calibri"/>
                <w:b w:val="0"/>
                <w:i w:val="0"/>
                <w:color w:val="212121"/>
                <w:sz w:val="19"/>
              </w:rPr>
              <w:t>Age over 60 is one of the five components of the BISAP severity score, and elderly patients have disproportionately higher mortality in severe acute pancreatitis.</w:t>
            </w:r>
          </w:p>
          <w:p>
            <w:pPr>
              <w:spacing w:after="40" w:line="252" w:lineRule="auto"/>
            </w:pPr>
            <w:hyperlink r:id="rId10">
              <w:r>
                <w:rPr>
                  <w:rFonts w:ascii="Calibri" w:hAnsi="Calibri" w:cs="Calibri"/>
                  <w:sz w:val="18"/>
                  <w:color w:val="1155CC"/>
                  <w:u w:val="single"/>
                </w:rPr>
                <w:t xml:space="preserve">ncbi.nlm.nih.gov - StatPearls: Acute Pancreatitis</w:t>
              </w:r>
            </w:hyperlink>
          </w:p>
          <w:p>
            <w:pPr>
              <w:spacing w:before="60" w:after="40"/>
            </w:pPr>
            <w:r>
              <w:rPr>
                <w:rFonts w:ascii="Calibri" w:hAnsi="Calibri"/>
                <w:b w:val="0"/>
                <w:i w:val="0"/>
                <w:color w:val="5A5A5A"/>
                <w:sz w:val="18"/>
              </w:rPr>
              <w:t>#elderly  #organfailure  #BISAP  #comorbidity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(alcohol-related pancreatitis)</w:t>
            </w:r>
          </w:p>
        </w:tc>
        <w:tc>
          <w:tcPr>
            <w:tcW w:type="dxa" w:w="4276"/>
            <w:vAlign w:val="top"/>
          </w:tcPr>
          <w:p>
            <w:pPr>
              <w:spacing w:after="60" w:line="259" w:lineRule="auto"/>
            </w:pPr>
            <w:r>
              <w:rPr>
                <w:rFonts w:ascii="Calibri" w:hAnsi="Calibri"/>
                <w:b w:val="0"/>
                <w:i w:val="0"/>
                <w:color w:val="212121"/>
                <w:sz w:val="19"/>
              </w:rPr>
              <w:t>Alcohol-related acute pancreatitis is overwhelmingly a male disease in India, reflecting higher rates of heavy and binge drinking and tobacco co-use in men, and tends to present at a younger age with a higher risk of necrosis.</w:t>
            </w:r>
          </w:p>
          <w:p>
            <w:pPr>
              <w:spacing w:after="40" w:before="60" w:line="259" w:lineRule="auto"/>
            </w:pPr>
            <w:r>
              <w:rPr>
                <w:rFonts w:ascii="Calibri" w:hAnsi="Calibri"/>
                <w:b w:val="0"/>
                <w:i w:val="0"/>
                <w:color w:val="212121"/>
                <w:sz w:val="19"/>
              </w:rPr>
              <w:t>In a high-volume Indian tertiary centre, the alcohol group was 97.3% male (mean age ~37 years) and showed higher necrosis rates (90.2% vs 84.1%) than the gallstone group.</w:t>
            </w:r>
          </w:p>
          <w:p>
            <w:pPr>
              <w:spacing w:after="40" w:line="252" w:lineRule="auto"/>
            </w:pPr>
            <w:hyperlink r:id="rId11">
              <w:r>
                <w:rPr>
                  <w:rFonts w:ascii="Calibri" w:hAnsi="Calibri" w:cs="Calibri"/>
                  <w:sz w:val="18"/>
                  <w:color w:val="1155CC"/>
                  <w:u w:val="single"/>
                </w:rPr>
                <w:t xml:space="preserve">pmc.ncbi.nlm.nih.gov/PMC6684514 - alcohol vs gallstone AP outcomes (India)</w:t>
              </w:r>
            </w:hyperlink>
          </w:p>
          <w:p>
            <w:pPr>
              <w:spacing w:before="60" w:after="40"/>
            </w:pPr>
            <w:r>
              <w:rPr>
                <w:rFonts w:ascii="Calibri" w:hAnsi="Calibri"/>
                <w:b w:val="0"/>
                <w:i w:val="0"/>
                <w:color w:val="5A5A5A"/>
                <w:sz w:val="18"/>
              </w:rPr>
              <w:t>#male  #alcoholicpancreatitis  #necrosis  #binge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(gallstone-related pancreatitis)</w:t>
            </w:r>
          </w:p>
        </w:tc>
        <w:tc>
          <w:tcPr>
            <w:tcW w:type="dxa" w:w="4276"/>
            <w:vAlign w:val="top"/>
          </w:tcPr>
          <w:p>
            <w:pPr>
              <w:spacing w:after="60" w:line="259" w:lineRule="auto"/>
            </w:pPr>
            <w:r>
              <w:rPr>
                <w:rFonts w:ascii="Calibri" w:hAnsi="Calibri"/>
                <w:b w:val="0"/>
                <w:i w:val="0"/>
                <w:color w:val="212121"/>
                <w:sz w:val="19"/>
              </w:rPr>
              <w:t>Gallstone pancreatitis, by contrast, predominantly affects women, mirroring the female preponderance of gallstone disease driven by oestrogen, parity, obesity and rapid weight change. These patients are on average older than alcohol-related cases.</w:t>
            </w:r>
          </w:p>
          <w:p>
            <w:pPr>
              <w:spacing w:after="40" w:before="60" w:line="259" w:lineRule="auto"/>
            </w:pPr>
            <w:r>
              <w:rPr>
                <w:rFonts w:ascii="Calibri" w:hAnsi="Calibri"/>
                <w:b w:val="0"/>
                <w:i w:val="0"/>
                <w:color w:val="212121"/>
                <w:sz w:val="19"/>
              </w:rPr>
              <w:t>In the same Indian cohort the gallstone group was 93.7% female with a higher mean age (~43 years, P &lt; 0.001) than the alcohol group.</w:t>
            </w:r>
          </w:p>
          <w:p>
            <w:pPr>
              <w:spacing w:after="40" w:line="252" w:lineRule="auto"/>
            </w:pPr>
            <w:hyperlink r:id="rId11">
              <w:r>
                <w:rPr>
                  <w:rFonts w:ascii="Calibri" w:hAnsi="Calibri" w:cs="Calibri"/>
                  <w:sz w:val="18"/>
                  <w:color w:val="1155CC"/>
                  <w:u w:val="single"/>
                </w:rPr>
                <w:t xml:space="preserve">pmc.ncbi.nlm.nih.gov/PMC6684514 - alcohol vs gallstone AP outcomes (India)</w:t>
              </w:r>
            </w:hyperlink>
          </w:p>
          <w:p>
            <w:pPr>
              <w:spacing w:before="60" w:after="40"/>
            </w:pPr>
            <w:r>
              <w:rPr>
                <w:rFonts w:ascii="Calibri" w:hAnsi="Calibri"/>
                <w:b w:val="0"/>
                <w:i w:val="0"/>
                <w:color w:val="5A5A5A"/>
                <w:sz w:val="18"/>
              </w:rPr>
              <w:t>#female  #gallstones  #oestrogen  #parity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 / occupation</w:t>
            </w:r>
          </w:p>
        </w:tc>
        <w:tc>
          <w:tcPr>
            <w:tcW w:type="dxa" w:w="2160"/>
            <w:vAlign w:val="top"/>
          </w:tcPr>
          <w:p>
            <w:pPr>
              <w:spacing w:after="40" w:before="0" w:line="259" w:lineRule="auto"/>
            </w:pPr>
            <w:r>
              <w:rPr>
                <w:rFonts w:ascii="Calibri" w:hAnsi="Calibri"/>
                <w:b w:val="0"/>
                <w:i w:val="0"/>
                <w:color w:val="212121"/>
                <w:sz w:val="19"/>
              </w:rPr>
              <w:t>Lower-income men with alcohol-use disorder</w:t>
            </w:r>
          </w:p>
        </w:tc>
        <w:tc>
          <w:tcPr>
            <w:tcW w:type="dxa" w:w="4276"/>
            <w:vAlign w:val="top"/>
          </w:tcPr>
          <w:p>
            <w:pPr>
              <w:spacing w:after="60" w:line="259" w:lineRule="auto"/>
            </w:pPr>
            <w:r>
              <w:rPr>
                <w:rFonts w:ascii="Calibri" w:hAnsi="Calibri"/>
                <w:b w:val="0"/>
                <w:i w:val="0"/>
                <w:color w:val="212121"/>
                <w:sz w:val="19"/>
              </w:rPr>
              <w:t>Harmful drinking, consumption of cheap/country liquor and delayed access to care concentrate severe alcohol-related pancreatitis in lower socioeconomic groups, while nutritional deficiency may worsen outcomes.</w:t>
            </w:r>
          </w:p>
          <w:p>
            <w:pPr>
              <w:spacing w:after="40" w:before="60" w:line="259" w:lineRule="auto"/>
            </w:pPr>
            <w:r>
              <w:rPr>
                <w:rFonts w:ascii="Calibri" w:hAnsi="Calibri"/>
                <w:b w:val="0"/>
                <w:i w:val="0"/>
                <w:color w:val="212121"/>
                <w:sz w:val="19"/>
              </w:rPr>
              <w:t>Alcohol accounts for roughly half to two-thirds of acute pancreatitis in Indian tertiary series, with alcohol reported in about a third of a large pooled Indian pancreatitis cohort.</w:t>
            </w:r>
          </w:p>
          <w:p>
            <w:pPr>
              <w:spacing w:after="40" w:line="252" w:lineRule="auto"/>
            </w:pPr>
            <w:hyperlink r:id="rId9">
              <w:r>
                <w:rPr>
                  <w:rFonts w:ascii="Calibri" w:hAnsi="Calibri" w:cs="Calibri"/>
                  <w:sz w:val="18"/>
                  <w:color w:val="1155CC"/>
                  <w:u w:val="single"/>
                </w:rPr>
                <w:t xml:space="preserve">efi.org.in - demographic pattern of pancreatitis patients in India</w:t>
              </w:r>
            </w:hyperlink>
          </w:p>
          <w:p>
            <w:pPr>
              <w:spacing w:before="60" w:after="40"/>
            </w:pPr>
            <w:r>
              <w:rPr>
                <w:rFonts w:ascii="Calibri" w:hAnsi="Calibri"/>
                <w:b w:val="0"/>
                <w:i w:val="0"/>
                <w:color w:val="5A5A5A"/>
                <w:sz w:val="18"/>
              </w:rPr>
              <w:t>#socioeconomic  #alcoholusedisorder  #countryliquor  #access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 population (Gangetic belt, Kashmir)</w:t>
            </w:r>
          </w:p>
        </w:tc>
        <w:tc>
          <w:tcPr>
            <w:tcW w:type="dxa" w:w="4276"/>
            <w:vAlign w:val="top"/>
          </w:tcPr>
          <w:p>
            <w:pPr>
              <w:spacing w:after="60" w:line="259" w:lineRule="auto"/>
            </w:pPr>
            <w:r>
              <w:rPr>
                <w:rFonts w:ascii="Calibri" w:hAnsi="Calibri"/>
                <w:b w:val="0"/>
                <w:i w:val="0"/>
                <w:color w:val="212121"/>
                <w:sz w:val="19"/>
              </w:rPr>
              <w:t>Gallstone disease is far more prevalent in north and east India (the Gangetic belt) than the south, so gallstone pancreatitis dominates there; Kashmir additionally has endemic hepatobiliary Ascaris (roundworm) infestation as a distinctive local cause.</w:t>
            </w:r>
          </w:p>
          <w:p>
            <w:pPr>
              <w:spacing w:after="40" w:before="60" w:line="259" w:lineRule="auto"/>
            </w:pPr>
            <w:r>
              <w:rPr>
                <w:rFonts w:ascii="Calibri" w:hAnsi="Calibri"/>
                <w:b w:val="0"/>
                <w:i w:val="0"/>
                <w:color w:val="212121"/>
                <w:sz w:val="19"/>
              </w:rPr>
              <w:t>In a Kashmir study gallstones caused 47.7% of acute pancreatitis (rising from 31% to 52.4% over five years) with Ascaris responsible for ~6.9%, versus alcohol only 1.2%.</w:t>
            </w:r>
          </w:p>
          <w:p>
            <w:pPr>
              <w:spacing w:after="40" w:line="252" w:lineRule="auto"/>
            </w:pPr>
            <w:hyperlink r:id="rId12">
              <w:r>
                <w:rPr>
                  <w:rFonts w:ascii="Calibri" w:hAnsi="Calibri" w:cs="Calibri"/>
                  <w:sz w:val="18"/>
                  <w:color w:val="1155CC"/>
                  <w:u w:val="single"/>
                </w:rPr>
                <w:t xml:space="preserve">springer.com - temporal trend of acute pancreatitis, Kashmir, India</w:t>
              </w:r>
            </w:hyperlink>
          </w:p>
          <w:p>
            <w:pPr>
              <w:spacing w:before="60" w:after="40"/>
            </w:pPr>
            <w:r>
              <w:rPr>
                <w:rFonts w:ascii="Calibri" w:hAnsi="Calibri"/>
                <w:b w:val="0"/>
                <w:i w:val="0"/>
                <w:color w:val="5A5A5A"/>
                <w:sz w:val="18"/>
              </w:rPr>
              <w:t>#NorthIndia  #gallstones  #ascariasis  #gangeticbelt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&amp; West Indian tertiary populations</w:t>
            </w:r>
          </w:p>
        </w:tc>
        <w:tc>
          <w:tcPr>
            <w:tcW w:type="dxa" w:w="4276"/>
            <w:vAlign w:val="top"/>
          </w:tcPr>
          <w:p>
            <w:pPr>
              <w:spacing w:after="60" w:line="259" w:lineRule="auto"/>
            </w:pPr>
            <w:r>
              <w:rPr>
                <w:rFonts w:ascii="Calibri" w:hAnsi="Calibri"/>
                <w:b w:val="0"/>
                <w:i w:val="0"/>
                <w:color w:val="212121"/>
                <w:sz w:val="19"/>
              </w:rPr>
              <w:t>In much of south and west India and in most urban tertiary referral centres, high male alcohol consumption makes alcohol the leading cause, producing young, male, necrosis-prone cohorts distinct from the northern gallstone pattern.</w:t>
            </w:r>
          </w:p>
          <w:p>
            <w:pPr>
              <w:spacing w:after="40" w:before="60" w:line="259" w:lineRule="auto"/>
            </w:pPr>
            <w:r>
              <w:rPr>
                <w:rFonts w:ascii="Calibri" w:hAnsi="Calibri"/>
                <w:b w:val="0"/>
                <w:i w:val="0"/>
                <w:color w:val="212121"/>
                <w:sz w:val="19"/>
              </w:rPr>
              <w:t>A central/south Indian tertiary study of 120 patients found alcohol in 70.8% and gallstones in 20.8%, with a male-to-female ratio of 2.75:1.</w:t>
            </w:r>
          </w:p>
          <w:p>
            <w:pPr>
              <w:spacing w:after="40" w:line="252" w:lineRule="auto"/>
            </w:pPr>
            <w:hyperlink r:id="rId13">
              <w:r>
                <w:rPr>
                  <w:rFonts w:ascii="Calibri" w:hAnsi="Calibri" w:cs="Calibri"/>
                  <w:sz w:val="18"/>
                  <w:color w:val="1155CC"/>
                  <w:u w:val="single"/>
                </w:rPr>
                <w:t xml:space="preserve">pmc.ncbi.nlm.nih.gov/PMC9383023 - clinical profile &amp; etiology of AP (India)</w:t>
              </w:r>
            </w:hyperlink>
          </w:p>
          <w:p>
            <w:pPr>
              <w:spacing w:before="60" w:after="40"/>
            </w:pPr>
            <w:r>
              <w:rPr>
                <w:rFonts w:ascii="Calibri" w:hAnsi="Calibri"/>
                <w:b w:val="0"/>
                <w:i w:val="0"/>
                <w:color w:val="5A5A5A"/>
                <w:sz w:val="18"/>
              </w:rPr>
              <w:t>#SouthIndia  #alcohol  #tertiarycare  #malepredominance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and binge drinkers</w:t>
            </w:r>
          </w:p>
        </w:tc>
        <w:tc>
          <w:tcPr>
            <w:tcW w:type="dxa" w:w="4276"/>
            <w:vAlign w:val="top"/>
          </w:tcPr>
          <w:p>
            <w:pPr>
              <w:spacing w:after="60" w:line="259" w:lineRule="auto"/>
            </w:pPr>
            <w:r>
              <w:rPr>
                <w:rFonts w:ascii="Calibri" w:hAnsi="Calibri"/>
                <w:b w:val="0"/>
                <w:i w:val="0"/>
                <w:color w:val="212121"/>
                <w:sz w:val="19"/>
              </w:rPr>
              <w:t>Chronic heavy alcohol use sensitises acinar cells and promotes intraductal protein plugs, while a binge can precipitate an acute attack; continued drinking after a first episode drives recurrence and progression to chronic pancreatitis.</w:t>
            </w:r>
          </w:p>
          <w:p>
            <w:pPr>
              <w:spacing w:after="40" w:before="60" w:line="259" w:lineRule="auto"/>
            </w:pPr>
            <w:r>
              <w:rPr>
                <w:rFonts w:ascii="Calibri" w:hAnsi="Calibri"/>
                <w:b w:val="0"/>
                <w:i w:val="0"/>
                <w:color w:val="212121"/>
                <w:sz w:val="19"/>
              </w:rPr>
              <w:t>Acute pancreatitis typically follows 4-5 drinks daily for ≥ 5 years; alcohol accounts for about 17-25% of cases globally but up to ~48-71% in Indian tertiary series.</w:t>
            </w:r>
          </w:p>
          <w:p>
            <w:pPr>
              <w:spacing w:after="40" w:line="252" w:lineRule="auto"/>
            </w:pPr>
            <w:hyperlink r:id="rId10">
              <w:r>
                <w:rPr>
                  <w:rFonts w:ascii="Calibri" w:hAnsi="Calibri" w:cs="Calibri"/>
                  <w:sz w:val="18"/>
                  <w:color w:val="1155CC"/>
                  <w:u w:val="single"/>
                </w:rPr>
                <w:t xml:space="preserve">ncbi.nlm.nih.gov - StatPearls: Acute Pancreatitis</w:t>
              </w:r>
            </w:hyperlink>
          </w:p>
          <w:p>
            <w:pPr>
              <w:spacing w:before="60" w:after="40"/>
            </w:pPr>
            <w:r>
              <w:rPr>
                <w:rFonts w:ascii="Calibri" w:hAnsi="Calibri"/>
                <w:b w:val="0"/>
                <w:i w:val="0"/>
                <w:color w:val="5A5A5A"/>
                <w:sz w:val="18"/>
              </w:rPr>
              <w:t>#alcohol  #binge  #recurrence  #chronicpancreatitis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smokers</w:t>
            </w:r>
          </w:p>
        </w:tc>
        <w:tc>
          <w:tcPr>
            <w:tcW w:type="dxa" w:w="4276"/>
            <w:vAlign w:val="top"/>
          </w:tcPr>
          <w:p>
            <w:pPr>
              <w:spacing w:after="60" w:line="259" w:lineRule="auto"/>
            </w:pPr>
            <w:r>
              <w:rPr>
                <w:rFonts w:ascii="Calibri" w:hAnsi="Calibri"/>
                <w:b w:val="0"/>
                <w:i w:val="0"/>
                <w:color w:val="212121"/>
                <w:sz w:val="19"/>
              </w:rPr>
              <w:t>Smoking is an independent, dose-dependent risk factor for acute pancreatitis and worsens its severity, acting synergistically with alcohol; the risk falls only slowly after quitting.</w:t>
            </w:r>
          </w:p>
          <w:p>
            <w:pPr>
              <w:spacing w:after="40" w:before="60" w:line="259" w:lineRule="auto"/>
            </w:pPr>
            <w:r>
              <w:rPr>
                <w:rFonts w:ascii="Calibri" w:hAnsi="Calibri"/>
                <w:b w:val="0"/>
                <w:i w:val="0"/>
                <w:color w:val="212121"/>
                <w:sz w:val="19"/>
              </w:rPr>
              <w:t>Current smokers have ~1.4-fold higher risk of acute pancreatitis (RR 1.42, 95% CI 1.08-1.87), rising to RR 3.35 (2.38-4.73) for ≥ 1 pack/day; former smokers retain only a marginal excess (RR 1.22).</w:t>
            </w:r>
          </w:p>
          <w:p>
            <w:pPr>
              <w:spacing w:after="40" w:line="252" w:lineRule="auto"/>
            </w:pPr>
            <w:hyperlink r:id="rId14">
              <w:r>
                <w:rPr>
                  <w:rFonts w:ascii="Calibri" w:hAnsi="Calibri" w:cs="Calibri"/>
                  <w:sz w:val="18"/>
                  <w:color w:val="1155CC"/>
                  <w:u w:val="single"/>
                </w:rPr>
                <w:t xml:space="preserve">journals.plos.org - smoking &amp; risk of pancreatitis meta-analysis</w:t>
              </w:r>
            </w:hyperlink>
          </w:p>
          <w:p>
            <w:pPr>
              <w:spacing w:before="60" w:after="40"/>
            </w:pPr>
            <w:r>
              <w:rPr>
                <w:rFonts w:ascii="Calibri" w:hAnsi="Calibri"/>
                <w:b w:val="0"/>
                <w:i w:val="0"/>
                <w:color w:val="5A5A5A"/>
                <w:sz w:val="18"/>
              </w:rPr>
              <w:t>#smoking  #tobacco  #doseresponse  #synergy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physical inactivity &amp; obesity</w:t>
            </w:r>
          </w:p>
        </w:tc>
        <w:tc>
          <w:tcPr>
            <w:tcW w:type="dxa" w:w="2160"/>
            <w:vAlign w:val="top"/>
          </w:tcPr>
          <w:p>
            <w:pPr>
              <w:spacing w:after="40" w:before="0" w:line="259" w:lineRule="auto"/>
            </w:pPr>
            <w:r>
              <w:rPr>
                <w:rFonts w:ascii="Calibri" w:hAnsi="Calibri"/>
                <w:b w:val="0"/>
                <w:i w:val="0"/>
                <w:color w:val="212121"/>
                <w:sz w:val="19"/>
              </w:rPr>
              <w:t>Sedentary, centrally obese adults</w:t>
            </w:r>
          </w:p>
        </w:tc>
        <w:tc>
          <w:tcPr>
            <w:tcW w:type="dxa" w:w="4276"/>
            <w:vAlign w:val="top"/>
          </w:tcPr>
          <w:p>
            <w:pPr>
              <w:spacing w:after="60" w:line="259" w:lineRule="auto"/>
            </w:pPr>
            <w:r>
              <w:rPr>
                <w:rFonts w:ascii="Calibri" w:hAnsi="Calibri"/>
                <w:b w:val="0"/>
                <w:i w:val="0"/>
                <w:color w:val="212121"/>
                <w:sz w:val="19"/>
              </w:rPr>
              <w:t>Physical inactivity and central obesity drive the metabolic syndrome, insulin resistance and hypertriglyceridaemia that predispose to pancreatitis, and excess visceral and peripancreatic fat amplifies local inflammation and necrosis once an attack begins.</w:t>
            </w:r>
          </w:p>
          <w:p>
            <w:pPr>
              <w:spacing w:after="40" w:before="60" w:line="259" w:lineRule="auto"/>
            </w:pPr>
            <w:r>
              <w:rPr>
                <w:rFonts w:ascii="Calibri" w:hAnsi="Calibri"/>
                <w:b w:val="0"/>
                <w:i w:val="0"/>
                <w:color w:val="212121"/>
                <w:sz w:val="19"/>
              </w:rPr>
              <w:t>A BMI &gt; 25 nearly triples the odds of severe acute pancreatitis (OR 2.87, 95% CI 1.90-4.35) and a BMI &gt; 30 raises the odds ~3.6-fold.</w:t>
            </w:r>
          </w:p>
          <w:p>
            <w:pPr>
              <w:spacing w:after="40" w:line="252" w:lineRule="auto"/>
            </w:pPr>
            <w:hyperlink r:id="rId15">
              <w:r>
                <w:rPr>
                  <w:rFonts w:ascii="Calibri" w:hAnsi="Calibri" w:cs="Calibri"/>
                  <w:sz w:val="18"/>
                  <w:color w:val="1155CC"/>
                  <w:u w:val="single"/>
                </w:rPr>
                <w:t xml:space="preserve">wjgnet.com - BMI, severity &amp; mortality in acute pancreatitis (meta-analysis)</w:t>
              </w:r>
            </w:hyperlink>
          </w:p>
          <w:p>
            <w:pPr>
              <w:spacing w:before="60" w:after="40"/>
            </w:pPr>
            <w:r>
              <w:rPr>
                <w:rFonts w:ascii="Calibri" w:hAnsi="Calibri"/>
                <w:b w:val="0"/>
                <w:i w:val="0"/>
                <w:color w:val="5A5A5A"/>
                <w:sz w:val="18"/>
              </w:rPr>
              <w:t>#sedentary  #obesity  #visceralfat  #severity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High-fat, calorie-dense diet with rapid weight change</w:t>
            </w:r>
          </w:p>
        </w:tc>
        <w:tc>
          <w:tcPr>
            <w:tcW w:type="dxa" w:w="4276"/>
            <w:vAlign w:val="top"/>
          </w:tcPr>
          <w:p>
            <w:pPr>
              <w:spacing w:after="60" w:line="259" w:lineRule="auto"/>
            </w:pPr>
            <w:r>
              <w:rPr>
                <w:rFonts w:ascii="Calibri" w:hAnsi="Calibri"/>
                <w:b w:val="0"/>
                <w:i w:val="0"/>
                <w:color w:val="212121"/>
                <w:sz w:val="19"/>
              </w:rPr>
              <w:t>Diets high in fat and refined calories promote gallstone formation and hypertriglyceridaemia, and a heavy fatty meal can trigger biliary colic and stone migration; very rapid weight loss (crash diets, bariatric surgery) also promotes gallstones.</w:t>
            </w:r>
          </w:p>
          <w:p>
            <w:pPr>
              <w:spacing w:after="40" w:before="60" w:line="259" w:lineRule="auto"/>
            </w:pPr>
            <w:r>
              <w:rPr>
                <w:rFonts w:ascii="Calibri" w:hAnsi="Calibri"/>
                <w:b w:val="0"/>
                <w:i w:val="0"/>
                <w:color w:val="212121"/>
                <w:sz w:val="19"/>
              </w:rPr>
              <w:t>Gallstone disease is far commoner in north India and in women; a heavy fatty meal is a classic precipitant of biliary colic and gallstone pancreatitis.</w:t>
            </w:r>
          </w:p>
          <w:p>
            <w:pPr>
              <w:spacing w:after="40" w:line="252" w:lineRule="auto"/>
            </w:pPr>
            <w:hyperlink r:id="rId16">
              <w:r>
                <w:rPr>
                  <w:rFonts w:ascii="Calibri" w:hAnsi="Calibri" w:cs="Calibri"/>
                  <w:sz w:val="18"/>
                  <w:color w:val="1155CC"/>
                  <w:u w:val="single"/>
                </w:rPr>
                <w:t xml:space="preserve">pubmed.ncbi.nlm.nih.gov/21241429 - gallbladder disease, rural north India</w:t>
              </w:r>
            </w:hyperlink>
          </w:p>
          <w:p>
            <w:pPr>
              <w:spacing w:before="60" w:after="40"/>
            </w:pPr>
            <w:r>
              <w:rPr>
                <w:rFonts w:ascii="Calibri" w:hAnsi="Calibri"/>
                <w:b w:val="0"/>
                <w:i w:val="0"/>
                <w:color w:val="5A5A5A"/>
                <w:sz w:val="18"/>
              </w:rPr>
              <w:t>#highfatdiet  #gallstones  #rapidweightloss  #biliarycolic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Hypertriglyceridaemia-promoting intake</w:t>
            </w:r>
          </w:p>
        </w:tc>
        <w:tc>
          <w:tcPr>
            <w:tcW w:type="dxa" w:w="2160"/>
            <w:vAlign w:val="top"/>
          </w:tcPr>
          <w:p>
            <w:pPr>
              <w:spacing w:after="40" w:before="0" w:line="259" w:lineRule="auto"/>
            </w:pPr>
            <w:r>
              <w:rPr>
                <w:rFonts w:ascii="Calibri" w:hAnsi="Calibri"/>
                <w:b w:val="0"/>
                <w:i w:val="0"/>
                <w:color w:val="212121"/>
                <w:sz w:val="19"/>
              </w:rPr>
              <w:t>Uncontrolled high-carbohydrate/high-fat intake with alcohol</w:t>
            </w:r>
          </w:p>
        </w:tc>
        <w:tc>
          <w:tcPr>
            <w:tcW w:type="dxa" w:w="4276"/>
            <w:vAlign w:val="top"/>
          </w:tcPr>
          <w:p>
            <w:pPr>
              <w:spacing w:after="60" w:line="259" w:lineRule="auto"/>
            </w:pPr>
            <w:r>
              <w:rPr>
                <w:rFonts w:ascii="Calibri" w:hAnsi="Calibri"/>
                <w:b w:val="0"/>
                <w:i w:val="0"/>
                <w:color w:val="212121"/>
                <w:sz w:val="19"/>
              </w:rPr>
              <w:t>Diets that push fasting triglycerides very high - especially combined with poorly controlled diabetes, obesity and alcohol - can precipitate hypertriglyceridaemic pancreatitis, an increasingly recognised cause in metabolically unwell Indians.</w:t>
            </w:r>
          </w:p>
          <w:p>
            <w:pPr>
              <w:spacing w:after="40" w:before="60" w:line="259" w:lineRule="auto"/>
            </w:pPr>
            <w:r>
              <w:rPr>
                <w:rFonts w:ascii="Calibri" w:hAnsi="Calibri"/>
                <w:b w:val="0"/>
                <w:i w:val="0"/>
                <w:color w:val="212121"/>
                <w:sz w:val="19"/>
              </w:rPr>
              <w:t>Hypertriglyceridaemic pancreatitis is typically seen at triglyceride levels above ~1000 mg/dL and made up ~2.5% of an Indian tertiary AP cohort.</w:t>
            </w:r>
          </w:p>
          <w:p>
            <w:pPr>
              <w:spacing w:after="40" w:line="252" w:lineRule="auto"/>
            </w:pPr>
            <w:hyperlink r:id="rId13">
              <w:r>
                <w:rPr>
                  <w:rFonts w:ascii="Calibri" w:hAnsi="Calibri" w:cs="Calibri"/>
                  <w:sz w:val="18"/>
                  <w:color w:val="1155CC"/>
                  <w:u w:val="single"/>
                </w:rPr>
                <w:t xml:space="preserve">pmc.ncbi.nlm.nih.gov/PMC9383023 - clinical profile &amp; etiology of AP (India)</w:t>
              </w:r>
            </w:hyperlink>
          </w:p>
          <w:p>
            <w:pPr>
              <w:spacing w:before="60" w:after="40"/>
            </w:pPr>
            <w:r>
              <w:rPr>
                <w:rFonts w:ascii="Calibri" w:hAnsi="Calibri"/>
                <w:b w:val="0"/>
                <w:i w:val="0"/>
                <w:color w:val="5A5A5A"/>
                <w:sz w:val="18"/>
              </w:rPr>
              <w:t>#hypertriglyceridaemia  #diabetes  #alcohol  #metabolic</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hereditary pancreatitis</w:t>
            </w:r>
          </w:p>
        </w:tc>
        <w:tc>
          <w:tcPr>
            <w:tcW w:type="dxa" w:w="2160"/>
            <w:vAlign w:val="top"/>
          </w:tcPr>
          <w:p>
            <w:pPr>
              <w:spacing w:after="40" w:before="0" w:line="259" w:lineRule="auto"/>
            </w:pPr>
            <w:r>
              <w:rPr>
                <w:rFonts w:ascii="Calibri" w:hAnsi="Calibri"/>
                <w:b w:val="0"/>
                <w:i w:val="0"/>
                <w:color w:val="212121"/>
                <w:sz w:val="19"/>
              </w:rPr>
              <w:t>Carriers of PRSS1, SPINK1, CFTR or CTRC mutations</w:t>
            </w:r>
          </w:p>
        </w:tc>
        <w:tc>
          <w:tcPr>
            <w:tcW w:type="dxa" w:w="4276"/>
            <w:vAlign w:val="top"/>
          </w:tcPr>
          <w:p>
            <w:pPr>
              <w:spacing w:after="60" w:line="259" w:lineRule="auto"/>
            </w:pPr>
            <w:r>
              <w:rPr>
                <w:rFonts w:ascii="Calibri" w:hAnsi="Calibri"/>
                <w:b w:val="0"/>
                <w:i w:val="0"/>
                <w:color w:val="212121"/>
                <w:sz w:val="19"/>
              </w:rPr>
              <w:t>Inherited mutations affecting trypsinogen activation and its inhibition cause hereditary and familial pancreatitis, presenting with recurrent attacks from childhood or young adulthood and a high lifetime risk of chronic pancreatitis and pancreatic cancer.</w:t>
            </w:r>
          </w:p>
          <w:p>
            <w:pPr>
              <w:spacing w:after="40" w:before="60" w:line="259" w:lineRule="auto"/>
            </w:pPr>
            <w:r>
              <w:rPr>
                <w:rFonts w:ascii="Calibri" w:hAnsi="Calibri"/>
                <w:b w:val="0"/>
                <w:i w:val="0"/>
                <w:color w:val="212121"/>
                <w:sz w:val="19"/>
              </w:rPr>
              <w:t>Gene mutations (PRSS1, SPINK1, CFTR, CTRC) underlie hereditary pancreatitis and contribute to many otherwise 'idiopathic' cases, particularly with young-onset recurrent disease.</w:t>
            </w:r>
          </w:p>
          <w:p>
            <w:pPr>
              <w:spacing w:after="40" w:line="252" w:lineRule="auto"/>
            </w:pPr>
            <w:hyperlink r:id="rId17">
              <w:r>
                <w:rPr>
                  <w:rFonts w:ascii="Calibri" w:hAnsi="Calibri" w:cs="Calibri"/>
                  <w:sz w:val="18"/>
                  <w:color w:val="1155CC"/>
                  <w:u w:val="single"/>
                </w:rPr>
                <w:t xml:space="preserve">pmc.ncbi.nlm.nih.gov/PMC6514487 - etiology &amp; risk factors of pancreatitis</w:t>
              </w:r>
            </w:hyperlink>
          </w:p>
          <w:p>
            <w:pPr>
              <w:spacing w:before="60" w:after="40"/>
            </w:pPr>
            <w:r>
              <w:rPr>
                <w:rFonts w:ascii="Calibri" w:hAnsi="Calibri"/>
                <w:b w:val="0"/>
                <w:i w:val="0"/>
                <w:color w:val="5A5A5A"/>
                <w:sz w:val="18"/>
              </w:rPr>
              <w:t>#hereditary  #PRSS1  #SPINK1  #CFTR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Cholelithiasis (gallstones)</w:t>
            </w:r>
          </w:p>
        </w:tc>
        <w:tc>
          <w:tcPr>
            <w:tcW w:type="dxa" w:w="2160"/>
            <w:vAlign w:val="top"/>
          </w:tcPr>
          <w:p>
            <w:pPr>
              <w:spacing w:after="40" w:before="0" w:line="259" w:lineRule="auto"/>
            </w:pPr>
            <w:r>
              <w:rPr>
                <w:rFonts w:ascii="Calibri" w:hAnsi="Calibri"/>
                <w:b w:val="0"/>
                <w:i w:val="0"/>
                <w:color w:val="212121"/>
                <w:sz w:val="19"/>
              </w:rPr>
              <w:t>Patients with gallstones / biliary sludge</w:t>
            </w:r>
          </w:p>
        </w:tc>
        <w:tc>
          <w:tcPr>
            <w:tcW w:type="dxa" w:w="4276"/>
            <w:vAlign w:val="top"/>
          </w:tcPr>
          <w:p>
            <w:pPr>
              <w:spacing w:after="60" w:line="259" w:lineRule="auto"/>
            </w:pPr>
            <w:r>
              <w:rPr>
                <w:rFonts w:ascii="Calibri" w:hAnsi="Calibri"/>
                <w:b w:val="0"/>
                <w:i w:val="0"/>
                <w:color w:val="212121"/>
                <w:sz w:val="19"/>
              </w:rPr>
              <w:t>Gallstones - especially small stones and sludge that can migrate through the ampulla - are the single commonest cause of acute pancreatitis, and untreated stones cause recurrent attacks until the gallbladder is removed.</w:t>
            </w:r>
          </w:p>
          <w:p>
            <w:pPr>
              <w:spacing w:after="40" w:before="60" w:line="259" w:lineRule="auto"/>
            </w:pPr>
            <w:r>
              <w:rPr>
                <w:rFonts w:ascii="Calibri" w:hAnsi="Calibri"/>
                <w:b w:val="0"/>
                <w:i w:val="0"/>
                <w:color w:val="212121"/>
                <w:sz w:val="19"/>
              </w:rPr>
              <w:t>Gallstones cause about 35-40% of acute pancreatitis globally and up to ~48% in north Indian series; small stones (&lt; 5 mm) carry the highest risk of migration.</w:t>
            </w:r>
          </w:p>
          <w:p>
            <w:pPr>
              <w:spacing w:after="40" w:line="252" w:lineRule="auto"/>
            </w:pPr>
            <w:hyperlink r:id="rId10">
              <w:r>
                <w:rPr>
                  <w:rFonts w:ascii="Calibri" w:hAnsi="Calibri" w:cs="Calibri"/>
                  <w:sz w:val="18"/>
                  <w:color w:val="1155CC"/>
                  <w:u w:val="single"/>
                </w:rPr>
                <w:t xml:space="preserve">ncbi.nlm.nih.gov - StatPearls: Acute Pancreatitis</w:t>
              </w:r>
            </w:hyperlink>
          </w:p>
          <w:p>
            <w:pPr>
              <w:spacing w:before="60" w:after="40"/>
            </w:pPr>
            <w:r>
              <w:rPr>
                <w:rFonts w:ascii="Calibri" w:hAnsi="Calibri"/>
                <w:b w:val="0"/>
                <w:i w:val="0"/>
                <w:color w:val="5A5A5A"/>
                <w:sz w:val="18"/>
              </w:rPr>
              <w:t>#gallstones  #biliarysludge  #cholecystectomy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Hypertriglyceridaemia / dyslipidaemia</w:t>
            </w:r>
          </w:p>
        </w:tc>
        <w:tc>
          <w:tcPr>
            <w:tcW w:type="dxa" w:w="2160"/>
            <w:vAlign w:val="top"/>
          </w:tcPr>
          <w:p>
            <w:pPr>
              <w:spacing w:after="40" w:before="0" w:line="259" w:lineRule="auto"/>
            </w:pPr>
            <w:r>
              <w:rPr>
                <w:rFonts w:ascii="Calibri" w:hAnsi="Calibri"/>
                <w:b w:val="0"/>
                <w:i w:val="0"/>
                <w:color w:val="212121"/>
                <w:sz w:val="19"/>
              </w:rPr>
              <w:t>Patients with severe hypertriglyceridaemia</w:t>
            </w:r>
          </w:p>
        </w:tc>
        <w:tc>
          <w:tcPr>
            <w:tcW w:type="dxa" w:w="4276"/>
            <w:vAlign w:val="top"/>
          </w:tcPr>
          <w:p>
            <w:pPr>
              <w:spacing w:after="60" w:line="259" w:lineRule="auto"/>
            </w:pPr>
            <w:r>
              <w:rPr>
                <w:rFonts w:ascii="Calibri" w:hAnsi="Calibri"/>
                <w:b w:val="0"/>
                <w:i w:val="0"/>
                <w:color w:val="212121"/>
                <w:sz w:val="19"/>
              </w:rPr>
              <w:t>Severe hypertriglyceridaemia releases toxic free fatty acids that injure acinar cells and capillaries; it is the third leading identifiable cause and is closely tied to uncontrolled diabetes, obesity and alcohol.</w:t>
            </w:r>
          </w:p>
          <w:p>
            <w:pPr>
              <w:spacing w:after="40" w:before="60" w:line="259" w:lineRule="auto"/>
            </w:pPr>
            <w:r>
              <w:rPr>
                <w:rFonts w:ascii="Calibri" w:hAnsi="Calibri"/>
                <w:b w:val="0"/>
                <w:i w:val="0"/>
                <w:color w:val="212121"/>
                <w:sz w:val="19"/>
              </w:rPr>
              <w:t>Risk rises steeply above triglycerides of ~1000 mg/dL (11.3 mmol/L); such patients often have coexisting diabetes, obesity or heavy alcohol use.</w:t>
            </w:r>
          </w:p>
          <w:p>
            <w:pPr>
              <w:spacing w:after="40" w:line="252" w:lineRule="auto"/>
            </w:pPr>
            <w:hyperlink r:id="rId18">
              <w:r>
                <w:rPr>
                  <w:rFonts w:ascii="Calibri" w:hAnsi="Calibri" w:cs="Calibri"/>
                  <w:sz w:val="18"/>
                  <w:color w:val="1155CC"/>
                  <w:u w:val="single"/>
                </w:rPr>
                <w:t xml:space="preserve">ncbi.nlm.nih.gov - Endotext: pancreatitis secondary to hypertriglyceridemia</w:t>
              </w:r>
            </w:hyperlink>
          </w:p>
          <w:p>
            <w:pPr>
              <w:spacing w:before="60" w:after="40"/>
            </w:pPr>
            <w:r>
              <w:rPr>
                <w:rFonts w:ascii="Calibri" w:hAnsi="Calibri"/>
                <w:b w:val="0"/>
                <w:i w:val="0"/>
                <w:color w:val="5A5A5A"/>
                <w:sz w:val="18"/>
              </w:rPr>
              <w:t>#hypertriglyceridaemia  #dyslipidaemia  #freefattyacids  #diabetes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metabolic syndrome</w:t>
            </w:r>
          </w:p>
        </w:tc>
        <w:tc>
          <w:tcPr>
            <w:tcW w:type="dxa" w:w="2160"/>
            <w:vAlign w:val="top"/>
          </w:tcPr>
          <w:p>
            <w:pPr>
              <w:spacing w:after="40" w:before="0" w:line="259" w:lineRule="auto"/>
            </w:pPr>
            <w:r>
              <w:rPr>
                <w:rFonts w:ascii="Calibri" w:hAnsi="Calibri"/>
                <w:b w:val="0"/>
                <w:i w:val="0"/>
                <w:color w:val="212121"/>
                <w:sz w:val="19"/>
              </w:rPr>
              <w:t>Patients with diabetes, obesity and metabolic syndrome</w:t>
            </w:r>
          </w:p>
        </w:tc>
        <w:tc>
          <w:tcPr>
            <w:tcW w:type="dxa" w:w="4276"/>
            <w:vAlign w:val="top"/>
          </w:tcPr>
          <w:p>
            <w:pPr>
              <w:spacing w:after="60" w:line="259" w:lineRule="auto"/>
            </w:pPr>
            <w:r>
              <w:rPr>
                <w:rFonts w:ascii="Calibri" w:hAnsi="Calibri"/>
                <w:b w:val="0"/>
                <w:i w:val="0"/>
                <w:color w:val="212121"/>
                <w:sz w:val="19"/>
              </w:rPr>
              <w:t>Metabolic syndrome and diabetes both predispose to pancreatitis (via hypertriglyceridaemia, gallstones and obesity) and result from it, as pancreatic injury can cause pancreatogenic (type 3c) diabetes; obesity independently worsens severity.</w:t>
            </w:r>
          </w:p>
          <w:p>
            <w:pPr>
              <w:spacing w:after="40" w:before="60" w:line="259" w:lineRule="auto"/>
            </w:pPr>
            <w:r>
              <w:rPr>
                <w:rFonts w:ascii="Calibri" w:hAnsi="Calibri"/>
                <w:b w:val="0"/>
                <w:i w:val="0"/>
                <w:color w:val="212121"/>
                <w:sz w:val="19"/>
              </w:rPr>
              <w:t>A BMI &gt; 30 roughly triples the risk of death in acute pancreatitis (OR 2.89, 95% CI 1.14-7.36); new-onset diabetes is a recognised sequela after an attack.</w:t>
            </w:r>
          </w:p>
          <w:p>
            <w:pPr>
              <w:spacing w:after="40" w:line="252" w:lineRule="auto"/>
            </w:pPr>
            <w:hyperlink r:id="rId15">
              <w:r>
                <w:rPr>
                  <w:rFonts w:ascii="Calibri" w:hAnsi="Calibri" w:cs="Calibri"/>
                  <w:sz w:val="18"/>
                  <w:color w:val="1155CC"/>
                  <w:u w:val="single"/>
                </w:rPr>
                <w:t xml:space="preserve">wjgnet.com - BMI, severity &amp; mortality in acute pancreatitis (meta-analysis)</w:t>
              </w:r>
            </w:hyperlink>
          </w:p>
          <w:p>
            <w:pPr>
              <w:spacing w:before="60" w:after="40"/>
            </w:pPr>
            <w:r>
              <w:rPr>
                <w:rFonts w:ascii="Calibri" w:hAnsi="Calibri"/>
                <w:b w:val="0"/>
                <w:i w:val="0"/>
                <w:color w:val="5A5A5A"/>
                <w:sz w:val="18"/>
              </w:rPr>
              <w:t>#diabetes  #metabolicsyndrome  #type3c  #obesity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Post-ERCP / biliary intervention &amp; ductal parasites</w:t>
            </w:r>
          </w:p>
        </w:tc>
        <w:tc>
          <w:tcPr>
            <w:tcW w:type="dxa" w:w="2160"/>
            <w:vAlign w:val="top"/>
          </w:tcPr>
          <w:p>
            <w:pPr>
              <w:spacing w:after="40" w:before="0" w:line="259" w:lineRule="auto"/>
            </w:pPr>
            <w:r>
              <w:rPr>
                <w:rFonts w:ascii="Calibri" w:hAnsi="Calibri"/>
                <w:b w:val="0"/>
                <w:i w:val="0"/>
                <w:color w:val="212121"/>
                <w:sz w:val="19"/>
              </w:rPr>
              <w:t>Patients after ERCP or with biliary Ascaris</w:t>
            </w:r>
          </w:p>
        </w:tc>
        <w:tc>
          <w:tcPr>
            <w:tcW w:type="dxa" w:w="4276"/>
            <w:vAlign w:val="top"/>
          </w:tcPr>
          <w:p>
            <w:pPr>
              <w:spacing w:after="60" w:line="259" w:lineRule="auto"/>
            </w:pPr>
            <w:r>
              <w:rPr>
                <w:rFonts w:ascii="Calibri" w:hAnsi="Calibri"/>
                <w:b w:val="0"/>
                <w:i w:val="0"/>
                <w:color w:val="212121"/>
                <w:sz w:val="19"/>
              </w:rPr>
              <w:t>Endoscopic retrograde cholangiopancreatography (ERCP) mechanically and hydrostatically injures the pancreatic duct, and in endemic Indian areas Ascaris worms migrating into the biliary/pancreatic ducts precipitate obstruction and pancreatitis.</w:t>
            </w:r>
          </w:p>
          <w:p>
            <w:pPr>
              <w:spacing w:after="40" w:before="60" w:line="259" w:lineRule="auto"/>
            </w:pPr>
            <w:r>
              <w:rPr>
                <w:rFonts w:ascii="Calibri" w:hAnsi="Calibri"/>
                <w:b w:val="0"/>
                <w:i w:val="0"/>
                <w:color w:val="212121"/>
                <w:sz w:val="19"/>
              </w:rPr>
              <w:t>Post-ERCP pancreatitis complicates roughly 3-10% of procedures; hepatobiliary ascariasis is a well-documented cause of acute pancreatitis in Kashmir and other endemic regions.</w:t>
            </w:r>
          </w:p>
          <w:p>
            <w:pPr>
              <w:spacing w:after="40" w:line="252" w:lineRule="auto"/>
            </w:pPr>
            <w:hyperlink r:id="rId19">
              <w:r>
                <w:rPr>
                  <w:rFonts w:ascii="Calibri" w:hAnsi="Calibri" w:cs="Calibri"/>
                  <w:sz w:val="18"/>
                  <w:color w:val="1155CC"/>
                  <w:u w:val="single"/>
                </w:rPr>
                <w:t xml:space="preserve">onlinelibrary.wiley.com - AP in children in Kashmir, endemic hepatobiliary ascariasis</w:t>
              </w:r>
            </w:hyperlink>
          </w:p>
          <w:p>
            <w:pPr>
              <w:spacing w:before="60" w:after="40"/>
            </w:pPr>
            <w:r>
              <w:rPr>
                <w:rFonts w:ascii="Calibri" w:hAnsi="Calibri"/>
                <w:b w:val="0"/>
                <w:i w:val="0"/>
                <w:color w:val="5A5A5A"/>
                <w:sz w:val="18"/>
              </w:rPr>
              <w:t>#postERCP  #ascariasis  #iatrogenic  #ductalobstruction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central obesity promote the gallstones, hypertriglyceridaemia and insulin resistance that cause pancreatitis, and excess peripancreatic fat worsens local necrosis; a BMI &gt; 25 nearly triples the odds of severe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to the two leading causes: high-fat, calorie-dense eating drives gallstone formation and hypertriglyceridaemia, a fatty meal can trigger stone migration, and after an attack early enteral/oral refeeding (rather than prolonged fasting) improves outcomes.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strong direct link between sleep and acute pancreatitis, though poor sleep clusters with the obesity, alcohol use and metabolic syndrome that raise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an independent, dose-dependent risk factor - current smokers have ~1.4x the risk overall and &gt;3x at ≥ 1 pack/day - and it accelerates progression to chronic pancreatitis, acting synergistically with alcohol.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drinking (4-5 drinks/day for ≥ 5 years) and binge episodes are the leading cause of acute pancreatitis in Indian men; continued use after a first attack strongly predicts recurrence and chronic pancreatitis.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Alcohol-use disorder - a major driver of pancreatitis - is tightly linked to depression and anxiety, and severe or recurrent pancreatitis with chronic pain, hospitalisation and disability commonly provokes psychological distress and substance relapse.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Early, goal-directed intravenous fluid resuscitation is a cornerstone of management; dehydration and haemoconcentration (a rising haematocrit) predict pancreatic necrosis, so adequate hydration in the first 24-48 hours materially affects outcome.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causal link between caffeine or coffee intake and acute pancreatitis; if anything, coffee shows a weak inverse association with gallstone disease.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India specifically, poor sanitation sustains Ascaris (roundworm) infestation, and worm migration into the biliary and pancreatic ducts is a recognised regional cause of acute pancreatitis, particularly in Kashmir and among children.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Common precipitants include gallstone migration, an alcohol binge, a fatty meal, ERCP, offending drugs (azathioprine, valproate, thiazides, oestrogens), severe hypertriglyceridaemia, hypercalcaemia, abdominal trauma and ductal parasites.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(drinks/day, years)</w:t>
            </w:r>
          </w:p>
        </w:tc>
        <w:tc>
          <w:tcPr>
            <w:tcW w:type="dxa" w:w="1655"/>
            <w:vAlign w:val="top"/>
          </w:tcPr>
          <w:p>
            <w:pPr>
              <w:spacing w:after="40" w:before="0" w:line="259" w:lineRule="auto"/>
            </w:pPr>
            <w:r>
              <w:rPr>
                <w:rFonts w:ascii="Calibri" w:hAnsi="Calibri"/>
                <w:b w:val="0"/>
                <w:i w:val="0"/>
                <w:color w:val="212121"/>
                <w:sz w:val="19"/>
              </w:rPr>
              <w:t>Men with alcohol-use disorder</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 4-5 drinks/day for ≥ 5 years; any binge</w:t>
            </w:r>
          </w:p>
        </w:tc>
        <w:tc>
          <w:tcPr>
            <w:tcW w:type="dxa" w:w="1468"/>
            <w:vAlign w:val="top"/>
          </w:tcPr>
          <w:p>
            <w:pPr>
              <w:spacing w:after="60" w:line="259" w:lineRule="auto"/>
            </w:pPr>
            <w:r>
              <w:rPr>
                <w:rFonts w:ascii="Calibri" w:hAnsi="Calibri"/>
                <w:b w:val="0"/>
                <w:i w:val="0"/>
                <w:color w:val="212121"/>
                <w:sz w:val="19"/>
              </w:rPr>
              <w:t>Leading cause of AP in Indian men; abstinence prevents recurrence</w:t>
            </w:r>
          </w:p>
          <w:p>
            <w:pPr>
              <w:spacing w:after="40" w:line="252" w:lineRule="auto"/>
            </w:pPr>
            <w:hyperlink r:id="rId10">
              <w:r>
                <w:rPr>
                  <w:rFonts w:ascii="Calibri" w:hAnsi="Calibri" w:cs="Calibri"/>
                  <w:sz w:val="18"/>
                  <w:color w:val="1155CC"/>
                  <w:u w:val="single"/>
                </w:rPr>
                <w:t xml:space="preserve">https://www.ncbi.nlm.nih.gov/books/NBK482468/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Current smokers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(risk rises with pack-years)</w:t>
            </w:r>
          </w:p>
        </w:tc>
        <w:tc>
          <w:tcPr>
            <w:tcW w:type="dxa" w:w="1468"/>
            <w:vAlign w:val="top"/>
          </w:tcPr>
          <w:p>
            <w:pPr>
              <w:spacing w:after="60" w:line="259" w:lineRule="auto"/>
            </w:pPr>
            <w:r>
              <w:rPr>
                <w:rFonts w:ascii="Calibri" w:hAnsi="Calibri"/>
                <w:b w:val="0"/>
                <w:i w:val="0"/>
                <w:color w:val="212121"/>
                <w:sz w:val="19"/>
              </w:rPr>
              <w:t>≥ 1 pack/day carries RR ~3.35 for acute pancreatitis</w:t>
            </w:r>
          </w:p>
          <w:p>
            <w:pPr>
              <w:spacing w:after="40" w:line="252" w:lineRule="auto"/>
            </w:pPr>
            <w:hyperlink r:id="rId14">
              <w:r>
                <w:rPr>
                  <w:rFonts w:ascii="Calibri" w:hAnsi="Calibri" w:cs="Calibri"/>
                  <w:sz w:val="18"/>
                  <w:color w:val="1155CC"/>
                  <w:u w:val="single"/>
                </w:rPr>
                <w:t xml:space="preserve">https://journals.plos.org/plosone/article?id=10.1371/journal.pone.0124075</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kg/m²)</w:t>
            </w:r>
          </w:p>
        </w:tc>
        <w:tc>
          <w:tcPr>
            <w:tcW w:type="dxa" w:w="1655"/>
            <w:vAlign w:val="top"/>
          </w:tcPr>
          <w:p>
            <w:pPr>
              <w:spacing w:after="40" w:before="0" w:line="259" w:lineRule="auto"/>
            </w:pPr>
            <w:r>
              <w:rPr>
                <w:rFonts w:ascii="Calibri" w:hAnsi="Calibri"/>
                <w:b w:val="0"/>
                <w:i w:val="0"/>
                <w:color w:val="212121"/>
                <w:sz w:val="19"/>
              </w:rPr>
              <w:t>Sedentary, obese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25-30 (obese)</w:t>
            </w:r>
          </w:p>
        </w:tc>
        <w:tc>
          <w:tcPr>
            <w:tcW w:type="dxa" w:w="1468"/>
            <w:vAlign w:val="top"/>
          </w:tcPr>
          <w:p>
            <w:pPr>
              <w:spacing w:after="60" w:line="259" w:lineRule="auto"/>
            </w:pPr>
            <w:r>
              <w:rPr>
                <w:rFonts w:ascii="Calibri" w:hAnsi="Calibri"/>
                <w:b w:val="0"/>
                <w:i w:val="0"/>
                <w:color w:val="212121"/>
                <w:sz w:val="19"/>
              </w:rPr>
              <w:t>BMI &gt; 25 ~triples odds of severe AP; BMI &gt; 30 ~quadruples it</w:t>
            </w:r>
          </w:p>
          <w:p>
            <w:pPr>
              <w:spacing w:after="40" w:line="252" w:lineRule="auto"/>
            </w:pPr>
            <w:hyperlink r:id="rId15">
              <w:r>
                <w:rPr>
                  <w:rFonts w:ascii="Calibri" w:hAnsi="Calibri" w:cs="Calibri"/>
                  <w:sz w:val="18"/>
                  <w:color w:val="1155CC"/>
                  <w:u w:val="single"/>
                </w:rPr>
                <w:t xml:space="preserve">https://www.wjgnet.com/1007-9327/full/v25/i6/729.htm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(Asian-Indian)</w:t>
            </w:r>
          </w:p>
        </w:tc>
        <w:tc>
          <w:tcPr>
            <w:tcW w:type="dxa" w:w="1655"/>
            <w:vAlign w:val="top"/>
          </w:tcPr>
          <w:p>
            <w:pPr>
              <w:spacing w:after="40" w:before="0" w:line="259" w:lineRule="auto"/>
            </w:pPr>
            <w:r>
              <w:rPr>
                <w:rFonts w:ascii="Calibri" w:hAnsi="Calibri"/>
                <w:b w:val="0"/>
                <w:i w:val="0"/>
                <w:color w:val="212121"/>
                <w:sz w:val="19"/>
              </w:rPr>
              <w:t>Centrally obese 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Central/visceral obesity worsens local inflammation and necrosis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serum triglycerides (mg/dL)</w:t>
            </w:r>
          </w:p>
        </w:tc>
        <w:tc>
          <w:tcPr>
            <w:tcW w:type="dxa" w:w="1655"/>
            <w:vAlign w:val="top"/>
          </w:tcPr>
          <w:p>
            <w:pPr>
              <w:spacing w:after="40" w:before="0" w:line="259" w:lineRule="auto"/>
            </w:pPr>
            <w:r>
              <w:rPr>
                <w:rFonts w:ascii="Calibri" w:hAnsi="Calibri"/>
                <w:b w:val="0"/>
                <w:i w:val="0"/>
                <w:color w:val="212121"/>
                <w:sz w:val="19"/>
              </w:rPr>
              <w:t>Diabetic, obese, alcohol users</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 500 mg/dL (risk); ≥ 1000 mg/dL (high risk)</w:t>
            </w:r>
          </w:p>
        </w:tc>
        <w:tc>
          <w:tcPr>
            <w:tcW w:type="dxa" w:w="1468"/>
            <w:vAlign w:val="top"/>
          </w:tcPr>
          <w:p>
            <w:pPr>
              <w:spacing w:after="60" w:line="259" w:lineRule="auto"/>
            </w:pPr>
            <w:r>
              <w:rPr>
                <w:rFonts w:ascii="Calibri" w:hAnsi="Calibri"/>
                <w:b w:val="0"/>
                <w:i w:val="0"/>
                <w:color w:val="212121"/>
                <w:sz w:val="19"/>
              </w:rPr>
              <w:t>Above ~1000 mg/dL can directly cause pancreatitis</w:t>
            </w:r>
          </w:p>
          <w:p>
            <w:pPr>
              <w:spacing w:after="40" w:line="252" w:lineRule="auto"/>
            </w:pPr>
            <w:hyperlink r:id="rId18">
              <w:r>
                <w:rPr>
                  <w:rFonts w:ascii="Calibri" w:hAnsi="Calibri" w:cs="Calibri"/>
                  <w:sz w:val="18"/>
                  <w:color w:val="1155CC"/>
                  <w:u w:val="single"/>
                </w:rPr>
                <w:t xml:space="preserve">https://www.ncbi.nlm.nih.gov/books/NBK279082/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calcium (mg/dL)</w:t>
            </w:r>
          </w:p>
        </w:tc>
        <w:tc>
          <w:tcPr>
            <w:tcW w:type="dxa" w:w="1655"/>
            <w:vAlign w:val="top"/>
          </w:tcPr>
          <w:p>
            <w:pPr>
              <w:spacing w:after="40" w:before="0" w:line="259" w:lineRule="auto"/>
            </w:pPr>
            <w:r>
              <w:rPr>
                <w:rFonts w:ascii="Calibri" w:hAnsi="Calibri"/>
                <w:b w:val="0"/>
                <w:i w:val="0"/>
                <w:color w:val="212121"/>
                <w:sz w:val="19"/>
              </w:rPr>
              <w:t>Hyperparathyroidism, at-risk adults</w:t>
            </w:r>
          </w:p>
        </w:tc>
        <w:tc>
          <w:tcPr>
            <w:tcW w:type="dxa" w:w="1512"/>
            <w:vAlign w:val="top"/>
          </w:tcPr>
          <w:p>
            <w:pPr>
              <w:spacing w:after="40" w:before="0" w:line="259" w:lineRule="auto"/>
            </w:pPr>
            <w:r>
              <w:rPr>
                <w:rFonts w:ascii="Calibri" w:hAnsi="Calibri"/>
                <w:b w:val="0"/>
                <w:i w:val="0"/>
                <w:color w:val="212121"/>
                <w:sz w:val="19"/>
              </w:rPr>
              <w:t>8.5-10.5 mg/dL</w:t>
            </w:r>
          </w:p>
        </w:tc>
        <w:tc>
          <w:tcPr>
            <w:tcW w:type="dxa" w:w="1512"/>
            <w:vAlign w:val="top"/>
          </w:tcPr>
          <w:p>
            <w:pPr>
              <w:spacing w:after="40" w:before="0" w:line="259" w:lineRule="auto"/>
            </w:pPr>
            <w:r>
              <w:rPr>
                <w:rFonts w:ascii="Calibri" w:hAnsi="Calibri"/>
                <w:b w:val="0"/>
                <w:i w:val="0"/>
                <w:color w:val="212121"/>
                <w:sz w:val="19"/>
              </w:rPr>
              <w:t>&gt; 10.5 (cause); &lt; 8.5 marks severe AP</w:t>
            </w:r>
          </w:p>
        </w:tc>
        <w:tc>
          <w:tcPr>
            <w:tcW w:type="dxa" w:w="1468"/>
            <w:vAlign w:val="top"/>
          </w:tcPr>
          <w:p>
            <w:pPr>
              <w:spacing w:after="40" w:before="0" w:line="259" w:lineRule="auto"/>
            </w:pPr>
            <w:r>
              <w:rPr>
                <w:rFonts w:ascii="Calibri" w:hAnsi="Calibri"/>
                <w:b w:val="0"/>
                <w:i w:val="0"/>
                <w:color w:val="212121"/>
                <w:sz w:val="19"/>
              </w:rPr>
              <w:t>Hypercalcaemia can trigger AP; hypocalcaemia is a severity marker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Diabetics, metabolic syndrome</w:t>
            </w:r>
          </w:p>
        </w:tc>
        <w:tc>
          <w:tcPr>
            <w:tcW w:type="dxa" w:w="1512"/>
            <w:vAlign w:val="top"/>
          </w:tcPr>
          <w:p>
            <w:pPr>
              <w:spacing w:after="40" w:before="0" w:line="259" w:lineRule="auto"/>
            </w:pPr>
            <w:r>
              <w:rPr>
                <w:rFonts w:ascii="Calibri" w:hAnsi="Calibri"/>
                <w:b w:val="0"/>
                <w:i w:val="0"/>
                <w:color w:val="212121"/>
                <w:sz w:val="19"/>
              </w:rPr>
              <w:t>FBS 70-99 mg/dL; HbA1c &lt; 5.7%</w:t>
            </w:r>
          </w:p>
        </w:tc>
        <w:tc>
          <w:tcPr>
            <w:tcW w:type="dxa" w:w="1512"/>
            <w:vAlign w:val="top"/>
          </w:tcPr>
          <w:p>
            <w:pPr>
              <w:spacing w:after="40" w:before="0" w:line="259" w:lineRule="auto"/>
            </w:pPr>
            <w:r>
              <w:rPr>
                <w:rFonts w:ascii="Calibri" w:hAnsi="Calibri"/>
                <w:b w:val="0"/>
                <w:i w:val="0"/>
                <w:color w:val="212121"/>
                <w:sz w:val="19"/>
              </w:rPr>
              <w:t>FBS ≥ 126 mg/dL; HbA1c ≥ 6.5%</w:t>
            </w:r>
          </w:p>
        </w:tc>
        <w:tc>
          <w:tcPr>
            <w:tcW w:type="dxa" w:w="1468"/>
            <w:vAlign w:val="top"/>
          </w:tcPr>
          <w:p>
            <w:pPr>
              <w:spacing w:after="40" w:before="0" w:line="259" w:lineRule="auto"/>
            </w:pPr>
            <w:r>
              <w:rPr>
                <w:rFonts w:ascii="Calibri" w:hAnsi="Calibri"/>
                <w:b w:val="0"/>
                <w:i w:val="0"/>
                <w:color w:val="212121"/>
                <w:sz w:val="19"/>
              </w:rPr>
              <w:t>Diabetes both predisposes to and results from pancreatitis (type 3c)</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lipase / amylase (× ULN)</w:t>
            </w:r>
          </w:p>
        </w:tc>
        <w:tc>
          <w:tcPr>
            <w:tcW w:type="dxa" w:w="1655"/>
            <w:vAlign w:val="top"/>
          </w:tcPr>
          <w:p>
            <w:pPr>
              <w:spacing w:after="40" w:before="0" w:line="259" w:lineRule="auto"/>
            </w:pPr>
            <w:r>
              <w:rPr>
                <w:rFonts w:ascii="Calibri" w:hAnsi="Calibri"/>
                <w:b w:val="0"/>
                <w:i w:val="0"/>
                <w:color w:val="212121"/>
                <w:sz w:val="19"/>
              </w:rPr>
              <w:t>Patients with acute abdominal pain</w:t>
            </w:r>
          </w:p>
        </w:tc>
        <w:tc>
          <w:tcPr>
            <w:tcW w:type="dxa" w:w="1512"/>
            <w:vAlign w:val="top"/>
          </w:tcPr>
          <w:p>
            <w:pPr>
              <w:spacing w:after="40" w:before="0" w:line="259" w:lineRule="auto"/>
            </w:pPr>
            <w:r>
              <w:rPr>
                <w:rFonts w:ascii="Calibri" w:hAnsi="Calibri"/>
                <w:b w:val="0"/>
                <w:i w:val="0"/>
                <w:color w:val="212121"/>
                <w:sz w:val="19"/>
              </w:rPr>
              <w:t>Within normal reference range</w:t>
            </w:r>
          </w:p>
        </w:tc>
        <w:tc>
          <w:tcPr>
            <w:tcW w:type="dxa" w:w="1512"/>
            <w:vAlign w:val="top"/>
          </w:tcPr>
          <w:p>
            <w:pPr>
              <w:spacing w:after="40" w:before="0" w:line="259" w:lineRule="auto"/>
            </w:pPr>
            <w:r>
              <w:rPr>
                <w:rFonts w:ascii="Calibri" w:hAnsi="Calibri"/>
                <w:b w:val="0"/>
                <w:i w:val="0"/>
                <w:color w:val="212121"/>
                <w:sz w:val="19"/>
              </w:rPr>
              <w:t>≥ 3× upper limit of normal</w:t>
            </w:r>
          </w:p>
        </w:tc>
        <w:tc>
          <w:tcPr>
            <w:tcW w:type="dxa" w:w="1468"/>
            <w:vAlign w:val="top"/>
          </w:tcPr>
          <w:p>
            <w:pPr>
              <w:spacing w:after="60" w:line="259" w:lineRule="auto"/>
            </w:pPr>
            <w:r>
              <w:rPr>
                <w:rFonts w:ascii="Calibri" w:hAnsi="Calibri"/>
                <w:b w:val="0"/>
                <w:i w:val="0"/>
                <w:color w:val="212121"/>
                <w:sz w:val="19"/>
              </w:rPr>
              <w:t>A ≥ 3× ULN rise is one of the diagnostic criteria</w:t>
            </w:r>
          </w:p>
          <w:p>
            <w:pPr>
              <w:spacing w:after="40" w:line="252" w:lineRule="auto"/>
            </w:pPr>
            <w:hyperlink r:id="rId10">
              <w:r>
                <w:rPr>
                  <w:rFonts w:ascii="Calibri" w:hAnsi="Calibri" w:cs="Calibri"/>
                  <w:sz w:val="18"/>
                  <w:color w:val="1155CC"/>
                  <w:u w:val="single"/>
                </w:rPr>
                <w:t xml:space="preserve">https://www.ncbi.nlm.nih.gov/books/NBK482468/</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Haematocrit (%)</w:t>
            </w:r>
          </w:p>
        </w:tc>
        <w:tc>
          <w:tcPr>
            <w:tcW w:type="dxa" w:w="1655"/>
            <w:vAlign w:val="top"/>
          </w:tcPr>
          <w:p>
            <w:pPr>
              <w:spacing w:after="40" w:before="0" w:line="259" w:lineRule="auto"/>
            </w:pPr>
            <w:r>
              <w:rPr>
                <w:rFonts w:ascii="Calibri" w:hAnsi="Calibri"/>
                <w:b w:val="0"/>
                <w:i w:val="0"/>
                <w:color w:val="212121"/>
                <w:sz w:val="19"/>
              </w:rPr>
              <w:t>Patients in the first 24-48 h of AP</w:t>
            </w:r>
          </w:p>
        </w:tc>
        <w:tc>
          <w:tcPr>
            <w:tcW w:type="dxa" w:w="1512"/>
            <w:vAlign w:val="top"/>
          </w:tcPr>
          <w:p>
            <w:pPr>
              <w:spacing w:after="40" w:before="0" w:line="259" w:lineRule="auto"/>
            </w:pPr>
            <w:r>
              <w:rPr>
                <w:rFonts w:ascii="Calibri" w:hAnsi="Calibri"/>
                <w:b w:val="0"/>
                <w:i w:val="0"/>
                <w:color w:val="212121"/>
                <w:sz w:val="19"/>
              </w:rPr>
              <w:t>Within normal range / falling with fluids</w:t>
            </w:r>
          </w:p>
        </w:tc>
        <w:tc>
          <w:tcPr>
            <w:tcW w:type="dxa" w:w="1512"/>
            <w:vAlign w:val="top"/>
          </w:tcPr>
          <w:p>
            <w:pPr>
              <w:spacing w:after="40" w:before="0" w:line="259" w:lineRule="auto"/>
            </w:pPr>
            <w:r>
              <w:rPr>
                <w:rFonts w:ascii="Calibri" w:hAnsi="Calibri"/>
                <w:b w:val="0"/>
                <w:i w:val="0"/>
                <w:color w:val="212121"/>
                <w:sz w:val="19"/>
              </w:rPr>
              <w:t>&gt; 44% or rising despite resuscitation</w:t>
            </w:r>
          </w:p>
        </w:tc>
        <w:tc>
          <w:tcPr>
            <w:tcW w:type="dxa" w:w="1468"/>
            <w:vAlign w:val="top"/>
          </w:tcPr>
          <w:p>
            <w:pPr>
              <w:spacing w:after="40" w:before="0" w:line="259" w:lineRule="auto"/>
            </w:pPr>
            <w:r>
              <w:rPr>
                <w:rFonts w:ascii="Calibri" w:hAnsi="Calibri"/>
                <w:b w:val="0"/>
                <w:i w:val="0"/>
                <w:color w:val="212121"/>
                <w:sz w:val="19"/>
              </w:rPr>
              <w:t>Haemoconcentration predicts pancreatic necrosis; guides fluid therapy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C-reactive protein at 48 h (mg/L)</w:t>
            </w:r>
          </w:p>
        </w:tc>
        <w:tc>
          <w:tcPr>
            <w:tcW w:type="dxa" w:w="1655"/>
            <w:vAlign w:val="top"/>
          </w:tcPr>
          <w:p>
            <w:pPr>
              <w:spacing w:after="40" w:before="0" w:line="259" w:lineRule="auto"/>
            </w:pPr>
            <w:r>
              <w:rPr>
                <w:rFonts w:ascii="Calibri" w:hAnsi="Calibri"/>
                <w:b w:val="0"/>
                <w:i w:val="0"/>
                <w:color w:val="212121"/>
                <w:sz w:val="19"/>
              </w:rPr>
              <w:t>Admitted AP patients</w:t>
            </w:r>
          </w:p>
        </w:tc>
        <w:tc>
          <w:tcPr>
            <w:tcW w:type="dxa" w:w="1512"/>
            <w:vAlign w:val="top"/>
          </w:tcPr>
          <w:p>
            <w:pPr>
              <w:spacing w:after="40" w:before="0" w:line="259" w:lineRule="auto"/>
            </w:pPr>
            <w:r>
              <w:rPr>
                <w:rFonts w:ascii="Calibri" w:hAnsi="Calibri"/>
                <w:b w:val="0"/>
                <w:i w:val="0"/>
                <w:color w:val="212121"/>
                <w:sz w:val="19"/>
              </w:rPr>
              <w:t>&lt; 150 mg/L</w:t>
            </w:r>
          </w:p>
        </w:tc>
        <w:tc>
          <w:tcPr>
            <w:tcW w:type="dxa" w:w="1512"/>
            <w:vAlign w:val="top"/>
          </w:tcPr>
          <w:p>
            <w:pPr>
              <w:spacing w:after="40" w:before="0" w:line="259" w:lineRule="auto"/>
            </w:pPr>
            <w:r>
              <w:rPr>
                <w:rFonts w:ascii="Calibri" w:hAnsi="Calibri"/>
                <w:b w:val="0"/>
                <w:i w:val="0"/>
                <w:color w:val="212121"/>
                <w:sz w:val="19"/>
              </w:rPr>
              <w:t>&gt; 150 mg/L at 48 hours</w:t>
            </w:r>
          </w:p>
        </w:tc>
        <w:tc>
          <w:tcPr>
            <w:tcW w:type="dxa" w:w="1468"/>
            <w:vAlign w:val="top"/>
          </w:tcPr>
          <w:p>
            <w:pPr>
              <w:spacing w:after="60" w:line="259" w:lineRule="auto"/>
            </w:pPr>
            <w:r>
              <w:rPr>
                <w:rFonts w:ascii="Calibri" w:hAnsi="Calibri"/>
                <w:b w:val="0"/>
                <w:i w:val="0"/>
                <w:color w:val="212121"/>
                <w:sz w:val="19"/>
              </w:rPr>
              <w:t>Marks severe/necrotising disease and worse prognosis</w:t>
            </w:r>
          </w:p>
          <w:p>
            <w:pPr>
              <w:spacing w:after="40" w:line="252" w:lineRule="auto"/>
            </w:pPr>
            <w:hyperlink r:id="rId10">
              <w:r>
                <w:rPr>
                  <w:rFonts w:ascii="Calibri" w:hAnsi="Calibri" w:cs="Calibri"/>
                  <w:sz w:val="18"/>
                  <w:color w:val="1155CC"/>
                  <w:u w:val="single"/>
                </w:rPr>
                <w:t xml:space="preserve">https://www.ncbi.nlm.nih.gov/books/NBK482468/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lipase</w:t>
            </w:r>
          </w:p>
        </w:tc>
        <w:tc>
          <w:tcPr>
            <w:tcW w:type="dxa" w:w="892"/>
            <w:vAlign w:val="top"/>
          </w:tcPr>
          <w:p>
            <w:pPr>
              <w:spacing w:after="40" w:before="0" w:line="259" w:lineRule="auto"/>
            </w:pPr>
            <w:r>
              <w:rPr>
                <w:rFonts w:ascii="Calibri" w:hAnsi="Calibri"/>
                <w:b w:val="0"/>
                <w:i w:val="0"/>
                <w:color w:val="212121"/>
                <w:sz w:val="16"/>
              </w:rPr>
              <w:t>Pancreatic enzyme assay</w:t>
            </w:r>
          </w:p>
        </w:tc>
        <w:tc>
          <w:tcPr>
            <w:tcW w:type="dxa" w:w="950"/>
            <w:vAlign w:val="top"/>
          </w:tcPr>
          <w:p>
            <w:pPr>
              <w:spacing w:after="40" w:before="0" w:line="259" w:lineRule="auto"/>
            </w:pPr>
            <w:r>
              <w:rPr>
                <w:rFonts w:ascii="Calibri" w:hAnsi="Calibri"/>
                <w:b w:val="0"/>
                <w:i w:val="0"/>
                <w:color w:val="212121"/>
                <w:sz w:val="16"/>
              </w:rPr>
              <w:t>Within lab reference range</w:t>
            </w:r>
          </w:p>
        </w:tc>
        <w:tc>
          <w:tcPr>
            <w:tcW w:type="dxa" w:w="950"/>
            <w:vAlign w:val="top"/>
          </w:tcPr>
          <w:p>
            <w:pPr>
              <w:spacing w:after="40" w:before="0" w:line="259" w:lineRule="auto"/>
            </w:pPr>
            <w:r>
              <w:rPr>
                <w:rFonts w:ascii="Calibri" w:hAnsi="Calibri"/>
                <w:b w:val="0"/>
                <w:i w:val="0"/>
                <w:color w:val="212121"/>
                <w:sz w:val="16"/>
              </w:rPr>
              <w:t>≥ 3× upper limit of normal</w:t>
            </w:r>
          </w:p>
        </w:tc>
        <w:tc>
          <w:tcPr>
            <w:tcW w:type="dxa" w:w="1036"/>
            <w:vAlign w:val="top"/>
          </w:tcPr>
          <w:p>
            <w:pPr>
              <w:spacing w:after="40" w:before="0" w:line="259" w:lineRule="auto"/>
            </w:pPr>
            <w:r>
              <w:rPr>
                <w:rFonts w:ascii="Calibri" w:hAnsi="Calibri"/>
                <w:b w:val="0"/>
                <w:i w:val="0"/>
                <w:color w:val="212121"/>
                <w:sz w:val="16"/>
              </w:rPr>
              <w:t>Preferred diagnostic enzyme; more specific and stays elevated longer than amylase</w:t>
            </w:r>
          </w:p>
        </w:tc>
        <w:tc>
          <w:tcPr>
            <w:tcW w:type="dxa" w:w="1036"/>
            <w:vAlign w:val="top"/>
          </w:tcPr>
          <w:p>
            <w:pPr>
              <w:spacing w:after="40" w:before="0" w:line="259" w:lineRule="auto"/>
            </w:pPr>
            <w:r>
              <w:rPr>
                <w:rFonts w:ascii="Calibri" w:hAnsi="Calibri"/>
                <w:b w:val="0"/>
                <w:i w:val="0"/>
                <w:color w:val="212121"/>
                <w:sz w:val="16"/>
              </w:rPr>
              <w:t>Any patient with acute epigastric pain, alcohol/gallstone patients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Magnitude does not predict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amylase</w:t>
            </w:r>
          </w:p>
        </w:tc>
        <w:tc>
          <w:tcPr>
            <w:tcW w:type="dxa" w:w="892"/>
            <w:vAlign w:val="top"/>
          </w:tcPr>
          <w:p>
            <w:pPr>
              <w:spacing w:after="40" w:before="0" w:line="259" w:lineRule="auto"/>
            </w:pPr>
            <w:r>
              <w:rPr>
                <w:rFonts w:ascii="Calibri" w:hAnsi="Calibri"/>
                <w:b w:val="0"/>
                <w:i w:val="0"/>
                <w:color w:val="212121"/>
                <w:sz w:val="16"/>
              </w:rPr>
              <w:t>Pancreatic enzyme assay</w:t>
            </w:r>
          </w:p>
        </w:tc>
        <w:tc>
          <w:tcPr>
            <w:tcW w:type="dxa" w:w="950"/>
            <w:vAlign w:val="top"/>
          </w:tcPr>
          <w:p>
            <w:pPr>
              <w:spacing w:after="40" w:before="0" w:line="259" w:lineRule="auto"/>
            </w:pPr>
            <w:r>
              <w:rPr>
                <w:rFonts w:ascii="Calibri" w:hAnsi="Calibri"/>
                <w:b w:val="0"/>
                <w:i w:val="0"/>
                <w:color w:val="212121"/>
                <w:sz w:val="16"/>
              </w:rPr>
              <w:t>Within lab reference range</w:t>
            </w:r>
          </w:p>
        </w:tc>
        <w:tc>
          <w:tcPr>
            <w:tcW w:type="dxa" w:w="950"/>
            <w:vAlign w:val="top"/>
          </w:tcPr>
          <w:p>
            <w:pPr>
              <w:spacing w:after="40" w:before="0" w:line="259" w:lineRule="auto"/>
            </w:pPr>
            <w:r>
              <w:rPr>
                <w:rFonts w:ascii="Calibri" w:hAnsi="Calibri"/>
                <w:b w:val="0"/>
                <w:i w:val="0"/>
                <w:color w:val="212121"/>
                <w:sz w:val="16"/>
              </w:rPr>
              <w:t>≥ 3× upper limit of normal</w:t>
            </w:r>
          </w:p>
        </w:tc>
        <w:tc>
          <w:tcPr>
            <w:tcW w:type="dxa" w:w="1036"/>
            <w:vAlign w:val="top"/>
          </w:tcPr>
          <w:p>
            <w:pPr>
              <w:spacing w:after="40" w:before="0" w:line="259" w:lineRule="auto"/>
            </w:pPr>
            <w:r>
              <w:rPr>
                <w:rFonts w:ascii="Calibri" w:hAnsi="Calibri"/>
                <w:b w:val="0"/>
                <w:i w:val="0"/>
                <w:color w:val="212121"/>
                <w:sz w:val="16"/>
              </w:rPr>
              <w:t>Supports diagnosis; less specific and normalises faster than lipase</w:t>
            </w:r>
          </w:p>
        </w:tc>
        <w:tc>
          <w:tcPr>
            <w:tcW w:type="dxa" w:w="1036"/>
            <w:vAlign w:val="top"/>
          </w:tcPr>
          <w:p>
            <w:pPr>
              <w:spacing w:after="40" w:before="0" w:line="259" w:lineRule="auto"/>
            </w:pPr>
            <w:r>
              <w:rPr>
                <w:rFonts w:ascii="Calibri" w:hAnsi="Calibri"/>
                <w:b w:val="0"/>
                <w:i w:val="0"/>
                <w:color w:val="212121"/>
                <w:sz w:val="16"/>
              </w:rPr>
              <w:t>Patients presenting early with acute pain</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May be normal in late presentation or hypertriglyceridaemic AP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(ALT, bilirubin, ALP)</w:t>
            </w:r>
          </w:p>
        </w:tc>
        <w:tc>
          <w:tcPr>
            <w:tcW w:type="dxa" w:w="892"/>
            <w:vAlign w:val="top"/>
          </w:tcPr>
          <w:p>
            <w:pPr>
              <w:spacing w:after="40" w:before="0" w:line="259" w:lineRule="auto"/>
            </w:pPr>
            <w:r>
              <w:rPr>
                <w:rFonts w:ascii="Calibri" w:hAnsi="Calibri"/>
                <w:b w:val="0"/>
                <w:i w:val="0"/>
                <w:color w:val="212121"/>
                <w:sz w:val="16"/>
              </w:rPr>
              <w:t>Hepatobiliary panel</w:t>
            </w:r>
          </w:p>
        </w:tc>
        <w:tc>
          <w:tcPr>
            <w:tcW w:type="dxa" w:w="950"/>
            <w:vAlign w:val="top"/>
          </w:tcPr>
          <w:p>
            <w:pPr>
              <w:spacing w:after="40" w:before="0" w:line="259" w:lineRule="auto"/>
            </w:pPr>
            <w:r>
              <w:rPr>
                <w:rFonts w:ascii="Calibri" w:hAnsi="Calibri"/>
                <w:b w:val="0"/>
                <w:i w:val="0"/>
                <w:color w:val="212121"/>
                <w:sz w:val="16"/>
              </w:rPr>
              <w:t>Normal ALT/bilirubin</w:t>
            </w:r>
          </w:p>
        </w:tc>
        <w:tc>
          <w:tcPr>
            <w:tcW w:type="dxa" w:w="950"/>
            <w:vAlign w:val="top"/>
          </w:tcPr>
          <w:p>
            <w:pPr>
              <w:spacing w:after="40" w:before="0" w:line="259" w:lineRule="auto"/>
            </w:pPr>
            <w:r>
              <w:rPr>
                <w:rFonts w:ascii="Calibri" w:hAnsi="Calibri"/>
                <w:b w:val="0"/>
                <w:i w:val="0"/>
                <w:color w:val="212121"/>
                <w:sz w:val="16"/>
              </w:rPr>
              <w:t>ALT ≥ 3× ULN; raised bilirubin/ALP</w:t>
            </w:r>
          </w:p>
        </w:tc>
        <w:tc>
          <w:tcPr>
            <w:tcW w:type="dxa" w:w="1036"/>
            <w:vAlign w:val="top"/>
          </w:tcPr>
          <w:p>
            <w:pPr>
              <w:spacing w:after="40" w:before="0" w:line="259" w:lineRule="auto"/>
            </w:pPr>
            <w:r>
              <w:rPr>
                <w:rFonts w:ascii="Calibri" w:hAnsi="Calibri"/>
                <w:b w:val="0"/>
                <w:i w:val="0"/>
                <w:color w:val="212121"/>
                <w:sz w:val="16"/>
              </w:rPr>
              <w:t>ALT ≥ 3× ULN strongly suggests a gallstone (biliary) cause and CBD obstruction</w:t>
            </w:r>
          </w:p>
        </w:tc>
        <w:tc>
          <w:tcPr>
            <w:tcW w:type="dxa" w:w="1036"/>
            <w:vAlign w:val="top"/>
          </w:tcPr>
          <w:p>
            <w:pPr>
              <w:spacing w:after="40" w:before="0" w:line="259" w:lineRule="auto"/>
            </w:pPr>
            <w:r>
              <w:rPr>
                <w:rFonts w:ascii="Calibri" w:hAnsi="Calibri"/>
                <w:b w:val="0"/>
                <w:i w:val="0"/>
                <w:color w:val="212121"/>
                <w:sz w:val="16"/>
              </w:rPr>
              <w:t>Women, gallstone patients, jaundiced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Etiological</w:t>
            </w:r>
          </w:p>
        </w:tc>
        <w:tc>
          <w:tcPr>
            <w:tcW w:type="dxa" w:w="720"/>
            <w:vAlign w:val="top"/>
          </w:tcPr>
          <w:p>
            <w:pPr>
              <w:spacing w:after="40" w:before="0" w:line="259" w:lineRule="auto"/>
            </w:pPr>
            <w:r>
              <w:rPr>
                <w:rFonts w:ascii="Calibri" w:hAnsi="Calibri"/>
                <w:b w:val="0"/>
                <w:i w:val="0"/>
                <w:color w:val="212121"/>
                <w:sz w:val="16"/>
              </w:rPr>
              <w:t>Prompts urgent biliary imaging ± ERCP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triglycerides</w:t>
            </w:r>
          </w:p>
        </w:tc>
        <w:tc>
          <w:tcPr>
            <w:tcW w:type="dxa" w:w="892"/>
            <w:vAlign w:val="top"/>
          </w:tcPr>
          <w:p>
            <w:pPr>
              <w:spacing w:after="40" w:before="0" w:line="259" w:lineRule="auto"/>
            </w:pPr>
            <w:r>
              <w:rPr>
                <w:rFonts w:ascii="Calibri" w:hAnsi="Calibri"/>
                <w:b w:val="0"/>
                <w:i w:val="0"/>
                <w:color w:val="212121"/>
                <w:sz w:val="16"/>
              </w:rPr>
              <w:t>Lipid profile</w:t>
            </w:r>
          </w:p>
        </w:tc>
        <w:tc>
          <w:tcPr>
            <w:tcW w:type="dxa" w:w="950"/>
            <w:vAlign w:val="top"/>
          </w:tcPr>
          <w:p>
            <w:pPr>
              <w:spacing w:after="40" w:before="0" w:line="259" w:lineRule="auto"/>
            </w:pPr>
            <w:r>
              <w:rPr>
                <w:rFonts w:ascii="Calibri" w:hAnsi="Calibri"/>
                <w:b w:val="0"/>
                <w:i w:val="0"/>
                <w:color w:val="212121"/>
                <w:sz w:val="16"/>
              </w:rPr>
              <w:t>&lt; 150 mg/dL</w:t>
            </w:r>
          </w:p>
        </w:tc>
        <w:tc>
          <w:tcPr>
            <w:tcW w:type="dxa" w:w="950"/>
            <w:vAlign w:val="top"/>
          </w:tcPr>
          <w:p>
            <w:pPr>
              <w:spacing w:after="40" w:before="0" w:line="259" w:lineRule="auto"/>
            </w:pPr>
            <w:r>
              <w:rPr>
                <w:rFonts w:ascii="Calibri" w:hAnsi="Calibri"/>
                <w:b w:val="0"/>
                <w:i w:val="0"/>
                <w:color w:val="212121"/>
                <w:sz w:val="16"/>
              </w:rPr>
              <w:t>≥ 1000 mg/dL (≥ 11.3 mmol/L)</w:t>
            </w:r>
          </w:p>
        </w:tc>
        <w:tc>
          <w:tcPr>
            <w:tcW w:type="dxa" w:w="1036"/>
            <w:vAlign w:val="top"/>
          </w:tcPr>
          <w:p>
            <w:pPr>
              <w:spacing w:after="40" w:before="0" w:line="259" w:lineRule="auto"/>
            </w:pPr>
            <w:r>
              <w:rPr>
                <w:rFonts w:ascii="Calibri" w:hAnsi="Calibri"/>
                <w:b w:val="0"/>
                <w:i w:val="0"/>
                <w:color w:val="212121"/>
                <w:sz w:val="16"/>
              </w:rPr>
              <w:t>Identifies hypertriglyceridaemic pancreatitis, the third commonest cause</w:t>
            </w:r>
          </w:p>
        </w:tc>
        <w:tc>
          <w:tcPr>
            <w:tcW w:type="dxa" w:w="1036"/>
            <w:vAlign w:val="top"/>
          </w:tcPr>
          <w:p>
            <w:pPr>
              <w:spacing w:after="40" w:before="0" w:line="259" w:lineRule="auto"/>
            </w:pPr>
            <w:r>
              <w:rPr>
                <w:rFonts w:ascii="Calibri" w:hAnsi="Calibri"/>
                <w:b w:val="0"/>
                <w:i w:val="0"/>
                <w:color w:val="212121"/>
                <w:sz w:val="16"/>
              </w:rPr>
              <w:t>Diabetics, obese, alcohol users, familial dyslipidaemia</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Etiological</w:t>
            </w:r>
          </w:p>
        </w:tc>
        <w:tc>
          <w:tcPr>
            <w:tcW w:type="dxa" w:w="720"/>
            <w:vAlign w:val="top"/>
          </w:tcPr>
          <w:p>
            <w:pPr>
              <w:spacing w:after="40" w:before="0" w:line="259" w:lineRule="auto"/>
            </w:pPr>
            <w:r>
              <w:rPr>
                <w:rFonts w:ascii="Calibri" w:hAnsi="Calibri"/>
                <w:b w:val="0"/>
                <w:i w:val="0"/>
                <w:color w:val="212121"/>
                <w:sz w:val="16"/>
              </w:rPr>
              <w:t>Check early as levels fall with fasting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8.5-10.5 mg/dL</w:t>
            </w:r>
          </w:p>
        </w:tc>
        <w:tc>
          <w:tcPr>
            <w:tcW w:type="dxa" w:w="950"/>
            <w:vAlign w:val="top"/>
          </w:tcPr>
          <w:p>
            <w:pPr>
              <w:spacing w:after="40" w:before="0" w:line="259" w:lineRule="auto"/>
            </w:pPr>
            <w:r>
              <w:rPr>
                <w:rFonts w:ascii="Calibri" w:hAnsi="Calibri"/>
                <w:b w:val="0"/>
                <w:i w:val="0"/>
                <w:color w:val="212121"/>
                <w:sz w:val="16"/>
              </w:rPr>
              <w:t>&gt; 10.5 (cause) or &lt; 8.5 (severity)</w:t>
            </w:r>
          </w:p>
        </w:tc>
        <w:tc>
          <w:tcPr>
            <w:tcW w:type="dxa" w:w="1036"/>
            <w:vAlign w:val="top"/>
          </w:tcPr>
          <w:p>
            <w:pPr>
              <w:spacing w:after="40" w:before="0" w:line="259" w:lineRule="auto"/>
            </w:pPr>
            <w:r>
              <w:rPr>
                <w:rFonts w:ascii="Calibri" w:hAnsi="Calibri"/>
                <w:b w:val="0"/>
                <w:i w:val="0"/>
                <w:color w:val="212121"/>
                <w:sz w:val="16"/>
              </w:rPr>
              <w:t>Hypercalcaemia can trigger AP; hypocalcaemia indicates fat saponification and severe disease</w:t>
            </w:r>
          </w:p>
        </w:tc>
        <w:tc>
          <w:tcPr>
            <w:tcW w:type="dxa" w:w="1036"/>
            <w:vAlign w:val="top"/>
          </w:tcPr>
          <w:p>
            <w:pPr>
              <w:spacing w:after="40" w:before="0" w:line="259" w:lineRule="auto"/>
            </w:pPr>
            <w:r>
              <w:rPr>
                <w:rFonts w:ascii="Calibri" w:hAnsi="Calibri"/>
                <w:b w:val="0"/>
                <w:i w:val="0"/>
                <w:color w:val="212121"/>
                <w:sz w:val="16"/>
              </w:rPr>
              <w:t>Hyperparathyroidism, severe/necrotising AP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Etiological &amp; prognostic</w:t>
            </w:r>
          </w:p>
        </w:tc>
        <w:tc>
          <w:tcPr>
            <w:tcW w:type="dxa" w:w="720"/>
            <w:vAlign w:val="top"/>
          </w:tcPr>
          <w:p>
            <w:pPr>
              <w:spacing w:after="40" w:before="0" w:line="259" w:lineRule="auto"/>
            </w:pPr>
            <w:r>
              <w:rPr>
                <w:rFonts w:ascii="Calibri" w:hAnsi="Calibri"/>
                <w:b w:val="0"/>
                <w:i w:val="0"/>
                <w:color w:val="212121"/>
                <w:sz w:val="16"/>
              </w:rPr>
              <w:t>Correct for albumin / use ionised calcium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urea (BUN), creatinine, haematocrit</w:t>
            </w:r>
          </w:p>
        </w:tc>
        <w:tc>
          <w:tcPr>
            <w:tcW w:type="dxa" w:w="892"/>
            <w:vAlign w:val="top"/>
          </w:tcPr>
          <w:p>
            <w:pPr>
              <w:spacing w:after="40" w:before="0" w:line="259" w:lineRule="auto"/>
            </w:pPr>
            <w:r>
              <w:rPr>
                <w:rFonts w:ascii="Calibri" w:hAnsi="Calibri"/>
                <w:b w:val="0"/>
                <w:i w:val="0"/>
                <w:color w:val="212121"/>
                <w:sz w:val="16"/>
              </w:rPr>
              <w:t>Renal function &amp; haemoconcentration</w:t>
            </w:r>
          </w:p>
        </w:tc>
        <w:tc>
          <w:tcPr>
            <w:tcW w:type="dxa" w:w="950"/>
            <w:vAlign w:val="top"/>
          </w:tcPr>
          <w:p>
            <w:pPr>
              <w:spacing w:after="40" w:before="0" w:line="259" w:lineRule="auto"/>
            </w:pPr>
            <w:r>
              <w:rPr>
                <w:rFonts w:ascii="Calibri" w:hAnsi="Calibri"/>
                <w:b w:val="0"/>
                <w:i w:val="0"/>
                <w:color w:val="212121"/>
                <w:sz w:val="16"/>
              </w:rPr>
              <w:t>Normal BUN/creatinine; normal Hct</w:t>
            </w:r>
          </w:p>
        </w:tc>
        <w:tc>
          <w:tcPr>
            <w:tcW w:type="dxa" w:w="950"/>
            <w:vAlign w:val="top"/>
          </w:tcPr>
          <w:p>
            <w:pPr>
              <w:spacing w:after="40" w:before="0" w:line="259" w:lineRule="auto"/>
            </w:pPr>
            <w:r>
              <w:rPr>
                <w:rFonts w:ascii="Calibri" w:hAnsi="Calibri"/>
                <w:b w:val="0"/>
                <w:i w:val="0"/>
                <w:color w:val="212121"/>
                <w:sz w:val="16"/>
              </w:rPr>
              <w:t>Rising BUN; Hct &gt; 44%; AKI</w:t>
            </w:r>
          </w:p>
        </w:tc>
        <w:tc>
          <w:tcPr>
            <w:tcW w:type="dxa" w:w="1036"/>
            <w:vAlign w:val="top"/>
          </w:tcPr>
          <w:p>
            <w:pPr>
              <w:spacing w:after="40" w:before="0" w:line="259" w:lineRule="auto"/>
            </w:pPr>
            <w:r>
              <w:rPr>
                <w:rFonts w:ascii="Calibri" w:hAnsi="Calibri"/>
                <w:b w:val="0"/>
                <w:i w:val="0"/>
                <w:color w:val="212121"/>
                <w:sz w:val="16"/>
              </w:rPr>
              <w:t>Rising BUN and haemoconcentration predict necrosis and mortality; guide fluid therapy</w:t>
            </w:r>
          </w:p>
        </w:tc>
        <w:tc>
          <w:tcPr>
            <w:tcW w:type="dxa" w:w="1036"/>
            <w:vAlign w:val="top"/>
          </w:tcPr>
          <w:p>
            <w:pPr>
              <w:spacing w:after="40" w:before="0" w:line="259" w:lineRule="auto"/>
            </w:pPr>
            <w:r>
              <w:rPr>
                <w:rFonts w:ascii="Calibri" w:hAnsi="Calibri"/>
                <w:b w:val="0"/>
                <w:i w:val="0"/>
                <w:color w:val="212121"/>
                <w:sz w:val="16"/>
              </w:rPr>
              <w:t>All admitted patients, especially severe AP</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Serial values over 24-48 h are most informative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Haematological</w:t>
            </w:r>
          </w:p>
        </w:tc>
        <w:tc>
          <w:tcPr>
            <w:tcW w:type="dxa" w:w="1036"/>
            <w:vAlign w:val="top"/>
          </w:tcPr>
          <w:p>
            <w:pPr>
              <w:spacing w:after="40" w:before="0" w:line="259" w:lineRule="auto"/>
            </w:pPr>
            <w:r>
              <w:rPr>
                <w:rFonts w:ascii="Calibri" w:hAnsi="Calibri"/>
                <w:b w:val="0"/>
                <w:i w:val="0"/>
                <w:color w:val="212121"/>
                <w:sz w:val="16"/>
              </w:rPr>
              <w:t>Full blood count &amp;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Normal WBC; CRP &lt; 150 mg/L</w:t>
            </w:r>
          </w:p>
        </w:tc>
        <w:tc>
          <w:tcPr>
            <w:tcW w:type="dxa" w:w="950"/>
            <w:vAlign w:val="top"/>
          </w:tcPr>
          <w:p>
            <w:pPr>
              <w:spacing w:after="40" w:before="0" w:line="259" w:lineRule="auto"/>
            </w:pPr>
            <w:r>
              <w:rPr>
                <w:rFonts w:ascii="Calibri" w:hAnsi="Calibri"/>
                <w:b w:val="0"/>
                <w:i w:val="0"/>
                <w:color w:val="212121"/>
                <w:sz w:val="16"/>
              </w:rPr>
              <w:t>Leucocytosis; CRP &gt; 150 mg/L at 48 h</w:t>
            </w:r>
          </w:p>
        </w:tc>
        <w:tc>
          <w:tcPr>
            <w:tcW w:type="dxa" w:w="1036"/>
            <w:vAlign w:val="top"/>
          </w:tcPr>
          <w:p>
            <w:pPr>
              <w:spacing w:after="40" w:before="0" w:line="259" w:lineRule="auto"/>
            </w:pPr>
            <w:r>
              <w:rPr>
                <w:rFonts w:ascii="Calibri" w:hAnsi="Calibri"/>
                <w:b w:val="0"/>
                <w:i w:val="0"/>
                <w:color w:val="212121"/>
                <w:sz w:val="16"/>
              </w:rPr>
              <w:t>Quantify the systemic inflammatory response and predict severe/necrotising disease</w:t>
            </w:r>
          </w:p>
        </w:tc>
        <w:tc>
          <w:tcPr>
            <w:tcW w:type="dxa" w:w="1036"/>
            <w:vAlign w:val="top"/>
          </w:tcPr>
          <w:p>
            <w:pPr>
              <w:spacing w:after="40" w:before="0" w:line="259" w:lineRule="auto"/>
            </w:pPr>
            <w:r>
              <w:rPr>
                <w:rFonts w:ascii="Calibri" w:hAnsi="Calibri"/>
                <w:b w:val="0"/>
                <w:i w:val="0"/>
                <w:color w:val="212121"/>
                <w:sz w:val="16"/>
              </w:rPr>
              <w:t>Admitted AP patients, SIRS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CRP peaks at 48-72 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Transabdominal ultrasound (USG)</w:t>
            </w:r>
          </w:p>
        </w:tc>
        <w:tc>
          <w:tcPr>
            <w:tcW w:type="dxa" w:w="892"/>
            <w:vAlign w:val="top"/>
          </w:tcPr>
          <w:p>
            <w:pPr>
              <w:spacing w:after="40" w:before="0" w:line="259" w:lineRule="auto"/>
            </w:pPr>
            <w:r>
              <w:rPr>
                <w:rFonts w:ascii="Calibri" w:hAnsi="Calibri"/>
                <w:b w:val="0"/>
                <w:i w:val="0"/>
                <w:color w:val="212121"/>
                <w:sz w:val="16"/>
              </w:rPr>
              <w:t>Abdominal ultrasonography</w:t>
            </w:r>
          </w:p>
        </w:tc>
        <w:tc>
          <w:tcPr>
            <w:tcW w:type="dxa" w:w="950"/>
            <w:vAlign w:val="top"/>
          </w:tcPr>
          <w:p>
            <w:pPr>
              <w:spacing w:after="40" w:before="0" w:line="259" w:lineRule="auto"/>
            </w:pPr>
            <w:r>
              <w:rPr>
                <w:rFonts w:ascii="Calibri" w:hAnsi="Calibri"/>
                <w:b w:val="0"/>
                <w:i w:val="0"/>
                <w:color w:val="212121"/>
                <w:sz w:val="16"/>
              </w:rPr>
              <w:t>No stones; normal ducts</w:t>
            </w:r>
          </w:p>
        </w:tc>
        <w:tc>
          <w:tcPr>
            <w:tcW w:type="dxa" w:w="950"/>
            <w:vAlign w:val="top"/>
          </w:tcPr>
          <w:p>
            <w:pPr>
              <w:spacing w:after="40" w:before="0" w:line="259" w:lineRule="auto"/>
            </w:pPr>
            <w:r>
              <w:rPr>
                <w:rFonts w:ascii="Calibri" w:hAnsi="Calibri"/>
                <w:b w:val="0"/>
                <w:i w:val="0"/>
                <w:color w:val="212121"/>
                <w:sz w:val="16"/>
              </w:rPr>
              <w:t>Gallstones, sludge, dilated CBD, worms</w:t>
            </w:r>
          </w:p>
        </w:tc>
        <w:tc>
          <w:tcPr>
            <w:tcW w:type="dxa" w:w="1036"/>
            <w:vAlign w:val="top"/>
          </w:tcPr>
          <w:p>
            <w:pPr>
              <w:spacing w:after="40" w:before="0" w:line="259" w:lineRule="auto"/>
            </w:pPr>
            <w:r>
              <w:rPr>
                <w:rFonts w:ascii="Calibri" w:hAnsi="Calibri"/>
                <w:b w:val="0"/>
                <w:i w:val="0"/>
                <w:color w:val="212121"/>
                <w:sz w:val="16"/>
              </w:rPr>
              <w:t>First-line to detect a biliary cause; may show Ascaris in endemic areas</w:t>
            </w:r>
          </w:p>
        </w:tc>
        <w:tc>
          <w:tcPr>
            <w:tcW w:type="dxa" w:w="1036"/>
            <w:vAlign w:val="top"/>
          </w:tcPr>
          <w:p>
            <w:pPr>
              <w:spacing w:after="40" w:before="0" w:line="259" w:lineRule="auto"/>
            </w:pPr>
            <w:r>
              <w:rPr>
                <w:rFonts w:ascii="Calibri" w:hAnsi="Calibri"/>
                <w:b w:val="0"/>
                <w:i w:val="0"/>
                <w:color w:val="212121"/>
                <w:sz w:val="16"/>
              </w:rPr>
              <w:t>All patients (mandatory to seek gallstones)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Pancreas often obscured by bowel gas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Contrast-enhanced CT abdomen (CTSI)</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Normal enhancing pancreas</w:t>
            </w:r>
          </w:p>
        </w:tc>
        <w:tc>
          <w:tcPr>
            <w:tcW w:type="dxa" w:w="950"/>
            <w:vAlign w:val="top"/>
          </w:tcPr>
          <w:p>
            <w:pPr>
              <w:spacing w:after="40" w:before="0" w:line="259" w:lineRule="auto"/>
            </w:pPr>
            <w:r>
              <w:rPr>
                <w:rFonts w:ascii="Calibri" w:hAnsi="Calibri"/>
                <w:b w:val="0"/>
                <w:i w:val="0"/>
                <w:color w:val="212121"/>
                <w:sz w:val="16"/>
              </w:rPr>
              <w:t>Necrosis, collections, high CT Severity Index</w:t>
            </w:r>
          </w:p>
        </w:tc>
        <w:tc>
          <w:tcPr>
            <w:tcW w:type="dxa" w:w="1036"/>
            <w:vAlign w:val="top"/>
          </w:tcPr>
          <w:p>
            <w:pPr>
              <w:spacing w:after="40" w:before="0" w:line="259" w:lineRule="auto"/>
            </w:pPr>
            <w:r>
              <w:rPr>
                <w:rFonts w:ascii="Calibri" w:hAnsi="Calibri"/>
                <w:b w:val="0"/>
                <w:i w:val="0"/>
                <w:color w:val="212121"/>
                <w:sz w:val="16"/>
              </w:rPr>
              <w:t>Confirms diagnosis when uncertain and grades necrosis/complications</w:t>
            </w:r>
          </w:p>
        </w:tc>
        <w:tc>
          <w:tcPr>
            <w:tcW w:type="dxa" w:w="1036"/>
            <w:vAlign w:val="top"/>
          </w:tcPr>
          <w:p>
            <w:pPr>
              <w:spacing w:after="40" w:before="0" w:line="259" w:lineRule="auto"/>
            </w:pPr>
            <w:r>
              <w:rPr>
                <w:rFonts w:ascii="Calibri" w:hAnsi="Calibri"/>
                <w:b w:val="0"/>
                <w:i w:val="0"/>
                <w:color w:val="212121"/>
                <w:sz w:val="16"/>
              </w:rPr>
              <w:t>Severe or uncertain cases, non-improving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staging</w:t>
            </w:r>
          </w:p>
        </w:tc>
        <w:tc>
          <w:tcPr>
            <w:tcW w:type="dxa" w:w="720"/>
            <w:vAlign w:val="top"/>
          </w:tcPr>
          <w:p>
            <w:pPr>
              <w:spacing w:after="40" w:before="0" w:line="259" w:lineRule="auto"/>
            </w:pPr>
            <w:r>
              <w:rPr>
                <w:rFonts w:ascii="Calibri" w:hAnsi="Calibri"/>
                <w:b w:val="0"/>
                <w:i w:val="0"/>
                <w:color w:val="212121"/>
                <w:sz w:val="16"/>
              </w:rPr>
              <w:t>Best performed after 72 h; avoid if renal impairment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Acute severe epigastric pain radiating to back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Persistent boring pain, worse supine, eased leaning forward</w:t>
            </w:r>
          </w:p>
        </w:tc>
        <w:tc>
          <w:tcPr>
            <w:tcW w:type="dxa" w:w="1036"/>
            <w:vAlign w:val="top"/>
          </w:tcPr>
          <w:p>
            <w:pPr>
              <w:spacing w:after="40" w:before="0" w:line="259" w:lineRule="auto"/>
            </w:pPr>
            <w:r>
              <w:rPr>
                <w:rFonts w:ascii="Calibri" w:hAnsi="Calibri"/>
                <w:b w:val="0"/>
                <w:i w:val="0"/>
                <w:color w:val="212121"/>
                <w:sz w:val="16"/>
              </w:rPr>
              <w:t>Cardinal presenting symptom of acute pancreatitis</w:t>
            </w:r>
          </w:p>
        </w:tc>
        <w:tc>
          <w:tcPr>
            <w:tcW w:type="dxa" w:w="1036"/>
            <w:vAlign w:val="top"/>
          </w:tcPr>
          <w:p>
            <w:pPr>
              <w:spacing w:after="40" w:before="0" w:line="259" w:lineRule="auto"/>
            </w:pPr>
            <w:r>
              <w:rPr>
                <w:rFonts w:ascii="Calibri" w:hAnsi="Calibri"/>
                <w:b w:val="0"/>
                <w:i w:val="0"/>
                <w:color w:val="212121"/>
                <w:sz w:val="16"/>
              </w:rPr>
              <w:t>All patients presenting acutely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follows a fatty meal or alcohol binge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&amp; smoking history</w:t>
            </w:r>
          </w:p>
        </w:tc>
        <w:tc>
          <w:tcPr>
            <w:tcW w:type="dxa" w:w="979"/>
            <w:vAlign w:val="top"/>
          </w:tcPr>
          <w:p>
            <w:pPr>
              <w:spacing w:after="40" w:before="0" w:line="259" w:lineRule="auto"/>
            </w:pPr>
            <w:r>
              <w:rPr>
                <w:rFonts w:ascii="Calibri" w:hAnsi="Calibri"/>
                <w:b w:val="0"/>
                <w:i w:val="0"/>
                <w:color w:val="212121"/>
                <w:sz w:val="16"/>
              </w:rPr>
              <w:t>Quantity/duration of alcohol; tobacco use</w:t>
            </w:r>
          </w:p>
        </w:tc>
        <w:tc>
          <w:tcPr>
            <w:tcW w:type="dxa" w:w="950"/>
            <w:vAlign w:val="top"/>
          </w:tcPr>
          <w:p>
            <w:pPr>
              <w:spacing w:after="40" w:before="0" w:line="259" w:lineRule="auto"/>
            </w:pPr>
            <w:r>
              <w:rPr>
                <w:rFonts w:ascii="Calibri" w:hAnsi="Calibri"/>
                <w:b w:val="0"/>
                <w:i w:val="0"/>
                <w:color w:val="212121"/>
                <w:sz w:val="16"/>
              </w:rPr>
              <w:t>No/low intake</w:t>
            </w:r>
          </w:p>
        </w:tc>
        <w:tc>
          <w:tcPr>
            <w:tcW w:type="dxa" w:w="950"/>
            <w:vAlign w:val="top"/>
          </w:tcPr>
          <w:p>
            <w:pPr>
              <w:spacing w:after="40" w:before="0" w:line="259" w:lineRule="auto"/>
            </w:pPr>
            <w:r>
              <w:rPr>
                <w:rFonts w:ascii="Calibri" w:hAnsi="Calibri"/>
                <w:b w:val="0"/>
                <w:i w:val="0"/>
                <w:color w:val="212121"/>
                <w:sz w:val="16"/>
              </w:rPr>
              <w:t>Heavy chronic use or recent binge; current smoker</w:t>
            </w:r>
          </w:p>
        </w:tc>
        <w:tc>
          <w:tcPr>
            <w:tcW w:type="dxa" w:w="1036"/>
            <w:vAlign w:val="top"/>
          </w:tcPr>
          <w:p>
            <w:pPr>
              <w:spacing w:after="40" w:before="0" w:line="259" w:lineRule="auto"/>
            </w:pPr>
            <w:r>
              <w:rPr>
                <w:rFonts w:ascii="Calibri" w:hAnsi="Calibri"/>
                <w:b w:val="0"/>
                <w:i w:val="0"/>
                <w:color w:val="212121"/>
                <w:sz w:val="16"/>
              </w:rPr>
              <w:t>Identifies the leading cause in Indian men and a key modifiable driver of recurrence</w:t>
            </w:r>
          </w:p>
        </w:tc>
        <w:tc>
          <w:tcPr>
            <w:tcW w:type="dxa" w:w="1036"/>
            <w:vAlign w:val="top"/>
          </w:tcPr>
          <w:p>
            <w:pPr>
              <w:spacing w:after="40" w:before="0" w:line="259" w:lineRule="auto"/>
            </w:pPr>
            <w:r>
              <w:rPr>
                <w:rFonts w:ascii="Calibri" w:hAnsi="Calibri"/>
                <w:b w:val="0"/>
                <w:i w:val="0"/>
                <w:color w:val="212121"/>
                <w:sz w:val="16"/>
              </w:rPr>
              <w:t>Young/middle-aged men</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Etiological</w:t>
            </w:r>
          </w:p>
        </w:tc>
        <w:tc>
          <w:tcPr>
            <w:tcW w:type="dxa" w:w="720"/>
            <w:vAlign w:val="top"/>
          </w:tcPr>
          <w:p>
            <w:pPr>
              <w:spacing w:after="40" w:before="0" w:line="259" w:lineRule="auto"/>
            </w:pPr>
            <w:r>
              <w:rPr>
                <w:rFonts w:ascii="Calibri" w:hAnsi="Calibri"/>
                <w:b w:val="0"/>
                <w:i w:val="0"/>
                <w:color w:val="212121"/>
                <w:sz w:val="16"/>
              </w:rPr>
              <w:t>Crucial for relapse-prevention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Biliary &amp; drug/metabolic history</w:t>
            </w:r>
          </w:p>
        </w:tc>
        <w:tc>
          <w:tcPr>
            <w:tcW w:type="dxa" w:w="979"/>
            <w:vAlign w:val="top"/>
          </w:tcPr>
          <w:p>
            <w:pPr>
              <w:spacing w:after="40" w:before="0" w:line="259" w:lineRule="auto"/>
            </w:pPr>
            <w:r>
              <w:rPr>
                <w:rFonts w:ascii="Calibri" w:hAnsi="Calibri"/>
                <w:b w:val="0"/>
                <w:i w:val="0"/>
                <w:color w:val="212121"/>
                <w:sz w:val="16"/>
              </w:rPr>
              <w:t>Prior colic, gallstones, drugs, HTG, hypercalcaemia, family history</w:t>
            </w:r>
          </w:p>
        </w:tc>
        <w:tc>
          <w:tcPr>
            <w:tcW w:type="dxa" w:w="950"/>
            <w:vAlign w:val="top"/>
          </w:tcPr>
          <w:p>
            <w:pPr>
              <w:spacing w:after="40" w:before="0" w:line="259" w:lineRule="auto"/>
            </w:pPr>
            <w:r>
              <w:rPr>
                <w:rFonts w:ascii="Calibri" w:hAnsi="Calibri"/>
                <w:b w:val="0"/>
                <w:i w:val="0"/>
                <w:color w:val="212121"/>
                <w:sz w:val="16"/>
              </w:rPr>
              <w:t>No relevant history</w:t>
            </w:r>
          </w:p>
        </w:tc>
        <w:tc>
          <w:tcPr>
            <w:tcW w:type="dxa" w:w="950"/>
            <w:vAlign w:val="top"/>
          </w:tcPr>
          <w:p>
            <w:pPr>
              <w:spacing w:after="40" w:before="0" w:line="259" w:lineRule="auto"/>
            </w:pPr>
            <w:r>
              <w:rPr>
                <w:rFonts w:ascii="Calibri" w:hAnsi="Calibri"/>
                <w:b w:val="0"/>
                <w:i w:val="0"/>
                <w:color w:val="212121"/>
                <w:sz w:val="16"/>
              </w:rPr>
              <w:t>Known gallstones, offending drug, dyslipidaemia, hereditary pancreatitis</w:t>
            </w:r>
          </w:p>
        </w:tc>
        <w:tc>
          <w:tcPr>
            <w:tcW w:type="dxa" w:w="1036"/>
            <w:vAlign w:val="top"/>
          </w:tcPr>
          <w:p>
            <w:pPr>
              <w:spacing w:after="40" w:before="0" w:line="259" w:lineRule="auto"/>
            </w:pPr>
            <w:r>
              <w:rPr>
                <w:rFonts w:ascii="Calibri" w:hAnsi="Calibri"/>
                <w:b w:val="0"/>
                <w:i w:val="0"/>
                <w:color w:val="212121"/>
                <w:sz w:val="16"/>
              </w:rPr>
              <w:t>Points to a specific, often treatable cause</w:t>
            </w:r>
          </w:p>
        </w:tc>
        <w:tc>
          <w:tcPr>
            <w:tcW w:type="dxa" w:w="1036"/>
            <w:vAlign w:val="top"/>
          </w:tcPr>
          <w:p>
            <w:pPr>
              <w:spacing w:after="40" w:before="0" w:line="259" w:lineRule="auto"/>
            </w:pPr>
            <w:r>
              <w:rPr>
                <w:rFonts w:ascii="Calibri" w:hAnsi="Calibri"/>
                <w:b w:val="0"/>
                <w:i w:val="0"/>
                <w:color w:val="212121"/>
                <w:sz w:val="16"/>
              </w:rPr>
              <w:t>Women, diabetics, patients on azathioprine/valproate/thiazides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Etiological</w:t>
            </w:r>
          </w:p>
        </w:tc>
        <w:tc>
          <w:tcPr>
            <w:tcW w:type="dxa" w:w="720"/>
            <w:vAlign w:val="top"/>
          </w:tcPr>
          <w:p>
            <w:pPr>
              <w:spacing w:after="40" w:before="0" w:line="259" w:lineRule="auto"/>
            </w:pPr>
            <w:r>
              <w:rPr>
                <w:rFonts w:ascii="Calibri" w:hAnsi="Calibri"/>
                <w:b w:val="0"/>
                <w:i w:val="0"/>
                <w:color w:val="212121"/>
                <w:sz w:val="16"/>
              </w:rPr>
              <w:t>Note family history of young-onset pancreatitis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Vital signs &amp; SIRS assessment</w:t>
            </w:r>
          </w:p>
        </w:tc>
        <w:tc>
          <w:tcPr>
            <w:tcW w:type="dxa" w:w="979"/>
            <w:vAlign w:val="top"/>
          </w:tcPr>
          <w:p>
            <w:pPr>
              <w:spacing w:after="40" w:before="0" w:line="259" w:lineRule="auto"/>
            </w:pPr>
            <w:r>
              <w:rPr>
                <w:rFonts w:ascii="Calibri" w:hAnsi="Calibri"/>
                <w:b w:val="0"/>
                <w:i w:val="0"/>
                <w:color w:val="212121"/>
                <w:sz w:val="16"/>
              </w:rPr>
              <w:t>Temperature, HR, BP, RR, SpO2, urine output</w:t>
            </w:r>
          </w:p>
        </w:tc>
        <w:tc>
          <w:tcPr>
            <w:tcW w:type="dxa" w:w="950"/>
            <w:vAlign w:val="top"/>
          </w:tcPr>
          <w:p>
            <w:pPr>
              <w:spacing w:after="40" w:before="0" w:line="259" w:lineRule="auto"/>
            </w:pPr>
            <w:r>
              <w:rPr>
                <w:rFonts w:ascii="Calibri" w:hAnsi="Calibri"/>
                <w:b w:val="0"/>
                <w:i w:val="0"/>
                <w:color w:val="212121"/>
                <w:sz w:val="16"/>
              </w:rPr>
              <w:t>Stable, no SIRS</w:t>
            </w:r>
          </w:p>
        </w:tc>
        <w:tc>
          <w:tcPr>
            <w:tcW w:type="dxa" w:w="950"/>
            <w:vAlign w:val="top"/>
          </w:tcPr>
          <w:p>
            <w:pPr>
              <w:spacing w:after="40" w:before="0" w:line="259" w:lineRule="auto"/>
            </w:pPr>
            <w:r>
              <w:rPr>
                <w:rFonts w:ascii="Calibri" w:hAnsi="Calibri"/>
                <w:b w:val="0"/>
                <w:i w:val="0"/>
                <w:color w:val="212121"/>
                <w:sz w:val="16"/>
              </w:rPr>
              <w:t>Tachycardia, hypotension, fever, tachypnoea, oliguria</w:t>
            </w:r>
          </w:p>
        </w:tc>
        <w:tc>
          <w:tcPr>
            <w:tcW w:type="dxa" w:w="1036"/>
            <w:vAlign w:val="top"/>
          </w:tcPr>
          <w:p>
            <w:pPr>
              <w:spacing w:after="40" w:before="0" w:line="259" w:lineRule="auto"/>
            </w:pPr>
            <w:r>
              <w:rPr>
                <w:rFonts w:ascii="Calibri" w:hAnsi="Calibri"/>
                <w:b w:val="0"/>
                <w:i w:val="0"/>
                <w:color w:val="212121"/>
                <w:sz w:val="16"/>
              </w:rPr>
              <w:t>Detects systemic inflammatory response and early organ failure</w:t>
            </w:r>
          </w:p>
        </w:tc>
        <w:tc>
          <w:tcPr>
            <w:tcW w:type="dxa" w:w="1036"/>
            <w:vAlign w:val="top"/>
          </w:tcPr>
          <w:p>
            <w:pPr>
              <w:spacing w:after="40" w:before="0" w:line="259" w:lineRule="auto"/>
            </w:pPr>
            <w:r>
              <w:rPr>
                <w:rFonts w:ascii="Calibri" w:hAnsi="Calibri"/>
                <w:b w:val="0"/>
                <w:i w:val="0"/>
                <w:color w:val="212121"/>
                <w:sz w:val="16"/>
              </w:rPr>
              <w:t>All admitted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SIRS at 48 h predicts severe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Epigastric tenderness, guarding, distension, bowel sounds</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Epigastric tenderness/guarding, distension, ileus</w:t>
            </w:r>
          </w:p>
        </w:tc>
        <w:tc>
          <w:tcPr>
            <w:tcW w:type="dxa" w:w="1036"/>
            <w:vAlign w:val="top"/>
          </w:tcPr>
          <w:p>
            <w:pPr>
              <w:spacing w:after="40" w:before="0" w:line="259" w:lineRule="auto"/>
            </w:pPr>
            <w:r>
              <w:rPr>
                <w:rFonts w:ascii="Calibri" w:hAnsi="Calibri"/>
                <w:b w:val="0"/>
                <w:i w:val="0"/>
                <w:color w:val="212121"/>
                <w:sz w:val="16"/>
              </w:rPr>
              <w:t>Supports the diagnosis and detects peritonism/ileus</w:t>
            </w:r>
          </w:p>
        </w:tc>
        <w:tc>
          <w:tcPr>
            <w:tcW w:type="dxa" w:w="1036"/>
            <w:vAlign w:val="top"/>
          </w:tcPr>
          <w:p>
            <w:pPr>
              <w:spacing w:after="40" w:before="0" w:line="259" w:lineRule="auto"/>
            </w:pPr>
            <w:r>
              <w:rPr>
                <w:rFonts w:ascii="Calibri" w:hAnsi="Calibri"/>
                <w:b w:val="0"/>
                <w:i w:val="0"/>
                <w:color w:val="212121"/>
                <w:sz w:val="16"/>
              </w:rPr>
              <w:t>All patients with acute abdominal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Rebound/rigidity suggest complications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of severe/haemorrhagic disease</w:t>
            </w:r>
          </w:p>
        </w:tc>
        <w:tc>
          <w:tcPr>
            <w:tcW w:type="dxa" w:w="979"/>
            <w:vAlign w:val="top"/>
          </w:tcPr>
          <w:p>
            <w:pPr>
              <w:spacing w:after="40" w:before="0" w:line="259" w:lineRule="auto"/>
            </w:pPr>
            <w:r>
              <w:rPr>
                <w:rFonts w:ascii="Calibri" w:hAnsi="Calibri"/>
                <w:b w:val="0"/>
                <w:i w:val="0"/>
                <w:color w:val="212121"/>
                <w:sz w:val="16"/>
              </w:rPr>
              <w:t>Cullen sign, Grey-Turner sign, jaundice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Periumbilical/flank ecchymosis; scleral icterus</w:t>
            </w:r>
          </w:p>
        </w:tc>
        <w:tc>
          <w:tcPr>
            <w:tcW w:type="dxa" w:w="1036"/>
            <w:vAlign w:val="top"/>
          </w:tcPr>
          <w:p>
            <w:pPr>
              <w:spacing w:after="40" w:before="0" w:line="259" w:lineRule="auto"/>
            </w:pPr>
            <w:r>
              <w:rPr>
                <w:rFonts w:ascii="Calibri" w:hAnsi="Calibri"/>
                <w:b w:val="0"/>
                <w:i w:val="0"/>
                <w:color w:val="212121"/>
                <w:sz w:val="16"/>
              </w:rPr>
              <w:t>Ecchymoses indicate retroperitoneal haemorrhage (severe); jaundice suggests biliary obstruction</w:t>
            </w:r>
          </w:p>
        </w:tc>
        <w:tc>
          <w:tcPr>
            <w:tcW w:type="dxa" w:w="1036"/>
            <w:vAlign w:val="top"/>
          </w:tcPr>
          <w:p>
            <w:pPr>
              <w:spacing w:after="40" w:before="0" w:line="259" w:lineRule="auto"/>
            </w:pPr>
            <w:r>
              <w:rPr>
                <w:rFonts w:ascii="Calibri" w:hAnsi="Calibri"/>
                <w:b w:val="0"/>
                <w:i w:val="0"/>
                <w:color w:val="212121"/>
                <w:sz w:val="16"/>
              </w:rPr>
              <w:t>Severe necrotising or gallstone AP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Cullen/Grey-Turner signs are uncommon but ominous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Hydration &amp; volume status</w:t>
            </w:r>
          </w:p>
        </w:tc>
        <w:tc>
          <w:tcPr>
            <w:tcW w:type="dxa" w:w="979"/>
            <w:vAlign w:val="top"/>
          </w:tcPr>
          <w:p>
            <w:pPr>
              <w:spacing w:after="40" w:before="0" w:line="259" w:lineRule="auto"/>
            </w:pPr>
            <w:r>
              <w:rPr>
                <w:rFonts w:ascii="Calibri" w:hAnsi="Calibri"/>
                <w:b w:val="0"/>
                <w:i w:val="0"/>
                <w:color w:val="212121"/>
                <w:sz w:val="16"/>
              </w:rPr>
              <w:t>Mucous membranes, skin turgor, JVP, postural BP</w:t>
            </w:r>
          </w:p>
        </w:tc>
        <w:tc>
          <w:tcPr>
            <w:tcW w:type="dxa" w:w="950"/>
            <w:vAlign w:val="top"/>
          </w:tcPr>
          <w:p>
            <w:pPr>
              <w:spacing w:after="40" w:before="0" w:line="259" w:lineRule="auto"/>
            </w:pPr>
            <w:r>
              <w:rPr>
                <w:rFonts w:ascii="Calibri" w:hAnsi="Calibri"/>
                <w:b w:val="0"/>
                <w:i w:val="0"/>
                <w:color w:val="212121"/>
                <w:sz w:val="16"/>
              </w:rPr>
              <w:t>Euvolaemic</w:t>
            </w:r>
          </w:p>
        </w:tc>
        <w:tc>
          <w:tcPr>
            <w:tcW w:type="dxa" w:w="950"/>
            <w:vAlign w:val="top"/>
          </w:tcPr>
          <w:p>
            <w:pPr>
              <w:spacing w:after="40" w:before="0" w:line="259" w:lineRule="auto"/>
            </w:pPr>
            <w:r>
              <w:rPr>
                <w:rFonts w:ascii="Calibri" w:hAnsi="Calibri"/>
                <w:b w:val="0"/>
                <w:i w:val="0"/>
                <w:color w:val="212121"/>
                <w:sz w:val="16"/>
              </w:rPr>
              <w:t>Dehydration, hypotension, poor perfusion</w:t>
            </w:r>
          </w:p>
        </w:tc>
        <w:tc>
          <w:tcPr>
            <w:tcW w:type="dxa" w:w="1036"/>
            <w:vAlign w:val="top"/>
          </w:tcPr>
          <w:p>
            <w:pPr>
              <w:spacing w:after="40" w:before="0" w:line="259" w:lineRule="auto"/>
            </w:pPr>
            <w:r>
              <w:rPr>
                <w:rFonts w:ascii="Calibri" w:hAnsi="Calibri"/>
                <w:b w:val="0"/>
                <w:i w:val="0"/>
                <w:color w:val="212121"/>
                <w:sz w:val="16"/>
              </w:rPr>
              <w:t>Guides the early goal-directed fluid resuscitation central to management</w:t>
            </w:r>
          </w:p>
        </w:tc>
        <w:tc>
          <w:tcPr>
            <w:tcW w:type="dxa" w:w="1036"/>
            <w:vAlign w:val="top"/>
          </w:tcPr>
          <w:p>
            <w:pPr>
              <w:spacing w:after="40" w:before="0" w:line="259" w:lineRule="auto"/>
            </w:pPr>
            <w:r>
              <w:rPr>
                <w:rFonts w:ascii="Calibri" w:hAnsi="Calibri"/>
                <w:b w:val="0"/>
                <w:i w:val="0"/>
                <w:color w:val="212121"/>
                <w:sz w:val="16"/>
              </w:rPr>
              <w:t>All patients, especially first 24-48 h</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Management-critical</w:t>
            </w:r>
          </w:p>
        </w:tc>
        <w:tc>
          <w:tcPr>
            <w:tcW w:type="dxa" w:w="720"/>
            <w:vAlign w:val="top"/>
          </w:tcPr>
          <w:p>
            <w:pPr>
              <w:spacing w:after="40" w:before="0" w:line="259" w:lineRule="auto"/>
            </w:pPr>
            <w:r>
              <w:rPr>
                <w:rFonts w:ascii="Calibri" w:hAnsi="Calibri"/>
                <w:b w:val="0"/>
                <w:i w:val="0"/>
                <w:color w:val="212121"/>
                <w:sz w:val="16"/>
              </w:rPr>
              <w:t>Correlate with haematocrit and BUN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Basal dullness, reduced air entry, SpO2</w:t>
            </w:r>
          </w:p>
        </w:tc>
        <w:tc>
          <w:tcPr>
            <w:tcW w:type="dxa" w:w="950"/>
            <w:vAlign w:val="top"/>
          </w:tcPr>
          <w:p>
            <w:pPr>
              <w:spacing w:after="40" w:before="0" w:line="259" w:lineRule="auto"/>
            </w:pPr>
            <w:r>
              <w:rPr>
                <w:rFonts w:ascii="Calibri" w:hAnsi="Calibri"/>
                <w:b w:val="0"/>
                <w:i w:val="0"/>
                <w:color w:val="212121"/>
                <w:sz w:val="16"/>
              </w:rPr>
              <w:t>Clear lungs, normal saturation</w:t>
            </w:r>
          </w:p>
        </w:tc>
        <w:tc>
          <w:tcPr>
            <w:tcW w:type="dxa" w:w="950"/>
            <w:vAlign w:val="top"/>
          </w:tcPr>
          <w:p>
            <w:pPr>
              <w:spacing w:after="40" w:before="0" w:line="259" w:lineRule="auto"/>
            </w:pPr>
            <w:r>
              <w:rPr>
                <w:rFonts w:ascii="Calibri" w:hAnsi="Calibri"/>
                <w:b w:val="0"/>
                <w:i w:val="0"/>
                <w:color w:val="212121"/>
                <w:sz w:val="16"/>
              </w:rPr>
              <w:t>Left-basal pleural effusion, hypoxia, ARDS</w:t>
            </w:r>
          </w:p>
        </w:tc>
        <w:tc>
          <w:tcPr>
            <w:tcW w:type="dxa" w:w="1036"/>
            <w:vAlign w:val="top"/>
          </w:tcPr>
          <w:p>
            <w:pPr>
              <w:spacing w:after="40" w:before="0" w:line="259" w:lineRule="auto"/>
            </w:pPr>
            <w:r>
              <w:rPr>
                <w:rFonts w:ascii="Calibri" w:hAnsi="Calibri"/>
                <w:b w:val="0"/>
                <w:i w:val="0"/>
                <w:color w:val="212121"/>
                <w:sz w:val="16"/>
              </w:rPr>
              <w:t>Detects pulmonary complications that mark severe disease</w:t>
            </w:r>
          </w:p>
        </w:tc>
        <w:tc>
          <w:tcPr>
            <w:tcW w:type="dxa" w:w="1036"/>
            <w:vAlign w:val="top"/>
          </w:tcPr>
          <w:p>
            <w:pPr>
              <w:spacing w:after="40" w:before="0" w:line="259" w:lineRule="auto"/>
            </w:pPr>
            <w:r>
              <w:rPr>
                <w:rFonts w:ascii="Calibri" w:hAnsi="Calibri"/>
                <w:b w:val="0"/>
                <w:i w:val="0"/>
                <w:color w:val="212121"/>
                <w:sz w:val="16"/>
              </w:rPr>
              <w:t>Severe AP, elderly, comorbid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Pleural effusion is part of the BISAP score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Severe epigastric pain radiating to the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persistent, boring upper-abdominal pain, often band-like to the back and worse lying flat.</w:t>
            </w:r>
          </w:p>
        </w:tc>
      </w:tr>
      <w:tr>
        <w:trPr>
          <w:cantSplit/>
        </w:trPr>
        <w:tc>
          <w:tcPr>
            <w:tcW w:type="dxa" w:w="2304"/>
            <w:vAlign w:val="top"/>
          </w:tcPr>
          <w:p>
            <w:pPr>
              <w:spacing w:after="40" w:before="0" w:line="259" w:lineRule="auto"/>
            </w:pPr>
            <w:r>
              <w:rPr>
                <w:rFonts w:ascii="Calibri" w:hAnsi="Calibri"/>
                <w:b/>
                <w:i w:val="0"/>
                <w:color w:val="212121"/>
                <w:sz w:val="19"/>
              </w:rPr>
              <w:t>Pain relieved by leaning forward / worse supine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'pancreatic posture' - sitting up and leaning forward eases the pain.</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Very frequent and often precedes or accompanies vomiting.</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vomiting that characteristically does not relieve the pain.</w:t>
            </w:r>
          </w:p>
        </w:tc>
      </w:tr>
      <w:tr>
        <w:trPr>
          <w:cantSplit/>
        </w:trPr>
        <w:tc>
          <w:tcPr>
            <w:tcW w:type="dxa" w:w="2304"/>
            <w:vAlign w:val="top"/>
          </w:tcPr>
          <w:p>
            <w:pPr>
              <w:spacing w:after="40" w:before="0" w:line="259" w:lineRule="auto"/>
            </w:pPr>
            <w:r>
              <w:rPr>
                <w:rFonts w:ascii="Calibri" w:hAnsi="Calibri"/>
                <w:b/>
                <w:i w:val="0"/>
                <w:color w:val="212121"/>
                <w:sz w:val="19"/>
              </w:rPr>
              <w:t>Anorexia / 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Aversion to food, contributing to dehydration and negative energy balance.</w:t>
            </w:r>
          </w:p>
        </w:tc>
      </w:tr>
      <w:tr>
        <w:trPr>
          <w:cantSplit/>
        </w:trPr>
        <w:tc>
          <w:tcPr>
            <w:tcW w:type="dxa" w:w="2304"/>
            <w:vAlign w:val="top"/>
          </w:tcPr>
          <w:p>
            <w:pPr>
              <w:spacing w:after="40" w:before="0" w:line="259" w:lineRule="auto"/>
            </w:pPr>
            <w:r>
              <w:rPr>
                <w:rFonts w:ascii="Calibri" w:hAnsi="Calibri"/>
                <w:b/>
                <w:i w:val="0"/>
                <w:color w:val="212121"/>
                <w:sz w:val="19"/>
              </w:rPr>
              <w:t>Abdominal distension / bloating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paralytic ileus and third-space fluid accumulation.</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Low-grade fever from inflammation; high or persistent fever suggests infected necrosis.</w:t>
            </w:r>
          </w:p>
        </w:tc>
      </w:tr>
      <w:tr>
        <w:trPr>
          <w:cantSplit/>
        </w:trPr>
        <w:tc>
          <w:tcPr>
            <w:tcW w:type="dxa" w:w="2304"/>
            <w:vAlign w:val="top"/>
          </w:tcPr>
          <w:p>
            <w:pPr>
              <w:spacing w:after="40" w:before="0" w:line="259" w:lineRule="auto"/>
            </w:pPr>
            <w:r>
              <w:rPr>
                <w:rFonts w:ascii="Calibri" w:hAnsi="Calibri"/>
                <w:b/>
                <w:i w:val="0"/>
                <w:color w:val="212121"/>
                <w:sz w:val="19"/>
              </w:rPr>
              <w:t>Palpitations / rapid pulse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Tachycardia from pain, dehydration and the systemic inflammatory response.</w:t>
            </w:r>
          </w:p>
        </w:tc>
      </w:tr>
      <w:tr>
        <w:trPr>
          <w:cantSplit/>
        </w:trPr>
        <w:tc>
          <w:tcPr>
            <w:tcW w:type="dxa" w:w="2304"/>
            <w:vAlign w:val="top"/>
          </w:tcPr>
          <w:p>
            <w:pPr>
              <w:spacing w:after="40" w:before="0" w:line="259" w:lineRule="auto"/>
            </w:pPr>
            <w:r>
              <w:rPr>
                <w:rFonts w:ascii="Calibri" w:hAnsi="Calibri"/>
                <w:b/>
                <w:i w:val="0"/>
                <w:color w:val="212121"/>
                <w:sz w:val="19"/>
              </w:rPr>
              <w:t>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Due to pleural effusion, splinting from pain, or acute respiratory distress syndrome in severe cases.</w:t>
            </w:r>
          </w:p>
        </w:tc>
      </w:tr>
      <w:tr>
        <w:trPr>
          <w:cantSplit/>
        </w:trPr>
        <w:tc>
          <w:tcPr>
            <w:tcW w:type="dxa" w:w="2304"/>
            <w:vAlign w:val="top"/>
          </w:tcPr>
          <w:p>
            <w:pPr>
              <w:spacing w:after="40" w:before="0" w:line="259" w:lineRule="auto"/>
            </w:pPr>
            <w:r>
              <w:rPr>
                <w:rFonts w:ascii="Calibri" w:hAnsi="Calibri"/>
                <w:b/>
                <w:i w:val="0"/>
                <w:color w:val="212121"/>
                <w:sz w:val="19"/>
              </w:rPr>
              <w:t>Jaundice (yellow eyes/skin)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common-bile-duct stone or biliary obstruction in gallstone pancreatitis.</w:t>
            </w:r>
          </w:p>
        </w:tc>
      </w:tr>
      <w:tr>
        <w:trPr>
          <w:cantSplit/>
        </w:trPr>
        <w:tc>
          <w:tcPr>
            <w:tcW w:type="dxa" w:w="2304"/>
            <w:vAlign w:val="top"/>
          </w:tcPr>
          <w:p>
            <w:pPr>
              <w:spacing w:after="40" w:before="0" w:line="259" w:lineRule="auto"/>
            </w:pPr>
            <w:r>
              <w:rPr>
                <w:rFonts w:ascii="Calibri" w:hAnsi="Calibri"/>
                <w:b/>
                <w:i w:val="0"/>
                <w:color w:val="212121"/>
                <w:sz w:val="19"/>
              </w:rPr>
              <w:t>Hiccups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diaphragmatic irritation or gastric distension.</w:t>
            </w:r>
          </w:p>
        </w:tc>
      </w:tr>
      <w:tr>
        <w:trPr>
          <w:cantSplit/>
        </w:trPr>
        <w:tc>
          <w:tcPr>
            <w:tcW w:type="dxa" w:w="2304"/>
            <w:vAlign w:val="top"/>
          </w:tcPr>
          <w:p>
            <w:pPr>
              <w:spacing w:after="40" w:before="0" w:line="259" w:lineRule="auto"/>
            </w:pPr>
            <w:r>
              <w:rPr>
                <w:rFonts w:ascii="Calibri" w:hAnsi="Calibri"/>
                <w:b/>
                <w:i w:val="0"/>
                <w:color w:val="212121"/>
                <w:sz w:val="19"/>
              </w:rPr>
              <w:t>Confusion / altered mental status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Reflects severe disease, hypoperfusion, electrolyte disturbance or, with alcohol, withdrawal/encephalopathy.</w:t>
            </w:r>
          </w:p>
        </w:tc>
      </w:tr>
      <w:tr>
        <w:trPr>
          <w:cantSplit/>
        </w:trPr>
        <w:tc>
          <w:tcPr>
            <w:tcW w:type="dxa" w:w="2304"/>
            <w:vAlign w:val="top"/>
          </w:tcPr>
          <w:p>
            <w:pPr>
              <w:spacing w:after="40" w:before="0" w:line="259" w:lineRule="auto"/>
            </w:pPr>
            <w:r>
              <w:rPr>
                <w:rFonts w:ascii="Calibri" w:hAnsi="Calibri"/>
                <w:b/>
                <w:i w:val="0"/>
                <w:color w:val="212121"/>
                <w:sz w:val="19"/>
              </w:rPr>
              <w:t>Tetany / muscle spasms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hypocalcaemia due to fat saponification in severe pancreatitis.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Epigastric tenderness with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upper-abdominal tenderness, often with voluntary guarding, is the commonest sign.</w:t>
            </w:r>
          </w:p>
        </w:tc>
      </w:tr>
      <w:tr>
        <w:trPr>
          <w:cantSplit/>
        </w:trPr>
        <w:tc>
          <w:tcPr>
            <w:tcW w:type="dxa" w:w="3456"/>
            <w:vAlign w:val="top"/>
          </w:tcPr>
          <w:p>
            <w:pPr>
              <w:spacing w:after="40" w:before="0" w:line="259" w:lineRule="auto"/>
            </w:pPr>
            <w:r>
              <w:rPr>
                <w:rFonts w:ascii="Calibri" w:hAnsi="Calibri"/>
                <w:b/>
                <w:i w:val="0"/>
                <w:color w:val="212121"/>
                <w:sz w:val="19"/>
              </w:rPr>
              <w:t>Abdominal distension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Generalised distension from paralytic ileus and fluid accumulation.</w:t>
            </w:r>
          </w:p>
        </w:tc>
      </w:tr>
      <w:tr>
        <w:trPr>
          <w:cantSplit/>
        </w:trPr>
        <w:tc>
          <w:tcPr>
            <w:tcW w:type="dxa" w:w="3456"/>
            <w:vAlign w:val="top"/>
          </w:tcPr>
          <w:p>
            <w:pPr>
              <w:spacing w:after="40" w:before="0" w:line="259" w:lineRule="auto"/>
            </w:pPr>
            <w:r>
              <w:rPr>
                <w:rFonts w:ascii="Calibri" w:hAnsi="Calibri"/>
                <w:b/>
                <w:i w:val="0"/>
                <w:color w:val="212121"/>
                <w:sz w:val="19"/>
              </w:rPr>
              <w:t>Reduced or absent bowel sounds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paralytic ileus accompanying peritoneal inflammation.</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Inflammatory pyrexia; high spiking fever raises concern for infected necrosis.</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response to pain, hypovolaemia and SIRS.</w:t>
            </w:r>
          </w:p>
        </w:tc>
      </w:tr>
      <w:tr>
        <w:trPr>
          <w:cantSplit/>
        </w:trPr>
        <w:tc>
          <w:tcPr>
            <w:tcW w:type="dxa" w:w="3456"/>
            <w:vAlign w:val="top"/>
          </w:tcPr>
          <w:p>
            <w:pPr>
              <w:spacing w:after="40" w:before="0" w:line="259" w:lineRule="auto"/>
            </w:pPr>
            <w:r>
              <w:rPr>
                <w:rFonts w:ascii="Calibri" w:hAnsi="Calibri"/>
                <w:b/>
                <w:i w:val="0"/>
                <w:color w:val="212121"/>
                <w:sz w:val="19"/>
              </w:rPr>
              <w:t>Hypotension / signs of shock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third-space fluid loss and vasodilatation in severe disease.</w:t>
            </w:r>
          </w:p>
        </w:tc>
      </w:tr>
      <w:tr>
        <w:trPr>
          <w:cantSplit/>
        </w:trPr>
        <w:tc>
          <w:tcPr>
            <w:tcW w:type="dxa" w:w="3456"/>
            <w:vAlign w:val="top"/>
          </w:tcPr>
          <w:p>
            <w:pPr>
              <w:spacing w:after="40" w:before="0" w:line="259" w:lineRule="auto"/>
            </w:pPr>
            <w:r>
              <w:rPr>
                <w:rFonts w:ascii="Calibri" w:hAnsi="Calibri"/>
                <w:b/>
                <w:i w:val="0"/>
                <w:color w:val="212121"/>
                <w:sz w:val="19"/>
              </w:rPr>
              <w:t>Jaundice / scleral icterus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biliary obstruction, typically a CBD stone in gallstone pancreatitis.</w:t>
            </w:r>
          </w:p>
        </w:tc>
      </w:tr>
      <w:tr>
        <w:trPr>
          <w:cantSplit/>
        </w:trPr>
        <w:tc>
          <w:tcPr>
            <w:tcW w:type="dxa" w:w="3456"/>
            <w:vAlign w:val="top"/>
          </w:tcPr>
          <w:p>
            <w:pPr>
              <w:spacing w:after="40" w:before="0" w:line="259" w:lineRule="auto"/>
            </w:pPr>
            <w:r>
              <w:rPr>
                <w:rFonts w:ascii="Calibri" w:hAnsi="Calibri"/>
                <w:b/>
                <w:i w:val="0"/>
                <w:color w:val="212121"/>
                <w:sz w:val="19"/>
              </w:rPr>
              <w:t>Left basal pleural effusion / crackles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Sympathetic effusion or atelectasis; a component of the BISAP severity score.</w:t>
            </w:r>
          </w:p>
        </w:tc>
      </w:tr>
      <w:tr>
        <w:trPr>
          <w:cantSplit/>
        </w:trPr>
        <w:tc>
          <w:tcPr>
            <w:tcW w:type="dxa" w:w="3456"/>
            <w:vAlign w:val="top"/>
          </w:tcPr>
          <w:p>
            <w:pPr>
              <w:spacing w:after="40" w:before="0" w:line="259" w:lineRule="auto"/>
            </w:pPr>
            <w:r>
              <w:rPr>
                <w:rFonts w:ascii="Calibri" w:hAnsi="Calibri"/>
                <w:b/>
                <w:i w:val="0"/>
                <w:color w:val="212121"/>
                <w:sz w:val="19"/>
              </w:rPr>
              <w:t>Cullen sign (periumbilical ecchymosis)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Bluish periumbilical discolouration from retroperitoneal haemorrhage in severe necrotising disease.</w:t>
            </w:r>
          </w:p>
        </w:tc>
      </w:tr>
      <w:tr>
        <w:trPr>
          <w:cantSplit/>
        </w:trPr>
        <w:tc>
          <w:tcPr>
            <w:tcW w:type="dxa" w:w="3456"/>
            <w:vAlign w:val="top"/>
          </w:tcPr>
          <w:p>
            <w:pPr>
              <w:spacing w:after="40" w:before="0" w:line="259" w:lineRule="auto"/>
            </w:pPr>
            <w:r>
              <w:rPr>
                <w:rFonts w:ascii="Calibri" w:hAnsi="Calibri"/>
                <w:b/>
                <w:i w:val="0"/>
                <w:color w:val="212121"/>
                <w:sz w:val="19"/>
              </w:rPr>
              <w:t>Grey-Turner sign (flank ecchymosis)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Flank bruising from tracking of haemorrhagic exudate; marks severe haemorrhagic pancreatitis.</w:t>
            </w:r>
          </w:p>
        </w:tc>
      </w:tr>
      <w:tr>
        <w:trPr>
          <w:cantSplit/>
        </w:trPr>
        <w:tc>
          <w:tcPr>
            <w:tcW w:type="dxa" w:w="3456"/>
            <w:vAlign w:val="top"/>
          </w:tcPr>
          <w:p>
            <w:pPr>
              <w:spacing w:after="40" w:before="0" w:line="259" w:lineRule="auto"/>
            </w:pPr>
            <w:r>
              <w:rPr>
                <w:rFonts w:ascii="Calibri" w:hAnsi="Calibri"/>
                <w:b/>
                <w:i w:val="0"/>
                <w:color w:val="212121"/>
                <w:sz w:val="19"/>
              </w:rPr>
              <w:t>Positive Chvostek / Trousseau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Neuromuscular irritability from hypocalcaemia in severe pancreatitis.</w:t>
            </w:r>
          </w:p>
        </w:tc>
      </w:tr>
      <w:tr>
        <w:trPr>
          <w:cantSplit/>
        </w:trPr>
        <w:tc>
          <w:tcPr>
            <w:tcW w:type="dxa" w:w="3456"/>
            <w:vAlign w:val="top"/>
          </w:tcPr>
          <w:p>
            <w:pPr>
              <w:spacing w:after="40" w:before="0" w:line="259" w:lineRule="auto"/>
            </w:pPr>
            <w:r>
              <w:rPr>
                <w:rFonts w:ascii="Calibri" w:hAnsi="Calibri"/>
                <w:b/>
                <w:i w:val="0"/>
                <w:color w:val="212121"/>
                <w:sz w:val="19"/>
              </w:rPr>
              <w:t>Subcutaneous fat necrosis (tender skin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Panniculitis from circulating lipase, a rare extrapancreatic manifestation.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inflammatory response syndrome (SIRS)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Hypovolaemia and distributive shock from third-space fluid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peripancreatic fluid collection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(and peripancreatic) necrosis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respiratory distress syndrome / pleural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derangement (hypocalcaemia, hyperglycaemia)</w:t>
            </w:r>
          </w:p>
        </w:tc>
        <w:tc>
          <w:tcPr>
            <w:tcW w:type="dxa" w:w="2980"/>
            <w:vAlign w:val="top"/>
          </w:tcPr>
          <w:p>
            <w:pPr>
              <w:spacing w:after="40" w:before="0" w:line="259" w:lineRule="auto"/>
            </w:pPr>
            <w:r>
              <w:rPr>
                <w:rFonts w:ascii="Calibri" w:hAnsi="Calibri"/>
                <w:b w:val="0"/>
                <w:i w:val="0"/>
                <w:color w:val="212121"/>
                <w:sz w:val="19"/>
              </w:rPr>
              <w:t>Early local and systemic effects of enzymatic autodigestion and the inflammatory cascade, most marked in the first week.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Infected pancreatic necrosis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pseudocyst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Walled-off necrosis and pancreatic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Splenic or portal vein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Pseudoaneurysm and intra-abdominal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bleeding and bowel ischaemia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and multi-organ dysfunction</w:t>
            </w:r>
          </w:p>
        </w:tc>
        <w:tc>
          <w:tcPr>
            <w:tcW w:type="dxa" w:w="2980"/>
            <w:vAlign w:val="top"/>
          </w:tcPr>
          <w:p>
            <w:pPr>
              <w:spacing w:after="40" w:before="0" w:line="259" w:lineRule="auto"/>
            </w:pPr>
            <w:r>
              <w:rPr>
                <w:rFonts w:ascii="Calibri" w:hAnsi="Calibri"/>
                <w:b w:val="0"/>
                <w:i w:val="0"/>
                <w:color w:val="212121"/>
                <w:sz w:val="19"/>
              </w:rPr>
              <w:t>Evolving complications of the late phase (after the first week), chiefly in moderately severe and severe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pancreatitis with pancreatic duct strictures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Exocrine insufficiency (steatorrhoea, malnutrition, fat-soluble vitamin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Endocrine insufficiency / pancreatogenic (type 3c)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fistula and persistent collections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long-term risk of pancreatic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disability and death in severe/necrotising disease</w:t>
            </w:r>
          </w:p>
        </w:tc>
        <w:tc>
          <w:tcPr>
            <w:tcW w:type="dxa" w:w="2980"/>
            <w:vAlign w:val="top"/>
          </w:tcPr>
          <w:p>
            <w:pPr>
              <w:spacing w:after="40" w:before="0" w:line="259" w:lineRule="auto"/>
            </w:pPr>
            <w:r>
              <w:rPr>
                <w:rFonts w:ascii="Calibri" w:hAnsi="Calibri"/>
                <w:b w:val="0"/>
                <w:i w:val="0"/>
                <w:color w:val="212121"/>
                <w:sz w:val="19"/>
              </w:rPr>
              <w:t>Irreversible, long-term sequelae driven largely by continued alcohol and smoking and by recurrent attacks.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Cholelithiasis (gallstones)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Leading cause overall and dominant in north India and women; small stones and sludge migrate and obstruct the ampulla.</w:t>
            </w:r>
          </w:p>
          <w:p>
            <w:pPr>
              <w:spacing w:after="40" w:before="0" w:line="259" w:lineRule="auto"/>
            </w:pPr>
            <w:r>
              <w:rPr>
                <w:rFonts w:ascii="Calibri" w:hAnsi="Calibri"/>
                <w:b/>
                <w:i w:val="0"/>
                <w:color w:val="212121"/>
                <w:sz w:val="19"/>
              </w:rPr>
              <w:t>~35-48%</w:t>
            </w:r>
          </w:p>
        </w:tc>
      </w:tr>
      <w:tr>
        <w:trPr>
          <w:cantSplit/>
        </w:trPr>
        <w:tc>
          <w:tcPr>
            <w:tcW w:type="dxa" w:w="2232"/>
            <w:vAlign w:val="top"/>
          </w:tcPr>
          <w:p>
            <w:pPr>
              <w:spacing w:after="40" w:before="0" w:line="259" w:lineRule="auto"/>
            </w:pPr>
            <w:r>
              <w:rPr>
                <w:rFonts w:ascii="Calibri" w:hAnsi="Calibri"/>
                <w:b/>
                <w:i w:val="0"/>
                <w:color w:val="212121"/>
                <w:sz w:val="19"/>
              </w:rPr>
              <w:t>Alcohol-use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cause in Indian men; chronic heavy use and binges injure acinar cells and drive recurrence.</w:t>
            </w:r>
          </w:p>
          <w:p>
            <w:pPr>
              <w:spacing w:after="40" w:before="0" w:line="259" w:lineRule="auto"/>
            </w:pPr>
            <w:r>
              <w:rPr>
                <w:rFonts w:ascii="Calibri" w:hAnsi="Calibri"/>
                <w:b/>
                <w:i w:val="0"/>
                <w:color w:val="212121"/>
                <w:sz w:val="19"/>
              </w:rPr>
              <w:t>~48-71% (Indian tertiary series)</w:t>
            </w:r>
          </w:p>
        </w:tc>
      </w:tr>
      <w:tr>
        <w:trPr>
          <w:cantSplit/>
        </w:trPr>
        <w:tc>
          <w:tcPr>
            <w:tcW w:type="dxa" w:w="2232"/>
            <w:vAlign w:val="top"/>
          </w:tcPr>
          <w:p>
            <w:pPr>
              <w:spacing w:after="40" w:before="0" w:line="259" w:lineRule="auto"/>
            </w:pPr>
            <w:r>
              <w:rPr>
                <w:rFonts w:ascii="Calibri" w:hAnsi="Calibri"/>
                <w:b/>
                <w:i w:val="0"/>
                <w:color w:val="212121"/>
                <w:sz w:val="19"/>
              </w:rPr>
              <w:t>Hypertriglyceridaemia / 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Third leading identifiable cause; risk rises sharply above ~1000 mg/dL, often with diabetes and obesity.</w:t>
            </w:r>
          </w:p>
          <w:p>
            <w:pPr>
              <w:spacing w:after="40" w:before="0" w:line="259" w:lineRule="auto"/>
            </w:pPr>
            <w:r>
              <w:rPr>
                <w:rFonts w:ascii="Calibri" w:hAnsi="Calibri"/>
                <w:b/>
                <w:i w:val="0"/>
                <w:color w:val="212121"/>
                <w:sz w:val="19"/>
              </w:rPr>
              <w:t>~2-10%</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 obesity worsens severity and mortality; BMI &gt; 25 nearly triples the odds of severe acute pancreatitis.</w:t>
            </w:r>
          </w:p>
          <w:p>
            <w:pPr>
              <w:spacing w:after="40" w:before="0" w:line="259" w:lineRule="auto"/>
            </w:pPr>
            <w:r>
              <w:rPr>
                <w:rFonts w:ascii="Calibri" w:hAnsi="Calibri"/>
                <w:b/>
                <w:i w:val="0"/>
                <w:color w:val="212121"/>
                <w:sz w:val="19"/>
              </w:rPr>
              <w:t>OR ~2.9 for severe AP</w:t>
            </w:r>
          </w:p>
        </w:tc>
      </w:tr>
      <w:tr>
        <w:trPr>
          <w:cantSplit/>
        </w:trPr>
        <w:tc>
          <w:tcPr>
            <w:tcW w:type="dxa" w:w="2232"/>
            <w:vAlign w:val="top"/>
          </w:tcPr>
          <w:p>
            <w:pPr>
              <w:spacing w:after="40" w:before="0" w:line="259" w:lineRule="auto"/>
            </w:pPr>
            <w:r>
              <w:rPr>
                <w:rFonts w:ascii="Calibri" w:hAnsi="Calibri"/>
                <w:b/>
                <w:i w:val="0"/>
                <w:color w:val="212121"/>
                <w:sz w:val="19"/>
              </w:rPr>
              <w:t>Type 2 diabetes / metabolic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Both a risk factor (via triglycerides, gallstones, obesity) and a sequela, as injury can cause pancreatogenic (type 3c) diabetes.</w:t>
            </w:r>
          </w:p>
        </w:tc>
      </w:tr>
      <w:tr>
        <w:trPr>
          <w:cantSplit/>
        </w:trPr>
        <w:tc>
          <w:tcPr>
            <w:tcW w:type="dxa" w:w="2232"/>
            <w:vAlign w:val="top"/>
          </w:tcPr>
          <w:p>
            <w:pPr>
              <w:spacing w:after="40" w:before="0" w:line="259" w:lineRule="auto"/>
            </w:pPr>
            <w:r>
              <w:rPr>
                <w:rFonts w:ascii="Calibri" w:hAnsi="Calibri"/>
                <w:b/>
                <w:i w:val="0"/>
                <w:color w:val="212121"/>
                <w:sz w:val="19"/>
              </w:rPr>
              <w:t>Tobacco smoking</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Independent dose-dependent risk factor that accelerates progression to chronic pancreatitis and acts synergistically with alcohol.</w:t>
            </w:r>
          </w:p>
          <w:p>
            <w:pPr>
              <w:spacing w:after="40" w:before="0" w:line="259" w:lineRule="auto"/>
            </w:pPr>
            <w:r>
              <w:rPr>
                <w:rFonts w:ascii="Calibri" w:hAnsi="Calibri"/>
                <w:b/>
                <w:i w:val="0"/>
                <w:color w:val="212121"/>
                <w:sz w:val="19"/>
              </w:rPr>
              <w:t>RR up to ~3.35 (≥1 pack/day)</w:t>
            </w:r>
          </w:p>
        </w:tc>
      </w:tr>
      <w:tr>
        <w:trPr>
          <w:cantSplit/>
        </w:trPr>
        <w:tc>
          <w:tcPr>
            <w:tcW w:type="dxa" w:w="2232"/>
            <w:vAlign w:val="top"/>
          </w:tcPr>
          <w:p>
            <w:pPr>
              <w:spacing w:after="40" w:before="0" w:line="259" w:lineRule="auto"/>
            </w:pPr>
            <w:r>
              <w:rPr>
                <w:rFonts w:ascii="Calibri" w:hAnsi="Calibri"/>
                <w:b/>
                <w:i w:val="0"/>
                <w:color w:val="212121"/>
                <w:sz w:val="19"/>
              </w:rPr>
              <w:t>Choledocholithiasis / biliary obstruction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common-bile-duct stone causes obstruction, cholangitis and pancreatitis and may need urgent ERCP.</w:t>
            </w:r>
          </w:p>
        </w:tc>
      </w:tr>
      <w:tr>
        <w:trPr>
          <w:cantSplit/>
        </w:trPr>
        <w:tc>
          <w:tcPr>
            <w:tcW w:type="dxa" w:w="2232"/>
            <w:vAlign w:val="top"/>
          </w:tcPr>
          <w:p>
            <w:pPr>
              <w:spacing w:after="40" w:before="0" w:line="259" w:lineRule="auto"/>
            </w:pPr>
            <w:r>
              <w:rPr>
                <w:rFonts w:ascii="Calibri" w:hAnsi="Calibri"/>
                <w:b/>
                <w:i w:val="0"/>
                <w:color w:val="212121"/>
                <w:sz w:val="19"/>
              </w:rPr>
              <w:t>Hepatobiliary ascariasis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 endemic Indian regions (notably Kashmir), Ascaris migration into the ducts is a recognised regional cause.</w:t>
            </w:r>
          </w:p>
          <w:p>
            <w:pPr>
              <w:spacing w:after="40" w:before="0" w:line="259" w:lineRule="auto"/>
            </w:pPr>
            <w:r>
              <w:rPr>
                <w:rFonts w:ascii="Calibri" w:hAnsi="Calibri"/>
                <w:b/>
                <w:i w:val="0"/>
                <w:color w:val="212121"/>
                <w:sz w:val="19"/>
              </w:rPr>
              <w:t>~7% (Kashmir series)</w:t>
            </w:r>
          </w:p>
        </w:tc>
      </w:tr>
      <w:tr>
        <w:trPr>
          <w:cantSplit/>
        </w:trPr>
        <w:tc>
          <w:tcPr>
            <w:tcW w:type="dxa" w:w="2232"/>
            <w:vAlign w:val="top"/>
          </w:tcPr>
          <w:p>
            <w:pPr>
              <w:spacing w:after="40" w:before="0" w:line="259" w:lineRule="auto"/>
            </w:pPr>
            <w:r>
              <w:rPr>
                <w:rFonts w:ascii="Calibri" w:hAnsi="Calibri"/>
                <w:b/>
                <w:i w:val="0"/>
                <w:color w:val="212121"/>
                <w:sz w:val="19"/>
              </w:rPr>
              <w:t>Hypercalcaemia / primary hyperparathyroidism</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An uncommon metabolic cause; high calcium promotes enzyme activation and ductal calcification.</w:t>
            </w:r>
          </w:p>
        </w:tc>
      </w:tr>
      <w:tr>
        <w:trPr>
          <w:cantSplit/>
        </w:trPr>
        <w:tc>
          <w:tcPr>
            <w:tcW w:type="dxa" w:w="2232"/>
            <w:vAlign w:val="top"/>
          </w:tcPr>
          <w:p>
            <w:pPr>
              <w:spacing w:after="40" w:before="0" w:line="259" w:lineRule="auto"/>
            </w:pPr>
            <w:r>
              <w:rPr>
                <w:rFonts w:ascii="Calibri" w:hAnsi="Calibri"/>
                <w:b/>
                <w:i w:val="0"/>
                <w:color w:val="212121"/>
                <w:sz w:val="19"/>
              </w:rPr>
              <w:t>Chronic pancreatitis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The end-stage of recurrent attacks, with irreversible exocrine and endocrine failure and chronic pain.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alcohol and gallstones cause the great majority of acute pancreatitis in India, and that stopping alcohol and treating gallstones prevents most recurrences.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medical care for severe, persistent upper-abdominal pain radiating to the back with vomiting - do not dismiss it as ordinary indigestion.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first attack, complete the recommended treatment: cholecystectomy (gallbladder removal) for gallstone pancreatitis and full alcohol and tobacco cessation for alcohol-related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the metabolic drivers - keep triglycerides, blood sugar and weight in the healthy range - to prevent hypertriglyceridaemic and obesity-related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worm-endemic areas, maintain good sanitation, safe drinking water and periodic deworming to reduce Ascaris-related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of severe disease (breathlessness, reduced urine, confusion, persistent high fever) and return immediately.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who drink heavily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hereditary pancreatitis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complete, lifelong abstinence from alcohol after an alcohol-related attack, as continued drinking is the strongest predictor of recurrence and chronic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referral to structured de-addiction services, brief interventions and relapse-prevention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pharmacotherapy for alcohol-use disorder and treat any withdrawal safely under medical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peer-support groups to sustain abstinence.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alcoholic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Recurrent-attack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since smoking independently and dose-dependently raises the risk and severity of acute pancreatitis and speeds progression to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alcohol and smoking together, as they act synergistically on the pancreas.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nicotine-replacement or other cessation aids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pancreatitis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attacks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recovery, resume oral or enteral feeding early once pain and nausea allow, rather than prolonged fasting, as early nutrition improves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low-fat, balanced diet with small frequent meals; avoid large fatty meals that trigger biliary colic and stone migration.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hypertriglyceridaemic pancreatitis, adopt a very low-fat diet, avoid alcohol and sugary/refined carbohydrates, and take prescribed lipid-lowering therapy (fibrates, omega-3).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pancreatic enzyme replacement and fat-soluble vitamins if exocrine insufficiency develops.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particularly in the early recovery phase.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AP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Gallstone-prone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Hypertriglyceridaemic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exocrine insufficiency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diet with whole grains, fruit, vegetables and pulses and limit saturated fat and fried and bakery foods to reduce gallstone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crash diets and very rapid weight loss, which promote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fasting triglycerides below 150 mg/dL through diet, weight control and, if needed,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risk factors for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plus resistance training to reduce central obesity, insulin resistance and hypertriglyceridaemia.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sustained weight loss (avoiding crash diets) in overweight and 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an Asian-Indian BMI of 18.5-22.9 kg/m² and a healthy waist circumference.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Obese/metabolic-syndrome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commonly accompany alcohol-use disorder and recurrent or chronic painful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integrated psychological support alongside de-addiction to sustain abstinence and reduce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multidisciplinary chronic-pain management for those with ongoing pain after severe or recurrent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Chronic/recurrent pancreatitis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post-illness distress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 sleep routine to support metabolic health and weight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obstructive sleep apnoea and other sleep disorders that cluster with obesity and metabolic syndrome.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fi.org.in/journal/index.php/JEFI/article/view/60" TargetMode="External"/><Relationship Id="rId10" Type="http://schemas.openxmlformats.org/officeDocument/2006/relationships/hyperlink" Target="https://www.ncbi.nlm.nih.gov/books/NBK482468/" TargetMode="External"/><Relationship Id="rId11" Type="http://schemas.openxmlformats.org/officeDocument/2006/relationships/hyperlink" Target="https://pmc.ncbi.nlm.nih.gov/articles/PMC6684514/" TargetMode="External"/><Relationship Id="rId12" Type="http://schemas.openxmlformats.org/officeDocument/2006/relationships/hyperlink" Target="https://link.springer.com/article/10.1007/s12664-023-01509-7" TargetMode="External"/><Relationship Id="rId13" Type="http://schemas.openxmlformats.org/officeDocument/2006/relationships/hyperlink" Target="https://pmc.ncbi.nlm.nih.gov/articles/PMC9383023/" TargetMode="External"/><Relationship Id="rId14" Type="http://schemas.openxmlformats.org/officeDocument/2006/relationships/hyperlink" Target="https://journals.plos.org/plosone/article?id=10.1371/journal.pone.0124075" TargetMode="External"/><Relationship Id="rId15" Type="http://schemas.openxmlformats.org/officeDocument/2006/relationships/hyperlink" Target="https://www.wjgnet.com/1007-9327/full/v25/i6/729.htm" TargetMode="External"/><Relationship Id="rId16" Type="http://schemas.openxmlformats.org/officeDocument/2006/relationships/hyperlink" Target="https://pubmed.ncbi.nlm.nih.gov/21241429/" TargetMode="External"/><Relationship Id="rId17" Type="http://schemas.openxmlformats.org/officeDocument/2006/relationships/hyperlink" Target="https://pmc.ncbi.nlm.nih.gov/articles/PMC6514487/" TargetMode="External"/><Relationship Id="rId18" Type="http://schemas.openxmlformats.org/officeDocument/2006/relationships/hyperlink" Target="https://www.ncbi.nlm.nih.gov/books/NBK279082/" TargetMode="External"/><Relationship Id="rId19" Type="http://schemas.openxmlformats.org/officeDocument/2006/relationships/hyperlink" Target="https://onlinelibrary.wiley.com/doi/10.1007/s00268-013-194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