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Tropical Calcific Pancreatitis</w:t>
      </w:r>
    </w:p>
    <w:p>
      <w:pPr>
        <w:spacing w:before="0" w:after="160"/>
      </w:pPr>
      <w:r>
        <w:rPr>
          <w:rFonts w:ascii="Calibri" w:hAnsi="Calibri"/>
          <w:b/>
          <w:i w:val="0"/>
          <w:color w:val="212121"/>
          <w:sz w:val="22"/>
        </w:rPr>
        <w:t xml:space="preserve">AKA </w:t>
      </w:r>
      <w:r>
        <w:rPr>
          <w:rFonts w:ascii="Calibri" w:hAnsi="Calibri"/>
          <w:b w:val="0"/>
          <w:i w:val="0"/>
          <w:color w:val="212121"/>
          <w:sz w:val="22"/>
        </w:rPr>
        <w:t>i.e., Tropical chronic pancreatitis (TCP), Fibrocalculous pancreatic diabetes (FCPD), Fibrocalculous pancreatopathy, Afro-Asian / tropical pancreatitis, Nutritional (juvenile) pancreatitis, Type 3c (pancreatogenic) diabetes when diabetic</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Tropical calcific pancreatitis (TCP) is a distinct, juvenile-onset, non-alcoholic form of chronic pancreatitis that is largely confined to the developing tropical world, with India - and especially Kerala - as its epicentre. It is characterised by an early (childhood or adolescent) onset of recurrent upper-abdominal pain, rapid progression to large intraductal pancreatic calculi with gland fibrosis and atrophy, marked exocrine insufficiency (steatorrhoea), and - in the majority - an eventual ketosis-resistant, insulin-requiring diabetes termed fibrocalculous pancreatic diabetes (FCPD). It typically occurs in lean, often undernourished individuals in the absence of alcohol, gallstones or other identifiable cause, and carries a substantially increased lifetime risk of pancreatic cancer.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TCP is largely a disease of the tropical developing world, and India - particularly the southern states of Kerala, Tamil Nadu, Andhra Pradesh and Odisha - is its historical epicentre. A classic 1990s Kerala survey recorded the highest incidence of tropical chronic pancreatitis in the world, up to about 126 per 100,000 population, and southern-state incidence estimates range from roughly 114 to 200 per 100,000. Hospital diabetes registries in 1960s Kerala once attributed nearly 29% of all registered diabetes to FCPD, but its share has fallen sharply with rising affluence and better nutrition - recent hospital series report a prevalence of only about 0.2-0.36%, and large nationwide chronic-pancreatitis cohorts now find FCPD in roughly 3-4% of chronic pancreatitis cases. Classically it strikes lean young people (mean age around 30 years, with diabetes usually appearing between 15 and 35 years) with a male preponderance (male-to-female ratios of about 3:1 to 4.6:1 in recent cohorts). The phenotype is changing: newer cases increasingly present at older ages with normal BMI, and only about 10-15% now show the full classical picture.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confirmatory test; diagnosis rests on demonstrating chronic pancreatitis in a young, lean, non-alcoholic patient from a tropical region, and on documenting the associated diabetes. Widely used criteria (Mohan and Premalatha) require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Occurrence in a tropical country (e.g., India), typically in a lean patient with no history of significant alcohol intake, gallstones, hyperparathyroidism or marked hypertriglyceridaemia (exclusion of other causes of chronic pancreatitis);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Diabetes mellitus by standard criteria (fasting plasma glucose &gt;= 126 mg/dL, 2-hour post-load glucose &gt;= 200 mg/dL, or HbA1c &gt;= 6.5 %) - this defines the fibrocalculous pancreatic diabetes (FCPD) stage;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Evidence of chronic pancreatitis - the presence of large intraductal pancreatic calculi on plain abdominal X-ray, ultrasound, CT or MRI is pathognomonic; in their absence, at least three of: characteristic ductal/parenchymal changes on imaging, chronic abdominal pain since childhood, steatorrhoea, or an abnormal pancreatic exocrine function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features: ketosis resistance despite poor glycaemic control, low body-mass index, and childhood/adolescent onset of recurrent epigastric pain radiating to the back;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Documentation of exocrine insufficiency where possible - low faecal elastase-1 (&lt; 200 microg/g; severe &lt; 100 microg/g) or increased faecal fat - to confirm the pancreatic origin of the diabetes and malabsorption;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Vigilance for pancreatic malignancy in any patient with a focal mass, disproportionate weight loss, obstructive jaundice or a sudden change in pain pattern (serum CA 19-9 and cross-sectional imaging).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TCP is best understood as a spectrum that evolves over one to two decades, and it sits within the broader classification of chronic (calcific) pancreatitis:</w:t>
      </w:r>
    </w:p>
    <w:p>
      <w:pPr>
        <w:spacing w:before="0" w:after="80"/>
      </w:pPr>
      <w:r>
        <w:rPr>
          <w:rFonts w:ascii="Calibri" w:hAnsi="Calibri"/>
          <w:b w:val="0"/>
          <w:i w:val="0"/>
          <w:color w:val="212121"/>
          <w:sz w:val="21"/>
        </w:rPr>
        <w:t>(1) Pre-diabetic / non-diabetic TCP (tropical chronic pancreatitis) - the earliest stage, dominated by recurrent abdominal pain, ductal calculi and evolving exocrine insufficiency (steatorrhoea) before diabetes appears; this phase often begins in childhood or adolescence;</w:t>
      </w:r>
    </w:p>
    <w:p>
      <w:pPr>
        <w:spacing w:before="0" w:after="80"/>
      </w:pPr>
      <w:r>
        <w:rPr>
          <w:rFonts w:ascii="Calibri" w:hAnsi="Calibri"/>
          <w:b w:val="0"/>
          <w:i w:val="0"/>
          <w:color w:val="212121"/>
          <w:sz w:val="21"/>
        </w:rPr>
        <w:t>(2) Fibrocalculous pancreatic diabetes (FCPD) - the later, endocrine stage, in which extensive beta-cell loss produces a ketosis-resistant but usually insulin-requiring diabetes superimposed on established calcific pancreatitis; the majority of TCP patients eventually reach this stage;</w:t>
      </w:r>
    </w:p>
    <w:p>
      <w:pPr>
        <w:spacing w:before="0" w:after="80"/>
      </w:pPr>
      <w:r>
        <w:rPr>
          <w:rFonts w:ascii="Calibri" w:hAnsi="Calibri"/>
          <w:b w:val="0"/>
          <w:i w:val="0"/>
          <w:color w:val="212121"/>
          <w:sz w:val="21"/>
        </w:rPr>
        <w:t>(3) Classical vs 'extended-spectrum' phenotype - the classical picture (lean, undernourished child/young adult from a poor rural background, florid steatorrhoea and pain) is now seen in only about 10-15% of cases; an increasing proportion present at older ages, with normal BMI and milder symptoms, blurring the boundary with idiopathic chronic pancreatitis;</w:t>
      </w:r>
    </w:p>
    <w:p>
      <w:pPr>
        <w:spacing w:before="0" w:after="80"/>
      </w:pPr>
      <w:r>
        <w:rPr>
          <w:rFonts w:ascii="Calibri" w:hAnsi="Calibri"/>
          <w:b w:val="0"/>
          <w:i w:val="0"/>
          <w:color w:val="212121"/>
          <w:sz w:val="21"/>
        </w:rPr>
        <w:t>(4) Within TANGE / M-ANNHEIM and TIGAR-O aetiological frameworks, TCP is grouped as a nutritional/idiopathic, genetically-influenced (SPINK1-associated) non-alcoholic chronic pancreatitis - contrasted with alcoholic and biliary chronic pancreatitis, which remain the commonest causes of chronic pancreatitis in India overall.</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susceptibility (SPINK1): The N34S variant of the SPINK1 (serine protease inhibitor Kazal type 1) gene, which normally protects against premature intrapancreatic trypsin activation, is found in about a third of Indian FCPD/TCP patients and is the strongest known genetic association.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Other pancreatitis genes: Mutations in cationic and anionic trypsinogen (PRSS1, PRSS2), chymotrypsinogen C (CTRC), CFTR and the calcium-sensing receptor (CASR) contribute to a 'multiple-hit' genetic predisposition, so most cases arise from gene-environment interaction rather than a single cause.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Malnutrition and antioxidant deficiency: Protein-energy malnutrition and diets deficient in antioxidant micronutrients (selenium, methionine, vitamins C and E) are thought to leave the acinar cell vulnerable to oxidative stress and free-radical injury - the leading current hypothesis, though malnutrition may be a consequence as well as a cause.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Cassava (tapioca) and dietary cyanogens: Historically the cyanogenic glycosides in cassava, a tropical staple, were proposed to overwhelm detoxification in protein-deficient people; this hypothesis remains unproven and is now considered, at most, a contributory cofactor given the geographic mismatch (TCP occurs where cassava is not eaten and is absent in some cassava-dependent regions).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Ductal obstruction and stone formation: Precipitation of protein plugs and progressive intraductal calcium-carbonate calculi cause obstruction, upstream ductal dilatation, recurrent inflammation and accelerating fibrosis of the gland.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Poverty and early-life exposures: Low socioeconomic status, food insecurity and childhood undernutrition cluster strongly with TCP, linking it to the developing-world environment rather than to alcohol or gallstones.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and young adults</w:t>
            </w:r>
          </w:p>
        </w:tc>
        <w:tc>
          <w:tcPr>
            <w:tcW w:type="dxa" w:w="4276"/>
            <w:vAlign w:val="top"/>
          </w:tcPr>
          <w:p>
            <w:pPr>
              <w:spacing w:after="60" w:line="259" w:lineRule="auto"/>
            </w:pPr>
            <w:r>
              <w:rPr>
                <w:rFonts w:ascii="Calibri" w:hAnsi="Calibri"/>
                <w:b w:val="0"/>
                <w:i w:val="0"/>
                <w:color w:val="212121"/>
                <w:sz w:val="19"/>
              </w:rPr>
              <w:t>TCP characteristically begins with abdominal pain in childhood or the teens and progresses to calcific pancreatitis and diabetes in the second to fourth decades, far earlier than alcoholic or type 2 diabetes-related disease.</w:t>
            </w:r>
          </w:p>
          <w:p>
            <w:pPr>
              <w:spacing w:after="40" w:before="60" w:line="259" w:lineRule="auto"/>
            </w:pPr>
            <w:r>
              <w:rPr>
                <w:rFonts w:ascii="Calibri" w:hAnsi="Calibri"/>
                <w:b w:val="0"/>
                <w:i w:val="0"/>
                <w:color w:val="212121"/>
                <w:sz w:val="19"/>
              </w:rPr>
              <w:t>Diabetes (FCPD) typically develops between 15 and 35 years of age, with recent Indian cohorts showing a mean age around 30 years.</w:t>
            </w:r>
          </w:p>
          <w:p>
            <w:pPr>
              <w:spacing w:after="40" w:line="252" w:lineRule="auto"/>
            </w:pPr>
            <w:hyperlink r:id="rId9">
              <w:r>
                <w:rPr>
                  <w:rFonts w:ascii="Calibri" w:hAnsi="Calibri" w:cs="Calibri"/>
                  <w:sz w:val="18"/>
                  <w:color w:val="1155CC"/>
                  <w:u w:val="single"/>
                </w:rPr>
                <w:t xml:space="preserve">ncbi.nlm.nih.gov - Endotext: Fibrocalculous Pancreatic Diabetes</w:t>
              </w:r>
            </w:hyperlink>
          </w:p>
          <w:p>
            <w:pPr>
              <w:spacing w:before="60" w:after="40"/>
            </w:pPr>
            <w:r>
              <w:rPr>
                <w:rFonts w:ascii="Calibri" w:hAnsi="Calibri"/>
                <w:b w:val="0"/>
                <w:i w:val="0"/>
                <w:color w:val="5A5A5A"/>
                <w:sz w:val="18"/>
              </w:rPr>
              <w:t>#tropicalpancreatitis  #FCPD  #youngonset  #juvenilepancreatitis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(childhood pain onset)</w:t>
            </w:r>
          </w:p>
        </w:tc>
        <w:tc>
          <w:tcPr>
            <w:tcW w:type="dxa" w:w="4276"/>
            <w:vAlign w:val="top"/>
          </w:tcPr>
          <w:p>
            <w:pPr>
              <w:spacing w:after="60" w:line="259" w:lineRule="auto"/>
            </w:pPr>
            <w:r>
              <w:rPr>
                <w:rFonts w:ascii="Calibri" w:hAnsi="Calibri"/>
                <w:b w:val="0"/>
                <w:i w:val="0"/>
                <w:color w:val="212121"/>
                <w:sz w:val="19"/>
              </w:rPr>
              <w:t>The disease often declares itself in childhood as recurrent epigastric pain long before calculi or diabetes appear; early undernutrition during this window is thought to prime the gland for injury.</w:t>
            </w:r>
          </w:p>
          <w:p>
            <w:pPr>
              <w:spacing w:after="40" w:before="60" w:line="259" w:lineRule="auto"/>
            </w:pPr>
            <w:r>
              <w:rPr>
                <w:rFonts w:ascii="Calibri" w:hAnsi="Calibri"/>
                <w:b w:val="0"/>
                <w:i w:val="0"/>
                <w:color w:val="212121"/>
                <w:sz w:val="19"/>
              </w:rPr>
              <w:t>In the classical natural history, abdominal pain begins in childhood, pancreatic calculi and steatorrhoea follow, and about 80% of patients survive beyond 35 years from the onset of pain.</w:t>
            </w:r>
          </w:p>
          <w:p>
            <w:pPr>
              <w:spacing w:after="40" w:line="252" w:lineRule="auto"/>
            </w:pPr>
            <w:hyperlink r:id="rId9">
              <w:r>
                <w:rPr>
                  <w:rFonts w:ascii="Calibri" w:hAnsi="Calibri" w:cs="Calibri"/>
                  <w:sz w:val="18"/>
                  <w:color w:val="1155CC"/>
                  <w:u w:val="single"/>
                </w:rPr>
                <w:t xml:space="preserve">ncbi.nlm.nih.gov - Endotext: Fibrocalculous Pancreatic Diabetes</w:t>
              </w:r>
            </w:hyperlink>
          </w:p>
          <w:p>
            <w:pPr>
              <w:spacing w:before="60" w:after="40"/>
            </w:pPr>
            <w:r>
              <w:rPr>
                <w:rFonts w:ascii="Calibri" w:hAnsi="Calibri"/>
                <w:b w:val="0"/>
                <w:i w:val="0"/>
                <w:color w:val="5A5A5A"/>
                <w:sz w:val="18"/>
              </w:rPr>
              <w:t>#childhoodonset  #recurrentpain  #naturalhistory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TCP shows a consistent male preponderance in Indian hospital series, possibly reflecting differential exposure, referral and nutritional patterns, although both sexes are affected and the pancreatic-cancer excess is disproportionately high in women.</w:t>
            </w:r>
          </w:p>
          <w:p>
            <w:pPr>
              <w:spacing w:after="40" w:before="60" w:line="259" w:lineRule="auto"/>
            </w:pPr>
            <w:r>
              <w:rPr>
                <w:rFonts w:ascii="Calibri" w:hAnsi="Calibri"/>
                <w:b w:val="0"/>
                <w:i w:val="0"/>
                <w:color w:val="212121"/>
                <w:sz w:val="19"/>
              </w:rPr>
              <w:t>Recent Indian chronic-pancreatitis cohorts report male-to-female ratios of about 3:1 to 4.6:1.</w:t>
            </w:r>
          </w:p>
          <w:p>
            <w:pPr>
              <w:spacing w:after="40" w:line="252" w:lineRule="auto"/>
            </w:pPr>
            <w:hyperlink r:id="rId10">
              <w:r>
                <w:rPr>
                  <w:rFonts w:ascii="Calibri" w:hAnsi="Calibri" w:cs="Calibri"/>
                  <w:sz w:val="18"/>
                  <w:color w:val="1155CC"/>
                  <w:u w:val="single"/>
                </w:rPr>
                <w:t xml:space="preserve">actascientific.com - Changing Demography of Pancreatitis Patients in India</w:t>
              </w:r>
            </w:hyperlink>
          </w:p>
          <w:p>
            <w:pPr>
              <w:spacing w:before="60" w:after="40"/>
            </w:pPr>
            <w:r>
              <w:rPr>
                <w:rFonts w:ascii="Calibri" w:hAnsi="Calibri"/>
                <w:b w:val="0"/>
                <w:i w:val="0"/>
                <w:color w:val="5A5A5A"/>
                <w:sz w:val="18"/>
              </w:rPr>
              <w:t>#male  #sexratio  #indiancohort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undernourished, rural populations</w:t>
            </w:r>
          </w:p>
        </w:tc>
        <w:tc>
          <w:tcPr>
            <w:tcW w:type="dxa" w:w="4276"/>
            <w:vAlign w:val="top"/>
          </w:tcPr>
          <w:p>
            <w:pPr>
              <w:spacing w:after="60" w:line="259" w:lineRule="auto"/>
            </w:pPr>
            <w:r>
              <w:rPr>
                <w:rFonts w:ascii="Calibri" w:hAnsi="Calibri"/>
                <w:b w:val="0"/>
                <w:i w:val="0"/>
                <w:color w:val="212121"/>
                <w:sz w:val="19"/>
              </w:rPr>
              <w:t>Since the first descriptions, TCP has clustered in poor, food-insecure rural communities; childhood protein-energy malnutrition and antioxidant-poor diets are central to the prevailing pathogenic model, and rising affluence has coincided with a falling incidence.</w:t>
            </w:r>
          </w:p>
          <w:p>
            <w:pPr>
              <w:spacing w:after="40" w:before="60" w:line="259" w:lineRule="auto"/>
            </w:pPr>
            <w:r>
              <w:rPr>
                <w:rFonts w:ascii="Calibri" w:hAnsi="Calibri"/>
                <w:b w:val="0"/>
                <w:i w:val="0"/>
                <w:color w:val="212121"/>
                <w:sz w:val="19"/>
              </w:rPr>
              <w:t>In 1960s Kerala diabetes registries FCPD accounted for nearly 29% of all registered diabetes, a share that has fallen markedly with improving nutrition and living standards.</w:t>
            </w:r>
          </w:p>
          <w:p>
            <w:pPr>
              <w:spacing w:after="40" w:line="252" w:lineRule="auto"/>
            </w:pPr>
            <w:hyperlink r:id="rId11">
              <w:r>
                <w:rPr>
                  <w:rFonts w:ascii="Calibri" w:hAnsi="Calibri" w:cs="Calibri"/>
                  <w:sz w:val="18"/>
                  <w:color w:val="1155CC"/>
                  <w:u w:val="single"/>
                </w:rPr>
                <w:t xml:space="preserve">link.springer.com - FCPD: current scenario in developing countries</w:t>
              </w:r>
            </w:hyperlink>
          </w:p>
          <w:p>
            <w:pPr>
              <w:spacing w:before="60" w:after="40"/>
            </w:pPr>
            <w:r>
              <w:rPr>
                <w:rFonts w:ascii="Calibri" w:hAnsi="Calibri"/>
                <w:b w:val="0"/>
                <w:i w:val="0"/>
                <w:color w:val="5A5A5A"/>
                <w:sz w:val="18"/>
              </w:rPr>
              <w:t>#poverty  #malnutrition  #ruralindia  #foodinsecurity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(Kerala)</w:t>
            </w:r>
          </w:p>
        </w:tc>
        <w:tc>
          <w:tcPr>
            <w:tcW w:type="dxa" w:w="4276"/>
            <w:vAlign w:val="top"/>
          </w:tcPr>
          <w:p>
            <w:pPr>
              <w:spacing w:after="60" w:line="259" w:lineRule="auto"/>
            </w:pPr>
            <w:r>
              <w:rPr>
                <w:rFonts w:ascii="Calibri" w:hAnsi="Calibri"/>
                <w:b w:val="0"/>
                <w:i w:val="0"/>
                <w:color w:val="212121"/>
                <w:sz w:val="19"/>
              </w:rPr>
              <w:t>Kerala is the classic epicentre of TCP, with the highest recorded incidence in the world; a hot, humid tropical environment, historical undernutrition and a genetic (SPINK1) predisposition converge in this population.</w:t>
            </w:r>
          </w:p>
          <w:p>
            <w:pPr>
              <w:spacing w:after="40" w:before="60" w:line="259" w:lineRule="auto"/>
            </w:pPr>
            <w:r>
              <w:rPr>
                <w:rFonts w:ascii="Calibri" w:hAnsi="Calibri"/>
                <w:b w:val="0"/>
                <w:i w:val="0"/>
                <w:color w:val="212121"/>
                <w:sz w:val="19"/>
              </w:rPr>
              <w:t>A Kerala survey recorded the world's highest incidence of tropical chronic pancreatitis, up to about 126 per 100,000 population.</w:t>
            </w:r>
          </w:p>
          <w:p>
            <w:pPr>
              <w:spacing w:after="40" w:line="252" w:lineRule="auto"/>
            </w:pPr>
            <w:hyperlink r:id="rId10">
              <w:r>
                <w:rPr>
                  <w:rFonts w:ascii="Calibri" w:hAnsi="Calibri" w:cs="Calibri"/>
                  <w:sz w:val="18"/>
                  <w:color w:val="1155CC"/>
                  <w:u w:val="single"/>
                </w:rPr>
                <w:t xml:space="preserve">actascientific.com - Changing Demography of Pancreatitis Patients in India</w:t>
              </w:r>
            </w:hyperlink>
          </w:p>
          <w:p>
            <w:pPr>
              <w:spacing w:before="60" w:after="40"/>
            </w:pPr>
            <w:r>
              <w:rPr>
                <w:rFonts w:ascii="Calibri" w:hAnsi="Calibri"/>
                <w:b w:val="0"/>
                <w:i w:val="0"/>
                <w:color w:val="5A5A5A"/>
                <w:sz w:val="18"/>
              </w:rPr>
              <w:t>#kerala  #southindia  #epicentre  #tropicalbelt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Other tropical Indian states and the Afro-Asian tropical belt</w:t>
            </w:r>
          </w:p>
        </w:tc>
        <w:tc>
          <w:tcPr>
            <w:tcW w:type="dxa" w:w="4276"/>
            <w:vAlign w:val="top"/>
          </w:tcPr>
          <w:p>
            <w:pPr>
              <w:spacing w:after="60" w:line="259" w:lineRule="auto"/>
            </w:pPr>
            <w:r>
              <w:rPr>
                <w:rFonts w:ascii="Calibri" w:hAnsi="Calibri"/>
                <w:b w:val="0"/>
                <w:i w:val="0"/>
                <w:color w:val="212121"/>
                <w:sz w:val="19"/>
              </w:rPr>
              <w:t>Beyond Kerala, TCP is reported from Tamil Nadu, Andhra Pradesh, Odisha and other tropical Indian states, and across the wider tropical belt (Bangladesh, Sri Lanka, parts of Africa and Brazil), broadly following poverty and tropical subsistence diets.</w:t>
            </w:r>
          </w:p>
          <w:p>
            <w:pPr>
              <w:spacing w:after="40" w:before="60" w:line="259" w:lineRule="auto"/>
            </w:pPr>
            <w:r>
              <w:rPr>
                <w:rFonts w:ascii="Calibri" w:hAnsi="Calibri"/>
                <w:b w:val="0"/>
                <w:i w:val="0"/>
                <w:color w:val="212121"/>
                <w:sz w:val="19"/>
              </w:rPr>
              <w:t>Incidence in the southern Indian states has been estimated at roughly 114-200 per 100,000 population.</w:t>
            </w:r>
          </w:p>
          <w:p>
            <w:pPr>
              <w:spacing w:after="40" w:line="252" w:lineRule="auto"/>
            </w:pPr>
            <w:hyperlink r:id="rId10">
              <w:r>
                <w:rPr>
                  <w:rFonts w:ascii="Calibri" w:hAnsi="Calibri" w:cs="Calibri"/>
                  <w:sz w:val="18"/>
                  <w:color w:val="1155CC"/>
                  <w:u w:val="single"/>
                </w:rPr>
                <w:t xml:space="preserve">actascientific.com - Changing Demography of Pancreatitis Patients in India</w:t>
              </w:r>
            </w:hyperlink>
          </w:p>
          <w:p>
            <w:pPr>
              <w:spacing w:before="60" w:after="40"/>
            </w:pPr>
            <w:r>
              <w:rPr>
                <w:rFonts w:ascii="Calibri" w:hAnsi="Calibri"/>
                <w:b w:val="0"/>
                <w:i w:val="0"/>
                <w:color w:val="5A5A5A"/>
                <w:sz w:val="18"/>
              </w:rPr>
              <w:t>#tamilnadu  #odisha  #afroasian  #tropics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Changing demography</w:t>
            </w:r>
          </w:p>
        </w:tc>
        <w:tc>
          <w:tcPr>
            <w:tcW w:type="dxa" w:w="2160"/>
            <w:vAlign w:val="top"/>
          </w:tcPr>
          <w:p>
            <w:pPr>
              <w:spacing w:after="40" w:before="0" w:line="259" w:lineRule="auto"/>
            </w:pPr>
            <w:r>
              <w:rPr>
                <w:rFonts w:ascii="Calibri" w:hAnsi="Calibri"/>
                <w:b w:val="0"/>
                <w:i w:val="0"/>
                <w:color w:val="212121"/>
                <w:sz w:val="19"/>
              </w:rPr>
              <w:t>Older, normal-BMI, and increasingly northern/urban patients</w:t>
            </w:r>
          </w:p>
        </w:tc>
        <w:tc>
          <w:tcPr>
            <w:tcW w:type="dxa" w:w="4276"/>
            <w:vAlign w:val="top"/>
          </w:tcPr>
          <w:p>
            <w:pPr>
              <w:spacing w:after="60" w:line="259" w:lineRule="auto"/>
            </w:pPr>
            <w:r>
              <w:rPr>
                <w:rFonts w:ascii="Calibri" w:hAnsi="Calibri"/>
                <w:b w:val="0"/>
                <w:i w:val="0"/>
                <w:color w:val="212121"/>
                <w:sz w:val="19"/>
              </w:rPr>
              <w:t>With economic development the classical lean, malnourished young phenotype is giving way to an 'extended spectrum': older age at presentation, normal body weight and milder disease, and rising recognition outside the traditional southern heartland.</w:t>
            </w:r>
          </w:p>
          <w:p>
            <w:pPr>
              <w:spacing w:after="40" w:before="60" w:line="259" w:lineRule="auto"/>
            </w:pPr>
            <w:r>
              <w:rPr>
                <w:rFonts w:ascii="Calibri" w:hAnsi="Calibri"/>
                <w:b w:val="0"/>
                <w:i w:val="0"/>
                <w:color w:val="212121"/>
                <w:sz w:val="19"/>
              </w:rPr>
              <w:t>Only about 10-15% of patients now present with the full classical picture of FCPD, and the mean age at presentation has risen by nearly a decade compared with older reports.</w:t>
            </w:r>
          </w:p>
          <w:p>
            <w:pPr>
              <w:spacing w:after="40" w:line="252" w:lineRule="auto"/>
            </w:pPr>
            <w:hyperlink r:id="rId11">
              <w:r>
                <w:rPr>
                  <w:rFonts w:ascii="Calibri" w:hAnsi="Calibri" w:cs="Calibri"/>
                  <w:sz w:val="18"/>
                  <w:color w:val="1155CC"/>
                  <w:u w:val="single"/>
                </w:rPr>
                <w:t xml:space="preserve">link.springer.com - FCPD: current scenario in developing countries</w:t>
              </w:r>
            </w:hyperlink>
          </w:p>
          <w:p>
            <w:pPr>
              <w:spacing w:before="60" w:after="40"/>
            </w:pPr>
            <w:r>
              <w:rPr>
                <w:rFonts w:ascii="Calibri" w:hAnsi="Calibri"/>
                <w:b w:val="0"/>
                <w:i w:val="0"/>
                <w:color w:val="5A5A5A"/>
                <w:sz w:val="18"/>
              </w:rPr>
              <w:t>#changingphenotype  #extendedspectrum  #epidemiologictransition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Undernutrition / low BMI</w:t>
            </w:r>
          </w:p>
        </w:tc>
        <w:tc>
          <w:tcPr>
            <w:tcW w:type="dxa" w:w="2160"/>
            <w:vAlign w:val="top"/>
          </w:tcPr>
          <w:p>
            <w:pPr>
              <w:spacing w:after="40" w:before="0" w:line="259" w:lineRule="auto"/>
            </w:pPr>
            <w:r>
              <w:rPr>
                <w:rFonts w:ascii="Calibri" w:hAnsi="Calibri"/>
                <w:b w:val="0"/>
                <w:i w:val="0"/>
                <w:color w:val="212121"/>
                <w:sz w:val="19"/>
              </w:rPr>
              <w:t>Lean, wasted individuals</w:t>
            </w:r>
          </w:p>
        </w:tc>
        <w:tc>
          <w:tcPr>
            <w:tcW w:type="dxa" w:w="4276"/>
            <w:vAlign w:val="top"/>
          </w:tcPr>
          <w:p>
            <w:pPr>
              <w:spacing w:after="60" w:line="259" w:lineRule="auto"/>
            </w:pPr>
            <w:r>
              <w:rPr>
                <w:rFonts w:ascii="Calibri" w:hAnsi="Calibri"/>
                <w:b w:val="0"/>
                <w:i w:val="0"/>
                <w:color w:val="212121"/>
                <w:sz w:val="19"/>
              </w:rPr>
              <w:t>TCP characteristically affects thin, undernourished people; low body weight both reflects exocrine maldigestion and malabsorption and is implicated (via antioxidant/protein deficiency) in the original pancreatic injury.</w:t>
            </w:r>
          </w:p>
          <w:p>
            <w:pPr>
              <w:spacing w:after="40" w:before="60" w:line="259" w:lineRule="auto"/>
            </w:pPr>
            <w:r>
              <w:rPr>
                <w:rFonts w:ascii="Calibri" w:hAnsi="Calibri"/>
                <w:b w:val="0"/>
                <w:i w:val="0"/>
                <w:color w:val="212121"/>
                <w:sz w:val="19"/>
              </w:rPr>
              <w:t>Patients are classically lean with a low BMI; the disease is defined in part by its occurrence in undernourished, non-obese individuals - the opposite of the type 2 diabetes phenotype.</w:t>
            </w:r>
          </w:p>
          <w:p>
            <w:pPr>
              <w:spacing w:after="40" w:line="252" w:lineRule="auto"/>
            </w:pPr>
            <w:hyperlink r:id="rId9">
              <w:r>
                <w:rPr>
                  <w:rFonts w:ascii="Calibri" w:hAnsi="Calibri" w:cs="Calibri"/>
                  <w:sz w:val="18"/>
                  <w:color w:val="1155CC"/>
                  <w:u w:val="single"/>
                </w:rPr>
                <w:t xml:space="preserve">ncbi.nlm.nih.gov - Endotext: Fibrocalculous Pancreatic Diabetes</w:t>
              </w:r>
            </w:hyperlink>
          </w:p>
          <w:p>
            <w:pPr>
              <w:spacing w:before="60" w:after="40"/>
            </w:pPr>
            <w:r>
              <w:rPr>
                <w:rFonts w:ascii="Calibri" w:hAnsi="Calibri"/>
                <w:b w:val="0"/>
                <w:i w:val="0"/>
                <w:color w:val="5A5A5A"/>
                <w:sz w:val="18"/>
              </w:rPr>
              <w:t>#lowBMI  #lean  #wasting  #malabsorption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 tobacco (absence)</w:t>
            </w:r>
          </w:p>
        </w:tc>
        <w:tc>
          <w:tcPr>
            <w:tcW w:type="dxa" w:w="2160"/>
            <w:vAlign w:val="top"/>
          </w:tcPr>
          <w:p>
            <w:pPr>
              <w:spacing w:after="40" w:before="0" w:line="259" w:lineRule="auto"/>
            </w:pPr>
            <w:r>
              <w:rPr>
                <w:rFonts w:ascii="Calibri" w:hAnsi="Calibri"/>
                <w:b w:val="0"/>
                <w:i w:val="0"/>
                <w:color w:val="212121"/>
                <w:sz w:val="19"/>
              </w:rPr>
              <w:t>Non-drinkers and non-smokers</w:t>
            </w:r>
          </w:p>
        </w:tc>
        <w:tc>
          <w:tcPr>
            <w:tcW w:type="dxa" w:w="4276"/>
            <w:vAlign w:val="top"/>
          </w:tcPr>
          <w:p>
            <w:pPr>
              <w:spacing w:after="60" w:line="259" w:lineRule="auto"/>
            </w:pPr>
            <w:r>
              <w:rPr>
                <w:rFonts w:ascii="Calibri" w:hAnsi="Calibri"/>
                <w:b w:val="0"/>
                <w:i w:val="0"/>
                <w:color w:val="212121"/>
                <w:sz w:val="19"/>
              </w:rPr>
              <w:t>TCP is the archetypal non-alcoholic chronic pancreatitis - occurring by definition in people without significant alcohol intake - which distinguishes it from the alcoholic disease; nonetheless, superimposed smoking or alcohol accelerates gland damage and pancreatic-cancer risk and must be avoided.</w:t>
            </w:r>
          </w:p>
          <w:p>
            <w:pPr>
              <w:spacing w:after="40" w:before="60" w:line="259" w:lineRule="auto"/>
            </w:pPr>
            <w:r>
              <w:rPr>
                <w:rFonts w:ascii="Calibri" w:hAnsi="Calibri"/>
                <w:b w:val="0"/>
                <w:i w:val="0"/>
                <w:color w:val="212121"/>
                <w:sz w:val="19"/>
              </w:rPr>
              <w:t>In one large Indian pancreatitis cohort about 69% were non-alcoholics and 80% were non-tobacco users, underscoring the non-alcoholic nature of tropical/idiopathic disease.</w:t>
            </w:r>
          </w:p>
          <w:p>
            <w:pPr>
              <w:spacing w:after="40" w:line="252" w:lineRule="auto"/>
            </w:pPr>
            <w:hyperlink r:id="rId10">
              <w:r>
                <w:rPr>
                  <w:rFonts w:ascii="Calibri" w:hAnsi="Calibri" w:cs="Calibri"/>
                  <w:sz w:val="18"/>
                  <w:color w:val="1155CC"/>
                  <w:u w:val="single"/>
                </w:rPr>
                <w:t xml:space="preserve">actascientific.com - Changing Demography of Pancreatitis Patients in India</w:t>
              </w:r>
            </w:hyperlink>
          </w:p>
          <w:p>
            <w:pPr>
              <w:spacing w:before="60" w:after="40"/>
            </w:pPr>
            <w:r>
              <w:rPr>
                <w:rFonts w:ascii="Calibri" w:hAnsi="Calibri"/>
                <w:b w:val="0"/>
                <w:i w:val="0"/>
                <w:color w:val="5A5A5A"/>
                <w:sz w:val="18"/>
              </w:rPr>
              <w:t>#nonalcoholic  #nontobacco  #distinctentity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Cassava (tapioca) staple consumers</w:t>
            </w:r>
          </w:p>
        </w:tc>
        <w:tc>
          <w:tcPr>
            <w:tcW w:type="dxa" w:w="4276"/>
            <w:vAlign w:val="top"/>
          </w:tcPr>
          <w:p>
            <w:pPr>
              <w:spacing w:after="60" w:line="259" w:lineRule="auto"/>
            </w:pPr>
            <w:r>
              <w:rPr>
                <w:rFonts w:ascii="Calibri" w:hAnsi="Calibri"/>
                <w:b w:val="0"/>
                <w:i w:val="0"/>
                <w:color w:val="212121"/>
                <w:sz w:val="19"/>
              </w:rPr>
              <w:t>Cassava, rich in cyanogenic glycosides, was the original suspected dietary toxin: in protein-deficient people the cyanide-detoxifying sulphur amino acids may be depleted, exposing the pancreas to injury. The hypothesis is historically important but unproven and now regarded, at most, as a cofactor.</w:t>
            </w:r>
          </w:p>
          <w:p>
            <w:pPr>
              <w:spacing w:after="40" w:before="60" w:line="259" w:lineRule="auto"/>
            </w:pPr>
            <w:r>
              <w:rPr>
                <w:rFonts w:ascii="Calibri" w:hAnsi="Calibri"/>
                <w:b w:val="0"/>
                <w:i w:val="0"/>
                <w:color w:val="212121"/>
                <w:sz w:val="19"/>
              </w:rPr>
              <w:t>Formal assessment of cassava toxicity in tropical chronic pancreatitis patients has failed to confirm a clear causal role, and geographic mismatch (disease where cassava is not eaten, and absence in some cassava-dependent regions) argues against it as a sole cause.</w:t>
            </w:r>
          </w:p>
          <w:p>
            <w:pPr>
              <w:spacing w:after="40" w:line="252" w:lineRule="auto"/>
            </w:pPr>
            <w:hyperlink r:id="rId12">
              <w:r>
                <w:rPr>
                  <w:rFonts w:ascii="Calibri" w:hAnsi="Calibri" w:cs="Calibri"/>
                  <w:sz w:val="18"/>
                  <w:color w:val="1155CC"/>
                  <w:u w:val="single"/>
                </w:rPr>
                <w:t xml:space="preserve">pubmed.ncbi.nlm.nih.gov/21922874 - cassava toxicity in tropical chronic pancreatitis</w:t>
              </w:r>
            </w:hyperlink>
          </w:p>
          <w:p>
            <w:pPr>
              <w:spacing w:before="60" w:after="40"/>
            </w:pPr>
            <w:r>
              <w:rPr>
                <w:rFonts w:ascii="Calibri" w:hAnsi="Calibri"/>
                <w:b w:val="0"/>
                <w:i w:val="0"/>
                <w:color w:val="5A5A5A"/>
                <w:sz w:val="18"/>
              </w:rPr>
              <w:t>#cassava  #tapioca  #cyanogens  #dietaryhypothesis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 antioxidant deficiency</w:t>
            </w:r>
          </w:p>
        </w:tc>
        <w:tc>
          <w:tcPr>
            <w:tcW w:type="dxa" w:w="2160"/>
            <w:vAlign w:val="top"/>
          </w:tcPr>
          <w:p>
            <w:pPr>
              <w:spacing w:after="40" w:before="0" w:line="259" w:lineRule="auto"/>
            </w:pPr>
            <w:r>
              <w:rPr>
                <w:rFonts w:ascii="Calibri" w:hAnsi="Calibri"/>
                <w:b w:val="0"/>
                <w:i w:val="0"/>
                <w:color w:val="212121"/>
                <w:sz w:val="19"/>
              </w:rPr>
              <w:t>Diets low in antioxidants (selenium, vitamins C and E, methionine)</w:t>
            </w:r>
          </w:p>
        </w:tc>
        <w:tc>
          <w:tcPr>
            <w:tcW w:type="dxa" w:w="4276"/>
            <w:vAlign w:val="top"/>
          </w:tcPr>
          <w:p>
            <w:pPr>
              <w:spacing w:after="60" w:line="259" w:lineRule="auto"/>
            </w:pPr>
            <w:r>
              <w:rPr>
                <w:rFonts w:ascii="Calibri" w:hAnsi="Calibri"/>
                <w:b w:val="0"/>
                <w:i w:val="0"/>
                <w:color w:val="212121"/>
                <w:sz w:val="19"/>
              </w:rPr>
              <w:t>Deficiency of antioxidant micronutrients is thought to leave pancreatic acinar cells vulnerable to oxidative free-radical stress, a leading mechanism proposed for tropical calcific pancreatitis and a rationale for antioxidant therapy.</w:t>
            </w:r>
          </w:p>
          <w:p>
            <w:pPr>
              <w:spacing w:after="40" w:before="60" w:line="259" w:lineRule="auto"/>
            </w:pPr>
            <w:r>
              <w:rPr>
                <w:rFonts w:ascii="Calibri" w:hAnsi="Calibri"/>
                <w:b w:val="0"/>
                <w:i w:val="0"/>
                <w:color w:val="212121"/>
                <w:sz w:val="19"/>
              </w:rPr>
              <w:t>Tropical chronic pancreatitis patients have been shown to have a poorer micronutrient antioxidant status than temperate-zone chronic pancreatitis patients.</w:t>
            </w:r>
          </w:p>
          <w:p>
            <w:pPr>
              <w:spacing w:after="40" w:line="252" w:lineRule="auto"/>
            </w:pPr>
            <w:hyperlink r:id="rId13">
              <w:r>
                <w:rPr>
                  <w:rFonts w:ascii="Calibri" w:hAnsi="Calibri" w:cs="Calibri"/>
                  <w:sz w:val="18"/>
                  <w:color w:val="1155CC"/>
                  <w:u w:val="single"/>
                </w:rPr>
                <w:t xml:space="preserve">pubmed.ncbi.nlm.nih.gov/8303214 - micronutrient antioxidant status in tropical pancreatitis</w:t>
              </w:r>
            </w:hyperlink>
          </w:p>
          <w:p>
            <w:pPr>
              <w:spacing w:before="60" w:after="40"/>
            </w:pPr>
            <w:r>
              <w:rPr>
                <w:rFonts w:ascii="Calibri" w:hAnsi="Calibri"/>
                <w:b w:val="0"/>
                <w:i w:val="0"/>
                <w:color w:val="5A5A5A"/>
                <w:sz w:val="18"/>
              </w:rPr>
              <w:t>#antioxidants  #oxidativestress  #selenium  #micronutrients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Low-protein, low-fat subsistence diet</w:t>
            </w:r>
          </w:p>
        </w:tc>
        <w:tc>
          <w:tcPr>
            <w:tcW w:type="dxa" w:w="2160"/>
            <w:vAlign w:val="top"/>
          </w:tcPr>
          <w:p>
            <w:pPr>
              <w:spacing w:after="40" w:before="0" w:line="259" w:lineRule="auto"/>
            </w:pPr>
            <w:r>
              <w:rPr>
                <w:rFonts w:ascii="Calibri" w:hAnsi="Calibri"/>
                <w:b w:val="0"/>
                <w:i w:val="0"/>
                <w:color w:val="212121"/>
                <w:sz w:val="19"/>
              </w:rPr>
              <w:t>Chronic protein-energy malnutrition</w:t>
            </w:r>
          </w:p>
        </w:tc>
        <w:tc>
          <w:tcPr>
            <w:tcW w:type="dxa" w:w="4276"/>
            <w:vAlign w:val="top"/>
          </w:tcPr>
          <w:p>
            <w:pPr>
              <w:spacing w:after="60" w:line="259" w:lineRule="auto"/>
            </w:pPr>
            <w:r>
              <w:rPr>
                <w:rFonts w:ascii="Calibri" w:hAnsi="Calibri"/>
                <w:b w:val="0"/>
                <w:i w:val="0"/>
                <w:color w:val="212121"/>
                <w:sz w:val="19"/>
              </w:rPr>
              <w:t>Diets chronically low in protein and fat impair pancreatic enzyme reserve and detoxification capacity and worsen the malnutrition that both drives and results from the disease.</w:t>
            </w:r>
          </w:p>
          <w:p>
            <w:pPr>
              <w:spacing w:after="40" w:before="60" w:line="259" w:lineRule="auto"/>
            </w:pPr>
            <w:r>
              <w:rPr>
                <w:rFonts w:ascii="Calibri" w:hAnsi="Calibri"/>
                <w:b w:val="0"/>
                <w:i w:val="0"/>
                <w:color w:val="212121"/>
                <w:sz w:val="19"/>
              </w:rPr>
              <w:t>Protein-energy malnutrition is a defining background feature of classical TCP and contributes to the lean, undernourished phenotype.</w:t>
            </w:r>
          </w:p>
          <w:p>
            <w:pPr>
              <w:spacing w:before="60" w:after="40"/>
            </w:pPr>
            <w:r>
              <w:rPr>
                <w:rFonts w:ascii="Calibri" w:hAnsi="Calibri"/>
                <w:b w:val="0"/>
                <w:i w:val="0"/>
                <w:color w:val="5A5A5A"/>
                <w:sz w:val="18"/>
              </w:rPr>
              <w:t>#lowprotein  #subsistencediet  #PEM</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SPINK1 mutation</w:t>
            </w:r>
          </w:p>
        </w:tc>
        <w:tc>
          <w:tcPr>
            <w:tcW w:type="dxa" w:w="2160"/>
            <w:vAlign w:val="top"/>
          </w:tcPr>
          <w:p>
            <w:pPr>
              <w:spacing w:after="40" w:before="0" w:line="259" w:lineRule="auto"/>
            </w:pPr>
            <w:r>
              <w:rPr>
                <w:rFonts w:ascii="Calibri" w:hAnsi="Calibri"/>
                <w:b w:val="0"/>
                <w:i w:val="0"/>
                <w:color w:val="212121"/>
                <w:sz w:val="19"/>
              </w:rPr>
              <w:t>N34S variant carriers</w:t>
            </w:r>
          </w:p>
        </w:tc>
        <w:tc>
          <w:tcPr>
            <w:tcW w:type="dxa" w:w="4276"/>
            <w:vAlign w:val="top"/>
          </w:tcPr>
          <w:p>
            <w:pPr>
              <w:spacing w:after="60" w:line="259" w:lineRule="auto"/>
            </w:pPr>
            <w:r>
              <w:rPr>
                <w:rFonts w:ascii="Calibri" w:hAnsi="Calibri"/>
                <w:b w:val="0"/>
                <w:i w:val="0"/>
                <w:color w:val="212121"/>
                <w:sz w:val="19"/>
              </w:rPr>
              <w:t>SPINK1 normally inhibits premature intrapancreatic trypsin activation; the N34S loss-of-function variant markedly increases susceptibility to tropical calcific pancreatitis and is its strongest genetic marker.</w:t>
            </w:r>
          </w:p>
          <w:p>
            <w:pPr>
              <w:spacing w:after="40" w:before="60" w:line="259" w:lineRule="auto"/>
            </w:pPr>
            <w:r>
              <w:rPr>
                <w:rFonts w:ascii="Calibri" w:hAnsi="Calibri"/>
                <w:b w:val="0"/>
                <w:i w:val="0"/>
                <w:color w:val="212121"/>
                <w:sz w:val="19"/>
              </w:rPr>
              <w:t>The N34S SPINK1 variant is found in about 33% of Indian FCPD/TCP patients, far above the general-population frequency.</w:t>
            </w:r>
          </w:p>
          <w:p>
            <w:pPr>
              <w:spacing w:after="40" w:line="252" w:lineRule="auto"/>
            </w:pPr>
            <w:hyperlink r:id="rId9">
              <w:r>
                <w:rPr>
                  <w:rFonts w:ascii="Calibri" w:hAnsi="Calibri" w:cs="Calibri"/>
                  <w:sz w:val="18"/>
                  <w:color w:val="1155CC"/>
                  <w:u w:val="single"/>
                </w:rPr>
                <w:t xml:space="preserve">ncbi.nlm.nih.gov - Endotext: Fibrocalculous Pancreatic Diabetes</w:t>
              </w:r>
            </w:hyperlink>
          </w:p>
          <w:p>
            <w:pPr>
              <w:spacing w:before="60" w:after="40"/>
            </w:pPr>
            <w:r>
              <w:rPr>
                <w:rFonts w:ascii="Calibri" w:hAnsi="Calibri"/>
                <w:b w:val="0"/>
                <w:i w:val="0"/>
                <w:color w:val="5A5A5A"/>
                <w:sz w:val="18"/>
              </w:rPr>
              <w:t>#SPINK1  #N34S  #trypsinogen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 / other genes</w:t>
            </w:r>
          </w:p>
        </w:tc>
        <w:tc>
          <w:tcPr>
            <w:tcW w:type="dxa" w:w="2160"/>
            <w:vAlign w:val="top"/>
          </w:tcPr>
          <w:p>
            <w:pPr>
              <w:spacing w:after="40" w:before="0" w:line="259" w:lineRule="auto"/>
            </w:pPr>
            <w:r>
              <w:rPr>
                <w:rFonts w:ascii="Calibri" w:hAnsi="Calibri"/>
                <w:b w:val="0"/>
                <w:i w:val="0"/>
                <w:color w:val="212121"/>
                <w:sz w:val="19"/>
              </w:rPr>
              <w:t>PRSS1, PRSS2, CTRC, CFTR, CASR variants</w:t>
            </w:r>
          </w:p>
        </w:tc>
        <w:tc>
          <w:tcPr>
            <w:tcW w:type="dxa" w:w="4276"/>
            <w:vAlign w:val="top"/>
          </w:tcPr>
          <w:p>
            <w:pPr>
              <w:spacing w:after="60" w:line="259" w:lineRule="auto"/>
            </w:pPr>
            <w:r>
              <w:rPr>
                <w:rFonts w:ascii="Calibri" w:hAnsi="Calibri"/>
                <w:b w:val="0"/>
                <w:i w:val="0"/>
                <w:color w:val="212121"/>
                <w:sz w:val="19"/>
              </w:rPr>
              <w:t>A multiple-hit genetic background involving cationic/anionic trypsinogen (PRSS1/PRSS2), chymotrypsinogen C (CTRC), CFTR and the calcium-sensing receptor (CASR) predisposes to disease, so familial clustering and gene-environment interaction are common.</w:t>
            </w:r>
          </w:p>
          <w:p>
            <w:pPr>
              <w:spacing w:after="40" w:before="60" w:line="259" w:lineRule="auto"/>
            </w:pPr>
            <w:r>
              <w:rPr>
                <w:rFonts w:ascii="Calibri" w:hAnsi="Calibri"/>
                <w:b w:val="0"/>
                <w:i w:val="0"/>
                <w:color w:val="212121"/>
                <w:sz w:val="19"/>
              </w:rPr>
              <w:t>Several protease and ion-channel genes beyond SPINK1 are implicated, supporting a polygenic, gene-environment model of tropical calcific pancreatitis.</w:t>
            </w:r>
          </w:p>
          <w:p>
            <w:pPr>
              <w:spacing w:after="40" w:line="252" w:lineRule="auto"/>
            </w:pPr>
            <w:hyperlink r:id="rId14">
              <w:r>
                <w:rPr>
                  <w:rFonts w:ascii="Calibri" w:hAnsi="Calibri" w:cs="Calibri"/>
                  <w:sz w:val="18"/>
                  <w:color w:val="1155CC"/>
                  <w:u w:val="single"/>
                </w:rPr>
                <w:t xml:space="preserve">ncbi.nlm.nih.gov - genetic and phenotypic heterogeneity in tropical calcific pancreatitis</w:t>
              </w:r>
            </w:hyperlink>
          </w:p>
          <w:p>
            <w:pPr>
              <w:spacing w:before="60" w:after="40"/>
            </w:pPr>
            <w:r>
              <w:rPr>
                <w:rFonts w:ascii="Calibri" w:hAnsi="Calibri"/>
                <w:b w:val="0"/>
                <w:i w:val="0"/>
                <w:color w:val="5A5A5A"/>
                <w:sz w:val="18"/>
              </w:rPr>
              <w:t>#PRSS1  #CTRC  #CFTR  #polygenic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Fibrocalculous pancreatic diabetes</w:t>
            </w:r>
          </w:p>
        </w:tc>
        <w:tc>
          <w:tcPr>
            <w:tcW w:type="dxa" w:w="2160"/>
            <w:vAlign w:val="top"/>
          </w:tcPr>
          <w:p>
            <w:pPr>
              <w:spacing w:after="40" w:before="0" w:line="259" w:lineRule="auto"/>
            </w:pPr>
            <w:r>
              <w:rPr>
                <w:rFonts w:ascii="Calibri" w:hAnsi="Calibri"/>
                <w:b w:val="0"/>
                <w:i w:val="0"/>
                <w:color w:val="212121"/>
                <w:sz w:val="19"/>
              </w:rPr>
              <w:t>Patients whose TCP has reached the diabetic stage</w:t>
            </w:r>
          </w:p>
        </w:tc>
        <w:tc>
          <w:tcPr>
            <w:tcW w:type="dxa" w:w="4276"/>
            <w:vAlign w:val="top"/>
          </w:tcPr>
          <w:p>
            <w:pPr>
              <w:spacing w:after="60" w:line="259" w:lineRule="auto"/>
            </w:pPr>
            <w:r>
              <w:rPr>
                <w:rFonts w:ascii="Calibri" w:hAnsi="Calibri"/>
                <w:b w:val="0"/>
                <w:i w:val="0"/>
                <w:color w:val="212121"/>
                <w:sz w:val="19"/>
              </w:rPr>
              <w:t>Progressive destruction of beta-cell mass produces a ketosis-resistant but usually insulin-requiring diabetes; because some insulin secretion is preserved, spontaneous ketoacidosis is uncommon despite very high glucose.</w:t>
            </w:r>
          </w:p>
          <w:p>
            <w:pPr>
              <w:spacing w:after="40" w:before="60" w:line="259" w:lineRule="auto"/>
            </w:pPr>
            <w:r>
              <w:rPr>
                <w:rFonts w:ascii="Calibri" w:hAnsi="Calibri"/>
                <w:b w:val="0"/>
                <w:i w:val="0"/>
                <w:color w:val="212121"/>
                <w:sz w:val="19"/>
              </w:rPr>
              <w:t>More than 85% of people with FCPD need insulin to control their diabetes, yet they are characteristically ketosis-resistant.</w:t>
            </w:r>
          </w:p>
          <w:p>
            <w:pPr>
              <w:spacing w:after="40" w:line="252" w:lineRule="auto"/>
            </w:pPr>
            <w:hyperlink r:id="rId15">
              <w:r>
                <w:rPr>
                  <w:rFonts w:ascii="Calibri" w:hAnsi="Calibri" w:cs="Calibri"/>
                  <w:sz w:val="18"/>
                  <w:color w:val="1155CC"/>
                  <w:u w:val="single"/>
                </w:rPr>
                <w:t xml:space="preserve">drmohans.com - Fibrocalculous Pancreatic Diabetes</w:t>
              </w:r>
            </w:hyperlink>
          </w:p>
          <w:p>
            <w:pPr>
              <w:spacing w:before="60" w:after="40"/>
            </w:pPr>
            <w:r>
              <w:rPr>
                <w:rFonts w:ascii="Calibri" w:hAnsi="Calibri"/>
                <w:b w:val="0"/>
                <w:i w:val="0"/>
                <w:color w:val="5A5A5A"/>
                <w:sz w:val="18"/>
              </w:rPr>
              <w:t>#FCPD  #ketosisresistant  #insulinrequiring  #type3c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Exocrine pancreatic insufficiency</w:t>
            </w:r>
          </w:p>
        </w:tc>
        <w:tc>
          <w:tcPr>
            <w:tcW w:type="dxa" w:w="2160"/>
            <w:vAlign w:val="top"/>
          </w:tcPr>
          <w:p>
            <w:pPr>
              <w:spacing w:after="40" w:before="0" w:line="259" w:lineRule="auto"/>
            </w:pPr>
            <w:r>
              <w:rPr>
                <w:rFonts w:ascii="Calibri" w:hAnsi="Calibri"/>
                <w:b w:val="0"/>
                <w:i w:val="0"/>
                <w:color w:val="212121"/>
                <w:sz w:val="19"/>
              </w:rPr>
              <w:t>Patients with steatorrhoea / malabsorption</w:t>
            </w:r>
          </w:p>
        </w:tc>
        <w:tc>
          <w:tcPr>
            <w:tcW w:type="dxa" w:w="4276"/>
            <w:vAlign w:val="top"/>
          </w:tcPr>
          <w:p>
            <w:pPr>
              <w:spacing w:after="60" w:line="259" w:lineRule="auto"/>
            </w:pPr>
            <w:r>
              <w:rPr>
                <w:rFonts w:ascii="Calibri" w:hAnsi="Calibri"/>
                <w:b w:val="0"/>
                <w:i w:val="0"/>
                <w:color w:val="212121"/>
                <w:sz w:val="19"/>
              </w:rPr>
              <w:t>Loss of acinar tissue causes maldigestion of fat and protein, producing bulky, oily, foul-smelling stools, weight loss and fat-soluble vitamin (A, D, E, K) deficiency that require enzyme replacement.</w:t>
            </w:r>
          </w:p>
          <w:p>
            <w:pPr>
              <w:spacing w:after="40" w:before="60" w:line="259" w:lineRule="auto"/>
            </w:pPr>
            <w:r>
              <w:rPr>
                <w:rFonts w:ascii="Calibri" w:hAnsi="Calibri"/>
                <w:b w:val="0"/>
                <w:i w:val="0"/>
                <w:color w:val="212121"/>
                <w:sz w:val="19"/>
              </w:rPr>
              <w:t>Progressive exocrine insufficiency with steatorrhoea is a defining feature; over time more than 90% of functioning pancreatic tissue may be destroyed.</w:t>
            </w:r>
          </w:p>
          <w:p>
            <w:pPr>
              <w:spacing w:after="40" w:line="252" w:lineRule="auto"/>
            </w:pPr>
            <w:hyperlink r:id="rId15">
              <w:r>
                <w:rPr>
                  <w:rFonts w:ascii="Calibri" w:hAnsi="Calibri" w:cs="Calibri"/>
                  <w:sz w:val="18"/>
                  <w:color w:val="1155CC"/>
                  <w:u w:val="single"/>
                </w:rPr>
                <w:t xml:space="preserve">drmohans.com - Fibrocalculous Pancreatic Diabetes</w:t>
              </w:r>
            </w:hyperlink>
          </w:p>
          <w:p>
            <w:pPr>
              <w:spacing w:before="60" w:after="40"/>
            </w:pPr>
            <w:r>
              <w:rPr>
                <w:rFonts w:ascii="Calibri" w:hAnsi="Calibri"/>
                <w:b w:val="0"/>
                <w:i w:val="0"/>
                <w:color w:val="5A5A5A"/>
                <w:sz w:val="18"/>
              </w:rPr>
              <w:t>#steatorrhoea  #exocrineinsufficiency  #malabsorption  #PERT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Pancreatic ductal calculi</w:t>
            </w:r>
          </w:p>
        </w:tc>
        <w:tc>
          <w:tcPr>
            <w:tcW w:type="dxa" w:w="2160"/>
            <w:vAlign w:val="top"/>
          </w:tcPr>
          <w:p>
            <w:pPr>
              <w:spacing w:after="40" w:before="0" w:line="259" w:lineRule="auto"/>
            </w:pPr>
            <w:r>
              <w:rPr>
                <w:rFonts w:ascii="Calibri" w:hAnsi="Calibri"/>
                <w:b w:val="0"/>
                <w:i w:val="0"/>
                <w:color w:val="212121"/>
                <w:sz w:val="19"/>
              </w:rPr>
              <w:t>Patients with intraductal pancreatic stones</w:t>
            </w:r>
          </w:p>
        </w:tc>
        <w:tc>
          <w:tcPr>
            <w:tcW w:type="dxa" w:w="4276"/>
            <w:vAlign w:val="top"/>
          </w:tcPr>
          <w:p>
            <w:pPr>
              <w:spacing w:after="60" w:line="259" w:lineRule="auto"/>
            </w:pPr>
            <w:r>
              <w:rPr>
                <w:rFonts w:ascii="Calibri" w:hAnsi="Calibri"/>
                <w:b w:val="0"/>
                <w:i w:val="0"/>
                <w:color w:val="212121"/>
                <w:sz w:val="19"/>
              </w:rPr>
              <w:t>Large calcium-carbonate calculi in the main pancreatic duct are the hallmark of TCP, causing obstruction, upstream ductal dilatation, recurrent inflammation and pain; their demonstration is effectively diagnostic.</w:t>
            </w:r>
          </w:p>
          <w:p>
            <w:pPr>
              <w:spacing w:after="40" w:before="60" w:line="259" w:lineRule="auto"/>
            </w:pPr>
            <w:r>
              <w:rPr>
                <w:rFonts w:ascii="Calibri" w:hAnsi="Calibri"/>
                <w:b w:val="0"/>
                <w:i w:val="0"/>
                <w:color w:val="212121"/>
                <w:sz w:val="19"/>
              </w:rPr>
              <w:t>Pancreatic calculi range from sand-like grains to nodules up to about 2 inches long and are the classical pathognomonic imaging feature of the disease.</w:t>
            </w:r>
          </w:p>
          <w:p>
            <w:pPr>
              <w:spacing w:after="40" w:line="252" w:lineRule="auto"/>
            </w:pPr>
            <w:hyperlink r:id="rId15">
              <w:r>
                <w:rPr>
                  <w:rFonts w:ascii="Calibri" w:hAnsi="Calibri" w:cs="Calibri"/>
                  <w:sz w:val="18"/>
                  <w:color w:val="1155CC"/>
                  <w:u w:val="single"/>
                </w:rPr>
                <w:t xml:space="preserve">drmohans.com - Fibrocalculous Pancreatic Diabetes</w:t>
              </w:r>
            </w:hyperlink>
          </w:p>
          <w:p>
            <w:pPr>
              <w:spacing w:before="60" w:after="40"/>
            </w:pPr>
            <w:r>
              <w:rPr>
                <w:rFonts w:ascii="Calibri" w:hAnsi="Calibri"/>
                <w:b w:val="0"/>
                <w:i w:val="0"/>
                <w:color w:val="5A5A5A"/>
                <w:sz w:val="18"/>
              </w:rPr>
              <w:t>#pancreaticcalculi  #intraductalstones  #calcification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Pancreatic carcinoma</w:t>
            </w:r>
          </w:p>
        </w:tc>
        <w:tc>
          <w:tcPr>
            <w:tcW w:type="dxa" w:w="2160"/>
            <w:vAlign w:val="top"/>
          </w:tcPr>
          <w:p>
            <w:pPr>
              <w:spacing w:after="40" w:before="0" w:line="259" w:lineRule="auto"/>
            </w:pPr>
            <w:r>
              <w:rPr>
                <w:rFonts w:ascii="Calibri" w:hAnsi="Calibri"/>
                <w:b w:val="0"/>
                <w:i w:val="0"/>
                <w:color w:val="212121"/>
                <w:sz w:val="19"/>
              </w:rPr>
              <w:t>Long-standing TCP, especially women</w:t>
            </w:r>
          </w:p>
        </w:tc>
        <w:tc>
          <w:tcPr>
            <w:tcW w:type="dxa" w:w="4276"/>
            <w:vAlign w:val="top"/>
          </w:tcPr>
          <w:p>
            <w:pPr>
              <w:spacing w:after="60" w:line="259" w:lineRule="auto"/>
            </w:pPr>
            <w:r>
              <w:rPr>
                <w:rFonts w:ascii="Calibri" w:hAnsi="Calibri"/>
                <w:b w:val="0"/>
                <w:i w:val="0"/>
                <w:color w:val="212121"/>
                <w:sz w:val="19"/>
              </w:rPr>
              <w:t>Chronic inflammation and fibrosis carry a markedly increased risk of pancreatic ductal adenocarcinoma - the most feared complication - and it should be suspected with a new focal mass, disproportionate weight loss, jaundice or a change in pain.</w:t>
            </w:r>
          </w:p>
          <w:p>
            <w:pPr>
              <w:spacing w:after="40" w:before="60" w:line="259" w:lineRule="auto"/>
            </w:pPr>
            <w:r>
              <w:rPr>
                <w:rFonts w:ascii="Calibri" w:hAnsi="Calibri"/>
                <w:b w:val="0"/>
                <w:i w:val="0"/>
                <w:color w:val="212121"/>
                <w:sz w:val="19"/>
              </w:rPr>
              <w:t>Pancreatic cancer has been reported in around 8% of some tropical-pancreatitis series, with a disproportionately high excess in women.</w:t>
            </w:r>
          </w:p>
          <w:p>
            <w:pPr>
              <w:spacing w:after="40" w:line="252" w:lineRule="auto"/>
            </w:pPr>
            <w:hyperlink r:id="rId16">
              <w:r>
                <w:rPr>
                  <w:rFonts w:ascii="Calibri" w:hAnsi="Calibri" w:cs="Calibri"/>
                  <w:sz w:val="18"/>
                  <w:color w:val="1155CC"/>
                  <w:u w:val="single"/>
                </w:rPr>
                <w:t xml:space="preserve">ijsurgery.com - carcinoma in chronic calcific pancreatitis: review</w:t>
              </w:r>
            </w:hyperlink>
          </w:p>
          <w:p>
            <w:pPr>
              <w:spacing w:before="60" w:after="40"/>
            </w:pPr>
            <w:r>
              <w:rPr>
                <w:rFonts w:ascii="Calibri" w:hAnsi="Calibri"/>
                <w:b w:val="0"/>
                <w:i w:val="0"/>
                <w:color w:val="5A5A5A"/>
                <w:sz w:val="18"/>
              </w:rPr>
              <w:t>#pancreaticcancer  #malignancy  #surveillance  #womenrisk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Unlike type 2 diabetes, TCP is not driven by inactivity or obesity - patients are typically lean; physical activity mainly matters for maintaining muscle mass and general fitness during chronic illness.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modifiable domain. Childhood protein-energy malnutrition, antioxidant-poor diets (low selenium, vitamins C and E) and, historically, cassava/cyanogen exposure are central to pathogenesis, and ongoing low-fat, enzyme-supported nutrition is core to management.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role; chronic pain and poorly controlled diabetes can disrupt sleep, but sleep is not a recognised driver of the disease.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Although classical TCP occurs in non-smokers, tobacco independently accelerates chronic-pancreatitis progression, calcification and pancreatic-cancer risk, so smoking is an important avoidable aggravator.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TCP is by definition non-alcoholic, but any superimposed alcohol intake worsens acinar injury and pain and confounds the diagnosis; abstinence is advised.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intractable pain, malnutrition and lifelong insulin-requiring diabetes commonly cause depression and reduced quality of life, with a bidirectional relationship to glycaemic control and pain perception.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recovery from acute-on-chronic attacks but has no specific proven role in preventing or modifying TCP.</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evidence linking caffeine intake to tropical calcific pancreatitis risk or progression.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hygiene is relevant to infection risk in malnourished, diabetic patients and to safe food handling, but is not a direct determinant of the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Ductal stone impaction and obstruction, dietary indiscretion (heavy or fatty meals), superimposed alcohol/tobacco, and recurrent acute-on-chronic inflammatory attacks precipitate pain flares and accelerate gland destruction.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with TCP/FCPD</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&lt; 18.5 kg/m2 (underweight)</w:t>
            </w:r>
          </w:p>
        </w:tc>
        <w:tc>
          <w:tcPr>
            <w:tcW w:type="dxa" w:w="1468"/>
            <w:vAlign w:val="top"/>
          </w:tcPr>
          <w:p>
            <w:pPr>
              <w:spacing w:after="40" w:before="0" w:line="259" w:lineRule="auto"/>
            </w:pPr>
            <w:r>
              <w:rPr>
                <w:rFonts w:ascii="Calibri" w:hAnsi="Calibri"/>
                <w:b w:val="0"/>
                <w:i w:val="0"/>
                <w:color w:val="212121"/>
                <w:sz w:val="19"/>
              </w:rPr>
              <w:t>TCP patients are classically underweight; low BMI reflects malabsorption and undernutrition, the opposite of type 2 diabetes.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intake (g/kg/day)</w:t>
            </w:r>
          </w:p>
        </w:tc>
        <w:tc>
          <w:tcPr>
            <w:tcW w:type="dxa" w:w="1655"/>
            <w:vAlign w:val="top"/>
          </w:tcPr>
          <w:p>
            <w:pPr>
              <w:spacing w:after="40" w:before="0" w:line="259" w:lineRule="auto"/>
            </w:pPr>
            <w:r>
              <w:rPr>
                <w:rFonts w:ascii="Calibri" w:hAnsi="Calibri"/>
                <w:b w:val="0"/>
                <w:i w:val="0"/>
                <w:color w:val="212121"/>
                <w:sz w:val="19"/>
              </w:rPr>
              <w:t>Undernourished patients</w:t>
            </w:r>
          </w:p>
        </w:tc>
        <w:tc>
          <w:tcPr>
            <w:tcW w:type="dxa" w:w="1512"/>
            <w:vAlign w:val="top"/>
          </w:tcPr>
          <w:p>
            <w:pPr>
              <w:spacing w:after="40" w:before="0" w:line="259" w:lineRule="auto"/>
            </w:pPr>
            <w:r>
              <w:rPr>
                <w:rFonts w:ascii="Calibri" w:hAnsi="Calibri"/>
                <w:b w:val="0"/>
                <w:i w:val="0"/>
                <w:color w:val="212121"/>
                <w:sz w:val="19"/>
              </w:rPr>
              <w:t>~1.0-1.5 g/kg/day</w:t>
            </w:r>
          </w:p>
        </w:tc>
        <w:tc>
          <w:tcPr>
            <w:tcW w:type="dxa" w:w="1512"/>
            <w:vAlign w:val="top"/>
          </w:tcPr>
          <w:p>
            <w:pPr>
              <w:spacing w:after="40" w:before="0" w:line="259" w:lineRule="auto"/>
            </w:pPr>
            <w:r>
              <w:rPr>
                <w:rFonts w:ascii="Calibri" w:hAnsi="Calibri"/>
                <w:b w:val="0"/>
                <w:i w:val="0"/>
                <w:color w:val="212121"/>
                <w:sz w:val="19"/>
              </w:rPr>
              <w:t>Chronically low protein / PEM</w:t>
            </w:r>
          </w:p>
        </w:tc>
        <w:tc>
          <w:tcPr>
            <w:tcW w:type="dxa" w:w="1468"/>
            <w:vAlign w:val="top"/>
          </w:tcPr>
          <w:p>
            <w:pPr>
              <w:spacing w:after="40" w:before="0" w:line="259" w:lineRule="auto"/>
            </w:pPr>
            <w:r>
              <w:rPr>
                <w:rFonts w:ascii="Calibri" w:hAnsi="Calibri"/>
                <w:b w:val="0"/>
                <w:i w:val="0"/>
                <w:color w:val="212121"/>
                <w:sz w:val="19"/>
              </w:rPr>
              <w:t>Adequate protein counters malnutrition and supports enzyme reserve; do not calorie-restrict lean patients.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fat (steatorrhoea control)</w:t>
            </w:r>
          </w:p>
        </w:tc>
        <w:tc>
          <w:tcPr>
            <w:tcW w:type="dxa" w:w="1655"/>
            <w:vAlign w:val="top"/>
          </w:tcPr>
          <w:p>
            <w:pPr>
              <w:spacing w:after="40" w:before="0" w:line="259" w:lineRule="auto"/>
            </w:pPr>
            <w:r>
              <w:rPr>
                <w:rFonts w:ascii="Calibri" w:hAnsi="Calibri"/>
                <w:b w:val="0"/>
                <w:i w:val="0"/>
                <w:color w:val="212121"/>
                <w:sz w:val="19"/>
              </w:rPr>
              <w:t>Patients with fat malabsorption</w:t>
            </w:r>
          </w:p>
        </w:tc>
        <w:tc>
          <w:tcPr>
            <w:tcW w:type="dxa" w:w="1512"/>
            <w:vAlign w:val="top"/>
          </w:tcPr>
          <w:p>
            <w:pPr>
              <w:spacing w:after="40" w:before="0" w:line="259" w:lineRule="auto"/>
            </w:pPr>
            <w:r>
              <w:rPr>
                <w:rFonts w:ascii="Calibri" w:hAnsi="Calibri"/>
                <w:b w:val="0"/>
                <w:i w:val="0"/>
                <w:color w:val="212121"/>
                <w:sz w:val="19"/>
              </w:rPr>
              <w:t>Moderate fat with enzyme replacement</w:t>
            </w:r>
          </w:p>
        </w:tc>
        <w:tc>
          <w:tcPr>
            <w:tcW w:type="dxa" w:w="1512"/>
            <w:vAlign w:val="top"/>
          </w:tcPr>
          <w:p>
            <w:pPr>
              <w:spacing w:after="40" w:before="0" w:line="259" w:lineRule="auto"/>
            </w:pPr>
            <w:r>
              <w:rPr>
                <w:rFonts w:ascii="Calibri" w:hAnsi="Calibri"/>
                <w:b w:val="0"/>
                <w:i w:val="0"/>
                <w:color w:val="212121"/>
                <w:sz w:val="19"/>
              </w:rPr>
              <w:t>High-fat meals without PERT</w:t>
            </w:r>
          </w:p>
        </w:tc>
        <w:tc>
          <w:tcPr>
            <w:tcW w:type="dxa" w:w="1468"/>
            <w:vAlign w:val="top"/>
          </w:tcPr>
          <w:p>
            <w:pPr>
              <w:spacing w:after="40" w:before="0" w:line="259" w:lineRule="auto"/>
            </w:pPr>
            <w:r>
              <w:rPr>
                <w:rFonts w:ascii="Calibri" w:hAnsi="Calibri"/>
                <w:b w:val="0"/>
                <w:i w:val="0"/>
                <w:color w:val="212121"/>
                <w:sz w:val="19"/>
              </w:rPr>
              <w:t>Excess unsupported fat worsens steatorrhoea; pair fat with pancreatic enzymes (PERT).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Faecal elastase-1 (microg/g stool)</w:t>
            </w:r>
          </w:p>
        </w:tc>
        <w:tc>
          <w:tcPr>
            <w:tcW w:type="dxa" w:w="1655"/>
            <w:vAlign w:val="top"/>
          </w:tcPr>
          <w:p>
            <w:pPr>
              <w:spacing w:after="40" w:before="0" w:line="259" w:lineRule="auto"/>
            </w:pPr>
            <w:r>
              <w:rPr>
                <w:rFonts w:ascii="Calibri" w:hAnsi="Calibri"/>
                <w:b w:val="0"/>
                <w:i w:val="0"/>
                <w:color w:val="212121"/>
                <w:sz w:val="19"/>
              </w:rPr>
              <w:t>Suspected exocrine insufficiency</w:t>
            </w:r>
          </w:p>
        </w:tc>
        <w:tc>
          <w:tcPr>
            <w:tcW w:type="dxa" w:w="1512"/>
            <w:vAlign w:val="top"/>
          </w:tcPr>
          <w:p>
            <w:pPr>
              <w:spacing w:after="40" w:before="0" w:line="259" w:lineRule="auto"/>
            </w:pPr>
            <w:r>
              <w:rPr>
                <w:rFonts w:ascii="Calibri" w:hAnsi="Calibri"/>
                <w:b w:val="0"/>
                <w:i w:val="0"/>
                <w:color w:val="212121"/>
                <w:sz w:val="19"/>
              </w:rPr>
              <w:t>&gt;= 200 microg/g</w:t>
            </w:r>
          </w:p>
        </w:tc>
        <w:tc>
          <w:tcPr>
            <w:tcW w:type="dxa" w:w="1512"/>
            <w:vAlign w:val="top"/>
          </w:tcPr>
          <w:p>
            <w:pPr>
              <w:spacing w:after="40" w:before="0" w:line="259" w:lineRule="auto"/>
            </w:pPr>
            <w:r>
              <w:rPr>
                <w:rFonts w:ascii="Calibri" w:hAnsi="Calibri"/>
                <w:b w:val="0"/>
                <w:i w:val="0"/>
                <w:color w:val="212121"/>
                <w:sz w:val="19"/>
              </w:rPr>
              <w:t>&lt; 200 (mild-moderate); &lt; 100 (severe)</w:t>
            </w:r>
          </w:p>
        </w:tc>
        <w:tc>
          <w:tcPr>
            <w:tcW w:type="dxa" w:w="1468"/>
            <w:vAlign w:val="top"/>
          </w:tcPr>
          <w:p>
            <w:pPr>
              <w:spacing w:after="40" w:before="0" w:line="259" w:lineRule="auto"/>
            </w:pPr>
            <w:r>
              <w:rPr>
                <w:rFonts w:ascii="Calibri" w:hAnsi="Calibri"/>
                <w:b w:val="0"/>
                <w:i w:val="0"/>
                <w:color w:val="212121"/>
                <w:sz w:val="19"/>
              </w:rPr>
              <w:t>Non-invasive marker of exocrine pancreatic function; low levels confirm insufficiency.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 vitamin D (ng/mL)</w:t>
            </w:r>
          </w:p>
        </w:tc>
        <w:tc>
          <w:tcPr>
            <w:tcW w:type="dxa" w:w="1655"/>
            <w:vAlign w:val="top"/>
          </w:tcPr>
          <w:p>
            <w:pPr>
              <w:spacing w:after="40" w:before="0" w:line="259" w:lineRule="auto"/>
            </w:pPr>
            <w:r>
              <w:rPr>
                <w:rFonts w:ascii="Calibri" w:hAnsi="Calibri"/>
                <w:b w:val="0"/>
                <w:i w:val="0"/>
                <w:color w:val="212121"/>
                <w:sz w:val="19"/>
              </w:rPr>
              <w:t>Malabsorptive patients</w:t>
            </w:r>
          </w:p>
        </w:tc>
        <w:tc>
          <w:tcPr>
            <w:tcW w:type="dxa" w:w="1512"/>
            <w:vAlign w:val="top"/>
          </w:tcPr>
          <w:p>
            <w:pPr>
              <w:spacing w:after="40" w:before="0" w:line="259" w:lineRule="auto"/>
            </w:pPr>
            <w:r>
              <w:rPr>
                <w:rFonts w:ascii="Calibri" w:hAnsi="Calibri"/>
                <w:b w:val="0"/>
                <w:i w:val="0"/>
                <w:color w:val="212121"/>
                <w:sz w:val="19"/>
              </w:rPr>
              <w:t>30-50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Fat-soluble vitamin deficiency is common; vitamin D deficiency drives pancreatic osteodystrophy.</w:t>
            </w:r>
          </w:p>
          <w:p>
            <w:pPr>
              <w:spacing w:after="40" w:line="252" w:lineRule="auto"/>
            </w:pPr>
            <w:hyperlink r:id="rId10">
              <w:r>
                <w:rPr>
                  <w:rFonts w:ascii="Calibri" w:hAnsi="Calibri" w:cs="Calibri"/>
                  <w:sz w:val="18"/>
                  <w:color w:val="1155CC"/>
                  <w:u w:val="single"/>
                </w:rPr>
                <w:t xml:space="preserve">https://actascientific.com/ASGIS/pdf/ASGIS-02-0070.pdf</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Fasting plasma glucose (mg/dL)</w:t>
            </w:r>
          </w:p>
        </w:tc>
        <w:tc>
          <w:tcPr>
            <w:tcW w:type="dxa" w:w="1655"/>
            <w:vAlign w:val="top"/>
          </w:tcPr>
          <w:p>
            <w:pPr>
              <w:spacing w:after="40" w:before="0" w:line="259" w:lineRule="auto"/>
            </w:pPr>
            <w:r>
              <w:rPr>
                <w:rFonts w:ascii="Calibri" w:hAnsi="Calibri"/>
                <w:b w:val="0"/>
                <w:i w:val="0"/>
                <w:color w:val="212121"/>
                <w:sz w:val="19"/>
              </w:rPr>
              <w:t>TCP progressing to FCPD</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&gt;= 126 mg/dL</w:t>
            </w:r>
          </w:p>
        </w:tc>
        <w:tc>
          <w:tcPr>
            <w:tcW w:type="dxa" w:w="1468"/>
            <w:vAlign w:val="top"/>
          </w:tcPr>
          <w:p>
            <w:pPr>
              <w:spacing w:after="40" w:before="0" w:line="259" w:lineRule="auto"/>
            </w:pPr>
            <w:r>
              <w:rPr>
                <w:rFonts w:ascii="Calibri" w:hAnsi="Calibri"/>
                <w:b w:val="0"/>
                <w:i w:val="0"/>
                <w:color w:val="212121"/>
                <w:sz w:val="19"/>
              </w:rPr>
              <w:t>Marks onset of the diabetic (FCPD) stage; monitor for the transition from pre-diabetic TCP.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Patients with FCPD</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&gt;= 6.5 %</w:t>
            </w:r>
          </w:p>
        </w:tc>
        <w:tc>
          <w:tcPr>
            <w:tcW w:type="dxa" w:w="1468"/>
            <w:vAlign w:val="top"/>
          </w:tcPr>
          <w:p>
            <w:pPr>
              <w:spacing w:after="40" w:before="0" w:line="259" w:lineRule="auto"/>
            </w:pPr>
            <w:r>
              <w:rPr>
                <w:rFonts w:ascii="Calibri" w:hAnsi="Calibri"/>
                <w:b w:val="0"/>
                <w:i w:val="0"/>
                <w:color w:val="212121"/>
                <w:sz w:val="19"/>
              </w:rPr>
              <w:t>Confirms and monitors diabetes; glycaemic control tempered by brittle swings and hypoglycaemia risk.</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TCP patients who smoke</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40" w:before="0" w:line="259" w:lineRule="auto"/>
            </w:pPr>
            <w:r>
              <w:rPr>
                <w:rFonts w:ascii="Calibri" w:hAnsi="Calibri"/>
                <w:b w:val="0"/>
                <w:i w:val="0"/>
                <w:color w:val="212121"/>
                <w:sz w:val="19"/>
              </w:rPr>
              <w:t>Smoking accelerates calcification and pancreatic-cancer risk even though classical TCP is non-smoking.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(units/week)</w:t>
            </w:r>
          </w:p>
        </w:tc>
        <w:tc>
          <w:tcPr>
            <w:tcW w:type="dxa" w:w="1655"/>
            <w:vAlign w:val="top"/>
          </w:tcPr>
          <w:p>
            <w:pPr>
              <w:spacing w:after="40" w:before="0" w:line="259" w:lineRule="auto"/>
            </w:pPr>
            <w:r>
              <w:rPr>
                <w:rFonts w:ascii="Calibri" w:hAnsi="Calibri"/>
                <w:b w:val="0"/>
                <w:i w:val="0"/>
                <w:color w:val="212121"/>
                <w:sz w:val="19"/>
              </w:rPr>
              <w:t>TCP patients</w:t>
            </w:r>
          </w:p>
        </w:tc>
        <w:tc>
          <w:tcPr>
            <w:tcW w:type="dxa" w:w="1512"/>
            <w:vAlign w:val="top"/>
          </w:tcPr>
          <w:p>
            <w:pPr>
              <w:spacing w:after="40" w:before="0" w:line="259" w:lineRule="auto"/>
            </w:pPr>
            <w:r>
              <w:rPr>
                <w:rFonts w:ascii="Calibri" w:hAnsi="Calibri"/>
                <w:b w:val="0"/>
                <w:i w:val="0"/>
                <w:color w:val="212121"/>
                <w:sz w:val="19"/>
              </w:rPr>
              <w:t>0 (abstinence)</w:t>
            </w:r>
          </w:p>
        </w:tc>
        <w:tc>
          <w:tcPr>
            <w:tcW w:type="dxa" w:w="1512"/>
            <w:vAlign w:val="top"/>
          </w:tcPr>
          <w:p>
            <w:pPr>
              <w:spacing w:after="40" w:before="0" w:line="259" w:lineRule="auto"/>
            </w:pPr>
            <w:r>
              <w:rPr>
                <w:rFonts w:ascii="Calibri" w:hAnsi="Calibri"/>
                <w:b w:val="0"/>
                <w:i w:val="0"/>
                <w:color w:val="212121"/>
                <w:sz w:val="19"/>
              </w:rPr>
              <w:t>Any regular intake</w:t>
            </w:r>
          </w:p>
        </w:tc>
        <w:tc>
          <w:tcPr>
            <w:tcW w:type="dxa" w:w="1468"/>
            <w:vAlign w:val="top"/>
          </w:tcPr>
          <w:p>
            <w:pPr>
              <w:spacing w:after="40" w:before="0" w:line="259" w:lineRule="auto"/>
            </w:pPr>
            <w:r>
              <w:rPr>
                <w:rFonts w:ascii="Calibri" w:hAnsi="Calibri"/>
                <w:b w:val="0"/>
                <w:i w:val="0"/>
                <w:color w:val="212121"/>
                <w:sz w:val="19"/>
              </w:rPr>
              <w:t>Any alcohol worsens acinar injury and confounds the non-alcoholic diagnosis; abstinence advised.</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Serum CA 19-9 (U/mL)</w:t>
            </w:r>
          </w:p>
        </w:tc>
        <w:tc>
          <w:tcPr>
            <w:tcW w:type="dxa" w:w="1655"/>
            <w:vAlign w:val="top"/>
          </w:tcPr>
          <w:p>
            <w:pPr>
              <w:spacing w:after="40" w:before="0" w:line="259" w:lineRule="auto"/>
            </w:pPr>
            <w:r>
              <w:rPr>
                <w:rFonts w:ascii="Calibri" w:hAnsi="Calibri"/>
                <w:b w:val="0"/>
                <w:i w:val="0"/>
                <w:color w:val="212121"/>
                <w:sz w:val="19"/>
              </w:rPr>
              <w:t>Long-standing TCP (cancer surveillance)</w:t>
            </w:r>
          </w:p>
        </w:tc>
        <w:tc>
          <w:tcPr>
            <w:tcW w:type="dxa" w:w="1512"/>
            <w:vAlign w:val="top"/>
          </w:tcPr>
          <w:p>
            <w:pPr>
              <w:spacing w:after="40" w:before="0" w:line="259" w:lineRule="auto"/>
            </w:pPr>
            <w:r>
              <w:rPr>
                <w:rFonts w:ascii="Calibri" w:hAnsi="Calibri"/>
                <w:b w:val="0"/>
                <w:i w:val="0"/>
                <w:color w:val="212121"/>
                <w:sz w:val="19"/>
              </w:rPr>
              <w:t>&lt; 37 U/mL</w:t>
            </w:r>
          </w:p>
        </w:tc>
        <w:tc>
          <w:tcPr>
            <w:tcW w:type="dxa" w:w="1512"/>
            <w:vAlign w:val="top"/>
          </w:tcPr>
          <w:p>
            <w:pPr>
              <w:spacing w:after="40" w:before="0" w:line="259" w:lineRule="auto"/>
            </w:pPr>
            <w:r>
              <w:rPr>
                <w:rFonts w:ascii="Calibri" w:hAnsi="Calibri"/>
                <w:b w:val="0"/>
                <w:i w:val="0"/>
                <w:color w:val="212121"/>
                <w:sz w:val="19"/>
              </w:rPr>
              <w:t>Rising / markedly elevated with a mass</w:t>
            </w:r>
          </w:p>
        </w:tc>
        <w:tc>
          <w:tcPr>
            <w:tcW w:type="dxa" w:w="1468"/>
            <w:vAlign w:val="top"/>
          </w:tcPr>
          <w:p>
            <w:pPr>
              <w:spacing w:after="40" w:before="0" w:line="259" w:lineRule="auto"/>
            </w:pPr>
            <w:r>
              <w:rPr>
                <w:rFonts w:ascii="Calibri" w:hAnsi="Calibri"/>
                <w:b w:val="0"/>
                <w:i w:val="0"/>
                <w:color w:val="212121"/>
                <w:sz w:val="19"/>
              </w:rPr>
              <w:t>Supports (does not confirm) pancreatic malignancy; interpret with imaging as cancer risk is high.</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Plain abdominal X-ray / CT - pancreatic calculi</w:t>
            </w:r>
          </w:p>
        </w:tc>
        <w:tc>
          <w:tcPr>
            <w:tcW w:type="dxa" w:w="892"/>
            <w:vAlign w:val="top"/>
          </w:tcPr>
          <w:p>
            <w:pPr>
              <w:spacing w:after="40" w:before="0" w:line="259" w:lineRule="auto"/>
            </w:pPr>
            <w:r>
              <w:rPr>
                <w:rFonts w:ascii="Calibri" w:hAnsi="Calibri"/>
                <w:b w:val="0"/>
                <w:i w:val="0"/>
                <w:color w:val="212121"/>
                <w:sz w:val="16"/>
              </w:rPr>
              <w:t>Radiography / CT</w:t>
            </w:r>
          </w:p>
        </w:tc>
        <w:tc>
          <w:tcPr>
            <w:tcW w:type="dxa" w:w="950"/>
            <w:vAlign w:val="top"/>
          </w:tcPr>
          <w:p>
            <w:pPr>
              <w:spacing w:after="40" w:before="0" w:line="259" w:lineRule="auto"/>
            </w:pPr>
            <w:r>
              <w:rPr>
                <w:rFonts w:ascii="Calibri" w:hAnsi="Calibri"/>
                <w:b w:val="0"/>
                <w:i w:val="0"/>
                <w:color w:val="212121"/>
                <w:sz w:val="16"/>
              </w:rPr>
              <w:t>No calcification</w:t>
            </w:r>
          </w:p>
        </w:tc>
        <w:tc>
          <w:tcPr>
            <w:tcW w:type="dxa" w:w="950"/>
            <w:vAlign w:val="top"/>
          </w:tcPr>
          <w:p>
            <w:pPr>
              <w:spacing w:after="40" w:before="0" w:line="259" w:lineRule="auto"/>
            </w:pPr>
            <w:r>
              <w:rPr>
                <w:rFonts w:ascii="Calibri" w:hAnsi="Calibri"/>
                <w:b w:val="0"/>
                <w:i w:val="0"/>
                <w:color w:val="212121"/>
                <w:sz w:val="16"/>
              </w:rPr>
              <w:t>Multiple large intraductal calculi in pancreatic region</w:t>
            </w:r>
          </w:p>
        </w:tc>
        <w:tc>
          <w:tcPr>
            <w:tcW w:type="dxa" w:w="1036"/>
            <w:vAlign w:val="top"/>
          </w:tcPr>
          <w:p>
            <w:pPr>
              <w:spacing w:after="40" w:before="0" w:line="259" w:lineRule="auto"/>
            </w:pPr>
            <w:r>
              <w:rPr>
                <w:rFonts w:ascii="Calibri" w:hAnsi="Calibri"/>
                <w:b w:val="0"/>
                <w:i w:val="0"/>
                <w:color w:val="212121"/>
                <w:sz w:val="16"/>
              </w:rPr>
              <w:t>Pathognomonic of tropical calcific pancreatitis when large ductal stones are seen</w:t>
            </w:r>
          </w:p>
        </w:tc>
        <w:tc>
          <w:tcPr>
            <w:tcW w:type="dxa" w:w="1036"/>
            <w:vAlign w:val="top"/>
          </w:tcPr>
          <w:p>
            <w:pPr>
              <w:spacing w:after="40" w:before="0" w:line="259" w:lineRule="auto"/>
            </w:pPr>
            <w:r>
              <w:rPr>
                <w:rFonts w:ascii="Calibri" w:hAnsi="Calibri"/>
                <w:b w:val="0"/>
                <w:i w:val="0"/>
                <w:color w:val="212121"/>
                <w:sz w:val="16"/>
              </w:rPr>
              <w:t>Young lean non-alcoholic patients with chronic pain</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Diagnostic (hallmark)</w:t>
            </w:r>
          </w:p>
        </w:tc>
        <w:tc>
          <w:tcPr>
            <w:tcW w:type="dxa" w:w="720"/>
            <w:vAlign w:val="top"/>
          </w:tcPr>
          <w:p>
            <w:pPr>
              <w:spacing w:after="40" w:before="0" w:line="259" w:lineRule="auto"/>
            </w:pPr>
            <w:r>
              <w:rPr>
                <w:rFonts w:ascii="Calibri" w:hAnsi="Calibri"/>
                <w:b w:val="0"/>
                <w:i w:val="0"/>
                <w:color w:val="212121"/>
                <w:sz w:val="16"/>
              </w:rPr>
              <w:t>Coarse discrete calculi favour TCP over the fine, scattered calcification of alcoholic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Ultrasound / CT - ductal dilatation &amp; atrophy</w:t>
            </w:r>
          </w:p>
        </w:tc>
        <w:tc>
          <w:tcPr>
            <w:tcW w:type="dxa" w:w="892"/>
            <w:vAlign w:val="top"/>
          </w:tcPr>
          <w:p>
            <w:pPr>
              <w:spacing w:after="40" w:before="0" w:line="259" w:lineRule="auto"/>
            </w:pPr>
            <w:r>
              <w:rPr>
                <w:rFonts w:ascii="Calibri" w:hAnsi="Calibri"/>
                <w:b w:val="0"/>
                <w:i w:val="0"/>
                <w:color w:val="212121"/>
                <w:sz w:val="16"/>
              </w:rPr>
              <w:t>Ultrasonography / CT</w:t>
            </w:r>
          </w:p>
        </w:tc>
        <w:tc>
          <w:tcPr>
            <w:tcW w:type="dxa" w:w="950"/>
            <w:vAlign w:val="top"/>
          </w:tcPr>
          <w:p>
            <w:pPr>
              <w:spacing w:after="40" w:before="0" w:line="259" w:lineRule="auto"/>
            </w:pPr>
            <w:r>
              <w:rPr>
                <w:rFonts w:ascii="Calibri" w:hAnsi="Calibri"/>
                <w:b w:val="0"/>
                <w:i w:val="0"/>
                <w:color w:val="212121"/>
                <w:sz w:val="16"/>
              </w:rPr>
              <w:t>Normal duct (&lt; 3 mm), normal parenchyma</w:t>
            </w:r>
          </w:p>
        </w:tc>
        <w:tc>
          <w:tcPr>
            <w:tcW w:type="dxa" w:w="950"/>
            <w:vAlign w:val="top"/>
          </w:tcPr>
          <w:p>
            <w:pPr>
              <w:spacing w:after="40" w:before="0" w:line="259" w:lineRule="auto"/>
            </w:pPr>
            <w:r>
              <w:rPr>
                <w:rFonts w:ascii="Calibri" w:hAnsi="Calibri"/>
                <w:b w:val="0"/>
                <w:i w:val="0"/>
                <w:color w:val="212121"/>
                <w:sz w:val="16"/>
              </w:rPr>
              <w:t>Dilated main pancreatic duct, gland atrophy, calculi</w:t>
            </w:r>
          </w:p>
        </w:tc>
        <w:tc>
          <w:tcPr>
            <w:tcW w:type="dxa" w:w="1036"/>
            <w:vAlign w:val="top"/>
          </w:tcPr>
          <w:p>
            <w:pPr>
              <w:spacing w:after="40" w:before="0" w:line="259" w:lineRule="auto"/>
            </w:pPr>
            <w:r>
              <w:rPr>
                <w:rFonts w:ascii="Calibri" w:hAnsi="Calibri"/>
                <w:b w:val="0"/>
                <w:i w:val="0"/>
                <w:color w:val="212121"/>
                <w:sz w:val="16"/>
              </w:rPr>
              <w:t>Confirms chronic pancreatitis morphology and complications (pseudocyst, mass)</w:t>
            </w:r>
          </w:p>
        </w:tc>
        <w:tc>
          <w:tcPr>
            <w:tcW w:type="dxa" w:w="1036"/>
            <w:vAlign w:val="top"/>
          </w:tcPr>
          <w:p>
            <w:pPr>
              <w:spacing w:after="40" w:before="0" w:line="259" w:lineRule="auto"/>
            </w:pPr>
            <w:r>
              <w:rPr>
                <w:rFonts w:ascii="Calibri" w:hAnsi="Calibri"/>
                <w:b w:val="0"/>
                <w:i w:val="0"/>
                <w:color w:val="212121"/>
                <w:sz w:val="16"/>
              </w:rPr>
              <w:t>Suspected chronic pancreatitis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focal mass mandates work-up for malignancy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MRCP / ERCP - ductal anatomy</w:t>
            </w:r>
          </w:p>
        </w:tc>
        <w:tc>
          <w:tcPr>
            <w:tcW w:type="dxa" w:w="892"/>
            <w:vAlign w:val="top"/>
          </w:tcPr>
          <w:p>
            <w:pPr>
              <w:spacing w:after="40" w:before="0" w:line="259" w:lineRule="auto"/>
            </w:pPr>
            <w:r>
              <w:rPr>
                <w:rFonts w:ascii="Calibri" w:hAnsi="Calibri"/>
                <w:b w:val="0"/>
                <w:i w:val="0"/>
                <w:color w:val="212121"/>
                <w:sz w:val="16"/>
              </w:rPr>
              <w:t>MR / endoscopic cholangiopancreatography</w:t>
            </w:r>
          </w:p>
        </w:tc>
        <w:tc>
          <w:tcPr>
            <w:tcW w:type="dxa" w:w="950"/>
            <w:vAlign w:val="top"/>
          </w:tcPr>
          <w:p>
            <w:pPr>
              <w:spacing w:after="40" w:before="0" w:line="259" w:lineRule="auto"/>
            </w:pPr>
            <w:r>
              <w:rPr>
                <w:rFonts w:ascii="Calibri" w:hAnsi="Calibri"/>
                <w:b w:val="0"/>
                <w:i w:val="0"/>
                <w:color w:val="212121"/>
                <w:sz w:val="16"/>
              </w:rPr>
              <w:t>Normal ductal system</w:t>
            </w:r>
          </w:p>
        </w:tc>
        <w:tc>
          <w:tcPr>
            <w:tcW w:type="dxa" w:w="950"/>
            <w:vAlign w:val="top"/>
          </w:tcPr>
          <w:p>
            <w:pPr>
              <w:spacing w:after="40" w:before="0" w:line="259" w:lineRule="auto"/>
            </w:pPr>
            <w:r>
              <w:rPr>
                <w:rFonts w:ascii="Calibri" w:hAnsi="Calibri"/>
                <w:b w:val="0"/>
                <w:i w:val="0"/>
                <w:color w:val="212121"/>
                <w:sz w:val="16"/>
              </w:rPr>
              <w:t>Dilated, beaded main duct with intraductal filling defects (stones)</w:t>
            </w:r>
          </w:p>
        </w:tc>
        <w:tc>
          <w:tcPr>
            <w:tcW w:type="dxa" w:w="1036"/>
            <w:vAlign w:val="top"/>
          </w:tcPr>
          <w:p>
            <w:pPr>
              <w:spacing w:after="40" w:before="0" w:line="259" w:lineRule="auto"/>
            </w:pPr>
            <w:r>
              <w:rPr>
                <w:rFonts w:ascii="Calibri" w:hAnsi="Calibri"/>
                <w:b w:val="0"/>
                <w:i w:val="0"/>
                <w:color w:val="212121"/>
                <w:sz w:val="16"/>
              </w:rPr>
              <w:t>Maps ductal disease and guides endotherapy (stone removal, stenting)</w:t>
            </w:r>
          </w:p>
        </w:tc>
        <w:tc>
          <w:tcPr>
            <w:tcW w:type="dxa" w:w="1036"/>
            <w:vAlign w:val="top"/>
          </w:tcPr>
          <w:p>
            <w:pPr>
              <w:spacing w:after="40" w:before="0" w:line="259" w:lineRule="auto"/>
            </w:pPr>
            <w:r>
              <w:rPr>
                <w:rFonts w:ascii="Calibri" w:hAnsi="Calibri"/>
                <w:b w:val="0"/>
                <w:i w:val="0"/>
                <w:color w:val="212121"/>
                <w:sz w:val="16"/>
              </w:rPr>
              <w:t>Patients considered for endoscopic/surgical drainage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Therapeutic planning</w:t>
            </w:r>
          </w:p>
        </w:tc>
        <w:tc>
          <w:tcPr>
            <w:tcW w:type="dxa" w:w="720"/>
            <w:vAlign w:val="top"/>
          </w:tcPr>
          <w:p>
            <w:pPr>
              <w:spacing w:after="40" w:before="0" w:line="259" w:lineRule="auto"/>
            </w:pPr>
            <w:r>
              <w:rPr>
                <w:rFonts w:ascii="Calibri" w:hAnsi="Calibri"/>
                <w:b w:val="0"/>
                <w:i w:val="0"/>
                <w:color w:val="212121"/>
                <w:sz w:val="16"/>
              </w:rPr>
              <w:t>ERCP is therapeutic but carries a post-ERCP pancreatitis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&amp; post-prandial blood glucose</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Fasting 70-99 mg/dL; PP &lt; 140 mg/dL</w:t>
            </w:r>
          </w:p>
        </w:tc>
        <w:tc>
          <w:tcPr>
            <w:tcW w:type="dxa" w:w="950"/>
            <w:vAlign w:val="top"/>
          </w:tcPr>
          <w:p>
            <w:pPr>
              <w:spacing w:after="40" w:before="0" w:line="259" w:lineRule="auto"/>
            </w:pPr>
            <w:r>
              <w:rPr>
                <w:rFonts w:ascii="Calibri" w:hAnsi="Calibri"/>
                <w:b w:val="0"/>
                <w:i w:val="0"/>
                <w:color w:val="212121"/>
                <w:sz w:val="16"/>
              </w:rPr>
              <w:t>Fasting &gt;= 126 mg/dL; PP &gt;= 200 mg/dL</w:t>
            </w:r>
          </w:p>
        </w:tc>
        <w:tc>
          <w:tcPr>
            <w:tcW w:type="dxa" w:w="1036"/>
            <w:vAlign w:val="top"/>
          </w:tcPr>
          <w:p>
            <w:pPr>
              <w:spacing w:after="40" w:before="0" w:line="259" w:lineRule="auto"/>
            </w:pPr>
            <w:r>
              <w:rPr>
                <w:rFonts w:ascii="Calibri" w:hAnsi="Calibri"/>
                <w:b w:val="0"/>
                <w:i w:val="0"/>
                <w:color w:val="212121"/>
                <w:sz w:val="16"/>
              </w:rPr>
              <w:t>Detects the diabetic (FCPD) stage of the disease</w:t>
            </w:r>
          </w:p>
        </w:tc>
        <w:tc>
          <w:tcPr>
            <w:tcW w:type="dxa" w:w="1036"/>
            <w:vAlign w:val="top"/>
          </w:tcPr>
          <w:p>
            <w:pPr>
              <w:spacing w:after="40" w:before="0" w:line="259" w:lineRule="auto"/>
            </w:pPr>
            <w:r>
              <w:rPr>
                <w:rFonts w:ascii="Calibri" w:hAnsi="Calibri"/>
                <w:b w:val="0"/>
                <w:i w:val="0"/>
                <w:color w:val="212121"/>
                <w:sz w:val="16"/>
              </w:rPr>
              <w:t>TCP patients, any age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Diabetes is ketosis-resistant despite high glucose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4.0-5.6 %</w:t>
            </w:r>
          </w:p>
        </w:tc>
        <w:tc>
          <w:tcPr>
            <w:tcW w:type="dxa" w:w="950"/>
            <w:vAlign w:val="top"/>
          </w:tcPr>
          <w:p>
            <w:pPr>
              <w:spacing w:after="40" w:before="0" w:line="259" w:lineRule="auto"/>
            </w:pPr>
            <w:r>
              <w:rPr>
                <w:rFonts w:ascii="Calibri" w:hAnsi="Calibri"/>
                <w:b w:val="0"/>
                <w:i w:val="0"/>
                <w:color w:val="212121"/>
                <w:sz w:val="16"/>
              </w:rPr>
              <w:t>&gt;= 6.5 %</w:t>
            </w:r>
          </w:p>
        </w:tc>
        <w:tc>
          <w:tcPr>
            <w:tcW w:type="dxa" w:w="1036"/>
            <w:vAlign w:val="top"/>
          </w:tcPr>
          <w:p>
            <w:pPr>
              <w:spacing w:after="40" w:before="0" w:line="259" w:lineRule="auto"/>
            </w:pPr>
            <w:r>
              <w:rPr>
                <w:rFonts w:ascii="Calibri" w:hAnsi="Calibri"/>
                <w:b w:val="0"/>
                <w:i w:val="0"/>
                <w:color w:val="212121"/>
                <w:sz w:val="16"/>
              </w:rPr>
              <w:t>Confirms and monitors diabetes over 2-3 months</w:t>
            </w:r>
          </w:p>
        </w:tc>
        <w:tc>
          <w:tcPr>
            <w:tcW w:type="dxa" w:w="1036"/>
            <w:vAlign w:val="top"/>
          </w:tcPr>
          <w:p>
            <w:pPr>
              <w:spacing w:after="40" w:before="0" w:line="259" w:lineRule="auto"/>
            </w:pPr>
            <w:r>
              <w:rPr>
                <w:rFonts w:ascii="Calibri" w:hAnsi="Calibri"/>
                <w:b w:val="0"/>
                <w:i w:val="0"/>
                <w:color w:val="212121"/>
                <w:sz w:val="16"/>
              </w:rPr>
              <w:t>Patients with FCPD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Glycaemia is often brittle with hypoglycaemia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Faecal elastase-1 / faecal fat</w:t>
            </w:r>
          </w:p>
        </w:tc>
        <w:tc>
          <w:tcPr>
            <w:tcW w:type="dxa" w:w="892"/>
            <w:vAlign w:val="top"/>
          </w:tcPr>
          <w:p>
            <w:pPr>
              <w:spacing w:after="40" w:before="0" w:line="259" w:lineRule="auto"/>
            </w:pPr>
            <w:r>
              <w:rPr>
                <w:rFonts w:ascii="Calibri" w:hAnsi="Calibri"/>
                <w:b w:val="0"/>
                <w:i w:val="0"/>
                <w:color w:val="212121"/>
                <w:sz w:val="16"/>
              </w:rPr>
              <w:t>Exocrine function test</w:t>
            </w:r>
          </w:p>
        </w:tc>
        <w:tc>
          <w:tcPr>
            <w:tcW w:type="dxa" w:w="950"/>
            <w:vAlign w:val="top"/>
          </w:tcPr>
          <w:p>
            <w:pPr>
              <w:spacing w:after="40" w:before="0" w:line="259" w:lineRule="auto"/>
            </w:pPr>
            <w:r>
              <w:rPr>
                <w:rFonts w:ascii="Calibri" w:hAnsi="Calibri"/>
                <w:b w:val="0"/>
                <w:i w:val="0"/>
                <w:color w:val="212121"/>
                <w:sz w:val="16"/>
              </w:rPr>
              <w:t>Elastase &gt;= 200 microg/g; no steatorrhoea</w:t>
            </w:r>
          </w:p>
        </w:tc>
        <w:tc>
          <w:tcPr>
            <w:tcW w:type="dxa" w:w="950"/>
            <w:vAlign w:val="top"/>
          </w:tcPr>
          <w:p>
            <w:pPr>
              <w:spacing w:after="40" w:before="0" w:line="259" w:lineRule="auto"/>
            </w:pPr>
            <w:r>
              <w:rPr>
                <w:rFonts w:ascii="Calibri" w:hAnsi="Calibri"/>
                <w:b w:val="0"/>
                <w:i w:val="0"/>
                <w:color w:val="212121"/>
                <w:sz w:val="16"/>
              </w:rPr>
              <w:t>Elastase &lt; 200 (severe &lt; 100); increased faecal fat</w:t>
            </w:r>
          </w:p>
        </w:tc>
        <w:tc>
          <w:tcPr>
            <w:tcW w:type="dxa" w:w="1036"/>
            <w:vAlign w:val="top"/>
          </w:tcPr>
          <w:p>
            <w:pPr>
              <w:spacing w:after="40" w:before="0" w:line="259" w:lineRule="auto"/>
            </w:pPr>
            <w:r>
              <w:rPr>
                <w:rFonts w:ascii="Calibri" w:hAnsi="Calibri"/>
                <w:b w:val="0"/>
                <w:i w:val="0"/>
                <w:color w:val="212121"/>
                <w:sz w:val="16"/>
              </w:rPr>
              <w:t>Documents exocrine pancreatic insufficiency</w:t>
            </w:r>
          </w:p>
        </w:tc>
        <w:tc>
          <w:tcPr>
            <w:tcW w:type="dxa" w:w="1036"/>
            <w:vAlign w:val="top"/>
          </w:tcPr>
          <w:p>
            <w:pPr>
              <w:spacing w:after="40" w:before="0" w:line="259" w:lineRule="auto"/>
            </w:pPr>
            <w:r>
              <w:rPr>
                <w:rFonts w:ascii="Calibri" w:hAnsi="Calibri"/>
                <w:b w:val="0"/>
                <w:i w:val="0"/>
                <w:color w:val="212121"/>
                <w:sz w:val="16"/>
              </w:rPr>
              <w:t>Patients with steatorrhoea/weight loss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 guides PERT</w:t>
            </w:r>
          </w:p>
        </w:tc>
        <w:tc>
          <w:tcPr>
            <w:tcW w:type="dxa" w:w="720"/>
            <w:vAlign w:val="top"/>
          </w:tcPr>
          <w:p>
            <w:pPr>
              <w:spacing w:after="40" w:before="0" w:line="259" w:lineRule="auto"/>
            </w:pPr>
            <w:r>
              <w:rPr>
                <w:rFonts w:ascii="Calibri" w:hAnsi="Calibri"/>
                <w:b w:val="0"/>
                <w:i w:val="0"/>
                <w:color w:val="212121"/>
                <w:sz w:val="16"/>
              </w:rPr>
              <w:t>Low elastase supports the pancreatic origin of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amylase / lipase</w:t>
            </w:r>
          </w:p>
        </w:tc>
        <w:tc>
          <w:tcPr>
            <w:tcW w:type="dxa" w:w="892"/>
            <w:vAlign w:val="top"/>
          </w:tcPr>
          <w:p>
            <w:pPr>
              <w:spacing w:after="40" w:before="0" w:line="259" w:lineRule="auto"/>
            </w:pPr>
            <w:r>
              <w:rPr>
                <w:rFonts w:ascii="Calibri" w:hAnsi="Calibri"/>
                <w:b w:val="0"/>
                <w:i w:val="0"/>
                <w:color w:val="212121"/>
                <w:sz w:val="16"/>
              </w:rPr>
              <w:t>Pancreatic enzymes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Raised in acute-on-chronic flares; may be low in burnt-out gland</w:t>
            </w:r>
          </w:p>
        </w:tc>
        <w:tc>
          <w:tcPr>
            <w:tcW w:type="dxa" w:w="1036"/>
            <w:vAlign w:val="top"/>
          </w:tcPr>
          <w:p>
            <w:pPr>
              <w:spacing w:after="40" w:before="0" w:line="259" w:lineRule="auto"/>
            </w:pPr>
            <w:r>
              <w:rPr>
                <w:rFonts w:ascii="Calibri" w:hAnsi="Calibri"/>
                <w:b w:val="0"/>
                <w:i w:val="0"/>
                <w:color w:val="212121"/>
                <w:sz w:val="16"/>
              </w:rPr>
              <w:t>Supports acute exacerbations; normal levels do not exclude chronic disease</w:t>
            </w:r>
          </w:p>
        </w:tc>
        <w:tc>
          <w:tcPr>
            <w:tcW w:type="dxa" w:w="1036"/>
            <w:vAlign w:val="top"/>
          </w:tcPr>
          <w:p>
            <w:pPr>
              <w:spacing w:after="40" w:before="0" w:line="259" w:lineRule="auto"/>
            </w:pPr>
            <w:r>
              <w:rPr>
                <w:rFonts w:ascii="Calibri" w:hAnsi="Calibri"/>
                <w:b w:val="0"/>
                <w:i w:val="0"/>
                <w:color w:val="212121"/>
                <w:sz w:val="16"/>
              </w:rPr>
              <w:t>Patients with pain flares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Often normal once the gland is fibrotic and atrophic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C-peptide</w:t>
            </w:r>
          </w:p>
        </w:tc>
        <w:tc>
          <w:tcPr>
            <w:tcW w:type="dxa" w:w="892"/>
            <w:vAlign w:val="top"/>
          </w:tcPr>
          <w:p>
            <w:pPr>
              <w:spacing w:after="40" w:before="0" w:line="259" w:lineRule="auto"/>
            </w:pPr>
            <w:r>
              <w:rPr>
                <w:rFonts w:ascii="Calibri" w:hAnsi="Calibri"/>
                <w:b w:val="0"/>
                <w:i w:val="0"/>
                <w:color w:val="212121"/>
                <w:sz w:val="16"/>
              </w:rPr>
              <w:t>Beta-cell reserve</w:t>
            </w:r>
          </w:p>
        </w:tc>
        <w:tc>
          <w:tcPr>
            <w:tcW w:type="dxa" w:w="950"/>
            <w:vAlign w:val="top"/>
          </w:tcPr>
          <w:p>
            <w:pPr>
              <w:spacing w:after="40" w:before="0" w:line="259" w:lineRule="auto"/>
            </w:pPr>
            <w:r>
              <w:rPr>
                <w:rFonts w:ascii="Calibri" w:hAnsi="Calibri"/>
                <w:b w:val="0"/>
                <w:i w:val="0"/>
                <w:color w:val="212121"/>
                <w:sz w:val="16"/>
              </w:rPr>
              <w:t>Detectable / low-normal</w:t>
            </w:r>
          </w:p>
        </w:tc>
        <w:tc>
          <w:tcPr>
            <w:tcW w:type="dxa" w:w="950"/>
            <w:vAlign w:val="top"/>
          </w:tcPr>
          <w:p>
            <w:pPr>
              <w:spacing w:after="40" w:before="0" w:line="259" w:lineRule="auto"/>
            </w:pPr>
            <w:r>
              <w:rPr>
                <w:rFonts w:ascii="Calibri" w:hAnsi="Calibri"/>
                <w:b w:val="0"/>
                <w:i w:val="0"/>
                <w:color w:val="212121"/>
                <w:sz w:val="16"/>
              </w:rPr>
              <w:t>Low but usually not absent</w:t>
            </w:r>
          </w:p>
        </w:tc>
        <w:tc>
          <w:tcPr>
            <w:tcW w:type="dxa" w:w="1036"/>
            <w:vAlign w:val="top"/>
          </w:tcPr>
          <w:p>
            <w:pPr>
              <w:spacing w:after="40" w:before="0" w:line="259" w:lineRule="auto"/>
            </w:pPr>
            <w:r>
              <w:rPr>
                <w:rFonts w:ascii="Calibri" w:hAnsi="Calibri"/>
                <w:b w:val="0"/>
                <w:i w:val="0"/>
                <w:color w:val="212121"/>
                <w:sz w:val="16"/>
              </w:rPr>
              <w:t>Preserved partial beta-cell function explains ketosis resistance</w:t>
            </w:r>
          </w:p>
        </w:tc>
        <w:tc>
          <w:tcPr>
            <w:tcW w:type="dxa" w:w="1036"/>
            <w:vAlign w:val="top"/>
          </w:tcPr>
          <w:p>
            <w:pPr>
              <w:spacing w:after="40" w:before="0" w:line="259" w:lineRule="auto"/>
            </w:pPr>
            <w:r>
              <w:rPr>
                <w:rFonts w:ascii="Calibri" w:hAnsi="Calibri"/>
                <w:b w:val="0"/>
                <w:i w:val="0"/>
                <w:color w:val="212121"/>
                <w:sz w:val="16"/>
              </w:rPr>
              <w:t>FCPD vs type 1 diabetes differentiation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Differentiating</w:t>
            </w:r>
          </w:p>
        </w:tc>
        <w:tc>
          <w:tcPr>
            <w:tcW w:type="dxa" w:w="720"/>
            <w:vAlign w:val="top"/>
          </w:tcPr>
          <w:p>
            <w:pPr>
              <w:spacing w:after="40" w:before="0" w:line="259" w:lineRule="auto"/>
            </w:pPr>
            <w:r>
              <w:rPr>
                <w:rFonts w:ascii="Calibri" w:hAnsi="Calibri"/>
                <w:b w:val="0"/>
                <w:i w:val="0"/>
                <w:color w:val="212121"/>
                <w:sz w:val="16"/>
              </w:rPr>
              <w:t>Lower than type 2 but higher than type 1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Tumour marker</w:t>
            </w:r>
          </w:p>
        </w:tc>
        <w:tc>
          <w:tcPr>
            <w:tcW w:type="dxa" w:w="1036"/>
            <w:vAlign w:val="top"/>
          </w:tcPr>
          <w:p>
            <w:pPr>
              <w:spacing w:after="40" w:before="0" w:line="259" w:lineRule="auto"/>
            </w:pPr>
            <w:r>
              <w:rPr>
                <w:rFonts w:ascii="Calibri" w:hAnsi="Calibri"/>
                <w:b w:val="0"/>
                <w:i w:val="0"/>
                <w:color w:val="212121"/>
                <w:sz w:val="16"/>
              </w:rPr>
              <w:t>Serum CA 19-9 + cross-sectional imaging</w:t>
            </w:r>
          </w:p>
        </w:tc>
        <w:tc>
          <w:tcPr>
            <w:tcW w:type="dxa" w:w="892"/>
            <w:vAlign w:val="top"/>
          </w:tcPr>
          <w:p>
            <w:pPr>
              <w:spacing w:after="40" w:before="0" w:line="259" w:lineRule="auto"/>
            </w:pPr>
            <w:r>
              <w:rPr>
                <w:rFonts w:ascii="Calibri" w:hAnsi="Calibri"/>
                <w:b w:val="0"/>
                <w:i w:val="0"/>
                <w:color w:val="212121"/>
                <w:sz w:val="16"/>
              </w:rPr>
              <w:t>Cancer surveillance</w:t>
            </w:r>
          </w:p>
        </w:tc>
        <w:tc>
          <w:tcPr>
            <w:tcW w:type="dxa" w:w="950"/>
            <w:vAlign w:val="top"/>
          </w:tcPr>
          <w:p>
            <w:pPr>
              <w:spacing w:after="40" w:before="0" w:line="259" w:lineRule="auto"/>
            </w:pPr>
            <w:r>
              <w:rPr>
                <w:rFonts w:ascii="Calibri" w:hAnsi="Calibri"/>
                <w:b w:val="0"/>
                <w:i w:val="0"/>
                <w:color w:val="212121"/>
                <w:sz w:val="16"/>
              </w:rPr>
              <w:t>CA 19-9 &lt; 37 U/mL, no mass</w:t>
            </w:r>
          </w:p>
        </w:tc>
        <w:tc>
          <w:tcPr>
            <w:tcW w:type="dxa" w:w="950"/>
            <w:vAlign w:val="top"/>
          </w:tcPr>
          <w:p>
            <w:pPr>
              <w:spacing w:after="40" w:before="0" w:line="259" w:lineRule="auto"/>
            </w:pPr>
            <w:r>
              <w:rPr>
                <w:rFonts w:ascii="Calibri" w:hAnsi="Calibri"/>
                <w:b w:val="0"/>
                <w:i w:val="0"/>
                <w:color w:val="212121"/>
                <w:sz w:val="16"/>
              </w:rPr>
              <w:t>Rising CA 19-9 with a focal pancreatic mass</w:t>
            </w:r>
          </w:p>
        </w:tc>
        <w:tc>
          <w:tcPr>
            <w:tcW w:type="dxa" w:w="1036"/>
            <w:vAlign w:val="top"/>
          </w:tcPr>
          <w:p>
            <w:pPr>
              <w:spacing w:after="40" w:before="0" w:line="259" w:lineRule="auto"/>
            </w:pPr>
            <w:r>
              <w:rPr>
                <w:rFonts w:ascii="Calibri" w:hAnsi="Calibri"/>
                <w:b w:val="0"/>
                <w:i w:val="0"/>
                <w:color w:val="212121"/>
                <w:sz w:val="16"/>
              </w:rPr>
              <w:t>Prompts evaluation for pancreatic ductal adenocarcinoma</w:t>
            </w:r>
          </w:p>
        </w:tc>
        <w:tc>
          <w:tcPr>
            <w:tcW w:type="dxa" w:w="1036"/>
            <w:vAlign w:val="top"/>
          </w:tcPr>
          <w:p>
            <w:pPr>
              <w:spacing w:after="40" w:before="0" w:line="259" w:lineRule="auto"/>
            </w:pPr>
            <w:r>
              <w:rPr>
                <w:rFonts w:ascii="Calibri" w:hAnsi="Calibri"/>
                <w:b w:val="0"/>
                <w:i w:val="0"/>
                <w:color w:val="212121"/>
                <w:sz w:val="16"/>
              </w:rPr>
              <w:t>Long-standing TCP, new mass/jaundice/weight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Surveillance (high-risk)</w:t>
            </w:r>
          </w:p>
        </w:tc>
        <w:tc>
          <w:tcPr>
            <w:tcW w:type="dxa" w:w="720"/>
            <w:vAlign w:val="top"/>
          </w:tcPr>
          <w:p>
            <w:pPr>
              <w:spacing w:after="40" w:before="0" w:line="259" w:lineRule="auto"/>
            </w:pPr>
            <w:r>
              <w:rPr>
                <w:rFonts w:ascii="Calibri" w:hAnsi="Calibri"/>
                <w:b w:val="0"/>
                <w:i w:val="0"/>
                <w:color w:val="212121"/>
                <w:sz w:val="16"/>
              </w:rPr>
              <w:t>Pancreatic cancer risk is substantially increased, especially in women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Recurrent upper-abdominal pain radiating to back, since childhood/adolescence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Chronic/recurrent epigastric pain</w:t>
            </w:r>
          </w:p>
        </w:tc>
        <w:tc>
          <w:tcPr>
            <w:tcW w:type="dxa" w:w="1036"/>
            <w:vAlign w:val="top"/>
          </w:tcPr>
          <w:p>
            <w:pPr>
              <w:spacing w:after="40" w:before="0" w:line="259" w:lineRule="auto"/>
            </w:pPr>
            <w:r>
              <w:rPr>
                <w:rFonts w:ascii="Calibri" w:hAnsi="Calibri"/>
                <w:b w:val="0"/>
                <w:i w:val="0"/>
                <w:color w:val="212121"/>
                <w:sz w:val="16"/>
              </w:rPr>
              <w:t>Cardinal early symptom of tropical chronic pancreatitis</w:t>
            </w:r>
          </w:p>
        </w:tc>
        <w:tc>
          <w:tcPr>
            <w:tcW w:type="dxa" w:w="1036"/>
            <w:vAlign w:val="top"/>
          </w:tcPr>
          <w:p>
            <w:pPr>
              <w:spacing w:after="40" w:before="0" w:line="259" w:lineRule="auto"/>
            </w:pPr>
            <w:r>
              <w:rPr>
                <w:rFonts w:ascii="Calibri" w:hAnsi="Calibri"/>
                <w:b w:val="0"/>
                <w:i w:val="0"/>
                <w:color w:val="212121"/>
                <w:sz w:val="16"/>
              </w:rPr>
              <w:t>Young lean patients from tropical regions</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 often predates diabetes by one to two decades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Malabsorption history</w:t>
            </w:r>
          </w:p>
        </w:tc>
        <w:tc>
          <w:tcPr>
            <w:tcW w:type="dxa" w:w="979"/>
            <w:vAlign w:val="top"/>
          </w:tcPr>
          <w:p>
            <w:pPr>
              <w:spacing w:after="40" w:before="0" w:line="259" w:lineRule="auto"/>
            </w:pPr>
            <w:r>
              <w:rPr>
                <w:rFonts w:ascii="Calibri" w:hAnsi="Calibri"/>
                <w:b w:val="0"/>
                <w:i w:val="0"/>
                <w:color w:val="212121"/>
                <w:sz w:val="16"/>
              </w:rPr>
              <w:t>Bulky, oily, foul-smelling stools (steatorrhoea) and weight loss</w:t>
            </w:r>
          </w:p>
        </w:tc>
        <w:tc>
          <w:tcPr>
            <w:tcW w:type="dxa" w:w="950"/>
            <w:vAlign w:val="top"/>
          </w:tcPr>
          <w:p>
            <w:pPr>
              <w:spacing w:after="40" w:before="0" w:line="259" w:lineRule="auto"/>
            </w:pPr>
            <w:r>
              <w:rPr>
                <w:rFonts w:ascii="Calibri" w:hAnsi="Calibri"/>
                <w:b w:val="0"/>
                <w:i w:val="0"/>
                <w:color w:val="212121"/>
                <w:sz w:val="16"/>
              </w:rPr>
              <w:t>Normal stools, stable weight</w:t>
            </w:r>
          </w:p>
        </w:tc>
        <w:tc>
          <w:tcPr>
            <w:tcW w:type="dxa" w:w="950"/>
            <w:vAlign w:val="top"/>
          </w:tcPr>
          <w:p>
            <w:pPr>
              <w:spacing w:after="40" w:before="0" w:line="259" w:lineRule="auto"/>
            </w:pPr>
            <w:r>
              <w:rPr>
                <w:rFonts w:ascii="Calibri" w:hAnsi="Calibri"/>
                <w:b w:val="0"/>
                <w:i w:val="0"/>
                <w:color w:val="212121"/>
                <w:sz w:val="16"/>
              </w:rPr>
              <w:t>Steatorrhoea with progressive weight loss</w:t>
            </w:r>
          </w:p>
        </w:tc>
        <w:tc>
          <w:tcPr>
            <w:tcW w:type="dxa" w:w="1036"/>
            <w:vAlign w:val="top"/>
          </w:tcPr>
          <w:p>
            <w:pPr>
              <w:spacing w:after="40" w:before="0" w:line="259" w:lineRule="auto"/>
            </w:pPr>
            <w:r>
              <w:rPr>
                <w:rFonts w:ascii="Calibri" w:hAnsi="Calibri"/>
                <w:b w:val="0"/>
                <w:i w:val="0"/>
                <w:color w:val="212121"/>
                <w:sz w:val="16"/>
              </w:rPr>
              <w:t>Indicates exocrine pancreatic insufficiency</w:t>
            </w:r>
          </w:p>
        </w:tc>
        <w:tc>
          <w:tcPr>
            <w:tcW w:type="dxa" w:w="1036"/>
            <w:vAlign w:val="top"/>
          </w:tcPr>
          <w:p>
            <w:pPr>
              <w:spacing w:after="40" w:before="0" w:line="259" w:lineRule="auto"/>
            </w:pPr>
            <w:r>
              <w:rPr>
                <w:rFonts w:ascii="Calibri" w:hAnsi="Calibri"/>
                <w:b w:val="0"/>
                <w:i w:val="0"/>
                <w:color w:val="212121"/>
                <w:sz w:val="16"/>
              </w:rPr>
              <w:t>Patients with fat malabsorption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Ask specifically about stool floating/oil droplets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Diabetes &amp; family history</w:t>
            </w:r>
          </w:p>
        </w:tc>
        <w:tc>
          <w:tcPr>
            <w:tcW w:type="dxa" w:w="979"/>
            <w:vAlign w:val="top"/>
          </w:tcPr>
          <w:p>
            <w:pPr>
              <w:spacing w:after="40" w:before="0" w:line="259" w:lineRule="auto"/>
            </w:pPr>
            <w:r>
              <w:rPr>
                <w:rFonts w:ascii="Calibri" w:hAnsi="Calibri"/>
                <w:b w:val="0"/>
                <w:i w:val="0"/>
                <w:color w:val="212121"/>
                <w:sz w:val="16"/>
              </w:rPr>
              <w:t>Polyuria/polydipsia; family history of pancreatitis/diabetes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Symptomatic hyperglycaemia; positive family history</w:t>
            </w:r>
          </w:p>
        </w:tc>
        <w:tc>
          <w:tcPr>
            <w:tcW w:type="dxa" w:w="1036"/>
            <w:vAlign w:val="top"/>
          </w:tcPr>
          <w:p>
            <w:pPr>
              <w:spacing w:after="40" w:before="0" w:line="259" w:lineRule="auto"/>
            </w:pPr>
            <w:r>
              <w:rPr>
                <w:rFonts w:ascii="Calibri" w:hAnsi="Calibri"/>
                <w:b w:val="0"/>
                <w:i w:val="0"/>
                <w:color w:val="212121"/>
                <w:sz w:val="16"/>
              </w:rPr>
              <w:t>Identifies FCPD stage and genetic (SPINK1) predisposition</w:t>
            </w:r>
          </w:p>
        </w:tc>
        <w:tc>
          <w:tcPr>
            <w:tcW w:type="dxa" w:w="1036"/>
            <w:vAlign w:val="top"/>
          </w:tcPr>
          <w:p>
            <w:pPr>
              <w:spacing w:after="40" w:before="0" w:line="259" w:lineRule="auto"/>
            </w:pPr>
            <w:r>
              <w:rPr>
                <w:rFonts w:ascii="Calibri" w:hAnsi="Calibri"/>
                <w:b w:val="0"/>
                <w:i w:val="0"/>
                <w:color w:val="212121"/>
                <w:sz w:val="16"/>
              </w:rPr>
              <w:t>Patients entering the diabetic stage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ketosis resistance despite high glucose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Nutritional &amp; exposure history</w:t>
            </w:r>
          </w:p>
        </w:tc>
        <w:tc>
          <w:tcPr>
            <w:tcW w:type="dxa" w:w="979"/>
            <w:vAlign w:val="top"/>
          </w:tcPr>
          <w:p>
            <w:pPr>
              <w:spacing w:after="40" w:before="0" w:line="259" w:lineRule="auto"/>
            </w:pPr>
            <w:r>
              <w:rPr>
                <w:rFonts w:ascii="Calibri" w:hAnsi="Calibri"/>
                <w:b w:val="0"/>
                <w:i w:val="0"/>
                <w:color w:val="212121"/>
                <w:sz w:val="16"/>
              </w:rPr>
              <w:t>Poverty, childhood undernutrition, cassava/tapioca staple, alcohol/tobacco absence</w:t>
            </w:r>
          </w:p>
        </w:tc>
        <w:tc>
          <w:tcPr>
            <w:tcW w:type="dxa" w:w="950"/>
            <w:vAlign w:val="top"/>
          </w:tcPr>
          <w:p>
            <w:pPr>
              <w:spacing w:after="40" w:before="0" w:line="259" w:lineRule="auto"/>
            </w:pPr>
            <w:r>
              <w:rPr>
                <w:rFonts w:ascii="Calibri" w:hAnsi="Calibri"/>
                <w:b w:val="0"/>
                <w:i w:val="0"/>
                <w:color w:val="212121"/>
                <w:sz w:val="16"/>
              </w:rPr>
              <w:t>Low-risk background</w:t>
            </w:r>
          </w:p>
        </w:tc>
        <w:tc>
          <w:tcPr>
            <w:tcW w:type="dxa" w:w="950"/>
            <w:vAlign w:val="top"/>
          </w:tcPr>
          <w:p>
            <w:pPr>
              <w:spacing w:after="40" w:before="0" w:line="259" w:lineRule="auto"/>
            </w:pPr>
            <w:r>
              <w:rPr>
                <w:rFonts w:ascii="Calibri" w:hAnsi="Calibri"/>
                <w:b w:val="0"/>
                <w:i w:val="0"/>
                <w:color w:val="212121"/>
                <w:sz w:val="16"/>
              </w:rPr>
              <w:t>Undernourished tropical background, no alcohol</w:t>
            </w:r>
          </w:p>
        </w:tc>
        <w:tc>
          <w:tcPr>
            <w:tcW w:type="dxa" w:w="1036"/>
            <w:vAlign w:val="top"/>
          </w:tcPr>
          <w:p>
            <w:pPr>
              <w:spacing w:after="40" w:before="0" w:line="259" w:lineRule="auto"/>
            </w:pPr>
            <w:r>
              <w:rPr>
                <w:rFonts w:ascii="Calibri" w:hAnsi="Calibri"/>
                <w:b w:val="0"/>
                <w:i w:val="0"/>
                <w:color w:val="212121"/>
                <w:sz w:val="16"/>
              </w:rPr>
              <w:t>Sets pre-test probability and excludes alcoholic aetiology</w:t>
            </w:r>
          </w:p>
        </w:tc>
        <w:tc>
          <w:tcPr>
            <w:tcW w:type="dxa" w:w="1036"/>
            <w:vAlign w:val="top"/>
          </w:tcPr>
          <w:p>
            <w:pPr>
              <w:spacing w:after="40" w:before="0" w:line="259" w:lineRule="auto"/>
            </w:pPr>
            <w:r>
              <w:rPr>
                <w:rFonts w:ascii="Calibri" w:hAnsi="Calibri"/>
                <w:b w:val="0"/>
                <w:i w:val="0"/>
                <w:color w:val="212121"/>
                <w:sz w:val="16"/>
              </w:rPr>
              <w:t>Tropical, low-income populations</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Non-alcoholic status is key to the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General / nutritional status</w:t>
            </w:r>
          </w:p>
        </w:tc>
        <w:tc>
          <w:tcPr>
            <w:tcW w:type="dxa" w:w="979"/>
            <w:vAlign w:val="top"/>
          </w:tcPr>
          <w:p>
            <w:pPr>
              <w:spacing w:after="40" w:before="0" w:line="259" w:lineRule="auto"/>
            </w:pPr>
            <w:r>
              <w:rPr>
                <w:rFonts w:ascii="Calibri" w:hAnsi="Calibri"/>
                <w:b w:val="0"/>
                <w:i w:val="0"/>
                <w:color w:val="212121"/>
                <w:sz w:val="16"/>
              </w:rPr>
              <w:t>Low BMI, muscle wasting, pallor, signs of vitamin deficiency</w:t>
            </w:r>
          </w:p>
        </w:tc>
        <w:tc>
          <w:tcPr>
            <w:tcW w:type="dxa" w:w="950"/>
            <w:vAlign w:val="top"/>
          </w:tcPr>
          <w:p>
            <w:pPr>
              <w:spacing w:after="40" w:before="0" w:line="259" w:lineRule="auto"/>
            </w:pPr>
            <w:r>
              <w:rPr>
                <w:rFonts w:ascii="Calibri" w:hAnsi="Calibri"/>
                <w:b w:val="0"/>
                <w:i w:val="0"/>
                <w:color w:val="212121"/>
                <w:sz w:val="16"/>
              </w:rPr>
              <w:t>Well nourished</w:t>
            </w:r>
          </w:p>
        </w:tc>
        <w:tc>
          <w:tcPr>
            <w:tcW w:type="dxa" w:w="950"/>
            <w:vAlign w:val="top"/>
          </w:tcPr>
          <w:p>
            <w:pPr>
              <w:spacing w:after="40" w:before="0" w:line="259" w:lineRule="auto"/>
            </w:pPr>
            <w:r>
              <w:rPr>
                <w:rFonts w:ascii="Calibri" w:hAnsi="Calibri"/>
                <w:b w:val="0"/>
                <w:i w:val="0"/>
                <w:color w:val="212121"/>
                <w:sz w:val="16"/>
              </w:rPr>
              <w:t>Emaciation, wasting, pallor, cheilosis, Bitot's spots</w:t>
            </w:r>
          </w:p>
        </w:tc>
        <w:tc>
          <w:tcPr>
            <w:tcW w:type="dxa" w:w="1036"/>
            <w:vAlign w:val="top"/>
          </w:tcPr>
          <w:p>
            <w:pPr>
              <w:spacing w:after="40" w:before="0" w:line="259" w:lineRule="auto"/>
            </w:pPr>
            <w:r>
              <w:rPr>
                <w:rFonts w:ascii="Calibri" w:hAnsi="Calibri"/>
                <w:b w:val="0"/>
                <w:i w:val="0"/>
                <w:color w:val="212121"/>
                <w:sz w:val="16"/>
              </w:rPr>
              <w:t>Reflects malnutrition and fat-soluble vitamin deficiency</w:t>
            </w:r>
          </w:p>
        </w:tc>
        <w:tc>
          <w:tcPr>
            <w:tcW w:type="dxa" w:w="1036"/>
            <w:vAlign w:val="top"/>
          </w:tcPr>
          <w:p>
            <w:pPr>
              <w:spacing w:after="40" w:before="0" w:line="259" w:lineRule="auto"/>
            </w:pPr>
            <w:r>
              <w:rPr>
                <w:rFonts w:ascii="Calibri" w:hAnsi="Calibri"/>
                <w:b w:val="0"/>
                <w:i w:val="0"/>
                <w:color w:val="212121"/>
                <w:sz w:val="16"/>
              </w:rPr>
              <w:t>Classical lean phenotype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Bitot's spots/night blindness signal vitamin A deficiency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Epigastric tenderness; occasional palpable mass</w:t>
            </w:r>
          </w:p>
        </w:tc>
        <w:tc>
          <w:tcPr>
            <w:tcW w:type="dxa" w:w="950"/>
            <w:vAlign w:val="top"/>
          </w:tcPr>
          <w:p>
            <w:pPr>
              <w:spacing w:after="40" w:before="0" w:line="259" w:lineRule="auto"/>
            </w:pPr>
            <w:r>
              <w:rPr>
                <w:rFonts w:ascii="Calibri" w:hAnsi="Calibri"/>
                <w:b w:val="0"/>
                <w:i w:val="0"/>
                <w:color w:val="212121"/>
                <w:sz w:val="16"/>
              </w:rPr>
              <w:t>Soft, non-tender</w:t>
            </w:r>
          </w:p>
        </w:tc>
        <w:tc>
          <w:tcPr>
            <w:tcW w:type="dxa" w:w="950"/>
            <w:vAlign w:val="top"/>
          </w:tcPr>
          <w:p>
            <w:pPr>
              <w:spacing w:after="40" w:before="0" w:line="259" w:lineRule="auto"/>
            </w:pPr>
            <w:r>
              <w:rPr>
                <w:rFonts w:ascii="Calibri" w:hAnsi="Calibri"/>
                <w:b w:val="0"/>
                <w:i w:val="0"/>
                <w:color w:val="212121"/>
                <w:sz w:val="16"/>
              </w:rPr>
              <w:t>Epigastric tenderness or a palpable mass</w:t>
            </w:r>
          </w:p>
        </w:tc>
        <w:tc>
          <w:tcPr>
            <w:tcW w:type="dxa" w:w="1036"/>
            <w:vAlign w:val="top"/>
          </w:tcPr>
          <w:p>
            <w:pPr>
              <w:spacing w:after="40" w:before="0" w:line="259" w:lineRule="auto"/>
            </w:pPr>
            <w:r>
              <w:rPr>
                <w:rFonts w:ascii="Calibri" w:hAnsi="Calibri"/>
                <w:b w:val="0"/>
                <w:i w:val="0"/>
                <w:color w:val="212121"/>
                <w:sz w:val="16"/>
              </w:rPr>
              <w:t>Local inflammation, pseudocyst or (worryingly) malignancy</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firm mass with weight loss should prompt cancer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Complication screen</w:t>
            </w:r>
          </w:p>
        </w:tc>
        <w:tc>
          <w:tcPr>
            <w:tcW w:type="dxa" w:w="979"/>
            <w:vAlign w:val="top"/>
          </w:tcPr>
          <w:p>
            <w:pPr>
              <w:spacing w:after="40" w:before="0" w:line="259" w:lineRule="auto"/>
            </w:pPr>
            <w:r>
              <w:rPr>
                <w:rFonts w:ascii="Calibri" w:hAnsi="Calibri"/>
                <w:b w:val="0"/>
                <w:i w:val="0"/>
                <w:color w:val="212121"/>
                <w:sz w:val="16"/>
              </w:rPr>
              <w:t>Icterus, ascites, bone tenderness/proximal myopathy, diabetic foot/retina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Jaundice, ascites, bone/muscle signs, neuropathy</w:t>
            </w:r>
          </w:p>
        </w:tc>
        <w:tc>
          <w:tcPr>
            <w:tcW w:type="dxa" w:w="1036"/>
            <w:vAlign w:val="top"/>
          </w:tcPr>
          <w:p>
            <w:pPr>
              <w:spacing w:after="40" w:before="0" w:line="259" w:lineRule="auto"/>
            </w:pPr>
            <w:r>
              <w:rPr>
                <w:rFonts w:ascii="Calibri" w:hAnsi="Calibri"/>
                <w:b w:val="0"/>
                <w:i w:val="0"/>
                <w:color w:val="212121"/>
                <w:sz w:val="16"/>
              </w:rPr>
              <w:t>Detects ductal obstruction, osteodystrophy and diabetic complications</w:t>
            </w:r>
          </w:p>
        </w:tc>
        <w:tc>
          <w:tcPr>
            <w:tcW w:type="dxa" w:w="1036"/>
            <w:vAlign w:val="top"/>
          </w:tcPr>
          <w:p>
            <w:pPr>
              <w:spacing w:after="40" w:before="0" w:line="259" w:lineRule="auto"/>
            </w:pPr>
            <w:r>
              <w:rPr>
                <w:rFonts w:ascii="Calibri" w:hAnsi="Calibri"/>
                <w:b w:val="0"/>
                <w:i w:val="0"/>
                <w:color w:val="212121"/>
                <w:sz w:val="16"/>
              </w:rPr>
              <w:t>Advanced or long-standing disease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Jaundice may indicate stricture or malignancy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Recurrent upper-abdominal pain radiating to the back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earliest and most characteristic symptom, often relieved by leaning forward; typically begins in childhood or adolescence.</w:t>
            </w:r>
          </w:p>
        </w:tc>
      </w:tr>
      <w:tr>
        <w:trPr>
          <w:cantSplit/>
        </w:trPr>
        <w:tc>
          <w:tcPr>
            <w:tcW w:type="dxa" w:w="2304"/>
            <w:vAlign w:val="top"/>
          </w:tcPr>
          <w:p>
            <w:pPr>
              <w:spacing w:after="40" w:before="0" w:line="259" w:lineRule="auto"/>
            </w:pPr>
            <w:r>
              <w:rPr>
                <w:rFonts w:ascii="Calibri" w:hAnsi="Calibri"/>
                <w:b/>
                <w:i w:val="0"/>
                <w:color w:val="212121"/>
                <w:sz w:val="19"/>
              </w:rPr>
              <w:t>Steatorrhoea (bulky, oily, foul-smelling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Fat maldigestion from exocrine pancreatic insufficiency; stools may float and leave an oily film.</w:t>
            </w:r>
          </w:p>
        </w:tc>
      </w:tr>
      <w:tr>
        <w:trPr>
          <w:cantSplit/>
        </w:trPr>
        <w:tc>
          <w:tcPr>
            <w:tcW w:type="dxa" w:w="2304"/>
            <w:vAlign w:val="top"/>
          </w:tcPr>
          <w:p>
            <w:pPr>
              <w:spacing w:after="40" w:before="0" w:line="259" w:lineRule="auto"/>
            </w:pPr>
            <w:r>
              <w:rPr>
                <w:rFonts w:ascii="Calibri" w:hAnsi="Calibri"/>
                <w:b/>
                <w:i w:val="0"/>
                <w:color w:val="212121"/>
                <w:sz w:val="19"/>
              </w:rPr>
              <w:t>Progressive weight loss and emaciation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Combined malabsorption, poor intake and uncontrolled diabetes drive the characteristic leanness.</w:t>
            </w:r>
          </w:p>
        </w:tc>
      </w:tr>
      <w:tr>
        <w:trPr>
          <w:cantSplit/>
        </w:trPr>
        <w:tc>
          <w:tcPr>
            <w:tcW w:type="dxa" w:w="2304"/>
            <w:vAlign w:val="top"/>
          </w:tcPr>
          <w:p>
            <w:pPr>
              <w:spacing w:after="40" w:before="0" w:line="259" w:lineRule="auto"/>
            </w:pPr>
            <w:r>
              <w:rPr>
                <w:rFonts w:ascii="Calibri" w:hAnsi="Calibri"/>
                <w:b/>
                <w:i w:val="0"/>
                <w:color w:val="212121"/>
                <w:sz w:val="19"/>
              </w:rPr>
              <w:t>Polyuria, polydipsia and polyphagia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osmotic symptoms once the disease reaches the diabetic (FCPD) stage.</w:t>
            </w:r>
          </w:p>
        </w:tc>
      </w:tr>
      <w:tr>
        <w:trPr>
          <w:cantSplit/>
        </w:trPr>
        <w:tc>
          <w:tcPr>
            <w:tcW w:type="dxa" w:w="2304"/>
            <w:vAlign w:val="top"/>
          </w:tcPr>
          <w:p>
            <w:pPr>
              <w:spacing w:after="40" w:before="0" w:line="259" w:lineRule="auto"/>
            </w:pPr>
            <w:r>
              <w:rPr>
                <w:rFonts w:ascii="Calibri" w:hAnsi="Calibri"/>
                <w:b/>
                <w:i w:val="0"/>
                <w:color w:val="212121"/>
                <w:sz w:val="19"/>
              </w:rPr>
              <w:t>Abdominal bloating / distension and flatulence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Maldigestion of nutrients causes gas, bloating and abdominal discomfort.</w:t>
            </w:r>
          </w:p>
        </w:tc>
      </w:tr>
      <w:tr>
        <w:trPr>
          <w:cantSplit/>
        </w:trPr>
        <w:tc>
          <w:tcPr>
            <w:tcW w:type="dxa" w:w="2304"/>
            <w:vAlign w:val="top"/>
          </w:tcPr>
          <w:p>
            <w:pPr>
              <w:spacing w:after="40" w:before="0" w:line="259" w:lineRule="auto"/>
            </w:pPr>
            <w:r>
              <w:rPr>
                <w:rFonts w:ascii="Calibri" w:hAnsi="Calibri"/>
                <w:b/>
                <w:i w:val="0"/>
                <w:color w:val="212121"/>
                <w:sz w:val="19"/>
              </w:rPr>
              <w:t>Anorexia and 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Accompany pain flares and chronic pancreatic inflammation.</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Result from malnutrition, anaemia and poor glycaemic control.</w:t>
            </w:r>
          </w:p>
        </w:tc>
      </w:tr>
      <w:tr>
        <w:trPr>
          <w:cantSplit/>
        </w:trPr>
        <w:tc>
          <w:tcPr>
            <w:tcW w:type="dxa" w:w="2304"/>
            <w:vAlign w:val="top"/>
          </w:tcPr>
          <w:p>
            <w:pPr>
              <w:spacing w:after="40" w:before="0" w:line="259" w:lineRule="auto"/>
            </w:pPr>
            <w:r>
              <w:rPr>
                <w:rFonts w:ascii="Calibri" w:hAnsi="Calibri"/>
                <w:b/>
                <w:i w:val="0"/>
                <w:color w:val="212121"/>
                <w:sz w:val="19"/>
              </w:rPr>
              <w:t>Vomiting during acute-on-chronic attacks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Accompanies severe pain exacerbations.</w:t>
            </w:r>
          </w:p>
        </w:tc>
      </w:tr>
      <w:tr>
        <w:trPr>
          <w:cantSplit/>
        </w:trPr>
        <w:tc>
          <w:tcPr>
            <w:tcW w:type="dxa" w:w="2304"/>
            <w:vAlign w:val="top"/>
          </w:tcPr>
          <w:p>
            <w:pPr>
              <w:spacing w:after="40" w:before="0" w:line="259" w:lineRule="auto"/>
            </w:pPr>
            <w:r>
              <w:rPr>
                <w:rFonts w:ascii="Calibri" w:hAnsi="Calibri"/>
                <w:b/>
                <w:i w:val="0"/>
                <w:color w:val="212121"/>
                <w:sz w:val="19"/>
              </w:rPr>
              <w:t>Night blindness / features of fat-soluble vitamin deficiency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Vitamin A deficiency causes night blindness; vitamins D, E and K deficiencies may also occur.</w:t>
            </w:r>
          </w:p>
        </w:tc>
      </w:tr>
      <w:tr>
        <w:trPr>
          <w:cantSplit/>
        </w:trPr>
        <w:tc>
          <w:tcPr>
            <w:tcW w:type="dxa" w:w="2304"/>
            <w:vAlign w:val="top"/>
          </w:tcPr>
          <w:p>
            <w:pPr>
              <w:spacing w:after="40" w:before="0" w:line="259" w:lineRule="auto"/>
            </w:pPr>
            <w:r>
              <w:rPr>
                <w:rFonts w:ascii="Calibri" w:hAnsi="Calibri"/>
                <w:b/>
                <w:i w:val="0"/>
                <w:color w:val="212121"/>
                <w:sz w:val="19"/>
              </w:rPr>
              <w:t>Bone pain / proximal muscle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vitamin D deficiency and pancreatic osteodystrophy/osteomalacia.</w:t>
            </w:r>
          </w:p>
        </w:tc>
      </w:tr>
      <w:tr>
        <w:trPr>
          <w:cantSplit/>
        </w:trPr>
        <w:tc>
          <w:tcPr>
            <w:tcW w:type="dxa" w:w="2304"/>
            <w:vAlign w:val="top"/>
          </w:tcPr>
          <w:p>
            <w:pPr>
              <w:spacing w:after="40" w:before="0" w:line="259" w:lineRule="auto"/>
            </w:pPr>
            <w:r>
              <w:rPr>
                <w:rFonts w:ascii="Calibri" w:hAnsi="Calibri"/>
                <w:b/>
                <w:i w:val="0"/>
                <w:color w:val="212121"/>
                <w:sz w:val="19"/>
              </w:rPr>
              <w:t>Obstructive jaundice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follow a distal bile-duct stricture or, importantly, a pancreatic head malignancy.</w:t>
            </w:r>
          </w:p>
        </w:tc>
      </w:tr>
      <w:tr>
        <w:trPr>
          <w:cantSplit/>
        </w:trPr>
        <w:tc>
          <w:tcPr>
            <w:tcW w:type="dxa" w:w="2304"/>
            <w:vAlign w:val="top"/>
          </w:tcPr>
          <w:p>
            <w:pPr>
              <w:spacing w:after="40" w:before="0" w:line="259" w:lineRule="auto"/>
            </w:pPr>
            <w:r>
              <w:rPr>
                <w:rFonts w:ascii="Calibri" w:hAnsi="Calibri"/>
                <w:b/>
                <w:i w:val="0"/>
                <w:color w:val="212121"/>
                <w:sz w:val="19"/>
              </w:rPr>
              <w:t>Painless presentation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minority present without pain, sometimes discovered when diabetes or calcification is found incidentally.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Low BMI / generalised wasting and emaciation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lean, undernourished body habitus that distinguishes TCP from type 2 diabetes.</w:t>
            </w:r>
          </w:p>
        </w:tc>
      </w:tr>
      <w:tr>
        <w:trPr>
          <w:cantSplit/>
        </w:trPr>
        <w:tc>
          <w:tcPr>
            <w:tcW w:type="dxa" w:w="3456"/>
            <w:vAlign w:val="top"/>
          </w:tcPr>
          <w:p>
            <w:pPr>
              <w:spacing w:after="40" w:before="0" w:line="259" w:lineRule="auto"/>
            </w:pPr>
            <w:r>
              <w:rPr>
                <w:rFonts w:ascii="Calibri" w:hAnsi="Calibri"/>
                <w:b/>
                <w:i w:val="0"/>
                <w:color w:val="212121"/>
                <w:sz w:val="19"/>
              </w:rPr>
              <w:t>Epigastric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underlying pancreatic inflammation, especially during flares.</w:t>
            </w:r>
          </w:p>
        </w:tc>
      </w:tr>
      <w:tr>
        <w:trPr>
          <w:cantSplit/>
        </w:trPr>
        <w:tc>
          <w:tcPr>
            <w:tcW w:type="dxa" w:w="3456"/>
            <w:vAlign w:val="top"/>
          </w:tcPr>
          <w:p>
            <w:pPr>
              <w:spacing w:after="40" w:before="0" w:line="259" w:lineRule="auto"/>
            </w:pPr>
            <w:r>
              <w:rPr>
                <w:rFonts w:ascii="Calibri" w:hAnsi="Calibri"/>
                <w:b/>
                <w:i w:val="0"/>
                <w:color w:val="212121"/>
                <w:sz w:val="19"/>
              </w:rPr>
              <w:t>Pallor and signs of anaemia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chronic undernutrition and micronutrient deficiency.</w:t>
            </w:r>
          </w:p>
        </w:tc>
      </w:tr>
      <w:tr>
        <w:trPr>
          <w:cantSplit/>
        </w:trPr>
        <w:tc>
          <w:tcPr>
            <w:tcW w:type="dxa" w:w="3456"/>
            <w:vAlign w:val="top"/>
          </w:tcPr>
          <w:p>
            <w:pPr>
              <w:spacing w:after="40" w:before="0" w:line="259" w:lineRule="auto"/>
            </w:pPr>
            <w:r>
              <w:rPr>
                <w:rFonts w:ascii="Calibri" w:hAnsi="Calibri"/>
                <w:b/>
                <w:i w:val="0"/>
                <w:color w:val="212121"/>
                <w:sz w:val="19"/>
              </w:rPr>
              <w:t>Signs of fat-soluble vitamin deficiency (Bitot's spots, cheilosis, glossitis)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Bitot's spots and night blindness indicate vitamin A deficiency from fat malabsorption.</w:t>
            </w:r>
          </w:p>
        </w:tc>
      </w:tr>
      <w:tr>
        <w:trPr>
          <w:cantSplit/>
        </w:trPr>
        <w:tc>
          <w:tcPr>
            <w:tcW w:type="dxa" w:w="3456"/>
            <w:vAlign w:val="top"/>
          </w:tcPr>
          <w:p>
            <w:pPr>
              <w:spacing w:after="40" w:before="0" w:line="259" w:lineRule="auto"/>
            </w:pPr>
            <w:r>
              <w:rPr>
                <w:rFonts w:ascii="Calibri" w:hAnsi="Calibri"/>
                <w:b/>
                <w:i w:val="0"/>
                <w:color w:val="212121"/>
                <w:sz w:val="19"/>
              </w:rPr>
              <w:t>Palpable epigastric mass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represent a pseudocyst or, worryingly, a pancreatic malignancy - warrants imaging.</w:t>
            </w:r>
          </w:p>
        </w:tc>
      </w:tr>
      <w:tr>
        <w:trPr>
          <w:cantSplit/>
        </w:trPr>
        <w:tc>
          <w:tcPr>
            <w:tcW w:type="dxa" w:w="3456"/>
            <w:vAlign w:val="top"/>
          </w:tcPr>
          <w:p>
            <w:pPr>
              <w:spacing w:after="40" w:before="0" w:line="259" w:lineRule="auto"/>
            </w:pPr>
            <w:r>
              <w:rPr>
                <w:rFonts w:ascii="Calibri" w:hAnsi="Calibri"/>
                <w:b/>
                <w:i w:val="0"/>
                <w:color w:val="212121"/>
                <w:sz w:val="19"/>
              </w:rPr>
              <w:t>Peripheral neuropathy on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diabetic neuropathy (with longer survival) and coexisting B-vitamin deficiency.</w:t>
            </w:r>
          </w:p>
        </w:tc>
      </w:tr>
      <w:tr>
        <w:trPr>
          <w:cantSplit/>
        </w:trPr>
        <w:tc>
          <w:tcPr>
            <w:tcW w:type="dxa" w:w="3456"/>
            <w:vAlign w:val="top"/>
          </w:tcPr>
          <w:p>
            <w:pPr>
              <w:spacing w:after="40" w:before="0" w:line="259" w:lineRule="auto"/>
            </w:pPr>
            <w:r>
              <w:rPr>
                <w:rFonts w:ascii="Calibri" w:hAnsi="Calibri"/>
                <w:b/>
                <w:i w:val="0"/>
                <w:color w:val="212121"/>
                <w:sz w:val="19"/>
              </w:rPr>
              <w:t>Bone tenderness / proximal myopathy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Features of pancreatic osteodystrophy and vitamin D deficiency osteomalacia.</w:t>
            </w:r>
          </w:p>
        </w:tc>
      </w:tr>
      <w:tr>
        <w:trPr>
          <w:cantSplit/>
        </w:trPr>
        <w:tc>
          <w:tcPr>
            <w:tcW w:type="dxa" w:w="3456"/>
            <w:vAlign w:val="top"/>
          </w:tcPr>
          <w:p>
            <w:pPr>
              <w:spacing w:after="40" w:before="0" w:line="259" w:lineRule="auto"/>
            </w:pPr>
            <w:r>
              <w:rPr>
                <w:rFonts w:ascii="Calibri" w:hAnsi="Calibri"/>
                <w:b/>
                <w:i w:val="0"/>
                <w:color w:val="212121"/>
                <w:sz w:val="19"/>
              </w:rPr>
              <w:t>Icterus (scleral/skin jaundice)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bile-duct obstruction from a stricture or pancreatic head cancer.</w:t>
            </w:r>
          </w:p>
        </w:tc>
      </w:tr>
      <w:tr>
        <w:trPr>
          <w:cantSplit/>
        </w:trPr>
        <w:tc>
          <w:tcPr>
            <w:tcW w:type="dxa" w:w="3456"/>
            <w:vAlign w:val="top"/>
          </w:tcPr>
          <w:p>
            <w:pPr>
              <w:spacing w:after="40" w:before="0" w:line="259" w:lineRule="auto"/>
            </w:pPr>
            <w:r>
              <w:rPr>
                <w:rFonts w:ascii="Calibri" w:hAnsi="Calibri"/>
                <w:b/>
                <w:i w:val="0"/>
                <w:color w:val="212121"/>
                <w:sz w:val="19"/>
              </w:rPr>
              <w:t>Diabetic retinopathy on fundoscopy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Microvascular complications appear as patients survive longer with FCPD.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acute-on-chronic pancreatitis and intractable abdominal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Large intraductal pancreatic calculi with ductal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pancreatic fibrosis and atrophy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pseudocyst</w:t>
            </w:r>
          </w:p>
        </w:tc>
        <w:tc>
          <w:tcPr>
            <w:tcW w:type="dxa" w:w="2980"/>
            <w:vAlign w:val="top"/>
          </w:tcPr>
          <w:p>
            <w:pPr>
              <w:spacing w:after="40" w:before="0" w:line="259" w:lineRule="auto"/>
            </w:pPr>
            <w:r>
              <w:rPr>
                <w:rFonts w:ascii="Calibri" w:hAnsi="Calibri"/>
                <w:b w:val="0"/>
                <w:i w:val="0"/>
                <w:color w:val="212121"/>
                <w:sz w:val="19"/>
              </w:rPr>
              <w:t>Direct structural consequences of ongoing calcific pancreatic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Fibrocalculous pancreatic diabetes (endocrine insufficiency), often brittle with hypoglycaemia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Exocrine pancreatic insufficiency with steatorrhoea and malabsorption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and fat-soluble vitamin (A, D, E, K)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osteodystrophy / osteoporosis and metabolic bone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Common bile-duct or duodenal obstruction; splenic-vein thrombosis</w:t>
            </w:r>
          </w:p>
        </w:tc>
        <w:tc>
          <w:tcPr>
            <w:tcW w:type="dxa" w:w="2980"/>
            <w:vAlign w:val="top"/>
          </w:tcPr>
          <w:p>
            <w:pPr>
              <w:spacing w:after="40" w:before="0" w:line="259" w:lineRule="auto"/>
            </w:pPr>
            <w:r>
              <w:rPr>
                <w:rFonts w:ascii="Calibri" w:hAnsi="Calibri"/>
                <w:b w:val="0"/>
                <w:i w:val="0"/>
                <w:color w:val="212121"/>
                <w:sz w:val="19"/>
              </w:rPr>
              <w:t>Arise from loss of endocrine and exocrine pancreatic function and local mass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Pancreatic ductal adenocarcinoma (the most feared complication)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microvascular complications (retinopathy, nephropathy, neuropathy) with longer survival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cachexia and immune compromise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Chronic-pain-related disability, opioid dependence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w:t>
            </w:r>
          </w:p>
        </w:tc>
        <w:tc>
          <w:tcPr>
            <w:tcW w:type="dxa" w:w="2980"/>
            <w:vAlign w:val="top"/>
          </w:tcPr>
          <w:p>
            <w:pPr>
              <w:spacing w:after="40" w:before="0" w:line="259" w:lineRule="auto"/>
            </w:pPr>
            <w:r>
              <w:rPr>
                <w:rFonts w:ascii="Calibri" w:hAnsi="Calibri"/>
                <w:b w:val="0"/>
                <w:i w:val="0"/>
                <w:color w:val="212121"/>
                <w:sz w:val="19"/>
              </w:rPr>
              <w:t>Irreversible, life-limiting outcomes of long-standing disease and its malignant potential.</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Fibrocalculous pancreatic diabetes (FCPD)</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endocrine stage of TCP; ketosis-resistant but usually insulin-requiring diabetes.</w:t>
            </w:r>
          </w:p>
          <w:p>
            <w:pPr>
              <w:spacing w:after="40" w:before="0" w:line="259" w:lineRule="auto"/>
            </w:pPr>
            <w:r>
              <w:rPr>
                <w:rFonts w:ascii="Calibri" w:hAnsi="Calibri"/>
                <w:b/>
                <w:i w:val="0"/>
                <w:color w:val="212121"/>
                <w:sz w:val="19"/>
              </w:rPr>
              <w:t>&gt;85% need insulin</w:t>
            </w:r>
          </w:p>
        </w:tc>
      </w:tr>
      <w:tr>
        <w:trPr>
          <w:cantSplit/>
        </w:trPr>
        <w:tc>
          <w:tcPr>
            <w:tcW w:type="dxa" w:w="2232"/>
            <w:vAlign w:val="top"/>
          </w:tcPr>
          <w:p>
            <w:pPr>
              <w:spacing w:after="40" w:before="0" w:line="259" w:lineRule="auto"/>
            </w:pPr>
            <w:r>
              <w:rPr>
                <w:rFonts w:ascii="Calibri" w:hAnsi="Calibri"/>
                <w:b/>
                <w:i w:val="0"/>
                <w:color w:val="212121"/>
                <w:sz w:val="19"/>
              </w:rPr>
              <w:t>Exocrine pancreatic insufficiency / steatorrhoea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Loss of acinar tissue causes fat and protein maldigestion requiring enzyme replacement.</w:t>
            </w:r>
          </w:p>
          <w:p>
            <w:pPr>
              <w:spacing w:after="40" w:before="0" w:line="259" w:lineRule="auto"/>
            </w:pPr>
            <w:r>
              <w:rPr>
                <w:rFonts w:ascii="Calibri" w:hAnsi="Calibri"/>
                <w:b/>
                <w:i w:val="0"/>
                <w:color w:val="212121"/>
                <w:sz w:val="19"/>
              </w:rPr>
              <w:t>Majority over time</w:t>
            </w:r>
          </w:p>
        </w:tc>
      </w:tr>
      <w:tr>
        <w:trPr>
          <w:cantSplit/>
        </w:trPr>
        <w:tc>
          <w:tcPr>
            <w:tcW w:type="dxa" w:w="2232"/>
            <w:vAlign w:val="top"/>
          </w:tcPr>
          <w:p>
            <w:pPr>
              <w:spacing w:after="40" w:before="0" w:line="259" w:lineRule="auto"/>
            </w:pPr>
            <w:r>
              <w:rPr>
                <w:rFonts w:ascii="Calibri" w:hAnsi="Calibri"/>
                <w:b/>
                <w:i w:val="0"/>
                <w:color w:val="212121"/>
                <w:sz w:val="19"/>
              </w:rPr>
              <w:t>Pancreatic ductal calculi / calcification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Large intraductal calcium stones are the pathognomonic structural hallmark.</w:t>
            </w:r>
          </w:p>
        </w:tc>
      </w:tr>
      <w:tr>
        <w:trPr>
          <w:cantSplit/>
        </w:trPr>
        <w:tc>
          <w:tcPr>
            <w:tcW w:type="dxa" w:w="2232"/>
            <w:vAlign w:val="top"/>
          </w:tcPr>
          <w:p>
            <w:pPr>
              <w:spacing w:after="40" w:before="0" w:line="259" w:lineRule="auto"/>
            </w:pPr>
            <w:r>
              <w:rPr>
                <w:rFonts w:ascii="Calibri" w:hAnsi="Calibri"/>
                <w:b/>
                <w:i w:val="0"/>
                <w:color w:val="212121"/>
                <w:sz w:val="19"/>
              </w:rPr>
              <w:t>Pancreatic carcinoma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Substantially increased lifetime risk, disproportionately high in women.</w:t>
            </w:r>
          </w:p>
          <w:p>
            <w:pPr>
              <w:spacing w:after="40" w:before="0" w:line="259" w:lineRule="auto"/>
            </w:pPr>
            <w:r>
              <w:rPr>
                <w:rFonts w:ascii="Calibri" w:hAnsi="Calibri"/>
                <w:b/>
                <w:i w:val="0"/>
                <w:color w:val="212121"/>
                <w:sz w:val="19"/>
              </w:rPr>
              <w:t>~8% in tropical-pancreatitis series</w:t>
            </w:r>
          </w:p>
        </w:tc>
      </w:tr>
      <w:tr>
        <w:trPr>
          <w:cantSplit/>
        </w:trPr>
        <w:tc>
          <w:tcPr>
            <w:tcW w:type="dxa" w:w="2232"/>
            <w:vAlign w:val="top"/>
          </w:tcPr>
          <w:p>
            <w:pPr>
              <w:spacing w:after="40" w:before="0" w:line="259" w:lineRule="auto"/>
            </w:pPr>
            <w:r>
              <w:rPr>
                <w:rFonts w:ascii="Calibri" w:hAnsi="Calibri"/>
                <w:b/>
                <w:i w:val="0"/>
                <w:color w:val="212121"/>
                <w:sz w:val="19"/>
              </w:rPr>
              <w:t>Fat-soluble vitamin deficiency (A, D, E, K)</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Consequence of fat malabsorption; vitamin A deficiency causes night blindness.</w:t>
            </w:r>
          </w:p>
        </w:tc>
      </w:tr>
      <w:tr>
        <w:trPr>
          <w:cantSplit/>
        </w:trPr>
        <w:tc>
          <w:tcPr>
            <w:tcW w:type="dxa" w:w="2232"/>
            <w:vAlign w:val="top"/>
          </w:tcPr>
          <w:p>
            <w:pPr>
              <w:spacing w:after="40" w:before="0" w:line="259" w:lineRule="auto"/>
            </w:pPr>
            <w:r>
              <w:rPr>
                <w:rFonts w:ascii="Calibri" w:hAnsi="Calibri"/>
                <w:b/>
                <w:i w:val="0"/>
                <w:color w:val="212121"/>
                <w:sz w:val="19"/>
              </w:rPr>
              <w:t>Vitamin D deficiency / pancreatic osteodystrophy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Very common in chronic non-alcoholic pancreatitis and drives metabolic bone disease.</w:t>
            </w:r>
          </w:p>
          <w:p>
            <w:pPr>
              <w:spacing w:after="40" w:before="0" w:line="259" w:lineRule="auto"/>
            </w:pPr>
            <w:r>
              <w:rPr>
                <w:rFonts w:ascii="Calibri" w:hAnsi="Calibri"/>
                <w:b/>
                <w:i w:val="0"/>
                <w:color w:val="212121"/>
                <w:sz w:val="19"/>
              </w:rPr>
              <w:t>Up to ~88% in one Indian cohort</w:t>
            </w:r>
          </w:p>
        </w:tc>
      </w:tr>
      <w:tr>
        <w:trPr>
          <w:cantSplit/>
        </w:trPr>
        <w:tc>
          <w:tcPr>
            <w:tcW w:type="dxa" w:w="2232"/>
            <w:vAlign w:val="top"/>
          </w:tcPr>
          <w:p>
            <w:pPr>
              <w:spacing w:after="40" w:before="0" w:line="259" w:lineRule="auto"/>
            </w:pPr>
            <w:r>
              <w:rPr>
                <w:rFonts w:ascii="Calibri" w:hAnsi="Calibri"/>
                <w:b/>
                <w:i w:val="0"/>
                <w:color w:val="212121"/>
                <w:sz w:val="19"/>
              </w:rPr>
              <w:t>Protein-energy malnutrition / low BMI</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Both a background risk factor and a consequence of malabsorption and diabetes.</w:t>
            </w:r>
          </w:p>
        </w:tc>
      </w:tr>
      <w:tr>
        <w:trPr>
          <w:cantSplit/>
        </w:trPr>
        <w:tc>
          <w:tcPr>
            <w:tcW w:type="dxa" w:w="2232"/>
            <w:vAlign w:val="top"/>
          </w:tcPr>
          <w:p>
            <w:pPr>
              <w:spacing w:after="40" w:before="0" w:line="259" w:lineRule="auto"/>
            </w:pPr>
            <w:r>
              <w:rPr>
                <w:rFonts w:ascii="Calibri" w:hAnsi="Calibri"/>
                <w:b/>
                <w:i w:val="0"/>
                <w:color w:val="212121"/>
                <w:sz w:val="19"/>
              </w:rPr>
              <w:t>Diabetic microvascular disease (retinopathy, nephropathy, neuropathy)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Emerges as survival improves with modern endocrine and exocrine care.</w:t>
            </w:r>
          </w:p>
        </w:tc>
      </w:tr>
      <w:tr>
        <w:trPr>
          <w:cantSplit/>
        </w:trPr>
        <w:tc>
          <w:tcPr>
            <w:tcW w:type="dxa" w:w="2232"/>
            <w:vAlign w:val="top"/>
          </w:tcPr>
          <w:p>
            <w:pPr>
              <w:spacing w:after="40" w:before="0" w:line="259" w:lineRule="auto"/>
            </w:pPr>
            <w:r>
              <w:rPr>
                <w:rFonts w:ascii="Calibri" w:hAnsi="Calibri"/>
                <w:b/>
                <w:i w:val="0"/>
                <w:color w:val="212121"/>
                <w:sz w:val="19"/>
              </w:rPr>
              <w:t>Depression / chronic pain syndrome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intractable pain and lifelong illness impair mental health and quality of life.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tropical calcific pancreatitis is a non-alcoholic disease of young, lean people from tropical regions, and that recurrent childhood/adolescent abdominal pain radiating to the back should be investigated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warning signs of the diabetic (FCPD) stage - excessive thirst, frequent urination, weight loss and fatigue - and seek timely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identify steatorrhoea (bulky, oily, foul-smelling, floating stools) as a sign of pancreatic insufficiency that needs enzyme replacement, not just a change of diet.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of the substantially increased risk of pancreatic cancer, and report any new or worsening pain, jaundice or disproportionate weight loss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childhood nutrition is adequate in protein and antioxidant-rich foods in high-risk families and communities.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lean patients from tropical/southern-Indian regions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undernourished rural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known chronic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 of TCP/FCPD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pancreatic enzyme replacement therapy (PERT) with every meal and snack to control steatorrhoea and improve nutrient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an adequate-calorie, adequate-protein diet - do NOT calorie-restrict lean patients - with fat taken alongside enzymes rather than severely restricted.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Supplement fat-soluble vitamins (A, D, E, K), calcium and other micronutrients, and treat vitamin D deficiency to protect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 evenly and coordinate meals with insulin to reduce brittle swings and hypoglycaemia.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cassava/tapioca as a dominant staple and prefer a varied, antioxidant-rich diet.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exocrine insufficiency/steatorrhoea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 with low BMI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FCPD on insulin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vitamin D/fat-soluble vitamin deficiency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childhood and adolescent protein-energy nutrition in high-risk tropical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antioxidant-rich foods (fruits, vegetables, sources of selenium, vitamins C and E) to counter the oxidative-stress mechanism.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making cassava/tapioca the dominant dietary staple, especially in protein-deficient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food security and dietary diversity to reduce the malnutrition that underlies the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high-incidence regions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dependent on cassava staples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 although TCP is non-alcoholic, any intake accelerates pancreatic injury and pain and confounds the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completely during and after acute-on-chronic pancreatitis attacks.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TCP/FCPD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pain flares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or use tobacco; smoking accelerates pancreatic calcification, disease progression and pancreatic-cancer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tobacco-cessation support to any patient who smokes, given their already elevated cancer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TCP/FCPD patients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(bidi/cigarette)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gentle, regular activity to preserve muscle mass and improve insulin sensitivity, while avoiding excessive energy expenditure in undernourished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resistance/strengthening work to counter wasting, coordinated with adequate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Weight-bearing activity supports bone health in patients with pancreatic osteodystrophy.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Lean patients with muscle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FCPD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metabolic bone disease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routine and treat nocturnal pain and glycaemic swings that disrupt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night-time hypoglycaemia with appropriate insulin adjustment and bedtime snacks.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Insulin-treated FCPD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with chronic intractable pain and lifelong insulin-requiring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multidisciplinary pain-management approach (non-opioid analgesia, antioxidants, endoscopic/surgical options) to limit opioid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social support for the burden of a chronic, cancer-associated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facing repeated procedures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cancer-risk anxiety</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78126/" TargetMode="External"/><Relationship Id="rId10" Type="http://schemas.openxmlformats.org/officeDocument/2006/relationships/hyperlink" Target="https://actascientific.com/ASGIS/pdf/ASGIS-02-0070.pdf" TargetMode="External"/><Relationship Id="rId11" Type="http://schemas.openxmlformats.org/officeDocument/2006/relationships/hyperlink" Target="https://link.springer.com/article/10.1007/s13410-018-0638-x" TargetMode="External"/><Relationship Id="rId12" Type="http://schemas.openxmlformats.org/officeDocument/2006/relationships/hyperlink" Target="https://pubmed.ncbi.nlm.nih.gov/21922874/" TargetMode="External"/><Relationship Id="rId13" Type="http://schemas.openxmlformats.org/officeDocument/2006/relationships/hyperlink" Target="https://pubmed.ncbi.nlm.nih.gov/8303214/" TargetMode="External"/><Relationship Id="rId14" Type="http://schemas.openxmlformats.org/officeDocument/2006/relationships/hyperlink" Target="https://www.ncbi.nlm.nih.gov/pmc/articles/PMC4265589/" TargetMode="External"/><Relationship Id="rId15" Type="http://schemas.openxmlformats.org/officeDocument/2006/relationships/hyperlink" Target="https://drmohans.com/fibrocalculous-pancreatic-diabetes/" TargetMode="External"/><Relationship Id="rId16" Type="http://schemas.openxmlformats.org/officeDocument/2006/relationships/hyperlink" Target="https://www.ijsurgery.com/index.php/isj/article/download/4210/2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