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Soil-Transmitted Helminthiasis</w:t>
      </w:r>
    </w:p>
    <w:p>
      <w:pPr>
        <w:spacing w:before="0" w:after="160"/>
      </w:pPr>
      <w:r>
        <w:rPr>
          <w:rFonts w:ascii="Calibri" w:hAnsi="Calibri"/>
          <w:b/>
          <w:i w:val="0"/>
          <w:color w:val="212121"/>
          <w:sz w:val="22"/>
        </w:rPr>
        <w:t xml:space="preserve">AKA </w:t>
      </w:r>
      <w:r>
        <w:rPr>
          <w:rFonts w:ascii="Calibri" w:hAnsi="Calibri"/>
          <w:b w:val="0"/>
          <w:i w:val="0"/>
          <w:color w:val="212121"/>
          <w:sz w:val="22"/>
        </w:rPr>
        <w:t>i.e., Intestinal worms, STH, Geohelminthiasis, Ascariasis (roundworm), Hookworm disease (ancylostomiasis / necatoriasis), Trichuriasis (whipworm), "Pet ke keede", Krimi roga (Ayurvedic)</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Soil-transmitted helminthiasis (STH) is a group of chronic intestinal infections caused by parasitic nematodes whose eggs or larvae mature in warm, moist soil contaminated by human faeces. The three principal agents are the roundworm Ascaris lumbricoides, the whipworm Trichuris trichiura and the hookworms Necator americanus and Ancylostoma duodenale. Infection follows ingestion of embryonated eggs from contaminated soil, food, water or hands (Ascaris, Trichuris) or active skin penetration by hookworm larvae from faecally contaminated soil (classically barefoot contact). Light infections are often asymptomatic, but a heavy or chronic worm burden causes anaemia, protein-energy malnutrition, impaired growth and cognition, and, in severe cases, intestinal obstruction or rectal prolapse - with children bearing the greatest morbidity.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carries one of the world's largest burdens of soil-transmitted helminthiasis; roughly 20-30% of children are infected, which is why India runs the world's largest deworming programme - the National Deworming Day (launched 2015), delivering albendazole 400 mg to children and adolescents aged 1-19 years. A systematic review of 39 Indian cross-sectional studies (25,754 stool samples across 19 states) documented wide regional variation: Ascaris lumbricoides 0.6-91%, Trichuris trichiura 0.7-72% and hookworm 0.02-52%. Six states - Jammu &amp; Kashmir, Assam, Bihar, Tamil Nadu, West Bengal and Andhra Pradesh - recorded prevalence above 50% and together account for about 30% of India's population, and nearly 85% of the studies reported infection in children. Globally the WHO estimates that about 1.5 billion people (24% of the world's population) are infected, with over 260 million preschool-age and 654 million school-age children living in areas needing preventive chemotherapy.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STH is diagnosed by detecting characteristic helminth eggs in stool and grading infection intensity, supported by tests for the anaemia and malnutrition it causes: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microscopy - direct saline/iodine wet mount to detect and identify the characteristic eggs (bile-stained mammillated Ascaris ova, barrel-shaped bipolar-plugged Trichuris ova, thin-shelled oval hookworm ova);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Kato-Katz thick smear - the WHO-recommended quantitative method that expresses egg burden as eggs per gram of faeces (EPG) to grade intensity (light / moderate / heavy) and monitor deworming impact;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Concentration techniques (formol-ether sedimentation, Willis or saturated-salt flotation, McMaster or Mini-FLOTAC) to raise sensitivity in light infections;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WHO intensity thresholds (EPG): Ascaris - light 1-4,999, moderate 5,000-49,999, heavy &gt;=50,000; Trichuris - light 1-999, moderate 1,000-9,999, heavy &gt;=10,000; hookworm - light 1-1,999, moderate 2,000-3,999, heavy &gt;=4,000;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Complete blood count - eosinophilia (marked during larval tissue migration) and microcytic hypochromic anaemia (chiefly hookworm); haemoglobin, serum ferritin and iron studies quantify iron-deficiency anaemia;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Direct identification of an adult worm passed in stool or vomit (Ascaris), and imaging (ultrasound / plain X-ray / contrast) for complications such as an Ascaris bolus causing intestinal obstruction or biliary/pancreatic ascariasis.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STH is classified both by the causative species and, for public-health and treatment decisions, by WHO infection-intensity category:</w:t>
      </w:r>
    </w:p>
    <w:p>
      <w:pPr>
        <w:spacing w:before="0" w:after="80"/>
      </w:pPr>
      <w:r>
        <w:rPr>
          <w:rFonts w:ascii="Calibri" w:hAnsi="Calibri"/>
          <w:b w:val="0"/>
          <w:i w:val="0"/>
          <w:color w:val="212121"/>
          <w:sz w:val="21"/>
        </w:rPr>
        <w:t>(1) Ascariasis (Ascaris lumbricoides, roundworm) - the largest of the three worms; acquired by swallowing embryonated eggs, with a lung migratory phase (Loffler syndrome) and a heavy burden capable of causing intestinal, biliary or pancreatic obstruction, especially in preschool children;</w:t>
      </w:r>
    </w:p>
    <w:p>
      <w:pPr>
        <w:spacing w:before="0" w:after="80"/>
      </w:pPr>
      <w:r>
        <w:rPr>
          <w:rFonts w:ascii="Calibri" w:hAnsi="Calibri"/>
          <w:b w:val="0"/>
          <w:i w:val="0"/>
          <w:color w:val="212121"/>
          <w:sz w:val="21"/>
        </w:rPr>
        <w:t>(2) Trichuriasis (Trichuris trichiura, whipworm) - acquired by ingesting eggs; worms embed in the colonic mucosa and a heavy load causes chronic mucoid, bloody diarrhoea (Trichuris dysentery syndrome), tenesmus, growth faltering and rectal prolapse in children;</w:t>
      </w:r>
    </w:p>
    <w:p>
      <w:pPr>
        <w:spacing w:before="0" w:after="80"/>
      </w:pPr>
      <w:r>
        <w:rPr>
          <w:rFonts w:ascii="Calibri" w:hAnsi="Calibri"/>
          <w:b w:val="0"/>
          <w:i w:val="0"/>
          <w:color w:val="212121"/>
          <w:sz w:val="21"/>
        </w:rPr>
        <w:t>(3) Hookworm disease (Necator americanus, Ancylostoma duodenale) - larvae penetrate skin (usually bare feet), migrate through the lungs and mature in the small intestine where they suck blood, making hookworm the leading helminthic cause of iron-deficiency anaemia and hypoproteinaemia; and</w:t>
      </w:r>
    </w:p>
    <w:p>
      <w:pPr>
        <w:spacing w:before="0" w:after="80"/>
      </w:pPr>
      <w:r>
        <w:rPr>
          <w:rFonts w:ascii="Calibri" w:hAnsi="Calibri"/>
          <w:b w:val="0"/>
          <w:i w:val="0"/>
          <w:color w:val="212121"/>
          <w:sz w:val="21"/>
        </w:rPr>
        <w:t>(4) Intensity-based classification (WHO) - light, moderate or heavy infection defined by eggs per gram of faeces, since morbidity is concentrated in moderate-to-heavy infections and this grading drives the frequency of preventive chemotherapy (annual vs biannual mass deworming).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Faecal contamination of soil (open defecation): Eggs/larvae passed in the stool of infected people contaminate soil and mature over about 3 weeks; open defecation and inadequate sanitation are the root cause of transmission.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Poverty and poor socio-economic status: STH is a disease of poverty, clustering where sanitation, safe water, housing and health literacy are lacking; poor maternal education and low literacy are independent predictors.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Poor personal hygiene: Inadequate handwashing with soap (after defecation, before eating) and children's hand-to-mouth behaviour and geophagia (soil-eating) transmit Ascaris and Trichuris eggs.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Walking barefoot / absent footwear: Hookworm larvae in faecally contaminated soil penetrate exposed skin, so going barefoot in fields and around latrines is a key hookworm risk.</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Unsafe food and water: Eating raw or unwashed vegetables and salads, and drinking untreated water, delivers infective eggs; use of untreated human excreta (night-soil) or sewage to irrigate/fertilise crops amplifies exposure.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Warm, humid climate and agrarian environment: Tropical temperatures, monsoon moisture and shaded, moist soils favour egg survival and larval development, sustaining year-round transmission in much of India.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Preschool children (1-4 years)</w:t>
            </w:r>
          </w:p>
        </w:tc>
        <w:tc>
          <w:tcPr>
            <w:tcW w:type="dxa" w:w="4276"/>
            <w:vAlign w:val="top"/>
          </w:tcPr>
          <w:p>
            <w:pPr>
              <w:spacing w:after="60" w:line="259" w:lineRule="auto"/>
            </w:pPr>
            <w:r>
              <w:rPr>
                <w:rFonts w:ascii="Calibri" w:hAnsi="Calibri"/>
                <w:b w:val="0"/>
                <w:i w:val="0"/>
                <w:color w:val="212121"/>
                <w:sz w:val="19"/>
              </w:rPr>
              <w:t>Frequent hand-to-mouth behaviour, geophagia (soil-eating) and crawling/playing on contaminated ground give very high exposure; worm burden peaks in early childhood and impairs growth, iron stores and neurocognitive development at a critical age.</w:t>
            </w:r>
          </w:p>
          <w:p>
            <w:pPr>
              <w:spacing w:after="40" w:before="60" w:line="259" w:lineRule="auto"/>
            </w:pPr>
            <w:r>
              <w:rPr>
                <w:rFonts w:ascii="Calibri" w:hAnsi="Calibri"/>
                <w:b w:val="0"/>
                <w:i w:val="0"/>
                <w:color w:val="212121"/>
                <w:sz w:val="19"/>
              </w:rPr>
              <w:t>WHO estimates over 260 million preschool-age children live in areas needing preventive chemotherapy for STH.</w:t>
            </w:r>
          </w:p>
          <w:p>
            <w:pPr>
              <w:spacing w:after="40" w:line="252" w:lineRule="auto"/>
            </w:pPr>
            <w:hyperlink r:id="rId9">
              <w:r>
                <w:rPr>
                  <w:rFonts w:ascii="Calibri" w:hAnsi="Calibri" w:cs="Calibri"/>
                  <w:sz w:val="18"/>
                  <w:color w:val="1155CC"/>
                  <w:u w:val="single"/>
                </w:rPr>
                <w:t xml:space="preserve">who.int - soil-transmitted helminth infections (fact sheet)</w:t>
              </w:r>
            </w:hyperlink>
          </w:p>
          <w:p>
            <w:pPr>
              <w:spacing w:before="60" w:after="40"/>
            </w:pPr>
            <w:r>
              <w:rPr>
                <w:rFonts w:ascii="Calibri" w:hAnsi="Calibri"/>
                <w:b w:val="0"/>
                <w:i w:val="0"/>
                <w:color w:val="5A5A5A"/>
                <w:sz w:val="18"/>
              </w:rPr>
              <w:t>#preschool  #geophagia  #stunting  #anaemia  #earlychildhood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School-age children (5-14 years)</w:t>
            </w:r>
          </w:p>
        </w:tc>
        <w:tc>
          <w:tcPr>
            <w:tcW w:type="dxa" w:w="4276"/>
            <w:vAlign w:val="top"/>
          </w:tcPr>
          <w:p>
            <w:pPr>
              <w:spacing w:after="60" w:line="259" w:lineRule="auto"/>
            </w:pPr>
            <w:r>
              <w:rPr>
                <w:rFonts w:ascii="Calibri" w:hAnsi="Calibri"/>
                <w:b w:val="0"/>
                <w:i w:val="0"/>
                <w:color w:val="212121"/>
                <w:sz w:val="19"/>
              </w:rPr>
              <w:t>School-age children carry the highest prevalence and intensity of Ascaris and Trichuris; chronic infection drains iron and nutrients, causing absenteeism and poor cognition - the rationale for school-based mass deworming.</w:t>
            </w:r>
          </w:p>
          <w:p>
            <w:pPr>
              <w:spacing w:after="40" w:before="60" w:line="259" w:lineRule="auto"/>
            </w:pPr>
            <w:r>
              <w:rPr>
                <w:rFonts w:ascii="Calibri" w:hAnsi="Calibri"/>
                <w:b w:val="0"/>
                <w:i w:val="0"/>
                <w:color w:val="212121"/>
                <w:sz w:val="19"/>
              </w:rPr>
              <w:t>In India, nearly 85% of STH studies report infection in children; WHO counts 654 million school-age children living in areas requiring preventive chemotherapy.</w:t>
            </w:r>
          </w:p>
          <w:p>
            <w:pPr>
              <w:spacing w:after="40" w:line="252" w:lineRule="auto"/>
            </w:pPr>
            <w:hyperlink r:id="rId10">
              <w:r>
                <w:rPr>
                  <w:rFonts w:ascii="Calibri" w:hAnsi="Calibri" w:cs="Calibri"/>
                  <w:sz w:val="18"/>
                  <w:color w:val="1155CC"/>
                  <w:u w:val="single"/>
                </w:rPr>
                <w:t xml:space="preserve">bmcpublichealth.biomedcentral.com - STH prevalence &amp; distribution in India</w:t>
              </w:r>
            </w:hyperlink>
          </w:p>
          <w:p>
            <w:pPr>
              <w:spacing w:before="60" w:after="40"/>
            </w:pPr>
            <w:r>
              <w:rPr>
                <w:rFonts w:ascii="Calibri" w:hAnsi="Calibri"/>
                <w:b w:val="0"/>
                <w:i w:val="0"/>
                <w:color w:val="5A5A5A"/>
                <w:sz w:val="18"/>
              </w:rPr>
              <w:t>#schoolage  #deworming  #absenteeism  #NationalDewormingDay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Prevalence and intensity fall in adults through acquired immunity and reduced soil contact, but adults remain an infection reservoir; those in high-exposure occupations can still carry heavy hookworm burdens.</w:t>
            </w:r>
          </w:p>
          <w:p>
            <w:pPr>
              <w:spacing w:after="40" w:before="60" w:line="259" w:lineRule="auto"/>
            </w:pPr>
            <w:r>
              <w:rPr>
                <w:rFonts w:ascii="Calibri" w:hAnsi="Calibri"/>
                <w:b w:val="0"/>
                <w:i w:val="0"/>
                <w:color w:val="212121"/>
                <w:sz w:val="19"/>
              </w:rPr>
              <w:t>Adults in occupations with high risk of heavy infection are included among WHO target groups for preventive treatment.</w:t>
            </w:r>
          </w:p>
          <w:p>
            <w:pPr>
              <w:spacing w:after="40" w:line="252" w:lineRule="auto"/>
            </w:pPr>
            <w:hyperlink r:id="rId11">
              <w:r>
                <w:rPr>
                  <w:rFonts w:ascii="Calibri" w:hAnsi="Calibri" w:cs="Calibri"/>
                  <w:sz w:val="18"/>
                  <w:color w:val="1155CC"/>
                  <w:u w:val="single"/>
                </w:rPr>
                <w:t xml:space="preserve">cdc.gov - about soil-transmitted helminths</w:t>
              </w:r>
            </w:hyperlink>
          </w:p>
          <w:p>
            <w:pPr>
              <w:spacing w:before="60" w:after="40"/>
            </w:pPr>
            <w:r>
              <w:rPr>
                <w:rFonts w:ascii="Calibri" w:hAnsi="Calibri"/>
                <w:b w:val="0"/>
                <w:i w:val="0"/>
                <w:color w:val="5A5A5A"/>
                <w:sz w:val="18"/>
              </w:rPr>
              <w:t>#adults  #reservoir  #occupational  #hookworm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Waning immunity, comorbid chronic disease, pre-existing anaemia and undernutrition mean even a modest hookworm burden can tip older adults into symptomatic iron-deficiency anaemia and functional decline.</w:t>
            </w:r>
          </w:p>
          <w:p>
            <w:pPr>
              <w:spacing w:after="40" w:before="60" w:line="259" w:lineRule="auto"/>
            </w:pPr>
            <w:r>
              <w:rPr>
                <w:rFonts w:ascii="Calibri" w:hAnsi="Calibri"/>
                <w:b w:val="0"/>
                <w:i w:val="0"/>
                <w:color w:val="212121"/>
                <w:sz w:val="19"/>
              </w:rPr>
              <w:t>Hookworm infection is the leading helminthic cause of iron-deficiency anaemia and chronic blood/protein loss.</w:t>
            </w:r>
          </w:p>
          <w:p>
            <w:pPr>
              <w:spacing w:after="40" w:line="252" w:lineRule="auto"/>
            </w:pPr>
            <w:hyperlink r:id="rId9">
              <w:r>
                <w:rPr>
                  <w:rFonts w:ascii="Calibri" w:hAnsi="Calibri" w:cs="Calibri"/>
                  <w:sz w:val="18"/>
                  <w:color w:val="1155CC"/>
                  <w:u w:val="single"/>
                </w:rPr>
                <w:t xml:space="preserve">who.int - soil-transmitted helminth infections (fact sheet)</w:t>
              </w:r>
            </w:hyperlink>
          </w:p>
          <w:p>
            <w:pPr>
              <w:spacing w:before="60" w:after="40"/>
            </w:pPr>
            <w:r>
              <w:rPr>
                <w:rFonts w:ascii="Calibri" w:hAnsi="Calibri"/>
                <w:b w:val="0"/>
                <w:i w:val="0"/>
                <w:color w:val="5A5A5A"/>
                <w:sz w:val="18"/>
              </w:rPr>
              <w:t>#elderly  #anaemia  #comorbidity  #frailty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of reproductive age &amp; pregnant women</w:t>
            </w:r>
          </w:p>
        </w:tc>
        <w:tc>
          <w:tcPr>
            <w:tcW w:type="dxa" w:w="4276"/>
            <w:vAlign w:val="top"/>
          </w:tcPr>
          <w:p>
            <w:pPr>
              <w:spacing w:after="60" w:line="259" w:lineRule="auto"/>
            </w:pPr>
            <w:r>
              <w:rPr>
                <w:rFonts w:ascii="Calibri" w:hAnsi="Calibri"/>
                <w:b w:val="0"/>
                <w:i w:val="0"/>
                <w:color w:val="212121"/>
                <w:sz w:val="19"/>
              </w:rPr>
              <w:t>Menstrual iron loss plus hookworm blood loss compounds anaemia; in pregnancy, maternal hookworm anaemia raises the risk of low birth weight, preterm birth and maternal morbidity, so women of childbearing age are a priority deworming group.</w:t>
            </w:r>
          </w:p>
          <w:p>
            <w:pPr>
              <w:spacing w:after="40" w:before="60" w:line="259" w:lineRule="auto"/>
            </w:pPr>
            <w:r>
              <w:rPr>
                <w:rFonts w:ascii="Calibri" w:hAnsi="Calibri"/>
                <w:b w:val="0"/>
                <w:i w:val="0"/>
                <w:color w:val="212121"/>
                <w:sz w:val="19"/>
              </w:rPr>
              <w:t>WHO lists over 138 million pregnant and lactating women and 108 million adolescent girls among those needing preventive treatment; deworming in 2nd/3rd-trimester pregnancy is recommended in endemic areas.</w:t>
            </w:r>
          </w:p>
          <w:p>
            <w:pPr>
              <w:spacing w:after="40" w:line="252" w:lineRule="auto"/>
            </w:pPr>
            <w:hyperlink r:id="rId9">
              <w:r>
                <w:rPr>
                  <w:rFonts w:ascii="Calibri" w:hAnsi="Calibri" w:cs="Calibri"/>
                  <w:sz w:val="18"/>
                  <w:color w:val="1155CC"/>
                  <w:u w:val="single"/>
                </w:rPr>
                <w:t xml:space="preserve">who.int - soil-transmitted helminth infections (fact sheet)</w:t>
              </w:r>
            </w:hyperlink>
          </w:p>
          <w:p>
            <w:pPr>
              <w:spacing w:before="60" w:after="40"/>
            </w:pPr>
            <w:r>
              <w:rPr>
                <w:rFonts w:ascii="Calibri" w:hAnsi="Calibri"/>
                <w:b w:val="0"/>
                <w:i w:val="0"/>
                <w:color w:val="5A5A5A"/>
                <w:sz w:val="18"/>
              </w:rPr>
              <w:t>#pregnancy  #maternalanaemia  #lowbirthweight  #adolescentgirls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 low-income households</w:t>
            </w:r>
          </w:p>
        </w:tc>
        <w:tc>
          <w:tcPr>
            <w:tcW w:type="dxa" w:w="4276"/>
            <w:vAlign w:val="top"/>
          </w:tcPr>
          <w:p>
            <w:pPr>
              <w:spacing w:after="60" w:line="259" w:lineRule="auto"/>
            </w:pPr>
            <w:r>
              <w:rPr>
                <w:rFonts w:ascii="Calibri" w:hAnsi="Calibri"/>
                <w:b w:val="0"/>
                <w:i w:val="0"/>
                <w:color w:val="212121"/>
                <w:sz w:val="19"/>
              </w:rPr>
              <w:t>STH is fundamentally a disease of poverty: lack of toilets, safe water, footwear and health literacy concentrate infection in the poorest households; poor maternal education and low literacy independently raise risk.</w:t>
            </w:r>
          </w:p>
          <w:p>
            <w:pPr>
              <w:spacing w:after="40" w:before="60" w:line="259" w:lineRule="auto"/>
            </w:pPr>
            <w:r>
              <w:rPr>
                <w:rFonts w:ascii="Calibri" w:hAnsi="Calibri"/>
                <w:b w:val="0"/>
                <w:i w:val="0"/>
                <w:color w:val="212121"/>
                <w:sz w:val="19"/>
              </w:rPr>
              <w:t>Open defecation, poor sanitation, no footwear, poor maternal education, low literacy and poor socio-economic status were the key predictors of STH in the Indian systematic review.</w:t>
            </w:r>
          </w:p>
          <w:p>
            <w:pPr>
              <w:spacing w:after="40" w:line="252" w:lineRule="auto"/>
            </w:pPr>
            <w:hyperlink r:id="rId10">
              <w:r>
                <w:rPr>
                  <w:rFonts w:ascii="Calibri" w:hAnsi="Calibri" w:cs="Calibri"/>
                  <w:sz w:val="18"/>
                  <w:color w:val="1155CC"/>
                  <w:u w:val="single"/>
                </w:rPr>
                <w:t xml:space="preserve">bmcpublichealth.biomedcentral.com - STH prevalence &amp; distribution in India</w:t>
              </w:r>
            </w:hyperlink>
          </w:p>
          <w:p>
            <w:pPr>
              <w:spacing w:before="60" w:after="40"/>
            </w:pPr>
            <w:r>
              <w:rPr>
                <w:rFonts w:ascii="Calibri" w:hAnsi="Calibri"/>
                <w:b w:val="0"/>
                <w:i w:val="0"/>
                <w:color w:val="5A5A5A"/>
                <w:sz w:val="18"/>
              </w:rPr>
              <w:t>#poverty  #WASH  #sanitation  #healthliteracy  #NTD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State</w:t>
            </w:r>
          </w:p>
        </w:tc>
        <w:tc>
          <w:tcPr>
            <w:tcW w:type="dxa" w:w="2160"/>
            <w:vAlign w:val="top"/>
          </w:tcPr>
          <w:p>
            <w:pPr>
              <w:spacing w:after="40" w:before="0" w:line="259" w:lineRule="auto"/>
            </w:pPr>
            <w:r>
              <w:rPr>
                <w:rFonts w:ascii="Calibri" w:hAnsi="Calibri"/>
                <w:b w:val="0"/>
                <w:i w:val="0"/>
                <w:color w:val="212121"/>
                <w:sz w:val="19"/>
              </w:rPr>
              <w:t>High-burden states (Bihar, Assam, Tamil Nadu, West Bengal, Andhra Pradesh, J&amp;K)</w:t>
            </w:r>
          </w:p>
        </w:tc>
        <w:tc>
          <w:tcPr>
            <w:tcW w:type="dxa" w:w="4276"/>
            <w:vAlign w:val="top"/>
          </w:tcPr>
          <w:p>
            <w:pPr>
              <w:spacing w:after="60" w:line="259" w:lineRule="auto"/>
            </w:pPr>
            <w:r>
              <w:rPr>
                <w:rFonts w:ascii="Calibri" w:hAnsi="Calibri"/>
                <w:b w:val="0"/>
                <w:i w:val="0"/>
                <w:color w:val="212121"/>
                <w:sz w:val="19"/>
              </w:rPr>
              <w:t>Warm, humid soils, high population density, agrarian livelihoods and historically low sanitation coverage sustain intense transmission in these states, several of which run biannual deworming rounds.</w:t>
            </w:r>
          </w:p>
          <w:p>
            <w:pPr>
              <w:spacing w:after="40" w:before="60" w:line="259" w:lineRule="auto"/>
            </w:pPr>
            <w:r>
              <w:rPr>
                <w:rFonts w:ascii="Calibri" w:hAnsi="Calibri"/>
                <w:b w:val="0"/>
                <w:i w:val="0"/>
                <w:color w:val="212121"/>
                <w:sz w:val="19"/>
              </w:rPr>
              <w:t>Six states - J&amp;K, Assam, Bihar, Tamil Nadu, West Bengal and Andhra Pradesh - had STH prevalence above 50% and together cover about 30% of India's population.</w:t>
            </w:r>
          </w:p>
          <w:p>
            <w:pPr>
              <w:spacing w:after="40" w:line="252" w:lineRule="auto"/>
            </w:pPr>
            <w:hyperlink r:id="rId10">
              <w:r>
                <w:rPr>
                  <w:rFonts w:ascii="Calibri" w:hAnsi="Calibri" w:cs="Calibri"/>
                  <w:sz w:val="18"/>
                  <w:color w:val="1155CC"/>
                  <w:u w:val="single"/>
                </w:rPr>
                <w:t xml:space="preserve">bmcpublichealth.biomedcentral.com - STH prevalence &amp; distribution in India</w:t>
              </w:r>
            </w:hyperlink>
          </w:p>
          <w:p>
            <w:pPr>
              <w:spacing w:before="60" w:after="40"/>
            </w:pPr>
            <w:r>
              <w:rPr>
                <w:rFonts w:ascii="Calibri" w:hAnsi="Calibri"/>
                <w:b w:val="0"/>
                <w:i w:val="0"/>
                <w:color w:val="5A5A5A"/>
                <w:sz w:val="18"/>
              </w:rPr>
              <w:t>#Bihar  #Assam  #TamilNadu  #WestBengal  #highburden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Rural &amp; peri-urban slum populations</w:t>
            </w:r>
          </w:p>
        </w:tc>
        <w:tc>
          <w:tcPr>
            <w:tcW w:type="dxa" w:w="4276"/>
            <w:vAlign w:val="top"/>
          </w:tcPr>
          <w:p>
            <w:pPr>
              <w:spacing w:after="60" w:line="259" w:lineRule="auto"/>
            </w:pPr>
            <w:r>
              <w:rPr>
                <w:rFonts w:ascii="Calibri" w:hAnsi="Calibri"/>
                <w:b w:val="0"/>
                <w:i w:val="0"/>
                <w:color w:val="212121"/>
                <w:sz w:val="19"/>
              </w:rPr>
              <w:t>Open defecation, unpaved moist ground, agricultural soil contact and unsafe water in rural areas and crowded urban slums provide ideal conditions for egg maturation and repeated reinfection.</w:t>
            </w:r>
          </w:p>
          <w:p>
            <w:pPr>
              <w:spacing w:after="40" w:before="60" w:line="259" w:lineRule="auto"/>
            </w:pPr>
            <w:r>
              <w:rPr>
                <w:rFonts w:ascii="Calibri" w:hAnsi="Calibri"/>
                <w:b w:val="0"/>
                <w:i w:val="0"/>
                <w:color w:val="212121"/>
                <w:sz w:val="19"/>
              </w:rPr>
              <w:t>Open defecation and lack of community sanitation are leading risk factors for STH across Indian communities.</w:t>
            </w:r>
          </w:p>
          <w:p>
            <w:pPr>
              <w:spacing w:after="40" w:line="252" w:lineRule="auto"/>
            </w:pPr>
            <w:hyperlink r:id="rId10">
              <w:r>
                <w:rPr>
                  <w:rFonts w:ascii="Calibri" w:hAnsi="Calibri" w:cs="Calibri"/>
                  <w:sz w:val="18"/>
                  <w:color w:val="1155CC"/>
                  <w:u w:val="single"/>
                </w:rPr>
                <w:t xml:space="preserve">bmcpublichealth.biomedcentral.com - STH prevalence &amp; distribution in India</w:t>
              </w:r>
            </w:hyperlink>
          </w:p>
          <w:p>
            <w:pPr>
              <w:spacing w:before="60" w:after="40"/>
            </w:pPr>
            <w:r>
              <w:rPr>
                <w:rFonts w:ascii="Calibri" w:hAnsi="Calibri"/>
                <w:b w:val="0"/>
                <w:i w:val="0"/>
                <w:color w:val="5A5A5A"/>
                <w:sz w:val="18"/>
              </w:rPr>
              <w:t>#rural  #slum  #opendefecation  #reinfection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community</w:t>
            </w:r>
          </w:p>
        </w:tc>
        <w:tc>
          <w:tcPr>
            <w:tcW w:type="dxa" w:w="2160"/>
            <w:vAlign w:val="top"/>
          </w:tcPr>
          <w:p>
            <w:pPr>
              <w:spacing w:after="40" w:before="0" w:line="259" w:lineRule="auto"/>
            </w:pPr>
            <w:r>
              <w:rPr>
                <w:rFonts w:ascii="Calibri" w:hAnsi="Calibri"/>
                <w:b w:val="0"/>
                <w:i w:val="0"/>
                <w:color w:val="212121"/>
                <w:sz w:val="19"/>
              </w:rPr>
              <w:t>Tribal &amp; forest-fringe agrarian communities</w:t>
            </w:r>
          </w:p>
        </w:tc>
        <w:tc>
          <w:tcPr>
            <w:tcW w:type="dxa" w:w="4276"/>
            <w:vAlign w:val="top"/>
          </w:tcPr>
          <w:p>
            <w:pPr>
              <w:spacing w:after="60" w:line="259" w:lineRule="auto"/>
            </w:pPr>
            <w:r>
              <w:rPr>
                <w:rFonts w:ascii="Calibri" w:hAnsi="Calibri"/>
                <w:b w:val="0"/>
                <w:i w:val="0"/>
                <w:color w:val="212121"/>
                <w:sz w:val="19"/>
              </w:rPr>
              <w:t>Tribal and forest-fringe populations often combine subsistence farming, barefoot soil contact, limited latrine access and limited health-service reach, giving persistently high hookworm and Ascaris prevalence.</w:t>
            </w:r>
          </w:p>
          <w:p>
            <w:pPr>
              <w:spacing w:after="40" w:before="60" w:line="259" w:lineRule="auto"/>
            </w:pPr>
            <w:r>
              <w:rPr>
                <w:rFonts w:ascii="Calibri" w:hAnsi="Calibri"/>
                <w:b w:val="0"/>
                <w:i w:val="0"/>
                <w:color w:val="212121"/>
                <w:sz w:val="19"/>
              </w:rPr>
              <w:t>STH clusters where footwear use is low and community sanitation is lacking - conditions common in agrarian tribal belts.</w:t>
            </w:r>
          </w:p>
          <w:p>
            <w:pPr>
              <w:spacing w:after="40" w:line="252" w:lineRule="auto"/>
            </w:pPr>
            <w:hyperlink r:id="rId10">
              <w:r>
                <w:rPr>
                  <w:rFonts w:ascii="Calibri" w:hAnsi="Calibri" w:cs="Calibri"/>
                  <w:sz w:val="18"/>
                  <w:color w:val="1155CC"/>
                  <w:u w:val="single"/>
                </w:rPr>
                <w:t xml:space="preserve">bmcpublichealth.biomedcentral.com - STH prevalence &amp; distribution in India</w:t>
              </w:r>
            </w:hyperlink>
          </w:p>
          <w:p>
            <w:pPr>
              <w:spacing w:before="60" w:after="40"/>
            </w:pPr>
            <w:r>
              <w:rPr>
                <w:rFonts w:ascii="Calibri" w:hAnsi="Calibri"/>
                <w:b w:val="0"/>
                <w:i w:val="0"/>
                <w:color w:val="5A5A5A"/>
                <w:sz w:val="18"/>
              </w:rPr>
              <w:t>#tribal  #agrarian  #barefoot  #accesstocare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Sanitation behaviour</w:t>
            </w:r>
          </w:p>
        </w:tc>
        <w:tc>
          <w:tcPr>
            <w:tcW w:type="dxa" w:w="2160"/>
            <w:vAlign w:val="top"/>
          </w:tcPr>
          <w:p>
            <w:pPr>
              <w:spacing w:after="40" w:before="0" w:line="259" w:lineRule="auto"/>
            </w:pPr>
            <w:r>
              <w:rPr>
                <w:rFonts w:ascii="Calibri" w:hAnsi="Calibri"/>
                <w:b w:val="0"/>
                <w:i w:val="0"/>
                <w:color w:val="212121"/>
                <w:sz w:val="19"/>
              </w:rPr>
              <w:t>Open-defecation practitioners / households without a toilet</w:t>
            </w:r>
          </w:p>
        </w:tc>
        <w:tc>
          <w:tcPr>
            <w:tcW w:type="dxa" w:w="4276"/>
            <w:vAlign w:val="top"/>
          </w:tcPr>
          <w:p>
            <w:pPr>
              <w:spacing w:after="60" w:line="259" w:lineRule="auto"/>
            </w:pPr>
            <w:r>
              <w:rPr>
                <w:rFonts w:ascii="Calibri" w:hAnsi="Calibri"/>
                <w:b w:val="0"/>
                <w:i w:val="0"/>
                <w:color w:val="212121"/>
                <w:sz w:val="19"/>
              </w:rPr>
              <w:t>Defecating in the open seeds soil with helminth eggs that mature and reinfect the community; absent or unused latrines are the single most important behavioural driver of transmission.</w:t>
            </w:r>
          </w:p>
          <w:p>
            <w:pPr>
              <w:spacing w:after="40" w:before="60" w:line="259" w:lineRule="auto"/>
            </w:pPr>
            <w:r>
              <w:rPr>
                <w:rFonts w:ascii="Calibri" w:hAnsi="Calibri"/>
                <w:b w:val="0"/>
                <w:i w:val="0"/>
                <w:color w:val="212121"/>
                <w:sz w:val="19"/>
              </w:rPr>
              <w:t>Open defecation and lack of personal and community sanitation are the dominant risk factors for STH in India.</w:t>
            </w:r>
          </w:p>
          <w:p>
            <w:pPr>
              <w:spacing w:after="40" w:line="252" w:lineRule="auto"/>
            </w:pPr>
            <w:hyperlink r:id="rId10">
              <w:r>
                <w:rPr>
                  <w:rFonts w:ascii="Calibri" w:hAnsi="Calibri" w:cs="Calibri"/>
                  <w:sz w:val="18"/>
                  <w:color w:val="1155CC"/>
                  <w:u w:val="single"/>
                </w:rPr>
                <w:t xml:space="preserve">bmcpublichealth.biomedcentral.com - STH prevalence &amp; distribution in India</w:t>
              </w:r>
            </w:hyperlink>
          </w:p>
          <w:p>
            <w:pPr>
              <w:spacing w:before="60" w:after="40"/>
            </w:pPr>
            <w:r>
              <w:rPr>
                <w:rFonts w:ascii="Calibri" w:hAnsi="Calibri"/>
                <w:b w:val="0"/>
                <w:i w:val="0"/>
                <w:color w:val="5A5A5A"/>
                <w:sz w:val="18"/>
              </w:rPr>
              <w:t>#opendefecation  #SwachhBharat  #latrines  #faecaloral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Footwear</w:t>
            </w:r>
          </w:p>
        </w:tc>
        <w:tc>
          <w:tcPr>
            <w:tcW w:type="dxa" w:w="2160"/>
            <w:vAlign w:val="top"/>
          </w:tcPr>
          <w:p>
            <w:pPr>
              <w:spacing w:after="40" w:before="0" w:line="259" w:lineRule="auto"/>
            </w:pPr>
            <w:r>
              <w:rPr>
                <w:rFonts w:ascii="Calibri" w:hAnsi="Calibri"/>
                <w:b w:val="0"/>
                <w:i w:val="0"/>
                <w:color w:val="212121"/>
                <w:sz w:val="19"/>
              </w:rPr>
              <w:t>People who walk barefoot in fields / around latrines</w:t>
            </w:r>
          </w:p>
        </w:tc>
        <w:tc>
          <w:tcPr>
            <w:tcW w:type="dxa" w:w="4276"/>
            <w:vAlign w:val="top"/>
          </w:tcPr>
          <w:p>
            <w:pPr>
              <w:spacing w:after="60" w:line="259" w:lineRule="auto"/>
            </w:pPr>
            <w:r>
              <w:rPr>
                <w:rFonts w:ascii="Calibri" w:hAnsi="Calibri"/>
                <w:b w:val="0"/>
                <w:i w:val="0"/>
                <w:color w:val="212121"/>
                <w:sz w:val="19"/>
              </w:rPr>
              <w:t>Hookworm larvae in faecally contaminated soil penetrate exposed skin of the feet; going barefoot during farming, playing or open defecation is the principal route of hookworm acquisition.</w:t>
            </w:r>
          </w:p>
          <w:p>
            <w:pPr>
              <w:spacing w:after="40" w:before="60" w:line="259" w:lineRule="auto"/>
            </w:pPr>
            <w:r>
              <w:rPr>
                <w:rFonts w:ascii="Calibri" w:hAnsi="Calibri"/>
                <w:b w:val="0"/>
                <w:i w:val="0"/>
                <w:color w:val="212121"/>
                <w:sz w:val="19"/>
              </w:rPr>
              <w:t>Hookworm spreads primarily by walking barefoot on contaminated soil, and lack of footwear is an established Indian risk factor.</w:t>
            </w:r>
          </w:p>
          <w:p>
            <w:pPr>
              <w:spacing w:after="40" w:line="252" w:lineRule="auto"/>
            </w:pPr>
            <w:hyperlink r:id="rId12">
              <w:r>
                <w:rPr>
                  <w:rFonts w:ascii="Calibri" w:hAnsi="Calibri" w:cs="Calibri"/>
                  <w:sz w:val="18"/>
                  <w:color w:val="1155CC"/>
                  <w:u w:val="single"/>
                </w:rPr>
                <w:t xml:space="preserve">cdc.gov - about soil-transmitted helminths</w:t>
              </w:r>
            </w:hyperlink>
          </w:p>
          <w:p>
            <w:pPr>
              <w:spacing w:before="60" w:after="40"/>
            </w:pPr>
            <w:r>
              <w:rPr>
                <w:rFonts w:ascii="Calibri" w:hAnsi="Calibri"/>
                <w:b w:val="0"/>
                <w:i w:val="0"/>
                <w:color w:val="5A5A5A"/>
                <w:sz w:val="18"/>
              </w:rPr>
              <w:t>#barefoot  #hookworm  #skinpenetration  #groundch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Farm labourers, sanitation workers, miners, tea-garden workers</w:t>
            </w:r>
          </w:p>
        </w:tc>
        <w:tc>
          <w:tcPr>
            <w:tcW w:type="dxa" w:w="4276"/>
            <w:vAlign w:val="top"/>
          </w:tcPr>
          <w:p>
            <w:pPr>
              <w:spacing w:after="60" w:line="259" w:lineRule="auto"/>
            </w:pPr>
            <w:r>
              <w:rPr>
                <w:rFonts w:ascii="Calibri" w:hAnsi="Calibri"/>
                <w:b w:val="0"/>
                <w:i w:val="0"/>
                <w:color w:val="212121"/>
                <w:sz w:val="19"/>
              </w:rPr>
              <w:t>Sustained contact with contaminated soil and human waste - and the use of night-soil or sewage on crops - gives agricultural, plantation and sanitation workers high, repeated exposure and heavier worm burdens.</w:t>
            </w:r>
          </w:p>
          <w:p>
            <w:pPr>
              <w:spacing w:after="40" w:before="60" w:line="259" w:lineRule="auto"/>
            </w:pPr>
            <w:r>
              <w:rPr>
                <w:rFonts w:ascii="Calibri" w:hAnsi="Calibri"/>
                <w:b w:val="0"/>
                <w:i w:val="0"/>
                <w:color w:val="212121"/>
                <w:sz w:val="19"/>
              </w:rPr>
              <w:t>WHO recommends preventive treatment for adults in occupations with a high risk of heavy STH infection.</w:t>
            </w:r>
          </w:p>
          <w:p>
            <w:pPr>
              <w:spacing w:after="40" w:line="252" w:lineRule="auto"/>
            </w:pPr>
            <w:hyperlink r:id="rId11">
              <w:r>
                <w:rPr>
                  <w:rFonts w:ascii="Calibri" w:hAnsi="Calibri" w:cs="Calibri"/>
                  <w:sz w:val="18"/>
                  <w:color w:val="1155CC"/>
                  <w:u w:val="single"/>
                </w:rPr>
                <w:t xml:space="preserve">cdc.gov - about soil-transmitted helminths</w:t>
              </w:r>
            </w:hyperlink>
          </w:p>
          <w:p>
            <w:pPr>
              <w:spacing w:before="60" w:after="40"/>
            </w:pPr>
            <w:r>
              <w:rPr>
                <w:rFonts w:ascii="Calibri" w:hAnsi="Calibri"/>
                <w:b w:val="0"/>
                <w:i w:val="0"/>
                <w:color w:val="5A5A5A"/>
                <w:sz w:val="18"/>
              </w:rPr>
              <w:t>#occupational  #agriculture  #sanitationworkers  #nightsoil</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Food &amp; water hygiene</w:t>
            </w:r>
          </w:p>
        </w:tc>
        <w:tc>
          <w:tcPr>
            <w:tcW w:type="dxa" w:w="2160"/>
            <w:vAlign w:val="top"/>
          </w:tcPr>
          <w:p>
            <w:pPr>
              <w:spacing w:after="40" w:before="0" w:line="259" w:lineRule="auto"/>
            </w:pPr>
            <w:r>
              <w:rPr>
                <w:rFonts w:ascii="Calibri" w:hAnsi="Calibri"/>
                <w:b w:val="0"/>
                <w:i w:val="0"/>
                <w:color w:val="212121"/>
                <w:sz w:val="19"/>
              </w:rPr>
              <w:t>Consumers of raw unwashed produce &amp; untreated water</w:t>
            </w:r>
          </w:p>
        </w:tc>
        <w:tc>
          <w:tcPr>
            <w:tcW w:type="dxa" w:w="4276"/>
            <w:vAlign w:val="top"/>
          </w:tcPr>
          <w:p>
            <w:pPr>
              <w:spacing w:after="60" w:line="259" w:lineRule="auto"/>
            </w:pPr>
            <w:r>
              <w:rPr>
                <w:rFonts w:ascii="Calibri" w:hAnsi="Calibri"/>
                <w:b w:val="0"/>
                <w:i w:val="0"/>
                <w:color w:val="212121"/>
                <w:sz w:val="19"/>
              </w:rPr>
              <w:t>Embryonated Ascaris and Trichuris eggs on raw salads, unwashed vegetables and fruit, or in untreated drinking water, are swallowed directly; eggs picked up on unwashed hands transfer to food during preparation.</w:t>
            </w:r>
          </w:p>
          <w:p>
            <w:pPr>
              <w:spacing w:after="40" w:before="60" w:line="259" w:lineRule="auto"/>
            </w:pPr>
            <w:r>
              <w:rPr>
                <w:rFonts w:ascii="Calibri" w:hAnsi="Calibri"/>
                <w:b w:val="0"/>
                <w:i w:val="0"/>
                <w:color w:val="212121"/>
                <w:sz w:val="19"/>
              </w:rPr>
              <w:t>Ingestion of eggs via contaminated food, water or soiled hands is the main route for Ascaris and whipworm infection.</w:t>
            </w:r>
          </w:p>
          <w:p>
            <w:pPr>
              <w:spacing w:after="40" w:line="252" w:lineRule="auto"/>
            </w:pPr>
            <w:hyperlink r:id="rId12">
              <w:r>
                <w:rPr>
                  <w:rFonts w:ascii="Calibri" w:hAnsi="Calibri" w:cs="Calibri"/>
                  <w:sz w:val="18"/>
                  <w:color w:val="1155CC"/>
                  <w:u w:val="single"/>
                </w:rPr>
                <w:t xml:space="preserve">cdc.gov - about soil-transmitted helminths</w:t>
              </w:r>
            </w:hyperlink>
          </w:p>
          <w:p>
            <w:pPr>
              <w:spacing w:before="60" w:after="40"/>
            </w:pPr>
            <w:r>
              <w:rPr>
                <w:rFonts w:ascii="Calibri" w:hAnsi="Calibri"/>
                <w:b w:val="0"/>
                <w:i w:val="0"/>
                <w:color w:val="5A5A5A"/>
                <w:sz w:val="18"/>
              </w:rPr>
              <w:t>#rawvegetables  #unsafewater  #handwashing  #faecaloral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Agricultural practice</w:t>
            </w:r>
          </w:p>
        </w:tc>
        <w:tc>
          <w:tcPr>
            <w:tcW w:type="dxa" w:w="2160"/>
            <w:vAlign w:val="top"/>
          </w:tcPr>
          <w:p>
            <w:pPr>
              <w:spacing w:after="40" w:before="0" w:line="259" w:lineRule="auto"/>
            </w:pPr>
            <w:r>
              <w:rPr>
                <w:rFonts w:ascii="Calibri" w:hAnsi="Calibri"/>
                <w:b w:val="0"/>
                <w:i w:val="0"/>
                <w:color w:val="212121"/>
                <w:sz w:val="19"/>
              </w:rPr>
              <w:t>Communities using night-soil / sewage-irrigated produce</w:t>
            </w:r>
          </w:p>
        </w:tc>
        <w:tc>
          <w:tcPr>
            <w:tcW w:type="dxa" w:w="4276"/>
            <w:vAlign w:val="top"/>
          </w:tcPr>
          <w:p>
            <w:pPr>
              <w:spacing w:after="60" w:line="259" w:lineRule="auto"/>
            </w:pPr>
            <w:r>
              <w:rPr>
                <w:rFonts w:ascii="Calibri" w:hAnsi="Calibri"/>
                <w:b w:val="0"/>
                <w:i w:val="0"/>
                <w:color w:val="212121"/>
                <w:sz w:val="19"/>
              </w:rPr>
              <w:t>Fertilising or irrigating crops with untreated human excreta or wastewater deposits viable helminth eggs directly onto food, sustaining a soil-food-human transmission loop.</w:t>
            </w:r>
          </w:p>
          <w:p>
            <w:pPr>
              <w:spacing w:after="40" w:before="60" w:line="259" w:lineRule="auto"/>
            </w:pPr>
            <w:r>
              <w:rPr>
                <w:rFonts w:ascii="Calibri" w:hAnsi="Calibri"/>
                <w:b w:val="0"/>
                <w:i w:val="0"/>
                <w:color w:val="212121"/>
                <w:sz w:val="19"/>
              </w:rPr>
              <w:t>Use of human faeces as fertiliser and inadequate sanitation perpetuate the faecal-oral transmission cycle of STH.</w:t>
            </w:r>
          </w:p>
          <w:p>
            <w:pPr>
              <w:spacing w:after="40" w:line="252" w:lineRule="auto"/>
            </w:pPr>
            <w:hyperlink r:id="rId9">
              <w:r>
                <w:rPr>
                  <w:rFonts w:ascii="Calibri" w:hAnsi="Calibri" w:cs="Calibri"/>
                  <w:sz w:val="18"/>
                  <w:color w:val="1155CC"/>
                  <w:u w:val="single"/>
                </w:rPr>
                <w:t xml:space="preserve">who.int - soil-transmitted helminth infections (fact sheet)</w:t>
              </w:r>
            </w:hyperlink>
          </w:p>
          <w:p>
            <w:pPr>
              <w:spacing w:before="60" w:after="40"/>
            </w:pPr>
            <w:r>
              <w:rPr>
                <w:rFonts w:ascii="Calibri" w:hAnsi="Calibri"/>
                <w:b w:val="0"/>
                <w:i w:val="0"/>
                <w:color w:val="5A5A5A"/>
                <w:sz w:val="18"/>
              </w:rPr>
              <w:t>#nightsoil  #wastewater  #cropcontamination  #transmissioncycle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Household clustering / predisposition</w:t>
            </w:r>
          </w:p>
        </w:tc>
        <w:tc>
          <w:tcPr>
            <w:tcW w:type="dxa" w:w="2160"/>
            <w:vAlign w:val="top"/>
          </w:tcPr>
          <w:p>
            <w:pPr>
              <w:spacing w:after="40" w:before="0" w:line="259" w:lineRule="auto"/>
            </w:pPr>
            <w:r>
              <w:rPr>
                <w:rFonts w:ascii="Calibri" w:hAnsi="Calibri"/>
                <w:b w:val="0"/>
                <w:i w:val="0"/>
                <w:color w:val="212121"/>
                <w:sz w:val="19"/>
              </w:rPr>
              <w:t>Members of heavily infected households</w:t>
            </w:r>
          </w:p>
        </w:tc>
        <w:tc>
          <w:tcPr>
            <w:tcW w:type="dxa" w:w="4276"/>
            <w:vAlign w:val="top"/>
          </w:tcPr>
          <w:p>
            <w:pPr>
              <w:spacing w:after="60" w:line="259" w:lineRule="auto"/>
            </w:pPr>
            <w:r>
              <w:rPr>
                <w:rFonts w:ascii="Calibri" w:hAnsi="Calibri"/>
                <w:b w:val="0"/>
                <w:i w:val="0"/>
                <w:color w:val="212121"/>
                <w:sz w:val="19"/>
              </w:rPr>
              <w:t>Worm burden aggregates within families and households through shared contaminated environment, and host factors (including genetic predisposition to heavy infection and immune responsiveness) mean some individuals are repeatedly predisposed to heavy Ascaris or hookworm loads.</w:t>
            </w:r>
          </w:p>
          <w:p>
            <w:pPr>
              <w:spacing w:after="40" w:before="60" w:line="259" w:lineRule="auto"/>
            </w:pPr>
            <w:r>
              <w:rPr>
                <w:rFonts w:ascii="Calibri" w:hAnsi="Calibri"/>
                <w:b w:val="0"/>
                <w:i w:val="0"/>
                <w:color w:val="212121"/>
                <w:sz w:val="19"/>
              </w:rPr>
              <w:t>STH shows marked household clustering; a small proportion of 'wormy' individuals harbour the majority of the worm burden and drive ongoing transmission.</w:t>
            </w:r>
          </w:p>
          <w:p>
            <w:pPr>
              <w:spacing w:before="60" w:after="40"/>
            </w:pPr>
            <w:r>
              <w:rPr>
                <w:rFonts w:ascii="Calibri" w:hAnsi="Calibri"/>
                <w:b w:val="0"/>
                <w:i w:val="0"/>
                <w:color w:val="5A5A5A"/>
                <w:sz w:val="18"/>
              </w:rPr>
              <w:t>#household  #aggregation  #predisposition  #reinfection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Iron-deficiency anaemia</w:t>
            </w:r>
          </w:p>
        </w:tc>
        <w:tc>
          <w:tcPr>
            <w:tcW w:type="dxa" w:w="2160"/>
            <w:vAlign w:val="top"/>
          </w:tcPr>
          <w:p>
            <w:pPr>
              <w:spacing w:after="40" w:before="0" w:line="259" w:lineRule="auto"/>
            </w:pPr>
            <w:r>
              <w:rPr>
                <w:rFonts w:ascii="Calibri" w:hAnsi="Calibri"/>
                <w:b w:val="0"/>
                <w:i w:val="0"/>
                <w:color w:val="212121"/>
                <w:sz w:val="19"/>
              </w:rPr>
              <w:t>Patients with unexplained iron-deficiency anaemia</w:t>
            </w:r>
          </w:p>
        </w:tc>
        <w:tc>
          <w:tcPr>
            <w:tcW w:type="dxa" w:w="4276"/>
            <w:vAlign w:val="top"/>
          </w:tcPr>
          <w:p>
            <w:pPr>
              <w:spacing w:after="60" w:line="259" w:lineRule="auto"/>
            </w:pPr>
            <w:r>
              <w:rPr>
                <w:rFonts w:ascii="Calibri" w:hAnsi="Calibri"/>
                <w:b w:val="0"/>
                <w:i w:val="0"/>
                <w:color w:val="212121"/>
                <w:sz w:val="19"/>
              </w:rPr>
              <w:t>Adult hookworms attach to the small-bowel mucosa and consume blood, causing chronic occult gastrointestinal blood loss; heavy or long-standing infection is a classic, reversible cause of iron-deficiency anaemia, especially in menstruating women and children.</w:t>
            </w:r>
          </w:p>
          <w:p>
            <w:pPr>
              <w:spacing w:after="40" w:before="60" w:line="259" w:lineRule="auto"/>
            </w:pPr>
            <w:r>
              <w:rPr>
                <w:rFonts w:ascii="Calibri" w:hAnsi="Calibri"/>
                <w:b w:val="0"/>
                <w:i w:val="0"/>
                <w:color w:val="212121"/>
                <w:sz w:val="19"/>
              </w:rPr>
              <w:t>Hookworm is the leading helminthic cause of iron-deficiency anaemia; each adult worm can cause ongoing daily intestinal blood loss.</w:t>
            </w:r>
          </w:p>
          <w:p>
            <w:pPr>
              <w:spacing w:after="40" w:line="252" w:lineRule="auto"/>
            </w:pPr>
            <w:hyperlink r:id="rId9">
              <w:r>
                <w:rPr>
                  <w:rFonts w:ascii="Calibri" w:hAnsi="Calibri" w:cs="Calibri"/>
                  <w:sz w:val="18"/>
                  <w:color w:val="1155CC"/>
                  <w:u w:val="single"/>
                </w:rPr>
                <w:t xml:space="preserve">who.int - soil-transmitted helminth infections (fact sheet)</w:t>
              </w:r>
            </w:hyperlink>
          </w:p>
          <w:p>
            <w:pPr>
              <w:spacing w:before="60" w:after="40"/>
            </w:pPr>
            <w:r>
              <w:rPr>
                <w:rFonts w:ascii="Calibri" w:hAnsi="Calibri"/>
                <w:b w:val="0"/>
                <w:i w:val="0"/>
                <w:color w:val="5A5A5A"/>
                <w:sz w:val="18"/>
              </w:rPr>
              <w:t>#irondeficiency  #anaemia  #hookworm  #bloodloss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Protein-energy malnutrition</w:t>
            </w:r>
          </w:p>
        </w:tc>
        <w:tc>
          <w:tcPr>
            <w:tcW w:type="dxa" w:w="2160"/>
            <w:vAlign w:val="top"/>
          </w:tcPr>
          <w:p>
            <w:pPr>
              <w:spacing w:after="40" w:before="0" w:line="259" w:lineRule="auto"/>
            </w:pPr>
            <w:r>
              <w:rPr>
                <w:rFonts w:ascii="Calibri" w:hAnsi="Calibri"/>
                <w:b w:val="0"/>
                <w:i w:val="0"/>
                <w:color w:val="212121"/>
                <w:sz w:val="19"/>
              </w:rPr>
              <w:t>Undernourished / stunted children</w:t>
            </w:r>
          </w:p>
        </w:tc>
        <w:tc>
          <w:tcPr>
            <w:tcW w:type="dxa" w:w="4276"/>
            <w:vAlign w:val="top"/>
          </w:tcPr>
          <w:p>
            <w:pPr>
              <w:spacing w:after="60" w:line="259" w:lineRule="auto"/>
            </w:pPr>
            <w:r>
              <w:rPr>
                <w:rFonts w:ascii="Calibri" w:hAnsi="Calibri"/>
                <w:b w:val="0"/>
                <w:i w:val="0"/>
                <w:color w:val="212121"/>
                <w:sz w:val="19"/>
              </w:rPr>
              <w:t>Competition for nutrients, appetite suppression, malabsorption and chronic protein loss from STH worsen undernutrition; malnourished children in turn have weaker immunity and heavier worm burdens, creating a vicious cycle of stunting and wasting.</w:t>
            </w:r>
          </w:p>
          <w:p>
            <w:pPr>
              <w:spacing w:after="40" w:before="60" w:line="259" w:lineRule="auto"/>
            </w:pPr>
            <w:r>
              <w:rPr>
                <w:rFonts w:ascii="Calibri" w:hAnsi="Calibri"/>
                <w:b w:val="0"/>
                <w:i w:val="0"/>
                <w:color w:val="212121"/>
                <w:sz w:val="19"/>
              </w:rPr>
              <w:t>STH causes malnutrition, impaired growth and physical development, with the greatest impact in children.</w:t>
            </w:r>
          </w:p>
          <w:p>
            <w:pPr>
              <w:spacing w:after="40" w:line="252" w:lineRule="auto"/>
            </w:pPr>
            <w:hyperlink r:id="rId9">
              <w:r>
                <w:rPr>
                  <w:rFonts w:ascii="Calibri" w:hAnsi="Calibri" w:cs="Calibri"/>
                  <w:sz w:val="18"/>
                  <w:color w:val="1155CC"/>
                  <w:u w:val="single"/>
                </w:rPr>
                <w:t xml:space="preserve">who.int - soil-transmitted helminth infections (fact sheet)</w:t>
              </w:r>
            </w:hyperlink>
          </w:p>
          <w:p>
            <w:pPr>
              <w:spacing w:before="60" w:after="40"/>
            </w:pPr>
            <w:r>
              <w:rPr>
                <w:rFonts w:ascii="Calibri" w:hAnsi="Calibri"/>
                <w:b w:val="0"/>
                <w:i w:val="0"/>
                <w:color w:val="5A5A5A"/>
                <w:sz w:val="18"/>
              </w:rPr>
              <w:t>#malnutrition  #stunting  #wasting  #growthfaltering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Immunocompromised / corticosteroid-treated patients</w:t>
            </w:r>
          </w:p>
        </w:tc>
        <w:tc>
          <w:tcPr>
            <w:tcW w:type="dxa" w:w="4276"/>
            <w:vAlign w:val="top"/>
          </w:tcPr>
          <w:p>
            <w:pPr>
              <w:spacing w:after="60" w:line="259" w:lineRule="auto"/>
            </w:pPr>
            <w:r>
              <w:rPr>
                <w:rFonts w:ascii="Calibri" w:hAnsi="Calibri"/>
                <w:b w:val="0"/>
                <w:i w:val="0"/>
                <w:color w:val="212121"/>
                <w:sz w:val="19"/>
              </w:rPr>
              <w:t>Immunosuppression (HIV, corticosteroids, transplantation, chemotherapy) can allow unusually heavy helminth burdens and, where Strongyloides co-exists, life-threatening hyperinfection - warranting screening and treatment before immunosuppressive therapy in endemic areas.</w:t>
            </w:r>
          </w:p>
          <w:p>
            <w:pPr>
              <w:spacing w:after="40" w:before="60" w:line="259" w:lineRule="auto"/>
            </w:pPr>
            <w:r>
              <w:rPr>
                <w:rFonts w:ascii="Calibri" w:hAnsi="Calibri"/>
                <w:b w:val="0"/>
                <w:i w:val="0"/>
                <w:color w:val="212121"/>
                <w:sz w:val="19"/>
              </w:rPr>
              <w:t>Adults and immunocompromised patients from endemic areas warrant evaluation for intestinal helminths before immunosuppression.</w:t>
            </w:r>
          </w:p>
          <w:p>
            <w:pPr>
              <w:spacing w:after="40" w:line="252" w:lineRule="auto"/>
            </w:pPr>
            <w:hyperlink r:id="rId11">
              <w:r>
                <w:rPr>
                  <w:rFonts w:ascii="Calibri" w:hAnsi="Calibri" w:cs="Calibri"/>
                  <w:sz w:val="18"/>
                  <w:color w:val="1155CC"/>
                  <w:u w:val="single"/>
                </w:rPr>
                <w:t xml:space="preserve">cdc.gov - about soil-transmitted helminths</w:t>
              </w:r>
            </w:hyperlink>
          </w:p>
          <w:p>
            <w:pPr>
              <w:spacing w:before="60" w:after="40"/>
            </w:pPr>
            <w:r>
              <w:rPr>
                <w:rFonts w:ascii="Calibri" w:hAnsi="Calibri"/>
                <w:b w:val="0"/>
                <w:i w:val="0"/>
                <w:color w:val="5A5A5A"/>
                <w:sz w:val="18"/>
              </w:rPr>
              <w:t>#immunosuppression  #HIV  #steroids  #hyperinfection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 metabolic driver, but outdoor barefoot activity - farming, playing, defecating in the open - increases skin contact with hookworm larvae and hand contact with egg-laden soil; the exposure, not the exertion, is what matters.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Ingestion of embryonated Ascaris/Trichuris eggs on raw or unwashed vegetables, fruit, salads and via soiled hands during eating and food preparation is the principal transmission route for two of the three worms.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role in transmission; chronic anaemia, malaise and nocturnal perianal irritation from heavy infection can, however, disturb sleep and daytime function.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link between tobacco use and STH acquisition; it is not a recognised risk or protective factor.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with STH; heavy alcohol use may compound the poor nutrition and anaemia that worsen the clinical impact of infection.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heavy STH in childhood impairs cognition, school performance and, over time, educational and economic outcomes; the direction is mainly infection affecting neurocognition rather than the reverse.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Unsafe drinking water transmits eggs, and lack of water for handwashing and for flushing sanitation sustains the faecal-oral cycle; safe water and WASH are central to prevention.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relationship to STH acquisition or course.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dominant modifiable determinant: handwashing with soap, use of improved sanitation (ending open defecation), wearing footwear and washing/cooking produce interrupt every transmission route of STH.</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Open defecation, faecal contamination of soil, night-soil fertiliser, monsoon-warmed moist soils (optimal for egg maturation) and absence of periodic deworming provoke and sustain infection and reinfection.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with soap (after defecation, before eating)</w:t>
            </w:r>
          </w:p>
        </w:tc>
        <w:tc>
          <w:tcPr>
            <w:tcW w:type="dxa" w:w="1655"/>
            <w:vAlign w:val="top"/>
          </w:tcPr>
          <w:p>
            <w:pPr>
              <w:spacing w:after="40" w:before="0" w:line="259" w:lineRule="auto"/>
            </w:pPr>
            <w:r>
              <w:rPr>
                <w:rFonts w:ascii="Calibri" w:hAnsi="Calibri"/>
                <w:b w:val="0"/>
                <w:i w:val="0"/>
                <w:color w:val="212121"/>
                <w:sz w:val="19"/>
              </w:rPr>
              <w:t>All ages, children</w:t>
            </w:r>
          </w:p>
        </w:tc>
        <w:tc>
          <w:tcPr>
            <w:tcW w:type="dxa" w:w="1512"/>
            <w:vAlign w:val="top"/>
          </w:tcPr>
          <w:p>
            <w:pPr>
              <w:spacing w:after="40" w:before="0" w:line="259" w:lineRule="auto"/>
            </w:pPr>
            <w:r>
              <w:rPr>
                <w:rFonts w:ascii="Calibri" w:hAnsi="Calibri"/>
                <w:b w:val="0"/>
                <w:i w:val="0"/>
                <w:color w:val="212121"/>
                <w:sz w:val="19"/>
              </w:rPr>
              <w:t>Always, at critical times</w:t>
            </w:r>
          </w:p>
        </w:tc>
        <w:tc>
          <w:tcPr>
            <w:tcW w:type="dxa" w:w="1512"/>
            <w:vAlign w:val="top"/>
          </w:tcPr>
          <w:p>
            <w:pPr>
              <w:spacing w:after="40" w:before="0" w:line="259" w:lineRule="auto"/>
            </w:pPr>
            <w:r>
              <w:rPr>
                <w:rFonts w:ascii="Calibri" w:hAnsi="Calibri"/>
                <w:b w:val="0"/>
                <w:i w:val="0"/>
                <w:color w:val="212121"/>
                <w:sz w:val="19"/>
              </w:rPr>
              <w:t>Rarely / never or no soap available</w:t>
            </w:r>
          </w:p>
        </w:tc>
        <w:tc>
          <w:tcPr>
            <w:tcW w:type="dxa" w:w="1468"/>
            <w:vAlign w:val="top"/>
          </w:tcPr>
          <w:p>
            <w:pPr>
              <w:spacing w:after="40" w:before="0" w:line="259" w:lineRule="auto"/>
            </w:pPr>
            <w:r>
              <w:rPr>
                <w:rFonts w:ascii="Calibri" w:hAnsi="Calibri"/>
                <w:b w:val="0"/>
                <w:i w:val="0"/>
                <w:color w:val="212121"/>
                <w:sz w:val="19"/>
              </w:rPr>
              <w:t>Removes helminth eggs from hands and interrupts faecal-oral transmission of Ascaris/Trichuris.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Sanitation (access to &amp; use of an improved toilet)</w:t>
            </w:r>
          </w:p>
        </w:tc>
        <w:tc>
          <w:tcPr>
            <w:tcW w:type="dxa" w:w="1655"/>
            <w:vAlign w:val="top"/>
          </w:tcPr>
          <w:p>
            <w:pPr>
              <w:spacing w:after="40" w:before="0" w:line="259" w:lineRule="auto"/>
            </w:pPr>
            <w:r>
              <w:rPr>
                <w:rFonts w:ascii="Calibri" w:hAnsi="Calibri"/>
                <w:b w:val="0"/>
                <w:i w:val="0"/>
                <w:color w:val="212121"/>
                <w:sz w:val="19"/>
              </w:rPr>
              <w:t>Households, communities</w:t>
            </w:r>
          </w:p>
        </w:tc>
        <w:tc>
          <w:tcPr>
            <w:tcW w:type="dxa" w:w="1512"/>
            <w:vAlign w:val="top"/>
          </w:tcPr>
          <w:p>
            <w:pPr>
              <w:spacing w:after="40" w:before="0" w:line="259" w:lineRule="auto"/>
            </w:pPr>
            <w:r>
              <w:rPr>
                <w:rFonts w:ascii="Calibri" w:hAnsi="Calibri"/>
                <w:b w:val="0"/>
                <w:i w:val="0"/>
                <w:color w:val="212121"/>
                <w:sz w:val="19"/>
              </w:rPr>
              <w:t>Improved latrine, no open defecation</w:t>
            </w:r>
          </w:p>
        </w:tc>
        <w:tc>
          <w:tcPr>
            <w:tcW w:type="dxa" w:w="1512"/>
            <w:vAlign w:val="top"/>
          </w:tcPr>
          <w:p>
            <w:pPr>
              <w:spacing w:after="40" w:before="0" w:line="259" w:lineRule="auto"/>
            </w:pPr>
            <w:r>
              <w:rPr>
                <w:rFonts w:ascii="Calibri" w:hAnsi="Calibri"/>
                <w:b w:val="0"/>
                <w:i w:val="0"/>
                <w:color w:val="212121"/>
                <w:sz w:val="19"/>
              </w:rPr>
              <w:t>Open defecation / no toilet</w:t>
            </w:r>
          </w:p>
        </w:tc>
        <w:tc>
          <w:tcPr>
            <w:tcW w:type="dxa" w:w="1468"/>
            <w:vAlign w:val="top"/>
          </w:tcPr>
          <w:p>
            <w:pPr>
              <w:spacing w:after="60" w:line="259" w:lineRule="auto"/>
            </w:pPr>
            <w:r>
              <w:rPr>
                <w:rFonts w:ascii="Calibri" w:hAnsi="Calibri"/>
                <w:b w:val="0"/>
                <w:i w:val="0"/>
                <w:color w:val="212121"/>
                <w:sz w:val="19"/>
              </w:rPr>
              <w:t>Open defecation is the leading risk factor for STH in India.</w:t>
            </w:r>
          </w:p>
          <w:p>
            <w:pPr>
              <w:spacing w:after="40" w:line="252" w:lineRule="auto"/>
            </w:pPr>
            <w:hyperlink r:id="rId10">
              <w:r>
                <w:rPr>
                  <w:rFonts w:ascii="Calibri" w:hAnsi="Calibri" w:cs="Calibri"/>
                  <w:sz w:val="18"/>
                  <w:color w:val="1155CC"/>
                  <w:u w:val="single"/>
                </w:rPr>
                <w:t xml:space="preserve">https://bmcpublichealth.biomedcentral.com/articles/10.1186/s12889-017-4113-2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Footwear use outdoors</w:t>
            </w:r>
          </w:p>
        </w:tc>
        <w:tc>
          <w:tcPr>
            <w:tcW w:type="dxa" w:w="1655"/>
            <w:vAlign w:val="top"/>
          </w:tcPr>
          <w:p>
            <w:pPr>
              <w:spacing w:after="40" w:before="0" w:line="259" w:lineRule="auto"/>
            </w:pPr>
            <w:r>
              <w:rPr>
                <w:rFonts w:ascii="Calibri" w:hAnsi="Calibri"/>
                <w:b w:val="0"/>
                <w:i w:val="0"/>
                <w:color w:val="212121"/>
                <w:sz w:val="19"/>
              </w:rPr>
              <w:t>Farmers, children, rural populations</w:t>
            </w:r>
          </w:p>
        </w:tc>
        <w:tc>
          <w:tcPr>
            <w:tcW w:type="dxa" w:w="1512"/>
            <w:vAlign w:val="top"/>
          </w:tcPr>
          <w:p>
            <w:pPr>
              <w:spacing w:after="40" w:before="0" w:line="259" w:lineRule="auto"/>
            </w:pPr>
            <w:r>
              <w:rPr>
                <w:rFonts w:ascii="Calibri" w:hAnsi="Calibri"/>
                <w:b w:val="0"/>
                <w:i w:val="0"/>
                <w:color w:val="212121"/>
                <w:sz w:val="19"/>
              </w:rPr>
              <w:t>Wears footwear on soil</w:t>
            </w:r>
          </w:p>
        </w:tc>
        <w:tc>
          <w:tcPr>
            <w:tcW w:type="dxa" w:w="1512"/>
            <w:vAlign w:val="top"/>
          </w:tcPr>
          <w:p>
            <w:pPr>
              <w:spacing w:after="40" w:before="0" w:line="259" w:lineRule="auto"/>
            </w:pPr>
            <w:r>
              <w:rPr>
                <w:rFonts w:ascii="Calibri" w:hAnsi="Calibri"/>
                <w:b w:val="0"/>
                <w:i w:val="0"/>
                <w:color w:val="212121"/>
                <w:sz w:val="19"/>
              </w:rPr>
              <w:t>Habitually barefoot</w:t>
            </w:r>
          </w:p>
        </w:tc>
        <w:tc>
          <w:tcPr>
            <w:tcW w:type="dxa" w:w="1468"/>
            <w:vAlign w:val="top"/>
          </w:tcPr>
          <w:p>
            <w:pPr>
              <w:spacing w:after="60" w:line="259" w:lineRule="auto"/>
            </w:pPr>
            <w:r>
              <w:rPr>
                <w:rFonts w:ascii="Calibri" w:hAnsi="Calibri"/>
                <w:b w:val="0"/>
                <w:i w:val="0"/>
                <w:color w:val="212121"/>
                <w:sz w:val="19"/>
              </w:rPr>
              <w:t>Prevents hookworm larval skin penetration.</w:t>
            </w:r>
          </w:p>
          <w:p>
            <w:pPr>
              <w:spacing w:after="40" w:line="252" w:lineRule="auto"/>
            </w:pPr>
            <w:hyperlink r:id="rId12">
              <w:r>
                <w:rPr>
                  <w:rFonts w:ascii="Calibri" w:hAnsi="Calibri" w:cs="Calibri"/>
                  <w:sz w:val="18"/>
                  <w:color w:val="1155CC"/>
                  <w:u w:val="single"/>
                </w:rPr>
                <w:t xml:space="preserve">https://www.cdc.gov/sth/about/index.html</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Safe drinking-water source</w:t>
            </w:r>
          </w:p>
        </w:tc>
        <w:tc>
          <w:tcPr>
            <w:tcW w:type="dxa" w:w="1655"/>
            <w:vAlign w:val="top"/>
          </w:tcPr>
          <w:p>
            <w:pPr>
              <w:spacing w:after="40" w:before="0" w:line="259" w:lineRule="auto"/>
            </w:pPr>
            <w:r>
              <w:rPr>
                <w:rFonts w:ascii="Calibri" w:hAnsi="Calibri"/>
                <w:b w:val="0"/>
                <w:i w:val="0"/>
                <w:color w:val="212121"/>
                <w:sz w:val="19"/>
              </w:rPr>
              <w:t>Households</w:t>
            </w:r>
          </w:p>
        </w:tc>
        <w:tc>
          <w:tcPr>
            <w:tcW w:type="dxa" w:w="1512"/>
            <w:vAlign w:val="top"/>
          </w:tcPr>
          <w:p>
            <w:pPr>
              <w:spacing w:after="40" w:before="0" w:line="259" w:lineRule="auto"/>
            </w:pPr>
            <w:r>
              <w:rPr>
                <w:rFonts w:ascii="Calibri" w:hAnsi="Calibri"/>
                <w:b w:val="0"/>
                <w:i w:val="0"/>
                <w:color w:val="212121"/>
                <w:sz w:val="19"/>
              </w:rPr>
              <w:t>Treated / piped / boiled water</w:t>
            </w:r>
          </w:p>
        </w:tc>
        <w:tc>
          <w:tcPr>
            <w:tcW w:type="dxa" w:w="1512"/>
            <w:vAlign w:val="top"/>
          </w:tcPr>
          <w:p>
            <w:pPr>
              <w:spacing w:after="40" w:before="0" w:line="259" w:lineRule="auto"/>
            </w:pPr>
            <w:r>
              <w:rPr>
                <w:rFonts w:ascii="Calibri" w:hAnsi="Calibri"/>
                <w:b w:val="0"/>
                <w:i w:val="0"/>
                <w:color w:val="212121"/>
                <w:sz w:val="19"/>
              </w:rPr>
              <w:t>Untreated surface or shallow-well water</w:t>
            </w:r>
          </w:p>
        </w:tc>
        <w:tc>
          <w:tcPr>
            <w:tcW w:type="dxa" w:w="1468"/>
            <w:vAlign w:val="top"/>
          </w:tcPr>
          <w:p>
            <w:pPr>
              <w:spacing w:after="40" w:before="0" w:line="259" w:lineRule="auto"/>
            </w:pPr>
            <w:r>
              <w:rPr>
                <w:rFonts w:ascii="Calibri" w:hAnsi="Calibri"/>
                <w:b w:val="0"/>
                <w:i w:val="0"/>
                <w:color w:val="212121"/>
                <w:sz w:val="19"/>
              </w:rPr>
              <w:t>Contaminated water carries infective eggs and undermines hand/food hygiene.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Washing &amp; cooking of vegetables/fruit</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Washed in safe water / cooked</w:t>
            </w:r>
          </w:p>
        </w:tc>
        <w:tc>
          <w:tcPr>
            <w:tcW w:type="dxa" w:w="1512"/>
            <w:vAlign w:val="top"/>
          </w:tcPr>
          <w:p>
            <w:pPr>
              <w:spacing w:after="40" w:before="0" w:line="259" w:lineRule="auto"/>
            </w:pPr>
            <w:r>
              <w:rPr>
                <w:rFonts w:ascii="Calibri" w:hAnsi="Calibri"/>
                <w:b w:val="0"/>
                <w:i w:val="0"/>
                <w:color w:val="212121"/>
                <w:sz w:val="19"/>
              </w:rPr>
              <w:t>Eaten raw &amp; unwashed</w:t>
            </w:r>
          </w:p>
        </w:tc>
        <w:tc>
          <w:tcPr>
            <w:tcW w:type="dxa" w:w="1468"/>
            <w:vAlign w:val="top"/>
          </w:tcPr>
          <w:p>
            <w:pPr>
              <w:spacing w:after="60" w:line="259" w:lineRule="auto"/>
            </w:pPr>
            <w:r>
              <w:rPr>
                <w:rFonts w:ascii="Calibri" w:hAnsi="Calibri"/>
                <w:b w:val="0"/>
                <w:i w:val="0"/>
                <w:color w:val="212121"/>
                <w:sz w:val="19"/>
              </w:rPr>
              <w:t>Raw unwashed produce is a direct source of Ascaris and Trichuris eggs.</w:t>
            </w:r>
          </w:p>
          <w:p>
            <w:pPr>
              <w:spacing w:after="40" w:line="252" w:lineRule="auto"/>
            </w:pPr>
            <w:hyperlink r:id="rId12">
              <w:r>
                <w:rPr>
                  <w:rFonts w:ascii="Calibri" w:hAnsi="Calibri" w:cs="Calibri"/>
                  <w:sz w:val="18"/>
                  <w:color w:val="1155CC"/>
                  <w:u w:val="single"/>
                </w:rPr>
                <w:t xml:space="preserve">https://www.cdc.gov/sth/about/index.html</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Deworming (albendazole 400 mg) frequency</w:t>
            </w:r>
          </w:p>
        </w:tc>
        <w:tc>
          <w:tcPr>
            <w:tcW w:type="dxa" w:w="1655"/>
            <w:vAlign w:val="top"/>
          </w:tcPr>
          <w:p>
            <w:pPr>
              <w:spacing w:after="40" w:before="0" w:line="259" w:lineRule="auto"/>
            </w:pPr>
            <w:r>
              <w:rPr>
                <w:rFonts w:ascii="Calibri" w:hAnsi="Calibri"/>
                <w:b w:val="0"/>
                <w:i w:val="0"/>
                <w:color w:val="212121"/>
                <w:sz w:val="19"/>
              </w:rPr>
              <w:t>Children 1-19 y, endemic communities</w:t>
            </w:r>
          </w:p>
        </w:tc>
        <w:tc>
          <w:tcPr>
            <w:tcW w:type="dxa" w:w="1512"/>
            <w:vAlign w:val="top"/>
          </w:tcPr>
          <w:p>
            <w:pPr>
              <w:spacing w:after="40" w:before="0" w:line="259" w:lineRule="auto"/>
            </w:pPr>
            <w:r>
              <w:rPr>
                <w:rFonts w:ascii="Calibri" w:hAnsi="Calibri"/>
                <w:b w:val="0"/>
                <w:i w:val="0"/>
                <w:color w:val="212121"/>
                <w:sz w:val="19"/>
              </w:rPr>
              <w:t>1-2 rounds/year where prevalence warrants</w:t>
            </w:r>
          </w:p>
        </w:tc>
        <w:tc>
          <w:tcPr>
            <w:tcW w:type="dxa" w:w="1512"/>
            <w:vAlign w:val="top"/>
          </w:tcPr>
          <w:p>
            <w:pPr>
              <w:spacing w:after="40" w:before="0" w:line="259" w:lineRule="auto"/>
            </w:pPr>
            <w:r>
              <w:rPr>
                <w:rFonts w:ascii="Calibri" w:hAnsi="Calibri"/>
                <w:b w:val="0"/>
                <w:i w:val="0"/>
                <w:color w:val="212121"/>
                <w:sz w:val="19"/>
              </w:rPr>
              <w:t>No periodic deworming</w:t>
            </w:r>
          </w:p>
        </w:tc>
        <w:tc>
          <w:tcPr>
            <w:tcW w:type="dxa" w:w="1468"/>
            <w:vAlign w:val="top"/>
          </w:tcPr>
          <w:p>
            <w:pPr>
              <w:spacing w:after="40" w:before="0" w:line="259" w:lineRule="auto"/>
            </w:pPr>
            <w:r>
              <w:rPr>
                <w:rFonts w:ascii="Calibri" w:hAnsi="Calibri"/>
                <w:b w:val="0"/>
                <w:i w:val="0"/>
                <w:color w:val="212121"/>
                <w:sz w:val="19"/>
              </w:rPr>
              <w:t>India's National Deworming Day gives albendazole 400 mg to those aged 1-19 years.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Ascaris intensity (eggs per gram, EPG)</w:t>
            </w:r>
          </w:p>
        </w:tc>
        <w:tc>
          <w:tcPr>
            <w:tcW w:type="dxa" w:w="1655"/>
            <w:vAlign w:val="top"/>
          </w:tcPr>
          <w:p>
            <w:pPr>
              <w:spacing w:after="40" w:before="0" w:line="259" w:lineRule="auto"/>
            </w:pPr>
            <w:r>
              <w:rPr>
                <w:rFonts w:ascii="Calibri" w:hAnsi="Calibri"/>
                <w:b w:val="0"/>
                <w:i w:val="0"/>
                <w:color w:val="212121"/>
                <w:sz w:val="19"/>
              </w:rPr>
              <w:t>Infected individuals</w:t>
            </w:r>
          </w:p>
        </w:tc>
        <w:tc>
          <w:tcPr>
            <w:tcW w:type="dxa" w:w="1512"/>
            <w:vAlign w:val="top"/>
          </w:tcPr>
          <w:p>
            <w:pPr>
              <w:spacing w:after="40" w:before="0" w:line="259" w:lineRule="auto"/>
            </w:pPr>
            <w:r>
              <w:rPr>
                <w:rFonts w:ascii="Calibri" w:hAnsi="Calibri"/>
                <w:b w:val="0"/>
                <w:i w:val="0"/>
                <w:color w:val="212121"/>
                <w:sz w:val="19"/>
              </w:rPr>
              <w:t>0 (no eggs)</w:t>
            </w:r>
          </w:p>
        </w:tc>
        <w:tc>
          <w:tcPr>
            <w:tcW w:type="dxa" w:w="1512"/>
            <w:vAlign w:val="top"/>
          </w:tcPr>
          <w:p>
            <w:pPr>
              <w:spacing w:after="40" w:before="0" w:line="259" w:lineRule="auto"/>
            </w:pPr>
            <w:r>
              <w:rPr>
                <w:rFonts w:ascii="Calibri" w:hAnsi="Calibri"/>
                <w:b w:val="0"/>
                <w:i w:val="0"/>
                <w:color w:val="212121"/>
                <w:sz w:val="19"/>
              </w:rPr>
              <w:t>&gt;=50,000 EPG (heavy); 5,000-49,999 (moderate)</w:t>
            </w:r>
          </w:p>
        </w:tc>
        <w:tc>
          <w:tcPr>
            <w:tcW w:type="dxa" w:w="1468"/>
            <w:vAlign w:val="top"/>
          </w:tcPr>
          <w:p>
            <w:pPr>
              <w:spacing w:after="40" w:before="0" w:line="259" w:lineRule="auto"/>
            </w:pPr>
            <w:r>
              <w:rPr>
                <w:rFonts w:ascii="Calibri" w:hAnsi="Calibri"/>
                <w:b w:val="0"/>
                <w:i w:val="0"/>
                <w:color w:val="212121"/>
                <w:sz w:val="19"/>
              </w:rPr>
              <w:t>WHO intensity thresholds; heavy load risks intestinal/biliary obstruction.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Trichuris intensity (EPG)</w:t>
            </w:r>
          </w:p>
        </w:tc>
        <w:tc>
          <w:tcPr>
            <w:tcW w:type="dxa" w:w="1655"/>
            <w:vAlign w:val="top"/>
          </w:tcPr>
          <w:p>
            <w:pPr>
              <w:spacing w:after="40" w:before="0" w:line="259" w:lineRule="auto"/>
            </w:pPr>
            <w:r>
              <w:rPr>
                <w:rFonts w:ascii="Calibri" w:hAnsi="Calibri"/>
                <w:b w:val="0"/>
                <w:i w:val="0"/>
                <w:color w:val="212121"/>
                <w:sz w:val="19"/>
              </w:rPr>
              <w:t>Infected individuals</w:t>
            </w:r>
          </w:p>
        </w:tc>
        <w:tc>
          <w:tcPr>
            <w:tcW w:type="dxa" w:w="1512"/>
            <w:vAlign w:val="top"/>
          </w:tcPr>
          <w:p>
            <w:pPr>
              <w:spacing w:after="40" w:before="0" w:line="259" w:lineRule="auto"/>
            </w:pPr>
            <w:r>
              <w:rPr>
                <w:rFonts w:ascii="Calibri" w:hAnsi="Calibri"/>
                <w:b w:val="0"/>
                <w:i w:val="0"/>
                <w:color w:val="212121"/>
                <w:sz w:val="19"/>
              </w:rPr>
              <w:t>0 (no eggs)</w:t>
            </w:r>
          </w:p>
        </w:tc>
        <w:tc>
          <w:tcPr>
            <w:tcW w:type="dxa" w:w="1512"/>
            <w:vAlign w:val="top"/>
          </w:tcPr>
          <w:p>
            <w:pPr>
              <w:spacing w:after="40" w:before="0" w:line="259" w:lineRule="auto"/>
            </w:pPr>
            <w:r>
              <w:rPr>
                <w:rFonts w:ascii="Calibri" w:hAnsi="Calibri"/>
                <w:b w:val="0"/>
                <w:i w:val="0"/>
                <w:color w:val="212121"/>
                <w:sz w:val="19"/>
              </w:rPr>
              <w:t>&gt;=10,000 EPG (heavy); 1,000-9,999 (moderate)</w:t>
            </w:r>
          </w:p>
        </w:tc>
        <w:tc>
          <w:tcPr>
            <w:tcW w:type="dxa" w:w="1468"/>
            <w:vAlign w:val="top"/>
          </w:tcPr>
          <w:p>
            <w:pPr>
              <w:spacing w:after="40" w:before="0" w:line="259" w:lineRule="auto"/>
            </w:pPr>
            <w:r>
              <w:rPr>
                <w:rFonts w:ascii="Calibri" w:hAnsi="Calibri"/>
                <w:b w:val="0"/>
                <w:i w:val="0"/>
                <w:color w:val="212121"/>
                <w:sz w:val="19"/>
              </w:rPr>
              <w:t>Heavy whipworm load causes dysentery and rectal prolapse in children.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Hookworm intensity (EPG)</w:t>
            </w:r>
          </w:p>
        </w:tc>
        <w:tc>
          <w:tcPr>
            <w:tcW w:type="dxa" w:w="1655"/>
            <w:vAlign w:val="top"/>
          </w:tcPr>
          <w:p>
            <w:pPr>
              <w:spacing w:after="40" w:before="0" w:line="259" w:lineRule="auto"/>
            </w:pPr>
            <w:r>
              <w:rPr>
                <w:rFonts w:ascii="Calibri" w:hAnsi="Calibri"/>
                <w:b w:val="0"/>
                <w:i w:val="0"/>
                <w:color w:val="212121"/>
                <w:sz w:val="19"/>
              </w:rPr>
              <w:t>Infected individuals</w:t>
            </w:r>
          </w:p>
        </w:tc>
        <w:tc>
          <w:tcPr>
            <w:tcW w:type="dxa" w:w="1512"/>
            <w:vAlign w:val="top"/>
          </w:tcPr>
          <w:p>
            <w:pPr>
              <w:spacing w:after="40" w:before="0" w:line="259" w:lineRule="auto"/>
            </w:pPr>
            <w:r>
              <w:rPr>
                <w:rFonts w:ascii="Calibri" w:hAnsi="Calibri"/>
                <w:b w:val="0"/>
                <w:i w:val="0"/>
                <w:color w:val="212121"/>
                <w:sz w:val="19"/>
              </w:rPr>
              <w:t>0 (no eggs)</w:t>
            </w:r>
          </w:p>
        </w:tc>
        <w:tc>
          <w:tcPr>
            <w:tcW w:type="dxa" w:w="1512"/>
            <w:vAlign w:val="top"/>
          </w:tcPr>
          <w:p>
            <w:pPr>
              <w:spacing w:after="40" w:before="0" w:line="259" w:lineRule="auto"/>
            </w:pPr>
            <w:r>
              <w:rPr>
                <w:rFonts w:ascii="Calibri" w:hAnsi="Calibri"/>
                <w:b w:val="0"/>
                <w:i w:val="0"/>
                <w:color w:val="212121"/>
                <w:sz w:val="19"/>
              </w:rPr>
              <w:t>&gt;=4,000 EPG (heavy); 2,000-3,999 (moderate)</w:t>
            </w:r>
          </w:p>
        </w:tc>
        <w:tc>
          <w:tcPr>
            <w:tcW w:type="dxa" w:w="1468"/>
            <w:vAlign w:val="top"/>
          </w:tcPr>
          <w:p>
            <w:pPr>
              <w:spacing w:after="40" w:before="0" w:line="259" w:lineRule="auto"/>
            </w:pPr>
            <w:r>
              <w:rPr>
                <w:rFonts w:ascii="Calibri" w:hAnsi="Calibri"/>
                <w:b w:val="0"/>
                <w:i w:val="0"/>
                <w:color w:val="212121"/>
                <w:sz w:val="19"/>
              </w:rPr>
              <w:t>Higher hookworm burden correlates with greater blood loss and anaemia.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Haemoglobin (anaemia screen)</w:t>
            </w:r>
          </w:p>
        </w:tc>
        <w:tc>
          <w:tcPr>
            <w:tcW w:type="dxa" w:w="1655"/>
            <w:vAlign w:val="top"/>
          </w:tcPr>
          <w:p>
            <w:pPr>
              <w:spacing w:after="40" w:before="0" w:line="259" w:lineRule="auto"/>
            </w:pPr>
            <w:r>
              <w:rPr>
                <w:rFonts w:ascii="Calibri" w:hAnsi="Calibri"/>
                <w:b w:val="0"/>
                <w:i w:val="0"/>
                <w:color w:val="212121"/>
                <w:sz w:val="19"/>
              </w:rPr>
              <w:t>Children, menstruating &amp; pregnant women</w:t>
            </w:r>
          </w:p>
        </w:tc>
        <w:tc>
          <w:tcPr>
            <w:tcW w:type="dxa" w:w="1512"/>
            <w:vAlign w:val="top"/>
          </w:tcPr>
          <w:p>
            <w:pPr>
              <w:spacing w:after="40" w:before="0" w:line="259" w:lineRule="auto"/>
            </w:pPr>
            <w:r>
              <w:rPr>
                <w:rFonts w:ascii="Calibri" w:hAnsi="Calibri"/>
                <w:b w:val="0"/>
                <w:i w:val="0"/>
                <w:color w:val="212121"/>
                <w:sz w:val="19"/>
              </w:rPr>
              <w:t>Age/sex-appropriate normal (e.g. &gt;11 g/dL in young children/pregnancy)</w:t>
            </w:r>
          </w:p>
        </w:tc>
        <w:tc>
          <w:tcPr>
            <w:tcW w:type="dxa" w:w="1512"/>
            <w:vAlign w:val="top"/>
          </w:tcPr>
          <w:p>
            <w:pPr>
              <w:spacing w:after="40" w:before="0" w:line="259" w:lineRule="auto"/>
            </w:pPr>
            <w:r>
              <w:rPr>
                <w:rFonts w:ascii="Calibri" w:hAnsi="Calibri"/>
                <w:b w:val="0"/>
                <w:i w:val="0"/>
                <w:color w:val="212121"/>
                <w:sz w:val="19"/>
              </w:rPr>
              <w:t>Below age/sex threshold</w:t>
            </w:r>
          </w:p>
        </w:tc>
        <w:tc>
          <w:tcPr>
            <w:tcW w:type="dxa" w:w="1468"/>
            <w:vAlign w:val="top"/>
          </w:tcPr>
          <w:p>
            <w:pPr>
              <w:spacing w:after="60" w:line="259" w:lineRule="auto"/>
            </w:pPr>
            <w:r>
              <w:rPr>
                <w:rFonts w:ascii="Calibri" w:hAnsi="Calibri"/>
                <w:b w:val="0"/>
                <w:i w:val="0"/>
                <w:color w:val="212121"/>
                <w:sz w:val="19"/>
              </w:rPr>
              <w:t>Hookworm is a key reversible cause of iron-deficiency anaemia; screen and treat.</w:t>
            </w:r>
          </w:p>
          <w:p>
            <w:pPr>
              <w:spacing w:after="40" w:line="252" w:lineRule="auto"/>
            </w:pPr>
            <w:hyperlink r:id="rId9">
              <w:r>
                <w:rPr>
                  <w:rFonts w:ascii="Calibri" w:hAnsi="Calibri" w:cs="Calibri"/>
                  <w:sz w:val="18"/>
                  <w:color w:val="1155CC"/>
                  <w:u w:val="single"/>
                </w:rPr>
                <w:t xml:space="preserve">https://www.who.int/news-room/fact-sheets/detail/soil-transmitted-helminth-infections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eosinophil count</w:t>
            </w:r>
          </w:p>
        </w:tc>
        <w:tc>
          <w:tcPr>
            <w:tcW w:type="dxa" w:w="1655"/>
            <w:vAlign w:val="top"/>
          </w:tcPr>
          <w:p>
            <w:pPr>
              <w:spacing w:after="40" w:before="0" w:line="259" w:lineRule="auto"/>
            </w:pPr>
            <w:r>
              <w:rPr>
                <w:rFonts w:ascii="Calibri" w:hAnsi="Calibri"/>
                <w:b w:val="0"/>
                <w:i w:val="0"/>
                <w:color w:val="212121"/>
                <w:sz w:val="19"/>
              </w:rPr>
              <w:t>Symptomatic / larval-migration phase</w:t>
            </w:r>
          </w:p>
        </w:tc>
        <w:tc>
          <w:tcPr>
            <w:tcW w:type="dxa" w:w="1512"/>
            <w:vAlign w:val="top"/>
          </w:tcPr>
          <w:p>
            <w:pPr>
              <w:spacing w:after="40" w:before="0" w:line="259" w:lineRule="auto"/>
            </w:pPr>
            <w:r>
              <w:rPr>
                <w:rFonts w:ascii="Calibri" w:hAnsi="Calibri"/>
                <w:b w:val="0"/>
                <w:i w:val="0"/>
                <w:color w:val="212121"/>
                <w:sz w:val="19"/>
              </w:rPr>
              <w:t>Normal (&lt;500 cells/microL)</w:t>
            </w:r>
          </w:p>
        </w:tc>
        <w:tc>
          <w:tcPr>
            <w:tcW w:type="dxa" w:w="1512"/>
            <w:vAlign w:val="top"/>
          </w:tcPr>
          <w:p>
            <w:pPr>
              <w:spacing w:after="40" w:before="0" w:line="259" w:lineRule="auto"/>
            </w:pPr>
            <w:r>
              <w:rPr>
                <w:rFonts w:ascii="Calibri" w:hAnsi="Calibri"/>
                <w:b w:val="0"/>
                <w:i w:val="0"/>
                <w:color w:val="212121"/>
                <w:sz w:val="19"/>
              </w:rPr>
              <w:t>Eosinophilia (raised)</w:t>
            </w:r>
          </w:p>
        </w:tc>
        <w:tc>
          <w:tcPr>
            <w:tcW w:type="dxa" w:w="1468"/>
            <w:vAlign w:val="top"/>
          </w:tcPr>
          <w:p>
            <w:pPr>
              <w:spacing w:after="40" w:before="0" w:line="259" w:lineRule="auto"/>
            </w:pPr>
            <w:r>
              <w:rPr>
                <w:rFonts w:ascii="Calibri" w:hAnsi="Calibri"/>
                <w:b w:val="0"/>
                <w:i w:val="0"/>
                <w:color w:val="212121"/>
                <w:sz w:val="19"/>
              </w:rPr>
              <w:t>Rises during tissue/larval migration (Loffler phase); non-specific supportive clue.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Parasitology</w:t>
            </w:r>
          </w:p>
        </w:tc>
        <w:tc>
          <w:tcPr>
            <w:tcW w:type="dxa" w:w="1036"/>
            <w:vAlign w:val="top"/>
          </w:tcPr>
          <w:p>
            <w:pPr>
              <w:spacing w:after="40" w:before="0" w:line="259" w:lineRule="auto"/>
            </w:pPr>
            <w:r>
              <w:rPr>
                <w:rFonts w:ascii="Calibri" w:hAnsi="Calibri"/>
                <w:b w:val="0"/>
                <w:i w:val="0"/>
                <w:color w:val="212121"/>
                <w:sz w:val="16"/>
              </w:rPr>
              <w:t>Stool microscopy (direct wet mount)</w:t>
            </w:r>
          </w:p>
        </w:tc>
        <w:tc>
          <w:tcPr>
            <w:tcW w:type="dxa" w:w="892"/>
            <w:vAlign w:val="top"/>
          </w:tcPr>
          <w:p>
            <w:pPr>
              <w:spacing w:after="40" w:before="0" w:line="259" w:lineRule="auto"/>
            </w:pPr>
            <w:r>
              <w:rPr>
                <w:rFonts w:ascii="Calibri" w:hAnsi="Calibri"/>
                <w:b w:val="0"/>
                <w:i w:val="0"/>
                <w:color w:val="212121"/>
                <w:sz w:val="16"/>
              </w:rPr>
              <w:t>Ova &amp; parasite examination</w:t>
            </w:r>
          </w:p>
        </w:tc>
        <w:tc>
          <w:tcPr>
            <w:tcW w:type="dxa" w:w="950"/>
            <w:vAlign w:val="top"/>
          </w:tcPr>
          <w:p>
            <w:pPr>
              <w:spacing w:after="40" w:before="0" w:line="259" w:lineRule="auto"/>
            </w:pPr>
            <w:r>
              <w:rPr>
                <w:rFonts w:ascii="Calibri" w:hAnsi="Calibri"/>
                <w:b w:val="0"/>
                <w:i w:val="0"/>
                <w:color w:val="212121"/>
                <w:sz w:val="16"/>
              </w:rPr>
              <w:t>No helminth ova seen</w:t>
            </w:r>
          </w:p>
        </w:tc>
        <w:tc>
          <w:tcPr>
            <w:tcW w:type="dxa" w:w="950"/>
            <w:vAlign w:val="top"/>
          </w:tcPr>
          <w:p>
            <w:pPr>
              <w:spacing w:after="40" w:before="0" w:line="259" w:lineRule="auto"/>
            </w:pPr>
            <w:r>
              <w:rPr>
                <w:rFonts w:ascii="Calibri" w:hAnsi="Calibri"/>
                <w:b w:val="0"/>
                <w:i w:val="0"/>
                <w:color w:val="212121"/>
                <w:sz w:val="16"/>
              </w:rPr>
              <w:t>Characteristic eggs identified</w:t>
            </w:r>
          </w:p>
        </w:tc>
        <w:tc>
          <w:tcPr>
            <w:tcW w:type="dxa" w:w="1036"/>
            <w:vAlign w:val="top"/>
          </w:tcPr>
          <w:p>
            <w:pPr>
              <w:spacing w:after="40" w:before="0" w:line="259" w:lineRule="auto"/>
            </w:pPr>
            <w:r>
              <w:rPr>
                <w:rFonts w:ascii="Calibri" w:hAnsi="Calibri"/>
                <w:b w:val="0"/>
                <w:i w:val="0"/>
                <w:color w:val="212121"/>
                <w:sz w:val="16"/>
              </w:rPr>
              <w:t>Detects and speciates infection by egg morphology</w:t>
            </w:r>
          </w:p>
        </w:tc>
        <w:tc>
          <w:tcPr>
            <w:tcW w:type="dxa" w:w="1036"/>
            <w:vAlign w:val="top"/>
          </w:tcPr>
          <w:p>
            <w:pPr>
              <w:spacing w:after="40" w:before="0" w:line="259" w:lineRule="auto"/>
            </w:pPr>
            <w:r>
              <w:rPr>
                <w:rFonts w:ascii="Calibri" w:hAnsi="Calibri"/>
                <w:b w:val="0"/>
                <w:i w:val="0"/>
                <w:color w:val="212121"/>
                <w:sz w:val="16"/>
              </w:rPr>
              <w:t>Symptomatic children &amp; adults, at-risk groups</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First-line / screening</w:t>
            </w:r>
          </w:p>
        </w:tc>
        <w:tc>
          <w:tcPr>
            <w:tcW w:type="dxa" w:w="720"/>
            <w:vAlign w:val="top"/>
          </w:tcPr>
          <w:p>
            <w:pPr>
              <w:spacing w:after="40" w:before="0" w:line="259" w:lineRule="auto"/>
            </w:pPr>
            <w:r>
              <w:rPr>
                <w:rFonts w:ascii="Calibri" w:hAnsi="Calibri"/>
                <w:b w:val="0"/>
                <w:i w:val="0"/>
                <w:color w:val="212121"/>
                <w:sz w:val="16"/>
              </w:rPr>
              <w:t>Low sensitivity in light infections; examine fresh or preserved sample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Parasitology</w:t>
            </w:r>
          </w:p>
        </w:tc>
        <w:tc>
          <w:tcPr>
            <w:tcW w:type="dxa" w:w="1036"/>
            <w:vAlign w:val="top"/>
          </w:tcPr>
          <w:p>
            <w:pPr>
              <w:spacing w:after="40" w:before="0" w:line="259" w:lineRule="auto"/>
            </w:pPr>
            <w:r>
              <w:rPr>
                <w:rFonts w:ascii="Calibri" w:hAnsi="Calibri"/>
                <w:b w:val="0"/>
                <w:i w:val="0"/>
                <w:color w:val="212121"/>
                <w:sz w:val="16"/>
              </w:rPr>
              <w:t>Kato-Katz thick smear (EPG)</w:t>
            </w:r>
          </w:p>
        </w:tc>
        <w:tc>
          <w:tcPr>
            <w:tcW w:type="dxa" w:w="892"/>
            <w:vAlign w:val="top"/>
          </w:tcPr>
          <w:p>
            <w:pPr>
              <w:spacing w:after="40" w:before="0" w:line="259" w:lineRule="auto"/>
            </w:pPr>
            <w:r>
              <w:rPr>
                <w:rFonts w:ascii="Calibri" w:hAnsi="Calibri"/>
                <w:b w:val="0"/>
                <w:i w:val="0"/>
                <w:color w:val="212121"/>
                <w:sz w:val="16"/>
              </w:rPr>
              <w:t>Egg quantification</w:t>
            </w:r>
          </w:p>
        </w:tc>
        <w:tc>
          <w:tcPr>
            <w:tcW w:type="dxa" w:w="950"/>
            <w:vAlign w:val="top"/>
          </w:tcPr>
          <w:p>
            <w:pPr>
              <w:spacing w:after="40" w:before="0" w:line="259" w:lineRule="auto"/>
            </w:pPr>
            <w:r>
              <w:rPr>
                <w:rFonts w:ascii="Calibri" w:hAnsi="Calibri"/>
                <w:b w:val="0"/>
                <w:i w:val="0"/>
                <w:color w:val="212121"/>
                <w:sz w:val="16"/>
              </w:rPr>
              <w:t>0 EPG</w:t>
            </w:r>
          </w:p>
        </w:tc>
        <w:tc>
          <w:tcPr>
            <w:tcW w:type="dxa" w:w="950"/>
            <w:vAlign w:val="top"/>
          </w:tcPr>
          <w:p>
            <w:pPr>
              <w:spacing w:after="40" w:before="0" w:line="259" w:lineRule="auto"/>
            </w:pPr>
            <w:r>
              <w:rPr>
                <w:rFonts w:ascii="Calibri" w:hAnsi="Calibri"/>
                <w:b w:val="0"/>
                <w:i w:val="0"/>
                <w:color w:val="212121"/>
                <w:sz w:val="16"/>
              </w:rPr>
              <w:t>Eggs per gram in light/moderate/heavy bands</w:t>
            </w:r>
          </w:p>
        </w:tc>
        <w:tc>
          <w:tcPr>
            <w:tcW w:type="dxa" w:w="1036"/>
            <w:vAlign w:val="top"/>
          </w:tcPr>
          <w:p>
            <w:pPr>
              <w:spacing w:after="40" w:before="0" w:line="259" w:lineRule="auto"/>
            </w:pPr>
            <w:r>
              <w:rPr>
                <w:rFonts w:ascii="Calibri" w:hAnsi="Calibri"/>
                <w:b w:val="0"/>
                <w:i w:val="0"/>
                <w:color w:val="212121"/>
                <w:sz w:val="16"/>
              </w:rPr>
              <w:t>Grades intensity and monitors deworming response</w:t>
            </w:r>
          </w:p>
        </w:tc>
        <w:tc>
          <w:tcPr>
            <w:tcW w:type="dxa" w:w="1036"/>
            <w:vAlign w:val="top"/>
          </w:tcPr>
          <w:p>
            <w:pPr>
              <w:spacing w:after="40" w:before="0" w:line="259" w:lineRule="auto"/>
            </w:pPr>
            <w:r>
              <w:rPr>
                <w:rFonts w:ascii="Calibri" w:hAnsi="Calibri"/>
                <w:b w:val="0"/>
                <w:i w:val="0"/>
                <w:color w:val="212121"/>
                <w:sz w:val="16"/>
              </w:rPr>
              <w:t>Programme surveys, heavy-infection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(quantitative)</w:t>
            </w:r>
          </w:p>
        </w:tc>
        <w:tc>
          <w:tcPr>
            <w:tcW w:type="dxa" w:w="720"/>
            <w:vAlign w:val="top"/>
          </w:tcPr>
          <w:p>
            <w:pPr>
              <w:spacing w:after="40" w:before="0" w:line="259" w:lineRule="auto"/>
            </w:pPr>
            <w:r>
              <w:rPr>
                <w:rFonts w:ascii="Calibri" w:hAnsi="Calibri"/>
                <w:b w:val="0"/>
                <w:i w:val="0"/>
                <w:color w:val="212121"/>
                <w:sz w:val="16"/>
              </w:rPr>
              <w:t>WHO-recommended for prevalence &amp; intensity mapping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Parasitology</w:t>
            </w:r>
          </w:p>
        </w:tc>
        <w:tc>
          <w:tcPr>
            <w:tcW w:type="dxa" w:w="1036"/>
            <w:vAlign w:val="top"/>
          </w:tcPr>
          <w:p>
            <w:pPr>
              <w:spacing w:after="40" w:before="0" w:line="259" w:lineRule="auto"/>
            </w:pPr>
            <w:r>
              <w:rPr>
                <w:rFonts w:ascii="Calibri" w:hAnsi="Calibri"/>
                <w:b w:val="0"/>
                <w:i w:val="0"/>
                <w:color w:val="212121"/>
                <w:sz w:val="16"/>
              </w:rPr>
              <w:t>Concentration / flotation (formol-ether, Willis, McMaster, Mini-FLOTAC)</w:t>
            </w:r>
          </w:p>
        </w:tc>
        <w:tc>
          <w:tcPr>
            <w:tcW w:type="dxa" w:w="892"/>
            <w:vAlign w:val="top"/>
          </w:tcPr>
          <w:p>
            <w:pPr>
              <w:spacing w:after="40" w:before="0" w:line="259" w:lineRule="auto"/>
            </w:pPr>
            <w:r>
              <w:rPr>
                <w:rFonts w:ascii="Calibri" w:hAnsi="Calibri"/>
                <w:b w:val="0"/>
                <w:i w:val="0"/>
                <w:color w:val="212121"/>
                <w:sz w:val="16"/>
              </w:rPr>
              <w:t>Egg concentration</w:t>
            </w:r>
          </w:p>
        </w:tc>
        <w:tc>
          <w:tcPr>
            <w:tcW w:type="dxa" w:w="950"/>
            <w:vAlign w:val="top"/>
          </w:tcPr>
          <w:p>
            <w:pPr>
              <w:spacing w:after="40" w:before="0" w:line="259" w:lineRule="auto"/>
            </w:pPr>
            <w:r>
              <w:rPr>
                <w:rFonts w:ascii="Calibri" w:hAnsi="Calibri"/>
                <w:b w:val="0"/>
                <w:i w:val="0"/>
                <w:color w:val="212121"/>
                <w:sz w:val="16"/>
              </w:rPr>
              <w:t>No ova on concentrate</w:t>
            </w:r>
          </w:p>
        </w:tc>
        <w:tc>
          <w:tcPr>
            <w:tcW w:type="dxa" w:w="950"/>
            <w:vAlign w:val="top"/>
          </w:tcPr>
          <w:p>
            <w:pPr>
              <w:spacing w:after="40" w:before="0" w:line="259" w:lineRule="auto"/>
            </w:pPr>
            <w:r>
              <w:rPr>
                <w:rFonts w:ascii="Calibri" w:hAnsi="Calibri"/>
                <w:b w:val="0"/>
                <w:i w:val="0"/>
                <w:color w:val="212121"/>
                <w:sz w:val="16"/>
              </w:rPr>
              <w:t>Ova detected on concentrate</w:t>
            </w:r>
          </w:p>
        </w:tc>
        <w:tc>
          <w:tcPr>
            <w:tcW w:type="dxa" w:w="1036"/>
            <w:vAlign w:val="top"/>
          </w:tcPr>
          <w:p>
            <w:pPr>
              <w:spacing w:after="40" w:before="0" w:line="259" w:lineRule="auto"/>
            </w:pPr>
            <w:r>
              <w:rPr>
                <w:rFonts w:ascii="Calibri" w:hAnsi="Calibri"/>
                <w:b w:val="0"/>
                <w:i w:val="0"/>
                <w:color w:val="212121"/>
                <w:sz w:val="16"/>
              </w:rPr>
              <w:t>Improves detection when egg output is low</w:t>
            </w:r>
          </w:p>
        </w:tc>
        <w:tc>
          <w:tcPr>
            <w:tcW w:type="dxa" w:w="1036"/>
            <w:vAlign w:val="top"/>
          </w:tcPr>
          <w:p>
            <w:pPr>
              <w:spacing w:after="40" w:before="0" w:line="259" w:lineRule="auto"/>
            </w:pPr>
            <w:r>
              <w:rPr>
                <w:rFonts w:ascii="Calibri" w:hAnsi="Calibri"/>
                <w:b w:val="0"/>
                <w:i w:val="0"/>
                <w:color w:val="212121"/>
                <w:sz w:val="16"/>
              </w:rPr>
              <w:t>Suspected light infections, follow-up</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Confirmatory (sensitivity)</w:t>
            </w:r>
          </w:p>
        </w:tc>
        <w:tc>
          <w:tcPr>
            <w:tcW w:type="dxa" w:w="720"/>
            <w:vAlign w:val="top"/>
          </w:tcPr>
          <w:p>
            <w:pPr>
              <w:spacing w:after="40" w:before="0" w:line="259" w:lineRule="auto"/>
            </w:pPr>
            <w:r>
              <w:rPr>
                <w:rFonts w:ascii="Calibri" w:hAnsi="Calibri"/>
                <w:b w:val="0"/>
                <w:i w:val="0"/>
                <w:color w:val="212121"/>
                <w:sz w:val="16"/>
              </w:rPr>
              <w:t>Useful when direct smear is negative but suspicion persists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Haemoglobin, indices, eosinophils</w:t>
            </w:r>
          </w:p>
        </w:tc>
        <w:tc>
          <w:tcPr>
            <w:tcW w:type="dxa" w:w="950"/>
            <w:vAlign w:val="top"/>
          </w:tcPr>
          <w:p>
            <w:pPr>
              <w:spacing w:after="40" w:before="0" w:line="259" w:lineRule="auto"/>
            </w:pPr>
            <w:r>
              <w:rPr>
                <w:rFonts w:ascii="Calibri" w:hAnsi="Calibri"/>
                <w:b w:val="0"/>
                <w:i w:val="0"/>
                <w:color w:val="212121"/>
                <w:sz w:val="16"/>
              </w:rPr>
              <w:t>Normal Hb; eosinophils &lt;500/microL</w:t>
            </w:r>
          </w:p>
        </w:tc>
        <w:tc>
          <w:tcPr>
            <w:tcW w:type="dxa" w:w="950"/>
            <w:vAlign w:val="top"/>
          </w:tcPr>
          <w:p>
            <w:pPr>
              <w:spacing w:after="40" w:before="0" w:line="259" w:lineRule="auto"/>
            </w:pPr>
            <w:r>
              <w:rPr>
                <w:rFonts w:ascii="Calibri" w:hAnsi="Calibri"/>
                <w:b w:val="0"/>
                <w:i w:val="0"/>
                <w:color w:val="212121"/>
                <w:sz w:val="16"/>
              </w:rPr>
              <w:t>Microcytic hypochromic anaemia; eosinophilia</w:t>
            </w:r>
          </w:p>
        </w:tc>
        <w:tc>
          <w:tcPr>
            <w:tcW w:type="dxa" w:w="1036"/>
            <w:vAlign w:val="top"/>
          </w:tcPr>
          <w:p>
            <w:pPr>
              <w:spacing w:after="40" w:before="0" w:line="259" w:lineRule="auto"/>
            </w:pPr>
            <w:r>
              <w:rPr>
                <w:rFonts w:ascii="Calibri" w:hAnsi="Calibri"/>
                <w:b w:val="0"/>
                <w:i w:val="0"/>
                <w:color w:val="212121"/>
                <w:sz w:val="16"/>
              </w:rPr>
              <w:t>Anaemia reflects hookworm blood loss; eosinophilia reflects larval migration</w:t>
            </w:r>
          </w:p>
        </w:tc>
        <w:tc>
          <w:tcPr>
            <w:tcW w:type="dxa" w:w="1036"/>
            <w:vAlign w:val="top"/>
          </w:tcPr>
          <w:p>
            <w:pPr>
              <w:spacing w:after="40" w:before="0" w:line="259" w:lineRule="auto"/>
            </w:pPr>
            <w:r>
              <w:rPr>
                <w:rFonts w:ascii="Calibri" w:hAnsi="Calibri"/>
                <w:b w:val="0"/>
                <w:i w:val="0"/>
                <w:color w:val="212121"/>
                <w:sz w:val="16"/>
              </w:rPr>
              <w:t>Anaemic, malnourished or symptomatic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 severity</w:t>
            </w:r>
          </w:p>
        </w:tc>
        <w:tc>
          <w:tcPr>
            <w:tcW w:type="dxa" w:w="720"/>
            <w:vAlign w:val="top"/>
          </w:tcPr>
          <w:p>
            <w:pPr>
              <w:spacing w:after="40" w:before="0" w:line="259" w:lineRule="auto"/>
            </w:pPr>
            <w:r>
              <w:rPr>
                <w:rFonts w:ascii="Calibri" w:hAnsi="Calibri"/>
                <w:b w:val="0"/>
                <w:i w:val="0"/>
                <w:color w:val="212121"/>
                <w:sz w:val="16"/>
              </w:rPr>
              <w:t>Eosinophilia is highest during tissue-migration phase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Iron studies (ferritin, serum iron, TIBC)</w:t>
            </w:r>
          </w:p>
        </w:tc>
        <w:tc>
          <w:tcPr>
            <w:tcW w:type="dxa" w:w="892"/>
            <w:vAlign w:val="top"/>
          </w:tcPr>
          <w:p>
            <w:pPr>
              <w:spacing w:after="40" w:before="0" w:line="259" w:lineRule="auto"/>
            </w:pPr>
            <w:r>
              <w:rPr>
                <w:rFonts w:ascii="Calibri" w:hAnsi="Calibri"/>
                <w:b w:val="0"/>
                <w:i w:val="0"/>
                <w:color w:val="212121"/>
                <w:sz w:val="16"/>
              </w:rPr>
              <w:t>Iron status</w:t>
            </w:r>
          </w:p>
        </w:tc>
        <w:tc>
          <w:tcPr>
            <w:tcW w:type="dxa" w:w="950"/>
            <w:vAlign w:val="top"/>
          </w:tcPr>
          <w:p>
            <w:pPr>
              <w:spacing w:after="40" w:before="0" w:line="259" w:lineRule="auto"/>
            </w:pPr>
            <w:r>
              <w:rPr>
                <w:rFonts w:ascii="Calibri" w:hAnsi="Calibri"/>
                <w:b w:val="0"/>
                <w:i w:val="0"/>
                <w:color w:val="212121"/>
                <w:sz w:val="16"/>
              </w:rPr>
              <w:t>Normal ferritin &amp; transferrin saturation</w:t>
            </w:r>
          </w:p>
        </w:tc>
        <w:tc>
          <w:tcPr>
            <w:tcW w:type="dxa" w:w="950"/>
            <w:vAlign w:val="top"/>
          </w:tcPr>
          <w:p>
            <w:pPr>
              <w:spacing w:after="40" w:before="0" w:line="259" w:lineRule="auto"/>
            </w:pPr>
            <w:r>
              <w:rPr>
                <w:rFonts w:ascii="Calibri" w:hAnsi="Calibri"/>
                <w:b w:val="0"/>
                <w:i w:val="0"/>
                <w:color w:val="212121"/>
                <w:sz w:val="16"/>
              </w:rPr>
              <w:t>Low ferritin, low saturation, high TIBC</w:t>
            </w:r>
          </w:p>
        </w:tc>
        <w:tc>
          <w:tcPr>
            <w:tcW w:type="dxa" w:w="1036"/>
            <w:vAlign w:val="top"/>
          </w:tcPr>
          <w:p>
            <w:pPr>
              <w:spacing w:after="40" w:before="0" w:line="259" w:lineRule="auto"/>
            </w:pPr>
            <w:r>
              <w:rPr>
                <w:rFonts w:ascii="Calibri" w:hAnsi="Calibri"/>
                <w:b w:val="0"/>
                <w:i w:val="0"/>
                <w:color w:val="212121"/>
                <w:sz w:val="16"/>
              </w:rPr>
              <w:t>Confirms iron-deficiency anaemia from chronic hookworm blood loss</w:t>
            </w:r>
          </w:p>
        </w:tc>
        <w:tc>
          <w:tcPr>
            <w:tcW w:type="dxa" w:w="1036"/>
            <w:vAlign w:val="top"/>
          </w:tcPr>
          <w:p>
            <w:pPr>
              <w:spacing w:after="40" w:before="0" w:line="259" w:lineRule="auto"/>
            </w:pPr>
            <w:r>
              <w:rPr>
                <w:rFonts w:ascii="Calibri" w:hAnsi="Calibri"/>
                <w:b w:val="0"/>
                <w:i w:val="0"/>
                <w:color w:val="212121"/>
                <w:sz w:val="16"/>
              </w:rPr>
              <w:t>Hookworm-endemic anaemic patients, pregnant women</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Guides iron replacement alongside deworming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total protein &amp; albumin</w:t>
            </w:r>
          </w:p>
        </w:tc>
        <w:tc>
          <w:tcPr>
            <w:tcW w:type="dxa" w:w="892"/>
            <w:vAlign w:val="top"/>
          </w:tcPr>
          <w:p>
            <w:pPr>
              <w:spacing w:after="40" w:before="0" w:line="259" w:lineRule="auto"/>
            </w:pPr>
            <w:r>
              <w:rPr>
                <w:rFonts w:ascii="Calibri" w:hAnsi="Calibri"/>
                <w:b w:val="0"/>
                <w:i w:val="0"/>
                <w:color w:val="212121"/>
                <w:sz w:val="16"/>
              </w:rPr>
              <w:t>Protein status</w:t>
            </w:r>
          </w:p>
        </w:tc>
        <w:tc>
          <w:tcPr>
            <w:tcW w:type="dxa" w:w="950"/>
            <w:vAlign w:val="top"/>
          </w:tcPr>
          <w:p>
            <w:pPr>
              <w:spacing w:after="40" w:before="0" w:line="259" w:lineRule="auto"/>
            </w:pPr>
            <w:r>
              <w:rPr>
                <w:rFonts w:ascii="Calibri" w:hAnsi="Calibri"/>
                <w:b w:val="0"/>
                <w:i w:val="0"/>
                <w:color w:val="212121"/>
                <w:sz w:val="16"/>
              </w:rPr>
              <w:t>Normal albumin</w:t>
            </w:r>
          </w:p>
        </w:tc>
        <w:tc>
          <w:tcPr>
            <w:tcW w:type="dxa" w:w="950"/>
            <w:vAlign w:val="top"/>
          </w:tcPr>
          <w:p>
            <w:pPr>
              <w:spacing w:after="40" w:before="0" w:line="259" w:lineRule="auto"/>
            </w:pPr>
            <w:r>
              <w:rPr>
                <w:rFonts w:ascii="Calibri" w:hAnsi="Calibri"/>
                <w:b w:val="0"/>
                <w:i w:val="0"/>
                <w:color w:val="212121"/>
                <w:sz w:val="16"/>
              </w:rPr>
              <w:t>Hypoalbuminaemia / hypoproteinaemia</w:t>
            </w:r>
          </w:p>
        </w:tc>
        <w:tc>
          <w:tcPr>
            <w:tcW w:type="dxa" w:w="1036"/>
            <w:vAlign w:val="top"/>
          </w:tcPr>
          <w:p>
            <w:pPr>
              <w:spacing w:after="40" w:before="0" w:line="259" w:lineRule="auto"/>
            </w:pPr>
            <w:r>
              <w:rPr>
                <w:rFonts w:ascii="Calibri" w:hAnsi="Calibri"/>
                <w:b w:val="0"/>
                <w:i w:val="0"/>
                <w:color w:val="212121"/>
                <w:sz w:val="16"/>
              </w:rPr>
              <w:t>Reflects protein loss and malnutrition in heavy infection</w:t>
            </w:r>
          </w:p>
        </w:tc>
        <w:tc>
          <w:tcPr>
            <w:tcW w:type="dxa" w:w="1036"/>
            <w:vAlign w:val="top"/>
          </w:tcPr>
          <w:p>
            <w:pPr>
              <w:spacing w:after="40" w:before="0" w:line="259" w:lineRule="auto"/>
            </w:pPr>
            <w:r>
              <w:rPr>
                <w:rFonts w:ascii="Calibri" w:hAnsi="Calibri"/>
                <w:b w:val="0"/>
                <w:i w:val="0"/>
                <w:color w:val="212121"/>
                <w:sz w:val="16"/>
              </w:rPr>
              <w:t>Malnourished children, heavy hookworm burden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May accompany oedema in severe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Stool</w:t>
            </w:r>
          </w:p>
        </w:tc>
        <w:tc>
          <w:tcPr>
            <w:tcW w:type="dxa" w:w="1036"/>
            <w:vAlign w:val="top"/>
          </w:tcPr>
          <w:p>
            <w:pPr>
              <w:spacing w:after="40" w:before="0" w:line="259" w:lineRule="auto"/>
            </w:pPr>
            <w:r>
              <w:rPr>
                <w:rFonts w:ascii="Calibri" w:hAnsi="Calibri"/>
                <w:b w:val="0"/>
                <w:i w:val="0"/>
                <w:color w:val="212121"/>
                <w:sz w:val="16"/>
              </w:rPr>
              <w:t>Faecal occult blood</w:t>
            </w:r>
          </w:p>
        </w:tc>
        <w:tc>
          <w:tcPr>
            <w:tcW w:type="dxa" w:w="892"/>
            <w:vAlign w:val="top"/>
          </w:tcPr>
          <w:p>
            <w:pPr>
              <w:spacing w:after="40" w:before="0" w:line="259" w:lineRule="auto"/>
            </w:pPr>
            <w:r>
              <w:rPr>
                <w:rFonts w:ascii="Calibri" w:hAnsi="Calibri"/>
                <w:b w:val="0"/>
                <w:i w:val="0"/>
                <w:color w:val="212121"/>
                <w:sz w:val="16"/>
              </w:rPr>
              <w:t>Occult blood</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Indicates mucosal blood loss from hookworm or heavy Trichuris</w:t>
            </w:r>
          </w:p>
        </w:tc>
        <w:tc>
          <w:tcPr>
            <w:tcW w:type="dxa" w:w="1036"/>
            <w:vAlign w:val="top"/>
          </w:tcPr>
          <w:p>
            <w:pPr>
              <w:spacing w:after="40" w:before="0" w:line="259" w:lineRule="auto"/>
            </w:pPr>
            <w:r>
              <w:rPr>
                <w:rFonts w:ascii="Calibri" w:hAnsi="Calibri"/>
                <w:b w:val="0"/>
                <w:i w:val="0"/>
                <w:color w:val="212121"/>
                <w:sz w:val="16"/>
              </w:rPr>
              <w:t>Anaemic patients, chronic diarrhoea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interpret with egg findings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Ultrasound / plain X-ray / contrast study</w:t>
            </w:r>
          </w:p>
        </w:tc>
        <w:tc>
          <w:tcPr>
            <w:tcW w:type="dxa" w:w="892"/>
            <w:vAlign w:val="top"/>
          </w:tcPr>
          <w:p>
            <w:pPr>
              <w:spacing w:after="40" w:before="0" w:line="259" w:lineRule="auto"/>
            </w:pPr>
            <w:r>
              <w:rPr>
                <w:rFonts w:ascii="Calibri" w:hAnsi="Calibri"/>
                <w:b w:val="0"/>
                <w:i w:val="0"/>
                <w:color w:val="212121"/>
                <w:sz w:val="16"/>
              </w:rPr>
              <w:t>Structural assessment</w:t>
            </w:r>
          </w:p>
        </w:tc>
        <w:tc>
          <w:tcPr>
            <w:tcW w:type="dxa" w:w="950"/>
            <w:vAlign w:val="top"/>
          </w:tcPr>
          <w:p>
            <w:pPr>
              <w:spacing w:after="40" w:before="0" w:line="259" w:lineRule="auto"/>
            </w:pPr>
            <w:r>
              <w:rPr>
                <w:rFonts w:ascii="Calibri" w:hAnsi="Calibri"/>
                <w:b w:val="0"/>
                <w:i w:val="0"/>
                <w:color w:val="212121"/>
                <w:sz w:val="16"/>
              </w:rPr>
              <w:t>No worm bolus or obstruction</w:t>
            </w:r>
          </w:p>
        </w:tc>
        <w:tc>
          <w:tcPr>
            <w:tcW w:type="dxa" w:w="950"/>
            <w:vAlign w:val="top"/>
          </w:tcPr>
          <w:p>
            <w:pPr>
              <w:spacing w:after="40" w:before="0" w:line="259" w:lineRule="auto"/>
            </w:pPr>
            <w:r>
              <w:rPr>
                <w:rFonts w:ascii="Calibri" w:hAnsi="Calibri"/>
                <w:b w:val="0"/>
                <w:i w:val="0"/>
                <w:color w:val="212121"/>
                <w:sz w:val="16"/>
              </w:rPr>
              <w:t>Worm bolus, bowel obstruction, biliary/pancreatic Ascaris</w:t>
            </w:r>
          </w:p>
        </w:tc>
        <w:tc>
          <w:tcPr>
            <w:tcW w:type="dxa" w:w="1036"/>
            <w:vAlign w:val="top"/>
          </w:tcPr>
          <w:p>
            <w:pPr>
              <w:spacing w:after="40" w:before="0" w:line="259" w:lineRule="auto"/>
            </w:pPr>
            <w:r>
              <w:rPr>
                <w:rFonts w:ascii="Calibri" w:hAnsi="Calibri"/>
                <w:b w:val="0"/>
                <w:i w:val="0"/>
                <w:color w:val="212121"/>
                <w:sz w:val="16"/>
              </w:rPr>
              <w:t>Identifies complications of heavy ascariasis</w:t>
            </w:r>
          </w:p>
        </w:tc>
        <w:tc>
          <w:tcPr>
            <w:tcW w:type="dxa" w:w="1036"/>
            <w:vAlign w:val="top"/>
          </w:tcPr>
          <w:p>
            <w:pPr>
              <w:spacing w:after="40" w:before="0" w:line="259" w:lineRule="auto"/>
            </w:pPr>
            <w:r>
              <w:rPr>
                <w:rFonts w:ascii="Calibri" w:hAnsi="Calibri"/>
                <w:b w:val="0"/>
                <w:i w:val="0"/>
                <w:color w:val="212121"/>
                <w:sz w:val="16"/>
              </w:rPr>
              <w:t>Children with abdominal mass, obstruction, biliary colic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Complication work-up</w:t>
            </w:r>
          </w:p>
        </w:tc>
        <w:tc>
          <w:tcPr>
            <w:tcW w:type="dxa" w:w="720"/>
            <w:vAlign w:val="top"/>
          </w:tcPr>
          <w:p>
            <w:pPr>
              <w:spacing w:after="40" w:before="0" w:line="259" w:lineRule="auto"/>
            </w:pPr>
            <w:r>
              <w:rPr>
                <w:rFonts w:ascii="Calibri" w:hAnsi="Calibri"/>
                <w:b w:val="0"/>
                <w:i w:val="0"/>
                <w:color w:val="212121"/>
                <w:sz w:val="16"/>
              </w:rPr>
              <w:t>Ultrasound can show worms in bile ducts/pancreatic duct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Abdominal pain, diarrhoea, poor appetite, fatigue, passing/vomiting a worm, pallor</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Points to intestinal helminth infection</w:t>
            </w:r>
          </w:p>
        </w:tc>
        <w:tc>
          <w:tcPr>
            <w:tcW w:type="dxa" w:w="1036"/>
            <w:vAlign w:val="top"/>
          </w:tcPr>
          <w:p>
            <w:pPr>
              <w:spacing w:after="40" w:before="0" w:line="259" w:lineRule="auto"/>
            </w:pPr>
            <w:r>
              <w:rPr>
                <w:rFonts w:ascii="Calibri" w:hAnsi="Calibri"/>
                <w:b w:val="0"/>
                <w:i w:val="0"/>
                <w:color w:val="212121"/>
                <w:sz w:val="16"/>
              </w:rPr>
              <w:t>Children, symptomatic adults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Passing an adult roundworm is diagnostic of ascariasis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&amp; risk history</w:t>
            </w:r>
          </w:p>
        </w:tc>
        <w:tc>
          <w:tcPr>
            <w:tcW w:type="dxa" w:w="979"/>
            <w:vAlign w:val="top"/>
          </w:tcPr>
          <w:p>
            <w:pPr>
              <w:spacing w:after="40" w:before="0" w:line="259" w:lineRule="auto"/>
            </w:pPr>
            <w:r>
              <w:rPr>
                <w:rFonts w:ascii="Calibri" w:hAnsi="Calibri"/>
                <w:b w:val="0"/>
                <w:i w:val="0"/>
                <w:color w:val="212121"/>
                <w:sz w:val="16"/>
              </w:rPr>
              <w:t>Open defecation, barefoot walking, sanitation, raw produce, untreated water, endemic residence</w:t>
            </w:r>
          </w:p>
        </w:tc>
        <w:tc>
          <w:tcPr>
            <w:tcW w:type="dxa" w:w="950"/>
            <w:vAlign w:val="top"/>
          </w:tcPr>
          <w:p>
            <w:pPr>
              <w:spacing w:after="40" w:before="0" w:line="259" w:lineRule="auto"/>
            </w:pPr>
            <w:r>
              <w:rPr>
                <w:rFonts w:ascii="Calibri" w:hAnsi="Calibri"/>
                <w:b w:val="0"/>
                <w:i w:val="0"/>
                <w:color w:val="212121"/>
                <w:sz w:val="16"/>
              </w:rPr>
              <w:t>Good WASH, no high-risk exposure</w:t>
            </w:r>
          </w:p>
        </w:tc>
        <w:tc>
          <w:tcPr>
            <w:tcW w:type="dxa" w:w="950"/>
            <w:vAlign w:val="top"/>
          </w:tcPr>
          <w:p>
            <w:pPr>
              <w:spacing w:after="40" w:before="0" w:line="259" w:lineRule="auto"/>
            </w:pPr>
            <w:r>
              <w:rPr>
                <w:rFonts w:ascii="Calibri" w:hAnsi="Calibri"/>
                <w:b w:val="0"/>
                <w:i w:val="0"/>
                <w:color w:val="212121"/>
                <w:sz w:val="16"/>
              </w:rPr>
              <w:t>Open defecation / barefoot / poor sanitation / endemic area</w:t>
            </w:r>
          </w:p>
        </w:tc>
        <w:tc>
          <w:tcPr>
            <w:tcW w:type="dxa" w:w="1036"/>
            <w:vAlign w:val="top"/>
          </w:tcPr>
          <w:p>
            <w:pPr>
              <w:spacing w:after="40" w:before="0" w:line="259" w:lineRule="auto"/>
            </w:pPr>
            <w:r>
              <w:rPr>
                <w:rFonts w:ascii="Calibri" w:hAnsi="Calibri"/>
                <w:b w:val="0"/>
                <w:i w:val="0"/>
                <w:color w:val="212121"/>
                <w:sz w:val="16"/>
              </w:rPr>
              <w:t>Establishes pre-test probability of STH</w:t>
            </w:r>
          </w:p>
        </w:tc>
        <w:tc>
          <w:tcPr>
            <w:tcW w:type="dxa" w:w="1036"/>
            <w:vAlign w:val="top"/>
          </w:tcPr>
          <w:p>
            <w:pPr>
              <w:spacing w:after="40" w:before="0" w:line="259" w:lineRule="auto"/>
            </w:pPr>
            <w:r>
              <w:rPr>
                <w:rFonts w:ascii="Calibri" w:hAnsi="Calibri"/>
                <w:b w:val="0"/>
                <w:i w:val="0"/>
                <w:color w:val="212121"/>
                <w:sz w:val="16"/>
              </w:rPr>
              <w:t>All suspected patients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Note household clustering and prior deworming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&amp; behavioural history</w:t>
            </w:r>
          </w:p>
        </w:tc>
        <w:tc>
          <w:tcPr>
            <w:tcW w:type="dxa" w:w="979"/>
            <w:vAlign w:val="top"/>
          </w:tcPr>
          <w:p>
            <w:pPr>
              <w:spacing w:after="40" w:before="0" w:line="259" w:lineRule="auto"/>
            </w:pPr>
            <w:r>
              <w:rPr>
                <w:rFonts w:ascii="Calibri" w:hAnsi="Calibri"/>
                <w:b w:val="0"/>
                <w:i w:val="0"/>
                <w:color w:val="212121"/>
                <w:sz w:val="16"/>
              </w:rPr>
              <w:t>Geophagia/pica, handwashing habits, footwear use</w:t>
            </w:r>
          </w:p>
        </w:tc>
        <w:tc>
          <w:tcPr>
            <w:tcW w:type="dxa" w:w="950"/>
            <w:vAlign w:val="top"/>
          </w:tcPr>
          <w:p>
            <w:pPr>
              <w:spacing w:after="40" w:before="0" w:line="259" w:lineRule="auto"/>
            </w:pPr>
            <w:r>
              <w:rPr>
                <w:rFonts w:ascii="Calibri" w:hAnsi="Calibri"/>
                <w:b w:val="0"/>
                <w:i w:val="0"/>
                <w:color w:val="212121"/>
                <w:sz w:val="16"/>
              </w:rPr>
              <w:t>Good hygiene, no pica</w:t>
            </w:r>
          </w:p>
        </w:tc>
        <w:tc>
          <w:tcPr>
            <w:tcW w:type="dxa" w:w="950"/>
            <w:vAlign w:val="top"/>
          </w:tcPr>
          <w:p>
            <w:pPr>
              <w:spacing w:after="40" w:before="0" w:line="259" w:lineRule="auto"/>
            </w:pPr>
            <w:r>
              <w:rPr>
                <w:rFonts w:ascii="Calibri" w:hAnsi="Calibri"/>
                <w:b w:val="0"/>
                <w:i w:val="0"/>
                <w:color w:val="212121"/>
                <w:sz w:val="16"/>
              </w:rPr>
              <w:t>Pica/geophagia, poor handwashing, habitually barefoot</w:t>
            </w:r>
          </w:p>
        </w:tc>
        <w:tc>
          <w:tcPr>
            <w:tcW w:type="dxa" w:w="1036"/>
            <w:vAlign w:val="top"/>
          </w:tcPr>
          <w:p>
            <w:pPr>
              <w:spacing w:after="40" w:before="0" w:line="259" w:lineRule="auto"/>
            </w:pPr>
            <w:r>
              <w:rPr>
                <w:rFonts w:ascii="Calibri" w:hAnsi="Calibri"/>
                <w:b w:val="0"/>
                <w:i w:val="0"/>
                <w:color w:val="212121"/>
                <w:sz w:val="16"/>
              </w:rPr>
              <w:t>Identifies modifiable transmission behaviours</w:t>
            </w:r>
          </w:p>
        </w:tc>
        <w:tc>
          <w:tcPr>
            <w:tcW w:type="dxa" w:w="1036"/>
            <w:vAlign w:val="top"/>
          </w:tcPr>
          <w:p>
            <w:pPr>
              <w:spacing w:after="40" w:before="0" w:line="259" w:lineRule="auto"/>
            </w:pPr>
            <w:r>
              <w:rPr>
                <w:rFonts w:ascii="Calibri" w:hAnsi="Calibri"/>
                <w:b w:val="0"/>
                <w:i w:val="0"/>
                <w:color w:val="212121"/>
                <w:sz w:val="16"/>
              </w:rPr>
              <w:t>Young children, rural populations</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Preventive triage</w:t>
            </w:r>
          </w:p>
        </w:tc>
        <w:tc>
          <w:tcPr>
            <w:tcW w:type="dxa" w:w="720"/>
            <w:vAlign w:val="top"/>
          </w:tcPr>
          <w:p>
            <w:pPr>
              <w:spacing w:after="40" w:before="0" w:line="259" w:lineRule="auto"/>
            </w:pPr>
            <w:r>
              <w:rPr>
                <w:rFonts w:ascii="Calibri" w:hAnsi="Calibri"/>
                <w:b w:val="0"/>
                <w:i w:val="0"/>
                <w:color w:val="212121"/>
                <w:sz w:val="16"/>
              </w:rPr>
              <w:t>Geophagia strongly linked to childhood Ascaris/Trichuris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Pallor &amp; nutritional assessment</w:t>
            </w:r>
          </w:p>
        </w:tc>
        <w:tc>
          <w:tcPr>
            <w:tcW w:type="dxa" w:w="979"/>
            <w:vAlign w:val="top"/>
          </w:tcPr>
          <w:p>
            <w:pPr>
              <w:spacing w:after="40" w:before="0" w:line="259" w:lineRule="auto"/>
            </w:pPr>
            <w:r>
              <w:rPr>
                <w:rFonts w:ascii="Calibri" w:hAnsi="Calibri"/>
                <w:b w:val="0"/>
                <w:i w:val="0"/>
                <w:color w:val="212121"/>
                <w:sz w:val="16"/>
              </w:rPr>
              <w:t>Conjunctival/palmar pallor, weight-for-age, height-for-age, MUAC</w:t>
            </w:r>
          </w:p>
        </w:tc>
        <w:tc>
          <w:tcPr>
            <w:tcW w:type="dxa" w:w="950"/>
            <w:vAlign w:val="top"/>
          </w:tcPr>
          <w:p>
            <w:pPr>
              <w:spacing w:after="40" w:before="0" w:line="259" w:lineRule="auto"/>
            </w:pPr>
            <w:r>
              <w:rPr>
                <w:rFonts w:ascii="Calibri" w:hAnsi="Calibri"/>
                <w:b w:val="0"/>
                <w:i w:val="0"/>
                <w:color w:val="212121"/>
                <w:sz w:val="16"/>
              </w:rPr>
              <w:t>No pallor, normal anthropometry</w:t>
            </w:r>
          </w:p>
        </w:tc>
        <w:tc>
          <w:tcPr>
            <w:tcW w:type="dxa" w:w="950"/>
            <w:vAlign w:val="top"/>
          </w:tcPr>
          <w:p>
            <w:pPr>
              <w:spacing w:after="40" w:before="0" w:line="259" w:lineRule="auto"/>
            </w:pPr>
            <w:r>
              <w:rPr>
                <w:rFonts w:ascii="Calibri" w:hAnsi="Calibri"/>
                <w:b w:val="0"/>
                <w:i w:val="0"/>
                <w:color w:val="212121"/>
                <w:sz w:val="16"/>
              </w:rPr>
              <w:t>Pallor, underweight, stunting, wasting</w:t>
            </w:r>
          </w:p>
        </w:tc>
        <w:tc>
          <w:tcPr>
            <w:tcW w:type="dxa" w:w="1036"/>
            <w:vAlign w:val="top"/>
          </w:tcPr>
          <w:p>
            <w:pPr>
              <w:spacing w:after="40" w:before="0" w:line="259" w:lineRule="auto"/>
            </w:pPr>
            <w:r>
              <w:rPr>
                <w:rFonts w:ascii="Calibri" w:hAnsi="Calibri"/>
                <w:b w:val="0"/>
                <w:i w:val="0"/>
                <w:color w:val="212121"/>
                <w:sz w:val="16"/>
              </w:rPr>
              <w:t>Detects anaemia and undernutrition from chronic infection</w:t>
            </w:r>
          </w:p>
        </w:tc>
        <w:tc>
          <w:tcPr>
            <w:tcW w:type="dxa" w:w="1036"/>
            <w:vAlign w:val="top"/>
          </w:tcPr>
          <w:p>
            <w:pPr>
              <w:spacing w:after="40" w:before="0" w:line="259" w:lineRule="auto"/>
            </w:pPr>
            <w:r>
              <w:rPr>
                <w:rFonts w:ascii="Calibri" w:hAnsi="Calibri"/>
                <w:b w:val="0"/>
                <w:i w:val="0"/>
                <w:color w:val="212121"/>
                <w:sz w:val="16"/>
              </w:rPr>
              <w:t>Children, pregnant women</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Severity assessment</w:t>
            </w:r>
          </w:p>
        </w:tc>
        <w:tc>
          <w:tcPr>
            <w:tcW w:type="dxa" w:w="720"/>
            <w:vAlign w:val="top"/>
          </w:tcPr>
          <w:p>
            <w:pPr>
              <w:spacing w:after="40" w:before="0" w:line="259" w:lineRule="auto"/>
            </w:pPr>
            <w:r>
              <w:rPr>
                <w:rFonts w:ascii="Calibri" w:hAnsi="Calibri"/>
                <w:b w:val="0"/>
                <w:i w:val="0"/>
                <w:color w:val="212121"/>
                <w:sz w:val="16"/>
              </w:rPr>
              <w:t>Plot on growth charts; screen Hb where pallor present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Distension, tenderness, palpable 'ball-of-worms' mass</w:t>
            </w:r>
          </w:p>
        </w:tc>
        <w:tc>
          <w:tcPr>
            <w:tcW w:type="dxa" w:w="950"/>
            <w:vAlign w:val="top"/>
          </w:tcPr>
          <w:p>
            <w:pPr>
              <w:spacing w:after="40" w:before="0" w:line="259" w:lineRule="auto"/>
            </w:pPr>
            <w:r>
              <w:rPr>
                <w:rFonts w:ascii="Calibri" w:hAnsi="Calibri"/>
                <w:b w:val="0"/>
                <w:i w:val="0"/>
                <w:color w:val="212121"/>
                <w:sz w:val="16"/>
              </w:rPr>
              <w:t>Soft, non-tender, no mass</w:t>
            </w:r>
          </w:p>
        </w:tc>
        <w:tc>
          <w:tcPr>
            <w:tcW w:type="dxa" w:w="950"/>
            <w:vAlign w:val="top"/>
          </w:tcPr>
          <w:p>
            <w:pPr>
              <w:spacing w:after="40" w:before="0" w:line="259" w:lineRule="auto"/>
            </w:pPr>
            <w:r>
              <w:rPr>
                <w:rFonts w:ascii="Calibri" w:hAnsi="Calibri"/>
                <w:b w:val="0"/>
                <w:i w:val="0"/>
                <w:color w:val="212121"/>
                <w:sz w:val="16"/>
              </w:rPr>
              <w:t>Distension, tenderness or palpable mass</w:t>
            </w:r>
          </w:p>
        </w:tc>
        <w:tc>
          <w:tcPr>
            <w:tcW w:type="dxa" w:w="1036"/>
            <w:vAlign w:val="top"/>
          </w:tcPr>
          <w:p>
            <w:pPr>
              <w:spacing w:after="40" w:before="0" w:line="259" w:lineRule="auto"/>
            </w:pPr>
            <w:r>
              <w:rPr>
                <w:rFonts w:ascii="Calibri" w:hAnsi="Calibri"/>
                <w:b w:val="0"/>
                <w:i w:val="0"/>
                <w:color w:val="212121"/>
                <w:sz w:val="16"/>
              </w:rPr>
              <w:t>Heavy Ascaris burden can present as an abdominal mass or obstruction</w:t>
            </w:r>
          </w:p>
        </w:tc>
        <w:tc>
          <w:tcPr>
            <w:tcW w:type="dxa" w:w="1036"/>
            <w:vAlign w:val="top"/>
          </w:tcPr>
          <w:p>
            <w:pPr>
              <w:spacing w:after="40" w:before="0" w:line="259" w:lineRule="auto"/>
            </w:pPr>
            <w:r>
              <w:rPr>
                <w:rFonts w:ascii="Calibri" w:hAnsi="Calibri"/>
                <w:b w:val="0"/>
                <w:i w:val="0"/>
                <w:color w:val="212121"/>
                <w:sz w:val="16"/>
              </w:rPr>
              <w:t>Preschool children with heavy load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Complication screen</w:t>
            </w:r>
          </w:p>
        </w:tc>
        <w:tc>
          <w:tcPr>
            <w:tcW w:type="dxa" w:w="720"/>
            <w:vAlign w:val="top"/>
          </w:tcPr>
          <w:p>
            <w:pPr>
              <w:spacing w:after="40" w:before="0" w:line="259" w:lineRule="auto"/>
            </w:pPr>
            <w:r>
              <w:rPr>
                <w:rFonts w:ascii="Calibri" w:hAnsi="Calibri"/>
                <w:b w:val="0"/>
                <w:i w:val="0"/>
                <w:color w:val="212121"/>
                <w:sz w:val="16"/>
              </w:rPr>
              <w:t>Acute obstruction is a surgical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Anorectal examination</w:t>
            </w:r>
          </w:p>
        </w:tc>
        <w:tc>
          <w:tcPr>
            <w:tcW w:type="dxa" w:w="979"/>
            <w:vAlign w:val="top"/>
          </w:tcPr>
          <w:p>
            <w:pPr>
              <w:spacing w:after="40" w:before="0" w:line="259" w:lineRule="auto"/>
            </w:pPr>
            <w:r>
              <w:rPr>
                <w:rFonts w:ascii="Calibri" w:hAnsi="Calibri"/>
                <w:b w:val="0"/>
                <w:i w:val="0"/>
                <w:color w:val="212121"/>
                <w:sz w:val="16"/>
              </w:rPr>
              <w:t>Rectal prolapse, tenesmus, mucoid/bloody stool</w:t>
            </w:r>
          </w:p>
        </w:tc>
        <w:tc>
          <w:tcPr>
            <w:tcW w:type="dxa" w:w="950"/>
            <w:vAlign w:val="top"/>
          </w:tcPr>
          <w:p>
            <w:pPr>
              <w:spacing w:after="40" w:before="0" w:line="259" w:lineRule="auto"/>
            </w:pPr>
            <w:r>
              <w:rPr>
                <w:rFonts w:ascii="Calibri" w:hAnsi="Calibri"/>
                <w:b w:val="0"/>
                <w:i w:val="0"/>
                <w:color w:val="212121"/>
                <w:sz w:val="16"/>
              </w:rPr>
              <w:t>No prolapse, formed stool</w:t>
            </w:r>
          </w:p>
        </w:tc>
        <w:tc>
          <w:tcPr>
            <w:tcW w:type="dxa" w:w="950"/>
            <w:vAlign w:val="top"/>
          </w:tcPr>
          <w:p>
            <w:pPr>
              <w:spacing w:after="40" w:before="0" w:line="259" w:lineRule="auto"/>
            </w:pPr>
            <w:r>
              <w:rPr>
                <w:rFonts w:ascii="Calibri" w:hAnsi="Calibri"/>
                <w:b w:val="0"/>
                <w:i w:val="0"/>
                <w:color w:val="212121"/>
                <w:sz w:val="16"/>
              </w:rPr>
              <w:t>Rectal prolapse or Trichuris dysentery</w:t>
            </w:r>
          </w:p>
        </w:tc>
        <w:tc>
          <w:tcPr>
            <w:tcW w:type="dxa" w:w="1036"/>
            <w:vAlign w:val="top"/>
          </w:tcPr>
          <w:p>
            <w:pPr>
              <w:spacing w:after="40" w:before="0" w:line="259" w:lineRule="auto"/>
            </w:pPr>
            <w:r>
              <w:rPr>
                <w:rFonts w:ascii="Calibri" w:hAnsi="Calibri"/>
                <w:b w:val="0"/>
                <w:i w:val="0"/>
                <w:color w:val="212121"/>
                <w:sz w:val="16"/>
              </w:rPr>
              <w:t>Marker of heavy whipworm infection in children</w:t>
            </w:r>
          </w:p>
        </w:tc>
        <w:tc>
          <w:tcPr>
            <w:tcW w:type="dxa" w:w="1036"/>
            <w:vAlign w:val="top"/>
          </w:tcPr>
          <w:p>
            <w:pPr>
              <w:spacing w:after="40" w:before="0" w:line="259" w:lineRule="auto"/>
            </w:pPr>
            <w:r>
              <w:rPr>
                <w:rFonts w:ascii="Calibri" w:hAnsi="Calibri"/>
                <w:b w:val="0"/>
                <w:i w:val="0"/>
                <w:color w:val="212121"/>
                <w:sz w:val="16"/>
              </w:rPr>
              <w:t>Children with chronic diarrhoea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clue</w:t>
            </w:r>
          </w:p>
        </w:tc>
        <w:tc>
          <w:tcPr>
            <w:tcW w:type="dxa" w:w="720"/>
            <w:vAlign w:val="top"/>
          </w:tcPr>
          <w:p>
            <w:pPr>
              <w:spacing w:after="40" w:before="0" w:line="259" w:lineRule="auto"/>
            </w:pPr>
            <w:r>
              <w:rPr>
                <w:rFonts w:ascii="Calibri" w:hAnsi="Calibri"/>
                <w:b w:val="0"/>
                <w:i w:val="0"/>
                <w:color w:val="212121"/>
                <w:sz w:val="16"/>
              </w:rPr>
              <w:t>Adult whipworms may be visible on the prolapsed mucosa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Respiratory &amp; skin examination</w:t>
            </w:r>
          </w:p>
        </w:tc>
        <w:tc>
          <w:tcPr>
            <w:tcW w:type="dxa" w:w="979"/>
            <w:vAlign w:val="top"/>
          </w:tcPr>
          <w:p>
            <w:pPr>
              <w:spacing w:after="40" w:before="0" w:line="259" w:lineRule="auto"/>
            </w:pPr>
            <w:r>
              <w:rPr>
                <w:rFonts w:ascii="Calibri" w:hAnsi="Calibri"/>
                <w:b w:val="0"/>
                <w:i w:val="0"/>
                <w:color w:val="212121"/>
                <w:sz w:val="16"/>
              </w:rPr>
              <w:t>Wheeze/cough (Loffler), transient infiltrates, 'ground itch' at hookworm entry</w:t>
            </w:r>
          </w:p>
        </w:tc>
        <w:tc>
          <w:tcPr>
            <w:tcW w:type="dxa" w:w="950"/>
            <w:vAlign w:val="top"/>
          </w:tcPr>
          <w:p>
            <w:pPr>
              <w:spacing w:after="40" w:before="0" w:line="259" w:lineRule="auto"/>
            </w:pPr>
            <w:r>
              <w:rPr>
                <w:rFonts w:ascii="Calibri" w:hAnsi="Calibri"/>
                <w:b w:val="0"/>
                <w:i w:val="0"/>
                <w:color w:val="212121"/>
                <w:sz w:val="16"/>
              </w:rPr>
              <w:t>Clear chest, no rash</w:t>
            </w:r>
          </w:p>
        </w:tc>
        <w:tc>
          <w:tcPr>
            <w:tcW w:type="dxa" w:w="950"/>
            <w:vAlign w:val="top"/>
          </w:tcPr>
          <w:p>
            <w:pPr>
              <w:spacing w:after="40" w:before="0" w:line="259" w:lineRule="auto"/>
            </w:pPr>
            <w:r>
              <w:rPr>
                <w:rFonts w:ascii="Calibri" w:hAnsi="Calibri"/>
                <w:b w:val="0"/>
                <w:i w:val="0"/>
                <w:color w:val="212121"/>
                <w:sz w:val="16"/>
              </w:rPr>
              <w:t>Wheeze, cough, migratory infiltrates, itchy foot dermatitis</w:t>
            </w:r>
          </w:p>
        </w:tc>
        <w:tc>
          <w:tcPr>
            <w:tcW w:type="dxa" w:w="1036"/>
            <w:vAlign w:val="top"/>
          </w:tcPr>
          <w:p>
            <w:pPr>
              <w:spacing w:after="40" w:before="0" w:line="259" w:lineRule="auto"/>
            </w:pPr>
            <w:r>
              <w:rPr>
                <w:rFonts w:ascii="Calibri" w:hAnsi="Calibri"/>
                <w:b w:val="0"/>
                <w:i w:val="0"/>
                <w:color w:val="212121"/>
                <w:sz w:val="16"/>
              </w:rPr>
              <w:t>Reflects larval pulmonary migration (Ascaris) and cutaneous hookworm entry</w:t>
            </w:r>
          </w:p>
        </w:tc>
        <w:tc>
          <w:tcPr>
            <w:tcW w:type="dxa" w:w="1036"/>
            <w:vAlign w:val="top"/>
          </w:tcPr>
          <w:p>
            <w:pPr>
              <w:spacing w:after="40" w:before="0" w:line="259" w:lineRule="auto"/>
            </w:pPr>
            <w:r>
              <w:rPr>
                <w:rFonts w:ascii="Calibri" w:hAnsi="Calibri"/>
                <w:b w:val="0"/>
                <w:i w:val="0"/>
                <w:color w:val="212121"/>
                <w:sz w:val="16"/>
              </w:rPr>
              <w:t>Recent/acute infection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Loffler syndrome is self-limited but with marked eosinophilia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Abdominal pain / colicky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Diffuse or peri-umbilical pain from intestinal worm burden and irritation.</w:t>
            </w:r>
          </w:p>
        </w:tc>
      </w:tr>
      <w:tr>
        <w:trPr>
          <w:cantSplit/>
        </w:trPr>
        <w:tc>
          <w:tcPr>
            <w:tcW w:type="dxa" w:w="2304"/>
            <w:vAlign w:val="top"/>
          </w:tcPr>
          <w:p>
            <w:pPr>
              <w:spacing w:after="40" w:before="0" w:line="259" w:lineRule="auto"/>
            </w:pPr>
            <w:r>
              <w:rPr>
                <w:rFonts w:ascii="Calibri" w:hAnsi="Calibri"/>
                <w:b/>
                <w:i w:val="0"/>
                <w:color w:val="212121"/>
                <w:sz w:val="19"/>
              </w:rPr>
              <w:t>Diarrhoea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Loose stools from mucosal irritation; heavy Trichuris causes chronic frequent stools.</w:t>
            </w:r>
          </w:p>
        </w:tc>
      </w:tr>
      <w:tr>
        <w:trPr>
          <w:cantSplit/>
        </w:trPr>
        <w:tc>
          <w:tcPr>
            <w:tcW w:type="dxa" w:w="2304"/>
            <w:vAlign w:val="top"/>
          </w:tcPr>
          <w:p>
            <w:pPr>
              <w:spacing w:after="40" w:before="0" w:line="259" w:lineRule="auto"/>
            </w:pPr>
            <w:r>
              <w:rPr>
                <w:rFonts w:ascii="Calibri" w:hAnsi="Calibri"/>
                <w:b/>
                <w:i w:val="0"/>
                <w:color w:val="212121"/>
                <w:sz w:val="19"/>
              </w:rPr>
              <w:t>Loss of appetite / poor feeding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Appetite suppression contributes to undernutrition and growth faltering in children.</w:t>
            </w:r>
          </w:p>
        </w:tc>
      </w:tr>
      <w:tr>
        <w:trPr>
          <w:cantSplit/>
        </w:trPr>
        <w:tc>
          <w:tcPr>
            <w:tcW w:type="dxa" w:w="2304"/>
            <w:vAlign w:val="top"/>
          </w:tcPr>
          <w:p>
            <w:pPr>
              <w:spacing w:after="40" w:before="0" w:line="259" w:lineRule="auto"/>
            </w:pPr>
            <w:r>
              <w:rPr>
                <w:rFonts w:ascii="Calibri" w:hAnsi="Calibri"/>
                <w:b/>
                <w:i w:val="0"/>
                <w:color w:val="212121"/>
                <w:sz w:val="19"/>
              </w:rPr>
              <w:t>Fatigue, weakness and lethargy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Largely due to iron-deficiency anaemia from hookworm blood loss.</w:t>
            </w:r>
          </w:p>
        </w:tc>
      </w:tr>
      <w:tr>
        <w:trPr>
          <w:cantSplit/>
        </w:trPr>
        <w:tc>
          <w:tcPr>
            <w:tcW w:type="dxa" w:w="2304"/>
            <w:vAlign w:val="top"/>
          </w:tcPr>
          <w:p>
            <w:pPr>
              <w:spacing w:after="40" w:before="0" w:line="259" w:lineRule="auto"/>
            </w:pPr>
            <w:r>
              <w:rPr>
                <w:rFonts w:ascii="Calibri" w:hAnsi="Calibri"/>
                <w:b/>
                <w:i w:val="0"/>
                <w:color w:val="212121"/>
                <w:sz w:val="19"/>
              </w:rPr>
              <w:t>Nausea and abdominal bloating/distension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with moderate-to-heavy Ascaris and hookworm loads.</w:t>
            </w:r>
          </w:p>
        </w:tc>
      </w:tr>
      <w:tr>
        <w:trPr>
          <w:cantSplit/>
        </w:trPr>
        <w:tc>
          <w:tcPr>
            <w:tcW w:type="dxa" w:w="2304"/>
            <w:vAlign w:val="top"/>
          </w:tcPr>
          <w:p>
            <w:pPr>
              <w:spacing w:after="40" w:before="0" w:line="259" w:lineRule="auto"/>
            </w:pPr>
            <w:r>
              <w:rPr>
                <w:rFonts w:ascii="Calibri" w:hAnsi="Calibri"/>
                <w:b/>
                <w:i w:val="0"/>
                <w:color w:val="212121"/>
                <w:sz w:val="19"/>
              </w:rPr>
              <w:t>Passing an adult worm in stool (or vomiting one)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Passing/vomiting a live roundworm is characteristic of ascariasis and often the presenting event.</w:t>
            </w:r>
          </w:p>
        </w:tc>
      </w:tr>
      <w:tr>
        <w:trPr>
          <w:cantSplit/>
        </w:trPr>
        <w:tc>
          <w:tcPr>
            <w:tcW w:type="dxa" w:w="2304"/>
            <w:vAlign w:val="top"/>
          </w:tcPr>
          <w:p>
            <w:pPr>
              <w:spacing w:after="40" w:before="0" w:line="259" w:lineRule="auto"/>
            </w:pPr>
            <w:r>
              <w:rPr>
                <w:rFonts w:ascii="Calibri" w:hAnsi="Calibri"/>
                <w:b/>
                <w:i w:val="0"/>
                <w:color w:val="212121"/>
                <w:sz w:val="19"/>
              </w:rPr>
              <w:t>Pallor and symptoms of anaemia (breathlessness, palpitations, dizziness)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hookworm blood loss produces iron-deficiency anaemia.</w:t>
            </w:r>
          </w:p>
        </w:tc>
      </w:tr>
      <w:tr>
        <w:trPr>
          <w:cantSplit/>
        </w:trPr>
        <w:tc>
          <w:tcPr>
            <w:tcW w:type="dxa" w:w="2304"/>
            <w:vAlign w:val="top"/>
          </w:tcPr>
          <w:p>
            <w:pPr>
              <w:spacing w:after="40" w:before="0" w:line="259" w:lineRule="auto"/>
            </w:pPr>
            <w:r>
              <w:rPr>
                <w:rFonts w:ascii="Calibri" w:hAnsi="Calibri"/>
                <w:b/>
                <w:i w:val="0"/>
                <w:color w:val="212121"/>
                <w:sz w:val="19"/>
              </w:rPr>
              <w:t>Impaired growth, weight loss and poor school performance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nutrient/blood loss impairs physical growth and cognition in children.</w:t>
            </w:r>
          </w:p>
        </w:tc>
      </w:tr>
      <w:tr>
        <w:trPr>
          <w:cantSplit/>
        </w:trPr>
        <w:tc>
          <w:tcPr>
            <w:tcW w:type="dxa" w:w="2304"/>
            <w:vAlign w:val="top"/>
          </w:tcPr>
          <w:p>
            <w:pPr>
              <w:spacing w:after="40" w:before="0" w:line="259" w:lineRule="auto"/>
            </w:pPr>
            <w:r>
              <w:rPr>
                <w:rFonts w:ascii="Calibri" w:hAnsi="Calibri"/>
                <w:b/>
                <w:i w:val="0"/>
                <w:color w:val="212121"/>
                <w:sz w:val="19"/>
              </w:rPr>
              <w:t>Mucoid, bloody diarrhoea with tenesmus (Trichuris dysentery)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Seen with heavy whipworm infection colonising the colon and rectum.</w:t>
            </w:r>
          </w:p>
        </w:tc>
      </w:tr>
      <w:tr>
        <w:trPr>
          <w:cantSplit/>
        </w:trPr>
        <w:tc>
          <w:tcPr>
            <w:tcW w:type="dxa" w:w="2304"/>
            <w:vAlign w:val="top"/>
          </w:tcPr>
          <w:p>
            <w:pPr>
              <w:spacing w:after="40" w:before="0" w:line="259" w:lineRule="auto"/>
            </w:pPr>
            <w:r>
              <w:rPr>
                <w:rFonts w:ascii="Calibri" w:hAnsi="Calibri"/>
                <w:b/>
                <w:i w:val="0"/>
                <w:color w:val="212121"/>
                <w:sz w:val="19"/>
              </w:rPr>
              <w:t>Cough, wheeze and transient chest symptoms (Loffler syndrome)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Ascaris (and hookworm) larvae migrating through the lungs, with eosinophilia.</w:t>
            </w:r>
          </w:p>
        </w:tc>
      </w:tr>
      <w:tr>
        <w:trPr>
          <w:cantSplit/>
        </w:trPr>
        <w:tc>
          <w:tcPr>
            <w:tcW w:type="dxa" w:w="2304"/>
            <w:vAlign w:val="top"/>
          </w:tcPr>
          <w:p>
            <w:pPr>
              <w:spacing w:after="40" w:before="0" w:line="259" w:lineRule="auto"/>
            </w:pPr>
            <w:r>
              <w:rPr>
                <w:rFonts w:ascii="Calibri" w:hAnsi="Calibri"/>
                <w:b/>
                <w:i w:val="0"/>
                <w:color w:val="212121"/>
                <w:sz w:val="19"/>
              </w:rPr>
              <w:t>Itchy rash at the site of skin entry ('ground itch')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Local dermatitis where hookworm larvae penetrate the feet or hands.</w:t>
            </w:r>
          </w:p>
        </w:tc>
      </w:tr>
      <w:tr>
        <w:trPr>
          <w:cantSplit/>
        </w:trPr>
        <w:tc>
          <w:tcPr>
            <w:tcW w:type="dxa" w:w="2304"/>
            <w:vAlign w:val="top"/>
          </w:tcPr>
          <w:p>
            <w:pPr>
              <w:spacing w:after="40" w:before="0" w:line="259" w:lineRule="auto"/>
            </w:pPr>
            <w:r>
              <w:rPr>
                <w:rFonts w:ascii="Calibri" w:hAnsi="Calibri"/>
                <w:b/>
                <w:i w:val="0"/>
                <w:color w:val="212121"/>
                <w:sz w:val="19"/>
              </w:rPr>
              <w:t>Pica / geophagia (soil-eating)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Both a risk behaviour for and a feature associated with iron deficiency in children.</w:t>
            </w:r>
          </w:p>
        </w:tc>
      </w:tr>
      <w:tr>
        <w:trPr>
          <w:cantSplit/>
        </w:trPr>
        <w:tc>
          <w:tcPr>
            <w:tcW w:type="dxa" w:w="2304"/>
            <w:vAlign w:val="top"/>
          </w:tcPr>
          <w:p>
            <w:pPr>
              <w:spacing w:after="40" w:before="0" w:line="259" w:lineRule="auto"/>
            </w:pPr>
            <w:r>
              <w:rPr>
                <w:rFonts w:ascii="Calibri" w:hAnsi="Calibri"/>
                <w:b/>
                <w:i w:val="0"/>
                <w:color w:val="212121"/>
                <w:sz w:val="19"/>
              </w:rPr>
              <w:t>Acute abdomen from intestinal obstruction / biliary colic</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Heavy Ascaris burden may cause bowel obstruction, volvulus, appendicitis or biliary/pancreatic obstruction.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Conjunctival and palmar pallor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Clinical sign of iron-deficiency anaemia from hookworm.</w:t>
            </w:r>
          </w:p>
        </w:tc>
      </w:tr>
      <w:tr>
        <w:trPr>
          <w:cantSplit/>
        </w:trPr>
        <w:tc>
          <w:tcPr>
            <w:tcW w:type="dxa" w:w="3456"/>
            <w:vAlign w:val="top"/>
          </w:tcPr>
          <w:p>
            <w:pPr>
              <w:spacing w:after="40" w:before="0" w:line="259" w:lineRule="auto"/>
            </w:pPr>
            <w:r>
              <w:rPr>
                <w:rFonts w:ascii="Calibri" w:hAnsi="Calibri"/>
                <w:b/>
                <w:i w:val="0"/>
                <w:color w:val="212121"/>
                <w:sz w:val="19"/>
              </w:rPr>
              <w:t>Underweight / stunting / wasting on anthropometry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Chronic infection impairs weight-for-age and height-for-age in children.</w:t>
            </w:r>
          </w:p>
        </w:tc>
      </w:tr>
      <w:tr>
        <w:trPr>
          <w:cantSplit/>
        </w:trPr>
        <w:tc>
          <w:tcPr>
            <w:tcW w:type="dxa" w:w="3456"/>
            <w:vAlign w:val="top"/>
          </w:tcPr>
          <w:p>
            <w:pPr>
              <w:spacing w:after="40" w:before="0" w:line="259" w:lineRule="auto"/>
            </w:pPr>
            <w:r>
              <w:rPr>
                <w:rFonts w:ascii="Calibri" w:hAnsi="Calibri"/>
                <w:b/>
                <w:i w:val="0"/>
                <w:color w:val="212121"/>
                <w:sz w:val="19"/>
              </w:rPr>
              <w:t>Abdominal distension and mild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worm burden, gas and altered motility.</w:t>
            </w:r>
          </w:p>
        </w:tc>
      </w:tr>
      <w:tr>
        <w:trPr>
          <w:cantSplit/>
        </w:trPr>
        <w:tc>
          <w:tcPr>
            <w:tcW w:type="dxa" w:w="3456"/>
            <w:vAlign w:val="top"/>
          </w:tcPr>
          <w:p>
            <w:pPr>
              <w:spacing w:after="40" w:before="0" w:line="259" w:lineRule="auto"/>
            </w:pPr>
            <w:r>
              <w:rPr>
                <w:rFonts w:ascii="Calibri" w:hAnsi="Calibri"/>
                <w:b/>
                <w:i w:val="0"/>
                <w:color w:val="212121"/>
                <w:sz w:val="19"/>
              </w:rPr>
              <w:t>Microcytic hypochromic anaemia on blood film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of chronic hookworm iron loss.</w:t>
            </w:r>
          </w:p>
        </w:tc>
      </w:tr>
      <w:tr>
        <w:trPr>
          <w:cantSplit/>
        </w:trPr>
        <w:tc>
          <w:tcPr>
            <w:tcW w:type="dxa" w:w="3456"/>
            <w:vAlign w:val="top"/>
          </w:tcPr>
          <w:p>
            <w:pPr>
              <w:spacing w:after="40" w:before="0" w:line="259" w:lineRule="auto"/>
            </w:pPr>
            <w:r>
              <w:rPr>
                <w:rFonts w:ascii="Calibri" w:hAnsi="Calibri"/>
                <w:b/>
                <w:i w:val="0"/>
                <w:color w:val="212121"/>
                <w:sz w:val="19"/>
              </w:rPr>
              <w:t>Eosinophilia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Especially during larval tissue migration; supportive but non-specific.</w:t>
            </w:r>
          </w:p>
        </w:tc>
      </w:tr>
      <w:tr>
        <w:trPr>
          <w:cantSplit/>
        </w:trPr>
        <w:tc>
          <w:tcPr>
            <w:tcW w:type="dxa" w:w="3456"/>
            <w:vAlign w:val="top"/>
          </w:tcPr>
          <w:p>
            <w:pPr>
              <w:spacing w:after="40" w:before="0" w:line="259" w:lineRule="auto"/>
            </w:pPr>
            <w:r>
              <w:rPr>
                <w:rFonts w:ascii="Calibri" w:hAnsi="Calibri"/>
                <w:b/>
                <w:i w:val="0"/>
                <w:color w:val="212121"/>
                <w:sz w:val="19"/>
              </w:rPr>
              <w:t>Adult worm visible in stool or vomitus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passed roundworm confirms ascariasis at the bedside.</w:t>
            </w:r>
          </w:p>
        </w:tc>
      </w:tr>
      <w:tr>
        <w:trPr>
          <w:cantSplit/>
        </w:trPr>
        <w:tc>
          <w:tcPr>
            <w:tcW w:type="dxa" w:w="3456"/>
            <w:vAlign w:val="top"/>
          </w:tcPr>
          <w:p>
            <w:pPr>
              <w:spacing w:after="40" w:before="0" w:line="259" w:lineRule="auto"/>
            </w:pPr>
            <w:r>
              <w:rPr>
                <w:rFonts w:ascii="Calibri" w:hAnsi="Calibri"/>
                <w:b/>
                <w:i w:val="0"/>
                <w:color w:val="212121"/>
                <w:sz w:val="19"/>
              </w:rPr>
              <w:t>Rectal prolapse with visible whipworms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Marker of heavy Trichuris infection in young children.</w:t>
            </w:r>
          </w:p>
        </w:tc>
      </w:tr>
      <w:tr>
        <w:trPr>
          <w:cantSplit/>
        </w:trPr>
        <w:tc>
          <w:tcPr>
            <w:tcW w:type="dxa" w:w="3456"/>
            <w:vAlign w:val="top"/>
          </w:tcPr>
          <w:p>
            <w:pPr>
              <w:spacing w:after="40" w:before="0" w:line="259" w:lineRule="auto"/>
            </w:pPr>
            <w:r>
              <w:rPr>
                <w:rFonts w:ascii="Calibri" w:hAnsi="Calibri"/>
                <w:b/>
                <w:i w:val="0"/>
                <w:color w:val="212121"/>
                <w:sz w:val="19"/>
              </w:rPr>
              <w:t>Palpable abdominal 'ball-of-worms' mass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Bolus of tangled Ascaris, may herald obstruction.</w:t>
            </w:r>
          </w:p>
        </w:tc>
      </w:tr>
      <w:tr>
        <w:trPr>
          <w:cantSplit/>
        </w:trPr>
        <w:tc>
          <w:tcPr>
            <w:tcW w:type="dxa" w:w="3456"/>
            <w:vAlign w:val="top"/>
          </w:tcPr>
          <w:p>
            <w:pPr>
              <w:spacing w:after="40" w:before="0" w:line="259" w:lineRule="auto"/>
            </w:pPr>
            <w:r>
              <w:rPr>
                <w:rFonts w:ascii="Calibri" w:hAnsi="Calibri"/>
                <w:b/>
                <w:i w:val="0"/>
                <w:color w:val="212121"/>
                <w:sz w:val="19"/>
              </w:rPr>
              <w:t>Koilonychia and glossitis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Chronic iron-deficiency changes of nails and tongue.</w:t>
            </w:r>
          </w:p>
        </w:tc>
      </w:tr>
      <w:tr>
        <w:trPr>
          <w:cantSplit/>
        </w:trPr>
        <w:tc>
          <w:tcPr>
            <w:tcW w:type="dxa" w:w="3456"/>
            <w:vAlign w:val="top"/>
          </w:tcPr>
          <w:p>
            <w:pPr>
              <w:spacing w:after="40" w:before="0" w:line="259" w:lineRule="auto"/>
            </w:pPr>
            <w:r>
              <w:rPr>
                <w:rFonts w:ascii="Calibri" w:hAnsi="Calibri"/>
                <w:b/>
                <w:i w:val="0"/>
                <w:color w:val="212121"/>
                <w:sz w:val="19"/>
              </w:rPr>
              <w:t>'Ground itch' dermatitis at larval entry site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Erythematous, itchy papulovesicular rash on feet/hands from hookworm penetration.</w:t>
            </w:r>
          </w:p>
        </w:tc>
      </w:tr>
      <w:tr>
        <w:trPr>
          <w:cantSplit/>
        </w:trPr>
        <w:tc>
          <w:tcPr>
            <w:tcW w:type="dxa" w:w="3456"/>
            <w:vAlign w:val="top"/>
          </w:tcPr>
          <w:p>
            <w:pPr>
              <w:spacing w:after="40" w:before="0" w:line="259" w:lineRule="auto"/>
            </w:pPr>
            <w:r>
              <w:rPr>
                <w:rFonts w:ascii="Calibri" w:hAnsi="Calibri"/>
                <w:b/>
                <w:i w:val="0"/>
                <w:color w:val="212121"/>
                <w:sz w:val="19"/>
              </w:rPr>
              <w:t>Pedal / dependent oedema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From hypoproteinaemia in severe, chronic heavy infection.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Iron-deficiency anaemia (chiefly hookworm blood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Protein-energy malnutrition and hypoproteinaemia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growth, wasting and stunting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Loffler syndrome (eosinophilic pneumonitis) during larval migration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diarrhoea / Trichuris dysentery syndrome</w:t>
            </w:r>
          </w:p>
        </w:tc>
        <w:tc>
          <w:tcPr>
            <w:tcW w:type="dxa" w:w="2980"/>
            <w:vAlign w:val="top"/>
          </w:tcPr>
          <w:p>
            <w:pPr>
              <w:spacing w:after="40" w:before="0" w:line="259" w:lineRule="auto"/>
            </w:pPr>
            <w:r>
              <w:rPr>
                <w:rFonts w:ascii="Calibri" w:hAnsi="Calibri"/>
                <w:b w:val="0"/>
                <w:i w:val="0"/>
                <w:color w:val="212121"/>
                <w:sz w:val="19"/>
              </w:rPr>
              <w:t>Direct consequences of worm burden, blood/nutrient loss and larval migration; most morbidity is in children.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Intestinal obstruction, volvulus or perforation from a heavy Ascaris bolus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Hepatobiliary and pancreatic ascariasis (biliary colic, cholangitis,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Rectal prolapse from heavy whipworm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Appendicitis and other localised obstructive events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impairment, school absenteeism and reduced learning</w:t>
            </w:r>
          </w:p>
        </w:tc>
        <w:tc>
          <w:tcPr>
            <w:tcW w:type="dxa" w:w="2980"/>
            <w:vAlign w:val="top"/>
          </w:tcPr>
          <w:p>
            <w:pPr>
              <w:spacing w:after="40" w:before="0" w:line="259" w:lineRule="auto"/>
            </w:pPr>
            <w:r>
              <w:rPr>
                <w:rFonts w:ascii="Calibri" w:hAnsi="Calibri"/>
                <w:b w:val="0"/>
                <w:i w:val="0"/>
                <w:color w:val="212121"/>
                <w:sz w:val="19"/>
              </w:rPr>
              <w:t>Result from heavy or migrating worm loads and from the chronic nutritional/anaemic burden.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from long-standing anaemia and undernutrition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physical and neurocognitive development with lifelong educational and economic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anaemia leading to low birth weight and preterm birth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work capacity and productivity in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Sepsis or death from untreated surgical complications (obstruction, perforation, cholangitis)</w:t>
            </w:r>
          </w:p>
        </w:tc>
        <w:tc>
          <w:tcPr>
            <w:tcW w:type="dxa" w:w="2980"/>
            <w:vAlign w:val="top"/>
          </w:tcPr>
          <w:p>
            <w:pPr>
              <w:spacing w:after="40" w:before="0" w:line="259" w:lineRule="auto"/>
            </w:pPr>
            <w:r>
              <w:rPr>
                <w:rFonts w:ascii="Calibri" w:hAnsi="Calibri"/>
                <w:b w:val="0"/>
                <w:i w:val="0"/>
                <w:color w:val="212121"/>
                <w:sz w:val="19"/>
              </w:rPr>
              <w:t>Irreversible developmental, reproductive and socio-economic outcomes of untreated chronic or severe STH.</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Hookworm blood loss is a leading, reversible cause; central to STH morbidity in children and women.</w:t>
            </w:r>
          </w:p>
        </w:tc>
      </w:tr>
      <w:tr>
        <w:trPr>
          <w:cantSplit/>
        </w:trPr>
        <w:tc>
          <w:tcPr>
            <w:tcW w:type="dxa" w:w="2232"/>
            <w:vAlign w:val="top"/>
          </w:tcPr>
          <w:p>
            <w:pPr>
              <w:spacing w:after="40" w:before="0" w:line="259" w:lineRule="auto"/>
            </w:pPr>
            <w:r>
              <w:rPr>
                <w:rFonts w:ascii="Calibri" w:hAnsi="Calibri"/>
                <w:b/>
                <w:i w:val="0"/>
                <w:color w:val="212121"/>
                <w:sz w:val="19"/>
              </w:rPr>
              <w:t>Protein-energy malnutrition / stunting</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Bidirectional - undernutrition predisposes to heavier worm burdens and STH worsens undernutrition.</w:t>
            </w:r>
          </w:p>
        </w:tc>
      </w:tr>
      <w:tr>
        <w:trPr>
          <w:cantSplit/>
        </w:trPr>
        <w:tc>
          <w:tcPr>
            <w:tcW w:type="dxa" w:w="2232"/>
            <w:vAlign w:val="top"/>
          </w:tcPr>
          <w:p>
            <w:pPr>
              <w:spacing w:after="40" w:before="0" w:line="259" w:lineRule="auto"/>
            </w:pPr>
            <w:r>
              <w:rPr>
                <w:rFonts w:ascii="Calibri" w:hAnsi="Calibri"/>
                <w:b/>
                <w:i w:val="0"/>
                <w:color w:val="212121"/>
                <w:sz w:val="19"/>
              </w:rPr>
              <w:t>Vitamin A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Ascaris interferes with vitamin A absorption/metabolism, compounding childhood micronutrient deficiency.</w:t>
            </w:r>
          </w:p>
        </w:tc>
      </w:tr>
      <w:tr>
        <w:trPr>
          <w:cantSplit/>
        </w:trPr>
        <w:tc>
          <w:tcPr>
            <w:tcW w:type="dxa" w:w="2232"/>
            <w:vAlign w:val="top"/>
          </w:tcPr>
          <w:p>
            <w:pPr>
              <w:spacing w:after="40" w:before="0" w:line="259" w:lineRule="auto"/>
            </w:pPr>
            <w:r>
              <w:rPr>
                <w:rFonts w:ascii="Calibri" w:hAnsi="Calibri"/>
                <w:b/>
                <w:i w:val="0"/>
                <w:color w:val="212121"/>
                <w:sz w:val="19"/>
              </w:rPr>
              <w:t>Polyparasitism (co-infection with multiple STH species)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Ascaris, Trichuris and hookworm frequently co-occur in the same child, raising cumulative morbidity.</w:t>
            </w:r>
          </w:p>
        </w:tc>
      </w:tr>
      <w:tr>
        <w:trPr>
          <w:cantSplit/>
        </w:trPr>
        <w:tc>
          <w:tcPr>
            <w:tcW w:type="dxa" w:w="2232"/>
            <w:vAlign w:val="top"/>
          </w:tcPr>
          <w:p>
            <w:pPr>
              <w:spacing w:after="40" w:before="0" w:line="259" w:lineRule="auto"/>
            </w:pPr>
            <w:r>
              <w:rPr>
                <w:rFonts w:ascii="Calibri" w:hAnsi="Calibri"/>
                <w:b/>
                <w:i w:val="0"/>
                <w:color w:val="212121"/>
                <w:sz w:val="19"/>
              </w:rPr>
              <w:t>Intestinal protozoa (Giardia, Entamoeba)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Shared faecal-oral transmission means STH and protozoal infections commonly coexist.</w:t>
            </w:r>
          </w:p>
        </w:tc>
      </w:tr>
      <w:tr>
        <w:trPr>
          <w:cantSplit/>
        </w:trPr>
        <w:tc>
          <w:tcPr>
            <w:tcW w:type="dxa" w:w="2232"/>
            <w:vAlign w:val="top"/>
          </w:tcPr>
          <w:p>
            <w:pPr>
              <w:spacing w:after="40" w:before="0" w:line="259" w:lineRule="auto"/>
            </w:pPr>
            <w:r>
              <w:rPr>
                <w:rFonts w:ascii="Calibri" w:hAnsi="Calibri"/>
                <w:b/>
                <w:i w:val="0"/>
                <w:color w:val="212121"/>
                <w:sz w:val="19"/>
              </w:rPr>
              <w:t>Maternal anaemia in pregnancy</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Hookworm-related anaemia in pregnancy increases risk of low birth weight and adverse outcomes.</w:t>
            </w:r>
          </w:p>
        </w:tc>
      </w:tr>
      <w:tr>
        <w:trPr>
          <w:cantSplit/>
        </w:trPr>
        <w:tc>
          <w:tcPr>
            <w:tcW w:type="dxa" w:w="2232"/>
            <w:vAlign w:val="top"/>
          </w:tcPr>
          <w:p>
            <w:pPr>
              <w:spacing w:after="40" w:before="0" w:line="259" w:lineRule="auto"/>
            </w:pPr>
            <w:r>
              <w:rPr>
                <w:rFonts w:ascii="Calibri" w:hAnsi="Calibri"/>
                <w:b/>
                <w:i w:val="0"/>
                <w:color w:val="212121"/>
                <w:sz w:val="19"/>
              </w:rPr>
              <w:t>Cognitive impairment / poor educational attainment</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heavy infection in childhood impairs attention, memory and school performance.</w:t>
            </w:r>
          </w:p>
        </w:tc>
      </w:tr>
      <w:tr>
        <w:trPr>
          <w:cantSplit/>
        </w:trPr>
        <w:tc>
          <w:tcPr>
            <w:tcW w:type="dxa" w:w="2232"/>
            <w:vAlign w:val="top"/>
          </w:tcPr>
          <w:p>
            <w:pPr>
              <w:spacing w:after="40" w:before="0" w:line="259" w:lineRule="auto"/>
            </w:pPr>
            <w:r>
              <w:rPr>
                <w:rFonts w:ascii="Calibri" w:hAnsi="Calibri"/>
                <w:b/>
                <w:i w:val="0"/>
                <w:color w:val="212121"/>
                <w:sz w:val="19"/>
              </w:rPr>
              <w:t>Strongyloidiasis (in immunosuppressed)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related soil-transmitted nematode that can cause life-threatening hyperinfection under immunosuppression.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consistent handwashing with soap after defecation and before preparing or eating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 open defecation - build, use and maintain improved toilets (aligned with Swachh Bharat) so soil is not seeded with worm eggs.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wearing footwear on soil, in fields and around latrines to prevent hookworm skin penetration.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participation in the National Deworming Day / school-based deworming for children aged 1-19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that light infections are often silent, and that deworming plus WASH must be repeated because reinfection is common.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untreated human excreta (night-soil) or sewage to fertilise or irrigate food crops.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&amp; preschool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slum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High-burden states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Farming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confirmed or clinically strong infection with albendazole 400 mg single dose (or mebendazole 500 mg) as recommended.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iron-deficiency anaemia with iron (and folate) supplementation alongside deworming.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and treat the whole household/community, since worm burden clusters and reinfection is rapid.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heavy-infection complications (intestinal or biliary obstruction, severe anaemia, rectal prolapse) promptly for hospital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pregnancy, deworm in the 2nd/3rd trimester per guidelines and manage anaemia actively.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Infected children &amp;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index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vegetables, fruit and salad leaves thoroughly in safe water, and cook food adequately.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only treated, boiled or safely stored water; protect stored water and food from soil contamination.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before cooking and eating, and keep food-preparation surfaces and utensils clean.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raw produce grown with untreated wastewater or night-soil when its source is uncertain.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Street-food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Farming families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an iron-rich diet (green leafy vegetables, jaggery, legumes, eggs/meat where taken) plus vitamin C to aid iron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energy intake to reverse malnutrition once deworming is done.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vitamin A and other micronutrients where deficiency is documented, especially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supplementary/therapeutic feeding for undernourished children under nutrition-programme guidance.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&amp; malnourished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growth faltering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footwear during all outdoor and agricultural activity to avoid hookworm larval entry.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Discourage children from playing barefoot on, or eating, contaminated soil (geophagia).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anaemia is corrected, resume normal activity and play, which improve appetite and development.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 &amp; plantation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outdoor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sleep and daytime energy to improve as anaemia and worm burden are treated.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adequate sleep to support recovery, growth and immune function in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recovering from heavy infection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while not a direct cause of STH, it worsens overall health and anaemia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smoking away from children and food-preparation areas as part of general household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household members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compounds the poor nutrition and anaemia that aggravate STH morbidity.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Redirect household spending from alcohol toward sanitation, footwear and nutritious food.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heavy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chronic heavy infection impairs children's attention, learning and school performance, which improve after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catch-up learning and nutrition for affected children, and reduce stigma around 'worms' so families seek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families that STH is common, treatable and preventable with simple WASH measures and periodic deworming.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teachers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Affected communities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soil-transmitted-helminth-infections" TargetMode="External"/><Relationship Id="rId10" Type="http://schemas.openxmlformats.org/officeDocument/2006/relationships/hyperlink" Target="https://bmcpublichealth.biomedcentral.com/articles/10.1186/s12889-017-4113-2" TargetMode="External"/><Relationship Id="rId11" Type="http://schemas.openxmlformats.org/officeDocument/2006/relationships/hyperlink" Target="https://www.cdc.gov/parasites/sth/index.html" TargetMode="External"/><Relationship Id="rId12" Type="http://schemas.openxmlformats.org/officeDocument/2006/relationships/hyperlink" Target="https://www.cdc.gov/sth/abou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