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Taeniasis / Tapeworm</w:t>
      </w:r>
    </w:p>
    <w:p>
      <w:pPr>
        <w:spacing w:before="0" w:after="160"/>
      </w:pPr>
      <w:r>
        <w:rPr>
          <w:rFonts w:ascii="Calibri" w:hAnsi="Calibri"/>
          <w:b/>
          <w:i w:val="0"/>
          <w:color w:val="212121"/>
          <w:sz w:val="22"/>
        </w:rPr>
        <w:t xml:space="preserve">AKA </w:t>
      </w:r>
      <w:r>
        <w:rPr>
          <w:rFonts w:ascii="Calibri" w:hAnsi="Calibri"/>
          <w:b w:val="0"/>
          <w:i w:val="0"/>
          <w:color w:val="212121"/>
          <w:sz w:val="22"/>
        </w:rPr>
        <w:t>i.e., Tapeworm infection, Taeniosis, Pork tapeworm (Taenia solium), Beef tapeworm (Taenia saginata), Asian tapeworm (Taenia asiatica); larval/tissue form: Cysticercosis and Neurocysticercosis (NCC)</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Taeniasis is an intestinal infection of humans caused by the adult (tapeworm) stage of large cestodes of the genus Taenia — chiefly Taenia solium (pork tapeworm), Taenia saginata (beef tapeworm) and Taenia asiatica (Asian tapeworm). Humans are the definitive host and acquire the worm by eating raw or undercooked pork or beef containing larval cysts (cysticerci); the worm anchors to the small-intestinal wall by its scolex and sheds egg-laden segments (proglottids) in the stool. Intestinal taeniasis is usually mild or asymptomatic, but Taenia solium is uniquely dangerous because faecal–oral ingestion of its eggs turns humans into accidental intermediate hosts, producing cysticercosis and — when cysts lodge in the brain — neurocysticercosis (NCC), the leading preventable cause of acquired epilepsy worldwide.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India, a systematic review and meta-analysis estimated the pooled prevalence of Taenia solium-associated taeniasis/cysticercosis at about 11.1% (95% CI 6.9–16.1) and of Taenia saginata-associated taeniasis at about 4.7% (95% CI 3.3–6.3), with the heaviest burden in pork-consuming communities of north, north-east and tribal India that combine free-range pig-rearing with poor sanitation. Neurocysticercosis — the larval form of T. solium — is the single most common cause of acquired (focal) epilepsy in India and much of the developing world, and the solitary cysticercus granuloma is its commonest imaging presentation in the country.</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Intestinal taeniasis is diagnosed by demonstrating the parasite or its products in stool, while the larval disease (cysticercosis/NCC) is diagnosed largely by neuroimaging and serology. Common criteria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Stool microscopy showing characteristic taeniid eggs (round, 30–40 µm, thick radially-striated brown embryophore enclosing a six-hooked oncosphere); because shedding is intermittent, at least three specimens on different days improve the yield.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Recovery and examination of gravid proglottids for speciation — Taenia saginata segments have 15–30 lateral uterine branches and an unarmed scolex, whereas Taenia solium has 7–13 branches and an armed scolex bearing a rostellum with a double row of hooks.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Stool copro-antigen ELISA and species-specific (multiplex) PCR, which are more sensitive than microscopy and can distinguish the Taenia species when eggs alone cannot.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Perianal adhesive-tape/swab test to recover eggs or actively migrating segments, particularly useful for Taenia saginata.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For suspected cysticercosis/neurocysticercosis: CT or MRI of the brain (a cyst with an eccentric scolex — the 'hole-with-dot' sign, ring-enhancing granulomas, or calcified nodules) supported by serum antibody detection (enzyme-linked immunoelectrotransfer blot, EITB) or antigen ELISA.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findings: peripheral eosinophilia is mild or absent (a normal count does not exclude infection); fundoscopy/ocular examination is done to exclude intra-ocular cysticercosis before starting anthelmintic therapy.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Taenia infection is classified by the causative species and, more importantly for management, by whether disease is due to the adult intestinal worm (taeniasis) or the larval tissue stage (cysticercosis):</w:t>
      </w:r>
    </w:p>
    <w:p>
      <w:pPr>
        <w:spacing w:before="0" w:after="80"/>
      </w:pPr>
      <w:r>
        <w:rPr>
          <w:rFonts w:ascii="Calibri" w:hAnsi="Calibri"/>
          <w:b w:val="0"/>
          <w:i w:val="0"/>
          <w:color w:val="212121"/>
          <w:sz w:val="21"/>
        </w:rPr>
        <w:t>(1) Taenia solium (pork tapeworm) — acquired by eating cysticerci in undercooked pork; the only species whose eggs cause human cysticercosis, so an intestinal carrier is a source of infection to self and to household contacts.</w:t>
      </w:r>
    </w:p>
    <w:p>
      <w:pPr>
        <w:spacing w:before="0" w:after="80"/>
      </w:pPr>
      <w:r>
        <w:rPr>
          <w:rFonts w:ascii="Calibri" w:hAnsi="Calibri"/>
          <w:b w:val="0"/>
          <w:i w:val="0"/>
          <w:color w:val="212121"/>
          <w:sz w:val="21"/>
        </w:rPr>
        <w:t>(2) Taenia saginata (beef tapeworm) — acquired from undercooked beef; produces the largest, most motile worm with actively migrating proglottids, but does NOT cause human cysticercosis.</w:t>
      </w:r>
    </w:p>
    <w:p>
      <w:pPr>
        <w:spacing w:before="0" w:after="80"/>
      </w:pPr>
      <w:r>
        <w:rPr>
          <w:rFonts w:ascii="Calibri" w:hAnsi="Calibri"/>
          <w:b w:val="0"/>
          <w:i w:val="0"/>
          <w:color w:val="212121"/>
          <w:sz w:val="21"/>
        </w:rPr>
        <w:t>(3) Taenia asiatica (Asian tapeworm) — acquired from the viscera (especially liver) of pigs in parts of Asia; morphologically close to T. solium but generally not associated with human neurocysticercosis.</w:t>
      </w:r>
    </w:p>
    <w:p>
      <w:pPr>
        <w:spacing w:before="0" w:after="80"/>
      </w:pPr>
      <w:r>
        <w:rPr>
          <w:rFonts w:ascii="Calibri" w:hAnsi="Calibri"/>
          <w:b w:val="0"/>
          <w:i w:val="0"/>
          <w:color w:val="212121"/>
          <w:sz w:val="21"/>
        </w:rPr>
        <w:t>(4) Cysticercosis / Neurocysticercosis — the larval disease that follows ingestion of T. solium eggs, sub-classified by location (neural, subcutaneous/muscular, ocular) and, for NCC, by cyst viability stage (vesicular → colloidal → granular-nodular → calcified) and site (parenchymal, subarachnoid/racemose, intraventricular, spinal).</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Eating raw or undercooked pork or beef: The direct cause of intestinal taeniasis — viable cysticerci in the meat develop into an adult worm in the human gut over ~2 months.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Faecal–oral ingestion of Taenia solium eggs: Contaminated food, water or hands, or auto-infection from an existing carrier, causes cysticercosis/neurocysticercosis rather than intestinal taeniasis.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Poor sanitation and open defecation: Human faeces containing eggs contaminate soil, water and crops and infect free-ranging pigs, sustaining the transmission cycle.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Free-range/backyard pig husbandry: Pigs with access to human faeces become heavily infected with cysticerci and form the reservoir for human T. solium taeniasis.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Inadequate meat inspection and cooking: Absent abattoir inspection and traditional raw or lightly-cooked meat dishes allow viable cysts to reach the consumer.</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Poor personal and food hygiene: Failure to wash hands after defecation or before handling food spreads eggs, especially where a household member harbours an adult worm.</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&amp; adolescents</w:t>
            </w:r>
          </w:p>
        </w:tc>
        <w:tc>
          <w:tcPr>
            <w:tcW w:type="dxa" w:w="4276"/>
            <w:vAlign w:val="top"/>
          </w:tcPr>
          <w:p>
            <w:pPr>
              <w:spacing w:after="60" w:line="259" w:lineRule="auto"/>
            </w:pPr>
            <w:r>
              <w:rPr>
                <w:rFonts w:ascii="Calibri" w:hAnsi="Calibri"/>
                <w:b w:val="0"/>
                <w:i w:val="0"/>
                <w:color w:val="212121"/>
                <w:sz w:val="19"/>
              </w:rPr>
              <w:t>Children in endemic areas ingest T. solium eggs through poor hand hygiene and contaminated food or water; the resulting brain cysts (neurocysticercosis) are a leading cause of new-onset focal seizures in childhood.</w:t>
            </w:r>
          </w:p>
          <w:p>
            <w:pPr>
              <w:spacing w:after="40" w:before="60" w:line="259" w:lineRule="auto"/>
            </w:pPr>
            <w:r>
              <w:rPr>
                <w:rFonts w:ascii="Calibri" w:hAnsi="Calibri"/>
                <w:b w:val="0"/>
                <w:i w:val="0"/>
                <w:color w:val="212121"/>
                <w:sz w:val="19"/>
              </w:rPr>
              <w:t>Neurocysticercosis is reported as the most common cause of focal-onset seizures in North Indian children.</w:t>
            </w:r>
          </w:p>
          <w:p>
            <w:pPr>
              <w:spacing w:after="40" w:line="252" w:lineRule="auto"/>
            </w:pPr>
            <w:hyperlink r:id="rId9">
              <w:r>
                <w:rPr>
                  <w:rFonts w:ascii="Calibri" w:hAnsi="Calibri" w:cs="Calibri"/>
                  <w:sz w:val="18"/>
                  <w:color w:val="1155CC"/>
                  <w:u w:val="single"/>
                </w:rPr>
                <w:t xml:space="preserve">pubmed.ncbi.nlm.nih.gov/28929415</w:t>
              </w:r>
            </w:hyperlink>
          </w:p>
          <w:p>
            <w:pPr>
              <w:spacing w:before="60" w:after="40"/>
            </w:pPr>
            <w:r>
              <w:rPr>
                <w:rFonts w:ascii="Calibri" w:hAnsi="Calibri"/>
                <w:b w:val="0"/>
                <w:i w:val="0"/>
                <w:color w:val="5A5A5A"/>
                <w:sz w:val="18"/>
              </w:rPr>
              <w:t>#children  #seizures  #neurocysticercosis  #handhygiene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Working-age adults are the main harbourers of the adult intestinal worm through habitual pork or beef consumption and, as carriers shedding eggs, are the principal source of cysticercosis for their households.</w:t>
            </w:r>
          </w:p>
          <w:p>
            <w:pPr>
              <w:spacing w:after="40" w:before="60" w:line="259" w:lineRule="auto"/>
            </w:pPr>
            <w:r>
              <w:rPr>
                <w:rFonts w:ascii="Calibri" w:hAnsi="Calibri"/>
                <w:b w:val="0"/>
                <w:i w:val="0"/>
                <w:color w:val="212121"/>
                <w:sz w:val="19"/>
              </w:rPr>
              <w:t>Most symptomatic taeniasis (passage of proglottids) is recognised in adults; carriage may persist for years if untreated.</w:t>
            </w:r>
          </w:p>
          <w:p>
            <w:pPr>
              <w:spacing w:before="60" w:after="40"/>
            </w:pPr>
            <w:r>
              <w:rPr>
                <w:rFonts w:ascii="Calibri" w:hAnsi="Calibri"/>
                <w:b w:val="0"/>
                <w:i w:val="0"/>
                <w:color w:val="5A5A5A"/>
                <w:sz w:val="18"/>
              </w:rPr>
              <w:t>#adults  #carrier  #pork  #proglottids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Greater pork/beef intake, more frequent eating-out, and occupational contact with pigs and raw meat are linked to higher exposure in men in many field surveys.</w:t>
            </w:r>
          </w:p>
          <w:p>
            <w:pPr>
              <w:spacing w:after="40" w:before="60" w:line="259" w:lineRule="auto"/>
            </w:pPr>
            <w:r>
              <w:rPr>
                <w:rFonts w:ascii="Calibri" w:hAnsi="Calibri"/>
                <w:b w:val="0"/>
                <w:i w:val="0"/>
                <w:color w:val="212121"/>
                <w:sz w:val="19"/>
              </w:rPr>
              <w:t>Field studies commonly report a modest male predominance of taeniasis linked to dietary and occupational exposure rather than biological susceptibility.</w:t>
            </w:r>
          </w:p>
          <w:p>
            <w:pPr>
              <w:spacing w:before="60" w:after="40"/>
            </w:pPr>
            <w:r>
              <w:rPr>
                <w:rFonts w:ascii="Calibri" w:hAnsi="Calibri"/>
                <w:b w:val="0"/>
                <w:i w:val="0"/>
                <w:color w:val="5A5A5A"/>
                <w:sz w:val="18"/>
              </w:rPr>
              <w:t>#male  #occupation  #meat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 subsistence-farming communities</w:t>
            </w:r>
          </w:p>
        </w:tc>
        <w:tc>
          <w:tcPr>
            <w:tcW w:type="dxa" w:w="4276"/>
            <w:vAlign w:val="top"/>
          </w:tcPr>
          <w:p>
            <w:pPr>
              <w:spacing w:after="60" w:line="259" w:lineRule="auto"/>
            </w:pPr>
            <w:r>
              <w:rPr>
                <w:rFonts w:ascii="Calibri" w:hAnsi="Calibri"/>
                <w:b w:val="0"/>
                <w:i w:val="0"/>
                <w:color w:val="212121"/>
                <w:sz w:val="19"/>
              </w:rPr>
              <w:t>Poverty clusters the key risks — free-range pigs, open defecation, unsafe water and limited meat inspection — so the poorest rural communities carry most of the burden.</w:t>
            </w:r>
          </w:p>
          <w:p>
            <w:pPr>
              <w:spacing w:after="40" w:before="60" w:line="259" w:lineRule="auto"/>
            </w:pPr>
            <w:r>
              <w:rPr>
                <w:rFonts w:ascii="Calibri" w:hAnsi="Calibri"/>
                <w:b w:val="0"/>
                <w:i w:val="0"/>
                <w:color w:val="212121"/>
                <w:sz w:val="19"/>
              </w:rPr>
              <w:t>WHO identifies subsistence-farming communities in Africa, Asia and Latin America as the core populations affected by T. solium taeniasis/cysticercosis.</w:t>
            </w:r>
          </w:p>
          <w:p>
            <w:pPr>
              <w:spacing w:after="40" w:line="252" w:lineRule="auto"/>
            </w:pPr>
            <w:hyperlink r:id="rId10">
              <w:r>
                <w:rPr>
                  <w:rFonts w:ascii="Calibri" w:hAnsi="Calibri" w:cs="Calibri"/>
                  <w:sz w:val="18"/>
                  <w:color w:val="1155CC"/>
                  <w:u w:val="single"/>
                </w:rPr>
                <w:t xml:space="preserve">who.int — taeniasis/cysticercosis</w:t>
              </w:r>
            </w:hyperlink>
          </w:p>
          <w:p>
            <w:pPr>
              <w:spacing w:before="60" w:after="40"/>
            </w:pPr>
            <w:r>
              <w:rPr>
                <w:rFonts w:ascii="Calibri" w:hAnsi="Calibri"/>
                <w:b w:val="0"/>
                <w:i w:val="0"/>
                <w:color w:val="5A5A5A"/>
                <w:sz w:val="18"/>
              </w:rPr>
              <w:t>#poverty  #sanitation  #subsistencefarming</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North-east &amp; tribal pork-eating communities (India)</w:t>
            </w:r>
          </w:p>
        </w:tc>
        <w:tc>
          <w:tcPr>
            <w:tcW w:type="dxa" w:w="4276"/>
            <w:vAlign w:val="top"/>
          </w:tcPr>
          <w:p>
            <w:pPr>
              <w:spacing w:after="60" w:line="259" w:lineRule="auto"/>
            </w:pPr>
            <w:r>
              <w:rPr>
                <w:rFonts w:ascii="Calibri" w:hAnsi="Calibri"/>
                <w:b w:val="0"/>
                <w:i w:val="0"/>
                <w:color w:val="212121"/>
                <w:sz w:val="19"/>
              </w:rPr>
              <w:t>Communities of the north-east and tribal belts that rear pigs at home and eat pork, often undercooked, sustain high Taenia solium transmission.</w:t>
            </w:r>
          </w:p>
          <w:p>
            <w:pPr>
              <w:spacing w:after="40" w:before="60" w:line="259" w:lineRule="auto"/>
            </w:pPr>
            <w:r>
              <w:rPr>
                <w:rFonts w:ascii="Calibri" w:hAnsi="Calibri"/>
                <w:b w:val="0"/>
                <w:i w:val="0"/>
                <w:color w:val="212121"/>
                <w:sz w:val="19"/>
              </w:rPr>
              <w:t>An Indian meta-analysis found a pooled T. solium taeniasis/cysticercosis prevalence of about 11.1% (95% CI 6.9–16.1).</w:t>
            </w:r>
          </w:p>
          <w:p>
            <w:pPr>
              <w:spacing w:after="40" w:line="252" w:lineRule="auto"/>
            </w:pPr>
            <w:hyperlink r:id="rId11">
              <w:r>
                <w:rPr>
                  <w:rFonts w:ascii="Calibri" w:hAnsi="Calibri" w:cs="Calibri"/>
                  <w:sz w:val="18"/>
                  <w:color w:val="1155CC"/>
                  <w:u w:val="single"/>
                </w:rPr>
                <w:t xml:space="preserve">pubmed.ncbi.nlm.nih.gov/37076247</w:t>
              </w:r>
            </w:hyperlink>
          </w:p>
          <w:p>
            <w:pPr>
              <w:spacing w:before="60" w:after="40"/>
            </w:pPr>
            <w:r>
              <w:rPr>
                <w:rFonts w:ascii="Calibri" w:hAnsi="Calibri"/>
                <w:b w:val="0"/>
                <w:i w:val="0"/>
                <w:color w:val="5A5A5A"/>
                <w:sz w:val="18"/>
              </w:rPr>
              <w:t>#northeastindia  #pork  #tribal  #Tsolium</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Northern Indian NCC belt</w:t>
            </w:r>
          </w:p>
        </w:tc>
        <w:tc>
          <w:tcPr>
            <w:tcW w:type="dxa" w:w="4276"/>
            <w:vAlign w:val="top"/>
          </w:tcPr>
          <w:p>
            <w:pPr>
              <w:spacing w:after="60" w:line="259" w:lineRule="auto"/>
            </w:pPr>
            <w:r>
              <w:rPr>
                <w:rFonts w:ascii="Calibri" w:hAnsi="Calibri"/>
                <w:b w:val="0"/>
                <w:i w:val="0"/>
                <w:color w:val="212121"/>
                <w:sz w:val="19"/>
              </w:rPr>
              <w:t>Northern India is a well-recognised neurocysticercosis belt where a single degenerating parenchymal cyst commonly presents with seizures.</w:t>
            </w:r>
          </w:p>
          <w:p>
            <w:pPr>
              <w:spacing w:after="40" w:before="60" w:line="259" w:lineRule="auto"/>
            </w:pPr>
            <w:r>
              <w:rPr>
                <w:rFonts w:ascii="Calibri" w:hAnsi="Calibri"/>
                <w:b w:val="0"/>
                <w:i w:val="0"/>
                <w:color w:val="212121"/>
                <w:sz w:val="19"/>
              </w:rPr>
              <w:t>The solitary cysticercus granuloma is the most frequent type of neurocysticercosis in India and many south-east Asian countries.</w:t>
            </w:r>
          </w:p>
          <w:p>
            <w:pPr>
              <w:spacing w:after="40" w:line="252" w:lineRule="auto"/>
            </w:pPr>
            <w:hyperlink r:id="rId12">
              <w:r>
                <w:rPr>
                  <w:rFonts w:ascii="Calibri" w:hAnsi="Calibri" w:cs="Calibri"/>
                  <w:sz w:val="18"/>
                  <w:color w:val="1155CC"/>
                  <w:u w:val="single"/>
                </w:rPr>
                <w:t xml:space="preserve">pubmed.ncbi.nlm.nih.gov/22702323</w:t>
              </w:r>
            </w:hyperlink>
          </w:p>
          <w:p>
            <w:pPr>
              <w:spacing w:before="60" w:after="40"/>
            </w:pPr>
            <w:r>
              <w:rPr>
                <w:rFonts w:ascii="Calibri" w:hAnsi="Calibri"/>
                <w:b w:val="0"/>
                <w:i w:val="0"/>
                <w:color w:val="5A5A5A"/>
                <w:sz w:val="18"/>
              </w:rPr>
              <w:t>#northindia  #NCC  #granuloma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Endemic Asian pig-rearing zones</w:t>
            </w:r>
          </w:p>
        </w:tc>
        <w:tc>
          <w:tcPr>
            <w:tcW w:type="dxa" w:w="4276"/>
            <w:vAlign w:val="top"/>
          </w:tcPr>
          <w:p>
            <w:pPr>
              <w:spacing w:after="60" w:line="259" w:lineRule="auto"/>
            </w:pPr>
            <w:r>
              <w:rPr>
                <w:rFonts w:ascii="Calibri" w:hAnsi="Calibri"/>
                <w:b w:val="0"/>
                <w:i w:val="0"/>
                <w:color w:val="212121"/>
                <w:sz w:val="19"/>
              </w:rPr>
              <w:t>Across pig-rearing regions of Asia with poor sanitation, both the intestinal worm and the tissue cyst are widely prevalent.</w:t>
            </w:r>
          </w:p>
          <w:p>
            <w:pPr>
              <w:spacing w:after="40" w:before="60" w:line="259" w:lineRule="auto"/>
            </w:pPr>
            <w:r>
              <w:rPr>
                <w:rFonts w:ascii="Calibri" w:hAnsi="Calibri"/>
                <w:b w:val="0"/>
                <w:i w:val="0"/>
                <w:color w:val="212121"/>
                <w:sz w:val="19"/>
              </w:rPr>
              <w:t>Reviews describe a wide prevalence of Taenia solium taeniosis and cysticercosis throughout Asia, including India.</w:t>
            </w:r>
          </w:p>
          <w:p>
            <w:pPr>
              <w:spacing w:after="40" w:line="252" w:lineRule="auto"/>
            </w:pPr>
            <w:hyperlink r:id="rId13">
              <w:r>
                <w:rPr>
                  <w:rFonts w:ascii="Calibri" w:hAnsi="Calibri" w:cs="Calibri"/>
                  <w:sz w:val="18"/>
                  <w:color w:val="1155CC"/>
                  <w:u w:val="single"/>
                </w:rPr>
                <w:t xml:space="preserve">pubmed.ncbi.nlm.nih.gov/12781378</w:t>
              </w:r>
            </w:hyperlink>
          </w:p>
          <w:p>
            <w:pPr>
              <w:spacing w:before="60" w:after="40"/>
            </w:pPr>
            <w:r>
              <w:rPr>
                <w:rFonts w:ascii="Calibri" w:hAnsi="Calibri"/>
                <w:b w:val="0"/>
                <w:i w:val="0"/>
                <w:color w:val="5A5A5A"/>
                <w:sz w:val="18"/>
              </w:rPr>
              <w:t>#asia  #endemic  #pigrearing</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Sanitation</w:t>
            </w:r>
          </w:p>
        </w:tc>
        <w:tc>
          <w:tcPr>
            <w:tcW w:type="dxa" w:w="2160"/>
            <w:vAlign w:val="top"/>
          </w:tcPr>
          <w:p>
            <w:pPr>
              <w:spacing w:after="40" w:before="0" w:line="259" w:lineRule="auto"/>
            </w:pPr>
            <w:r>
              <w:rPr>
                <w:rFonts w:ascii="Calibri" w:hAnsi="Calibri"/>
                <w:b w:val="0"/>
                <w:i w:val="0"/>
                <w:color w:val="212121"/>
                <w:sz w:val="19"/>
              </w:rPr>
              <w:t>Open-defecation communities</w:t>
            </w:r>
          </w:p>
        </w:tc>
        <w:tc>
          <w:tcPr>
            <w:tcW w:type="dxa" w:w="4276"/>
            <w:vAlign w:val="top"/>
          </w:tcPr>
          <w:p>
            <w:pPr>
              <w:spacing w:after="60" w:line="259" w:lineRule="auto"/>
            </w:pPr>
            <w:r>
              <w:rPr>
                <w:rFonts w:ascii="Calibri" w:hAnsi="Calibri"/>
                <w:b w:val="0"/>
                <w:i w:val="0"/>
                <w:color w:val="212121"/>
                <w:sz w:val="19"/>
              </w:rPr>
              <w:t>Open defecation deposits Taenia eggs in the environment, infecting pigs and contaminating food and water — the engine of both taeniasis and cysticercosis.</w:t>
            </w:r>
          </w:p>
          <w:p>
            <w:pPr>
              <w:spacing w:after="40" w:before="60" w:line="259" w:lineRule="auto"/>
            </w:pPr>
            <w:r>
              <w:rPr>
                <w:rFonts w:ascii="Calibri" w:hAnsi="Calibri"/>
                <w:b w:val="0"/>
                <w:i w:val="0"/>
                <w:color w:val="212121"/>
                <w:sz w:val="19"/>
              </w:rPr>
              <w:t>Eggs are passed in the faeces of a tapeworm carrier and spread cysticercosis via contaminated food, water or hands.</w:t>
            </w:r>
          </w:p>
          <w:p>
            <w:pPr>
              <w:spacing w:after="40" w:line="252" w:lineRule="auto"/>
            </w:pPr>
            <w:hyperlink r:id="rId14">
              <w:r>
                <w:rPr>
                  <w:rFonts w:ascii="Calibri" w:hAnsi="Calibri" w:cs="Calibri"/>
                  <w:sz w:val="18"/>
                  <w:color w:val="1155CC"/>
                  <w:u w:val="single"/>
                </w:rPr>
                <w:t xml:space="preserve">cdc.gov — cysticercosis</w:t>
              </w:r>
            </w:hyperlink>
          </w:p>
          <w:p>
            <w:pPr>
              <w:spacing w:before="60" w:after="40"/>
            </w:pPr>
            <w:r>
              <w:rPr>
                <w:rFonts w:ascii="Calibri" w:hAnsi="Calibri"/>
                <w:b w:val="0"/>
                <w:i w:val="0"/>
                <w:color w:val="5A5A5A"/>
                <w:sz w:val="18"/>
              </w:rPr>
              <w:t>#opendefecation  #sanitation  #fecaloral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Pig farmers, pork butchers, meat handlers, sanitation workers</w:t>
            </w:r>
          </w:p>
        </w:tc>
        <w:tc>
          <w:tcPr>
            <w:tcW w:type="dxa" w:w="4276"/>
            <w:vAlign w:val="top"/>
          </w:tcPr>
          <w:p>
            <w:pPr>
              <w:spacing w:after="60" w:line="259" w:lineRule="auto"/>
            </w:pPr>
            <w:r>
              <w:rPr>
                <w:rFonts w:ascii="Calibri" w:hAnsi="Calibri"/>
                <w:b w:val="0"/>
                <w:i w:val="0"/>
                <w:color w:val="212121"/>
                <w:sz w:val="19"/>
              </w:rPr>
              <w:t>Close, repeated contact with pigs, raw meat or human waste raises exposure to both cysticerci (in meat) and eggs (from faeces).</w:t>
            </w:r>
          </w:p>
          <w:p>
            <w:pPr>
              <w:spacing w:after="40" w:before="60" w:line="259" w:lineRule="auto"/>
            </w:pPr>
            <w:r>
              <w:rPr>
                <w:rFonts w:ascii="Calibri" w:hAnsi="Calibri"/>
                <w:b w:val="0"/>
                <w:i w:val="0"/>
                <w:color w:val="212121"/>
                <w:sz w:val="19"/>
              </w:rPr>
              <w:t>Surveys of pigs in Punjab, India, have documented a substantial burden of porcine cysticercosis, the reservoir for human infection.</w:t>
            </w:r>
          </w:p>
          <w:p>
            <w:pPr>
              <w:spacing w:after="40" w:line="252" w:lineRule="auto"/>
            </w:pPr>
            <w:hyperlink r:id="rId15">
              <w:r>
                <w:rPr>
                  <w:rFonts w:ascii="Calibri" w:hAnsi="Calibri" w:cs="Calibri"/>
                  <w:sz w:val="18"/>
                  <w:color w:val="1155CC"/>
                  <w:u w:val="single"/>
                </w:rPr>
                <w:t xml:space="preserve">pubmed.ncbi.nlm.nih.gov/30439944</w:t>
              </w:r>
            </w:hyperlink>
          </w:p>
          <w:p>
            <w:pPr>
              <w:spacing w:before="60" w:after="40"/>
            </w:pPr>
            <w:r>
              <w:rPr>
                <w:rFonts w:ascii="Calibri" w:hAnsi="Calibri"/>
                <w:b w:val="0"/>
                <w:i w:val="0"/>
                <w:color w:val="5A5A5A"/>
                <w:sz w:val="18"/>
              </w:rPr>
              <w:t>#pigfarmers  #butchers  #occupational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Food hygiene</w:t>
            </w:r>
          </w:p>
        </w:tc>
        <w:tc>
          <w:tcPr>
            <w:tcW w:type="dxa" w:w="2160"/>
            <w:vAlign w:val="top"/>
          </w:tcPr>
          <w:p>
            <w:pPr>
              <w:spacing w:after="40" w:before="0" w:line="259" w:lineRule="auto"/>
            </w:pPr>
            <w:r>
              <w:rPr>
                <w:rFonts w:ascii="Calibri" w:hAnsi="Calibri"/>
                <w:b w:val="0"/>
                <w:i w:val="0"/>
                <w:color w:val="212121"/>
                <w:sz w:val="19"/>
              </w:rPr>
              <w:t>Poor hand-washers / street-food consumers</w:t>
            </w:r>
          </w:p>
        </w:tc>
        <w:tc>
          <w:tcPr>
            <w:tcW w:type="dxa" w:w="4276"/>
            <w:vAlign w:val="top"/>
          </w:tcPr>
          <w:p>
            <w:pPr>
              <w:spacing w:after="60" w:line="259" w:lineRule="auto"/>
            </w:pPr>
            <w:r>
              <w:rPr>
                <w:rFonts w:ascii="Calibri" w:hAnsi="Calibri"/>
                <w:b w:val="0"/>
                <w:i w:val="0"/>
                <w:color w:val="212121"/>
                <w:sz w:val="19"/>
              </w:rPr>
              <w:t>Not washing hands after the toilet or before eating, and food handled by an infected carrier, transmits T. solium eggs and causes cysticercosis rather than intestinal taeniasis.</w:t>
            </w:r>
          </w:p>
          <w:p>
            <w:pPr>
              <w:spacing w:after="40" w:before="60" w:line="259" w:lineRule="auto"/>
            </w:pPr>
            <w:r>
              <w:rPr>
                <w:rFonts w:ascii="Calibri" w:hAnsi="Calibri"/>
                <w:b w:val="0"/>
                <w:i w:val="0"/>
                <w:color w:val="212121"/>
                <w:sz w:val="19"/>
              </w:rPr>
              <w:t>Cysticercosis is acquired by swallowing eggs from contaminated food, water or fingers.</w:t>
            </w:r>
          </w:p>
          <w:p>
            <w:pPr>
              <w:spacing w:after="40" w:line="252" w:lineRule="auto"/>
            </w:pPr>
            <w:hyperlink r:id="rId14">
              <w:r>
                <w:rPr>
                  <w:rFonts w:ascii="Calibri" w:hAnsi="Calibri" w:cs="Calibri"/>
                  <w:sz w:val="18"/>
                  <w:color w:val="1155CC"/>
                  <w:u w:val="single"/>
                </w:rPr>
                <w:t xml:space="preserve">cdc.gov — cysticercosis</w:t>
              </w:r>
            </w:hyperlink>
          </w:p>
          <w:p>
            <w:pPr>
              <w:spacing w:before="60" w:after="40"/>
            </w:pPr>
            <w:r>
              <w:rPr>
                <w:rFonts w:ascii="Calibri" w:hAnsi="Calibri"/>
                <w:b w:val="0"/>
                <w:i w:val="0"/>
                <w:color w:val="5A5A5A"/>
                <w:sz w:val="18"/>
              </w:rPr>
              <w:t>#handwashing  #streetfood  #hygiene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Travel / migration</w:t>
            </w:r>
          </w:p>
        </w:tc>
        <w:tc>
          <w:tcPr>
            <w:tcW w:type="dxa" w:w="2160"/>
            <w:vAlign w:val="top"/>
          </w:tcPr>
          <w:p>
            <w:pPr>
              <w:spacing w:after="40" w:before="0" w:line="259" w:lineRule="auto"/>
            </w:pPr>
            <w:r>
              <w:rPr>
                <w:rFonts w:ascii="Calibri" w:hAnsi="Calibri"/>
                <w:b w:val="0"/>
                <w:i w:val="0"/>
                <w:color w:val="212121"/>
                <w:sz w:val="19"/>
              </w:rPr>
              <w:t>Travellers &amp; migrants from endemic areas</w:t>
            </w:r>
          </w:p>
        </w:tc>
        <w:tc>
          <w:tcPr>
            <w:tcW w:type="dxa" w:w="4276"/>
            <w:vAlign w:val="top"/>
          </w:tcPr>
          <w:p>
            <w:pPr>
              <w:spacing w:after="60" w:line="259" w:lineRule="auto"/>
            </w:pPr>
            <w:r>
              <w:rPr>
                <w:rFonts w:ascii="Calibri" w:hAnsi="Calibri"/>
                <w:b w:val="0"/>
                <w:i w:val="0"/>
                <w:color w:val="212121"/>
                <w:sz w:val="19"/>
              </w:rPr>
              <w:t>Migrants and travellers may carry an adult worm or introduce eggs into non-endemic households, causing cysticercosis even in contacts who never travelled or never ate pork.</w:t>
            </w:r>
          </w:p>
          <w:p>
            <w:pPr>
              <w:spacing w:after="40" w:before="60" w:line="259" w:lineRule="auto"/>
            </w:pPr>
            <w:r>
              <w:rPr>
                <w:rFonts w:ascii="Calibri" w:hAnsi="Calibri"/>
                <w:b w:val="0"/>
                <w:i w:val="0"/>
                <w:color w:val="212121"/>
                <w:sz w:val="19"/>
              </w:rPr>
              <w:t>Household clustering of cysticercosis around a single imported carrier is well described.</w:t>
            </w:r>
          </w:p>
          <w:p>
            <w:pPr>
              <w:spacing w:before="60" w:after="40"/>
            </w:pPr>
            <w:r>
              <w:rPr>
                <w:rFonts w:ascii="Calibri" w:hAnsi="Calibri"/>
                <w:b w:val="0"/>
                <w:i w:val="0"/>
                <w:color w:val="5A5A5A"/>
                <w:sz w:val="18"/>
              </w:rPr>
              <w:t>#travel  #migration  #imported</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Merge w:val="restart"/>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Undercooked-pork consumers</w:t>
            </w:r>
          </w:p>
        </w:tc>
        <w:tc>
          <w:tcPr>
            <w:tcW w:type="dxa" w:w="4276"/>
            <w:vAlign w:val="top"/>
          </w:tcPr>
          <w:p>
            <w:pPr>
              <w:spacing w:after="60" w:line="259" w:lineRule="auto"/>
            </w:pPr>
            <w:r>
              <w:rPr>
                <w:rFonts w:ascii="Calibri" w:hAnsi="Calibri"/>
                <w:b w:val="0"/>
                <w:i w:val="0"/>
                <w:color w:val="212121"/>
                <w:sz w:val="19"/>
              </w:rPr>
              <w:t>Eating raw, cured or lightly-cooked pork is the direct route to Taenia solium (and T. asiatica) intestinal taeniasis.</w:t>
            </w:r>
          </w:p>
          <w:p>
            <w:pPr>
              <w:spacing w:after="40" w:before="60" w:line="259" w:lineRule="auto"/>
            </w:pPr>
            <w:r>
              <w:rPr>
                <w:rFonts w:ascii="Calibri" w:hAnsi="Calibri"/>
                <w:b w:val="0"/>
                <w:i w:val="0"/>
                <w:color w:val="212121"/>
                <w:sz w:val="19"/>
              </w:rPr>
              <w:t>CDC identifies eating raw or undercooked contaminated pork as the primary risk factor for T. solium taeniasis.</w:t>
            </w:r>
          </w:p>
          <w:p>
            <w:pPr>
              <w:spacing w:after="40" w:line="252" w:lineRule="auto"/>
            </w:pPr>
            <w:hyperlink r:id="rId16">
              <w:r>
                <w:rPr>
                  <w:rFonts w:ascii="Calibri" w:hAnsi="Calibri" w:cs="Calibri"/>
                  <w:sz w:val="18"/>
                  <w:color w:val="1155CC"/>
                  <w:u w:val="single"/>
                </w:rPr>
                <w:t xml:space="preserve">cdc.gov — taeniasis</w:t>
              </w:r>
            </w:hyperlink>
          </w:p>
          <w:p>
            <w:pPr>
              <w:spacing w:before="60" w:after="40"/>
            </w:pPr>
            <w:r>
              <w:rPr>
                <w:rFonts w:ascii="Calibri" w:hAnsi="Calibri"/>
                <w:b w:val="0"/>
                <w:i w:val="0"/>
                <w:color w:val="5A5A5A"/>
                <w:sz w:val="18"/>
              </w:rPr>
              <w:t>#pork  #undercooked  #Tsolium</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Undercooked-beef consumers</w:t>
            </w:r>
          </w:p>
        </w:tc>
        <w:tc>
          <w:tcPr>
            <w:tcW w:type="dxa" w:w="4276"/>
            <w:vAlign w:val="top"/>
          </w:tcPr>
          <w:p>
            <w:pPr>
              <w:spacing w:after="60" w:line="259" w:lineRule="auto"/>
            </w:pPr>
            <w:r>
              <w:rPr>
                <w:rFonts w:ascii="Calibri" w:hAnsi="Calibri"/>
                <w:b w:val="0"/>
                <w:i w:val="0"/>
                <w:color w:val="212121"/>
                <w:sz w:val="19"/>
              </w:rPr>
              <w:t>Rare steaks, kebabs and raw-beef preparations transmit Taenia saginata; the beef tapeworm does not cause cysticercosis but produces large, actively migrating worms.</w:t>
            </w:r>
          </w:p>
          <w:p>
            <w:pPr>
              <w:spacing w:after="40" w:before="60" w:line="259" w:lineRule="auto"/>
            </w:pPr>
            <w:r>
              <w:rPr>
                <w:rFonts w:ascii="Calibri" w:hAnsi="Calibri"/>
                <w:b w:val="0"/>
                <w:i w:val="0"/>
                <w:color w:val="212121"/>
                <w:sz w:val="19"/>
              </w:rPr>
              <w:t>CDC lists eating raw or undercooked contaminated beef as the primary risk factor for T. saginata taeniasis.</w:t>
            </w:r>
          </w:p>
          <w:p>
            <w:pPr>
              <w:spacing w:after="40" w:line="252" w:lineRule="auto"/>
            </w:pPr>
            <w:hyperlink r:id="rId16">
              <w:r>
                <w:rPr>
                  <w:rFonts w:ascii="Calibri" w:hAnsi="Calibri" w:cs="Calibri"/>
                  <w:sz w:val="18"/>
                  <w:color w:val="1155CC"/>
                  <w:u w:val="single"/>
                </w:rPr>
                <w:t xml:space="preserve">cdc.gov — taeniasis</w:t>
              </w:r>
            </w:hyperlink>
          </w:p>
          <w:p>
            <w:pPr>
              <w:spacing w:before="60" w:after="40"/>
            </w:pPr>
            <w:r>
              <w:rPr>
                <w:rFonts w:ascii="Calibri" w:hAnsi="Calibri"/>
                <w:b w:val="0"/>
                <w:i w:val="0"/>
                <w:color w:val="5A5A5A"/>
                <w:sz w:val="18"/>
              </w:rPr>
              <w:t>#beef  #rare  #Tsaginata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practice</w:t>
            </w:r>
          </w:p>
        </w:tc>
        <w:tc>
          <w:tcPr>
            <w:tcW w:type="dxa" w:w="2160"/>
            <w:vAlign w:val="top"/>
          </w:tcPr>
          <w:p>
            <w:pPr>
              <w:spacing w:after="40" w:before="0" w:line="259" w:lineRule="auto"/>
            </w:pPr>
            <w:r>
              <w:rPr>
                <w:rFonts w:ascii="Calibri" w:hAnsi="Calibri"/>
                <w:b w:val="0"/>
                <w:i w:val="0"/>
                <w:color w:val="212121"/>
                <w:sz w:val="19"/>
              </w:rPr>
              <w:t>Traditional raw/fermented meat dishes</w:t>
            </w:r>
          </w:p>
        </w:tc>
        <w:tc>
          <w:tcPr>
            <w:tcW w:type="dxa" w:w="4276"/>
            <w:vAlign w:val="top"/>
          </w:tcPr>
          <w:p>
            <w:pPr>
              <w:spacing w:after="60" w:line="259" w:lineRule="auto"/>
            </w:pPr>
            <w:r>
              <w:rPr>
                <w:rFonts w:ascii="Calibri" w:hAnsi="Calibri"/>
                <w:b w:val="0"/>
                <w:i w:val="0"/>
                <w:color w:val="212121"/>
                <w:sz w:val="19"/>
              </w:rPr>
              <w:t>Cultural dishes using raw or briefly-cooked pork/beef, and communal feasts around home-slaughtered animals, raise risk wherever meat inspection is absent.</w:t>
            </w:r>
          </w:p>
          <w:p>
            <w:pPr>
              <w:spacing w:after="40" w:before="60" w:line="259" w:lineRule="auto"/>
            </w:pPr>
            <w:r>
              <w:rPr>
                <w:rFonts w:ascii="Calibri" w:hAnsi="Calibri"/>
                <w:b w:val="0"/>
                <w:i w:val="0"/>
                <w:color w:val="212121"/>
                <w:sz w:val="19"/>
              </w:rPr>
              <w:t>Traditional undercooked-meat preparations are repeatedly implicated in taeniasis clusters in endemic communities.</w:t>
            </w:r>
          </w:p>
          <w:p>
            <w:pPr>
              <w:spacing w:before="60" w:after="40"/>
            </w:pPr>
            <w:r>
              <w:rPr>
                <w:rFonts w:ascii="Calibri" w:hAnsi="Calibri"/>
                <w:b w:val="0"/>
                <w:i w:val="0"/>
                <w:color w:val="5A5A5A"/>
                <w:sz w:val="18"/>
              </w:rPr>
              <w:t>#rawmeat  #tradition  #homeslaughter</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household</w:t>
            </w:r>
          </w:p>
        </w:tc>
        <w:tc>
          <w:tcPr>
            <w:tcW w:type="dxa" w:w="2160"/>
            <w:vAlign w:val="top"/>
          </w:tcPr>
          <w:p>
            <w:pPr>
              <w:spacing w:after="40" w:before="0" w:line="259" w:lineRule="auto"/>
            </w:pPr>
            <w:r>
              <w:rPr>
                <w:rFonts w:ascii="Calibri" w:hAnsi="Calibri"/>
                <w:b w:val="0"/>
                <w:i w:val="0"/>
                <w:color w:val="212121"/>
                <w:sz w:val="19"/>
              </w:rPr>
              <w:t>Household contacts of a tapeworm carrier</w:t>
            </w:r>
          </w:p>
        </w:tc>
        <w:tc>
          <w:tcPr>
            <w:tcW w:type="dxa" w:w="4276"/>
            <w:vAlign w:val="top"/>
          </w:tcPr>
          <w:p>
            <w:pPr>
              <w:spacing w:after="60" w:line="259" w:lineRule="auto"/>
            </w:pPr>
            <w:r>
              <w:rPr>
                <w:rFonts w:ascii="Calibri" w:hAnsi="Calibri"/>
                <w:b w:val="0"/>
                <w:i w:val="0"/>
                <w:color w:val="212121"/>
                <w:sz w:val="19"/>
              </w:rPr>
              <w:t>Taeniasis itself is not inherited, but living with an adult-worm carrier is the strongest risk for cysticercosis in family members through faecal–oral egg spread; clusters of neurocysticercosis occur around a single carrier.</w:t>
            </w:r>
          </w:p>
          <w:p>
            <w:pPr>
              <w:spacing w:after="40" w:before="60" w:line="259" w:lineRule="auto"/>
            </w:pPr>
            <w:r>
              <w:rPr>
                <w:rFonts w:ascii="Calibri" w:hAnsi="Calibri"/>
                <w:b w:val="0"/>
                <w:i w:val="0"/>
                <w:color w:val="212121"/>
                <w:sz w:val="19"/>
              </w:rPr>
              <w:t>Screening and treating the index carrier and close contacts is a core control measure because of this household clustering.</w:t>
            </w:r>
          </w:p>
          <w:p>
            <w:pPr>
              <w:spacing w:after="40" w:line="252" w:lineRule="auto"/>
            </w:pPr>
            <w:hyperlink r:id="rId14">
              <w:r>
                <w:rPr>
                  <w:rFonts w:ascii="Calibri" w:hAnsi="Calibri" w:cs="Calibri"/>
                  <w:sz w:val="18"/>
                  <w:color w:val="1155CC"/>
                  <w:u w:val="single"/>
                </w:rPr>
                <w:t xml:space="preserve">cdc.gov — cysticercosis</w:t>
              </w:r>
            </w:hyperlink>
          </w:p>
          <w:p>
            <w:pPr>
              <w:spacing w:before="60" w:after="40"/>
            </w:pPr>
            <w:r>
              <w:rPr>
                <w:rFonts w:ascii="Calibri" w:hAnsi="Calibri"/>
                <w:b w:val="0"/>
                <w:i w:val="0"/>
                <w:color w:val="5A5A5A"/>
                <w:sz w:val="18"/>
              </w:rPr>
              <w:t>#household  #carrier  #clustering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Host immune response</w:t>
            </w:r>
          </w:p>
        </w:tc>
        <w:tc>
          <w:tcPr>
            <w:tcW w:type="dxa" w:w="2160"/>
            <w:vAlign w:val="top"/>
          </w:tcPr>
          <w:p>
            <w:pPr>
              <w:spacing w:after="40" w:before="0" w:line="259" w:lineRule="auto"/>
            </w:pPr>
            <w:r>
              <w:rPr>
                <w:rFonts w:ascii="Calibri" w:hAnsi="Calibri"/>
                <w:b w:val="0"/>
                <w:i w:val="0"/>
                <w:color w:val="212121"/>
                <w:sz w:val="19"/>
              </w:rPr>
              <w:t>Individual inflammatory response to cysts</w:t>
            </w:r>
          </w:p>
        </w:tc>
        <w:tc>
          <w:tcPr>
            <w:tcW w:type="dxa" w:w="4276"/>
            <w:vAlign w:val="top"/>
          </w:tcPr>
          <w:p>
            <w:pPr>
              <w:spacing w:after="60" w:line="259" w:lineRule="auto"/>
            </w:pPr>
            <w:r>
              <w:rPr>
                <w:rFonts w:ascii="Calibri" w:hAnsi="Calibri"/>
                <w:b w:val="0"/>
                <w:i w:val="0"/>
                <w:color w:val="212121"/>
                <w:sz w:val="19"/>
              </w:rPr>
              <w:t>Host genetic and immune differences influence whether brain cysts remain silent or provoke the inflammation that causes seizures and hydrocephalus, explaining varied neurocysticercosis severity after the same exposure.</w:t>
            </w:r>
          </w:p>
          <w:p>
            <w:pPr>
              <w:spacing w:after="40" w:before="60" w:line="259" w:lineRule="auto"/>
            </w:pPr>
            <w:r>
              <w:rPr>
                <w:rFonts w:ascii="Calibri" w:hAnsi="Calibri"/>
                <w:b w:val="0"/>
                <w:i w:val="0"/>
                <w:color w:val="212121"/>
                <w:sz w:val="19"/>
              </w:rPr>
              <w:t>The clinical spectrum of NCC — from asymptomatic calcification to severe encephalitis — is driven largely by the host inflammatory response to degenerating cysts.</w:t>
            </w:r>
          </w:p>
          <w:p>
            <w:pPr>
              <w:spacing w:before="60" w:after="40"/>
            </w:pPr>
            <w:r>
              <w:rPr>
                <w:rFonts w:ascii="Calibri" w:hAnsi="Calibri"/>
                <w:b w:val="0"/>
                <w:i w:val="0"/>
                <w:color w:val="5A5A5A"/>
                <w:sz w:val="18"/>
              </w:rPr>
              <w:t>#immuneresponse  #inflammation  #NCCseverity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Epilepsy / seizure disorder</w:t>
            </w:r>
          </w:p>
        </w:tc>
        <w:tc>
          <w:tcPr>
            <w:tcW w:type="dxa" w:w="2160"/>
            <w:vAlign w:val="top"/>
          </w:tcPr>
          <w:p>
            <w:pPr>
              <w:spacing w:after="40" w:before="0" w:line="259" w:lineRule="auto"/>
            </w:pPr>
            <w:r>
              <w:rPr>
                <w:rFonts w:ascii="Calibri" w:hAnsi="Calibri"/>
                <w:b w:val="0"/>
                <w:i w:val="0"/>
                <w:color w:val="212121"/>
                <w:sz w:val="19"/>
              </w:rPr>
              <w:t>Patients with active epilepsy in endemic areas</w:t>
            </w:r>
          </w:p>
        </w:tc>
        <w:tc>
          <w:tcPr>
            <w:tcW w:type="dxa" w:w="4276"/>
            <w:vAlign w:val="top"/>
          </w:tcPr>
          <w:p>
            <w:pPr>
              <w:spacing w:after="60" w:line="259" w:lineRule="auto"/>
            </w:pPr>
            <w:r>
              <w:rPr>
                <w:rFonts w:ascii="Calibri" w:hAnsi="Calibri"/>
                <w:b w:val="0"/>
                <w:i w:val="0"/>
                <w:color w:val="212121"/>
                <w:sz w:val="19"/>
              </w:rPr>
              <w:t>In Taenia solium-endemic regions a large share of acquired epilepsy is due to neurocysticercosis, so people presenting with new focal seizures are a key group to screen.</w:t>
            </w:r>
          </w:p>
          <w:p>
            <w:pPr>
              <w:spacing w:after="40" w:before="60" w:line="259" w:lineRule="auto"/>
            </w:pPr>
            <w:r>
              <w:rPr>
                <w:rFonts w:ascii="Calibri" w:hAnsi="Calibri"/>
                <w:b w:val="0"/>
                <w:i w:val="0"/>
                <w:color w:val="212121"/>
                <w:sz w:val="19"/>
              </w:rPr>
              <w:t>WHO estimates neurocysticercosis causes about 30% of epilepsy cases in endemic areas, rising to as much as 70% in high-risk communities.</w:t>
            </w:r>
          </w:p>
          <w:p>
            <w:pPr>
              <w:spacing w:after="40" w:line="252" w:lineRule="auto"/>
            </w:pPr>
            <w:hyperlink r:id="rId10">
              <w:r>
                <w:rPr>
                  <w:rFonts w:ascii="Calibri" w:hAnsi="Calibri" w:cs="Calibri"/>
                  <w:sz w:val="18"/>
                  <w:color w:val="1155CC"/>
                  <w:u w:val="single"/>
                </w:rPr>
                <w:t xml:space="preserve">who.int — taeniasis/cysticercosis</w:t>
              </w:r>
            </w:hyperlink>
          </w:p>
          <w:p>
            <w:pPr>
              <w:spacing w:before="60" w:after="40"/>
            </w:pPr>
            <w:r>
              <w:rPr>
                <w:rFonts w:ascii="Calibri" w:hAnsi="Calibri"/>
                <w:b w:val="0"/>
                <w:i w:val="0"/>
                <w:color w:val="5A5A5A"/>
                <w:sz w:val="18"/>
              </w:rPr>
              <w:t>#epilepsy  #NCC  #seizures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HIV / immunocompromised patients</w:t>
            </w:r>
          </w:p>
        </w:tc>
        <w:tc>
          <w:tcPr>
            <w:tcW w:type="dxa" w:w="4276"/>
            <w:vAlign w:val="top"/>
          </w:tcPr>
          <w:p>
            <w:pPr>
              <w:spacing w:after="60" w:line="259" w:lineRule="auto"/>
            </w:pPr>
            <w:r>
              <w:rPr>
                <w:rFonts w:ascii="Calibri" w:hAnsi="Calibri"/>
                <w:b w:val="0"/>
                <w:i w:val="0"/>
                <w:color w:val="212121"/>
                <w:sz w:val="19"/>
              </w:rPr>
              <w:t>Immunocompromised hosts may develop heavier, atypical or disseminated cysticercosis and can show more florid inflammation as cysts degenerate.</w:t>
            </w:r>
          </w:p>
          <w:p>
            <w:pPr>
              <w:spacing w:after="40" w:before="60" w:line="259" w:lineRule="auto"/>
            </w:pPr>
            <w:r>
              <w:rPr>
                <w:rFonts w:ascii="Calibri" w:hAnsi="Calibri"/>
                <w:b w:val="0"/>
                <w:i w:val="0"/>
                <w:color w:val="212121"/>
                <w:sz w:val="19"/>
              </w:rPr>
              <w:t>Atypical and disseminated cysticercosis is increasingly reported in immunosuppressed patients.</w:t>
            </w:r>
          </w:p>
          <w:p>
            <w:pPr>
              <w:spacing w:before="60" w:after="40"/>
            </w:pPr>
            <w:r>
              <w:rPr>
                <w:rFonts w:ascii="Calibri" w:hAnsi="Calibri"/>
                <w:b w:val="0"/>
                <w:i w:val="0"/>
                <w:color w:val="5A5A5A"/>
                <w:sz w:val="18"/>
              </w:rPr>
              <w:t>#HIV  #immunosuppression  #disseminated</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no direct role in acquiring tapeworm; general fitness supports recovery, and in neurocysticercosis-related epilepsy activity must simply be balanced against seizure safety.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dominant determinant: eating raw or undercooked pork/beef transmits the adult worm, while eggs on contaminated food cause cysticercosis. Thorough cooking or adequate freezing of meat interrupts transmission.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role in acquisition, but in NCC-associated epilepsy sleep deprivation lowers the seizure threshold and can provoke seizures.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causal link between smoking and Taenia infection.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does not cause taeniasis, but in NCC-related epilepsy it lowers the seizure threshold and interacts with anti-seizure drugs; heavy drinking also tracks with riskier eating-out behaviour.</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causal, yet neurocysticercosis-related epilepsy carries stigma, anxiety and depression, and the psychosocial burden in endemic communities is substantial.</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Drinking or preparing food with faecally-contaminated water carries Taenia solium eggs and is an important route to cysticercosis; safe water markedly reduces risk.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known relationship between caffeine and Taenia infection.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Hand-washing after defecation and before food handling, safe food preparation and improved sanitation are the central levers preventing faecal–oral egg transmission and cysticercosis.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Discrete exposures provoke disease: a meal of undercooked pork/beef (taeniasis) or ingestion of eggs from a carrier, contaminated salad or water (cysticercosis).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Meat core cooking temperature</w:t>
            </w:r>
          </w:p>
        </w:tc>
        <w:tc>
          <w:tcPr>
            <w:tcW w:type="dxa" w:w="1655"/>
            <w:vAlign w:val="top"/>
          </w:tcPr>
          <w:p>
            <w:pPr>
              <w:spacing w:after="40" w:before="0" w:line="259" w:lineRule="auto"/>
            </w:pPr>
            <w:r>
              <w:rPr>
                <w:rFonts w:ascii="Calibri" w:hAnsi="Calibri"/>
                <w:b w:val="0"/>
                <w:i w:val="0"/>
                <w:color w:val="212121"/>
                <w:sz w:val="19"/>
              </w:rPr>
              <w:t>Pork/beef consumers</w:t>
            </w:r>
          </w:p>
        </w:tc>
        <w:tc>
          <w:tcPr>
            <w:tcW w:type="dxa" w:w="1512"/>
            <w:vAlign w:val="top"/>
          </w:tcPr>
          <w:p>
            <w:pPr>
              <w:spacing w:after="40" w:before="0" w:line="259" w:lineRule="auto"/>
            </w:pPr>
            <w:r>
              <w:rPr>
                <w:rFonts w:ascii="Calibri" w:hAnsi="Calibri"/>
                <w:b w:val="0"/>
                <w:i w:val="0"/>
                <w:color w:val="212121"/>
                <w:sz w:val="19"/>
              </w:rPr>
              <w:t>≥ 63–71°C throughout (no pink centre)</w:t>
            </w:r>
          </w:p>
        </w:tc>
        <w:tc>
          <w:tcPr>
            <w:tcW w:type="dxa" w:w="1512"/>
            <w:vAlign w:val="top"/>
          </w:tcPr>
          <w:p>
            <w:pPr>
              <w:spacing w:after="40" w:before="0" w:line="259" w:lineRule="auto"/>
            </w:pPr>
            <w:r>
              <w:rPr>
                <w:rFonts w:ascii="Calibri" w:hAnsi="Calibri"/>
                <w:b w:val="0"/>
                <w:i w:val="0"/>
                <w:color w:val="212121"/>
                <w:sz w:val="19"/>
              </w:rPr>
              <w:t>Raw, cured-only or undercooked meat</w:t>
            </w:r>
          </w:p>
        </w:tc>
        <w:tc>
          <w:tcPr>
            <w:tcW w:type="dxa" w:w="1468"/>
            <w:vAlign w:val="top"/>
          </w:tcPr>
          <w:p>
            <w:pPr>
              <w:spacing w:after="40" w:before="0" w:line="259" w:lineRule="auto"/>
            </w:pPr>
            <w:r>
              <w:rPr>
                <w:rFonts w:ascii="Calibri" w:hAnsi="Calibri"/>
                <w:b w:val="0"/>
                <w:i w:val="0"/>
                <w:color w:val="212121"/>
                <w:sz w:val="19"/>
              </w:rPr>
              <w:t>Adequate cooking kills cysticerci in the meat.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Freezing of meat before raw/cured use</w:t>
            </w:r>
          </w:p>
        </w:tc>
        <w:tc>
          <w:tcPr>
            <w:tcW w:type="dxa" w:w="1655"/>
            <w:vAlign w:val="top"/>
          </w:tcPr>
          <w:p>
            <w:pPr>
              <w:spacing w:after="40" w:before="0" w:line="259" w:lineRule="auto"/>
            </w:pPr>
            <w:r>
              <w:rPr>
                <w:rFonts w:ascii="Calibri" w:hAnsi="Calibri"/>
                <w:b w:val="0"/>
                <w:i w:val="0"/>
                <w:color w:val="212121"/>
                <w:sz w:val="19"/>
              </w:rPr>
              <w:t>Home meat handlers</w:t>
            </w:r>
          </w:p>
        </w:tc>
        <w:tc>
          <w:tcPr>
            <w:tcW w:type="dxa" w:w="1512"/>
            <w:vAlign w:val="top"/>
          </w:tcPr>
          <w:p>
            <w:pPr>
              <w:spacing w:after="40" w:before="0" w:line="259" w:lineRule="auto"/>
            </w:pPr>
            <w:r>
              <w:rPr>
                <w:rFonts w:ascii="Calibri" w:hAnsi="Calibri"/>
                <w:b w:val="0"/>
                <w:i w:val="0"/>
                <w:color w:val="212121"/>
                <w:sz w:val="19"/>
              </w:rPr>
              <w:t>Freeze ≤ −10°C for several days</w:t>
            </w:r>
          </w:p>
        </w:tc>
        <w:tc>
          <w:tcPr>
            <w:tcW w:type="dxa" w:w="1512"/>
            <w:vAlign w:val="top"/>
          </w:tcPr>
          <w:p>
            <w:pPr>
              <w:spacing w:after="40" w:before="0" w:line="259" w:lineRule="auto"/>
            </w:pPr>
            <w:r>
              <w:rPr>
                <w:rFonts w:ascii="Calibri" w:hAnsi="Calibri"/>
                <w:b w:val="0"/>
                <w:i w:val="0"/>
                <w:color w:val="212121"/>
                <w:sz w:val="19"/>
              </w:rPr>
              <w:t>Unfrozen raw or cured meat</w:t>
            </w:r>
          </w:p>
        </w:tc>
        <w:tc>
          <w:tcPr>
            <w:tcW w:type="dxa" w:w="1468"/>
            <w:vAlign w:val="top"/>
          </w:tcPr>
          <w:p>
            <w:pPr>
              <w:spacing w:after="40" w:before="0" w:line="259" w:lineRule="auto"/>
            </w:pPr>
            <w:r>
              <w:rPr>
                <w:rFonts w:ascii="Calibri" w:hAnsi="Calibri"/>
                <w:b w:val="0"/>
                <w:i w:val="0"/>
                <w:color w:val="212121"/>
                <w:sz w:val="19"/>
              </w:rPr>
              <w:t>Freezing inactivates cysticerci when thorough cooking is not done.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Hand-washing with soap</w:t>
            </w:r>
          </w:p>
        </w:tc>
        <w:tc>
          <w:tcPr>
            <w:tcW w:type="dxa" w:w="1655"/>
            <w:vAlign w:val="top"/>
          </w:tcPr>
          <w:p>
            <w:pPr>
              <w:spacing w:after="40" w:before="0" w:line="259" w:lineRule="auto"/>
            </w:pPr>
            <w:r>
              <w:rPr>
                <w:rFonts w:ascii="Calibri" w:hAnsi="Calibri"/>
                <w:b w:val="0"/>
                <w:i w:val="0"/>
                <w:color w:val="212121"/>
                <w:sz w:val="19"/>
              </w:rPr>
              <w:t>All; food handlers; carriers</w:t>
            </w:r>
          </w:p>
        </w:tc>
        <w:tc>
          <w:tcPr>
            <w:tcW w:type="dxa" w:w="1512"/>
            <w:vAlign w:val="top"/>
          </w:tcPr>
          <w:p>
            <w:pPr>
              <w:spacing w:after="40" w:before="0" w:line="259" w:lineRule="auto"/>
            </w:pPr>
            <w:r>
              <w:rPr>
                <w:rFonts w:ascii="Calibri" w:hAnsi="Calibri"/>
                <w:b w:val="0"/>
                <w:i w:val="0"/>
                <w:color w:val="212121"/>
                <w:sz w:val="19"/>
              </w:rPr>
              <w:t>Always after defecation and before eating/cooking</w:t>
            </w:r>
          </w:p>
        </w:tc>
        <w:tc>
          <w:tcPr>
            <w:tcW w:type="dxa" w:w="1512"/>
            <w:vAlign w:val="top"/>
          </w:tcPr>
          <w:p>
            <w:pPr>
              <w:spacing w:after="40" w:before="0" w:line="259" w:lineRule="auto"/>
            </w:pPr>
            <w:r>
              <w:rPr>
                <w:rFonts w:ascii="Calibri" w:hAnsi="Calibri"/>
                <w:b w:val="0"/>
                <w:i w:val="0"/>
                <w:color w:val="212121"/>
                <w:sz w:val="19"/>
              </w:rPr>
              <w:t>Inconsistent or no soap use</w:t>
            </w:r>
          </w:p>
        </w:tc>
        <w:tc>
          <w:tcPr>
            <w:tcW w:type="dxa" w:w="1468"/>
            <w:vAlign w:val="top"/>
          </w:tcPr>
          <w:p>
            <w:pPr>
              <w:spacing w:after="40" w:before="0" w:line="259" w:lineRule="auto"/>
            </w:pPr>
            <w:r>
              <w:rPr>
                <w:rFonts w:ascii="Calibri" w:hAnsi="Calibri"/>
                <w:b w:val="0"/>
                <w:i w:val="0"/>
                <w:color w:val="212121"/>
                <w:sz w:val="19"/>
              </w:rPr>
              <w:t>Interrupts faecal–oral transfer of eggs (cysticercosis).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Sanitation / latrine use</w:t>
            </w:r>
          </w:p>
        </w:tc>
        <w:tc>
          <w:tcPr>
            <w:tcW w:type="dxa" w:w="1655"/>
            <w:vAlign w:val="top"/>
          </w:tcPr>
          <w:p>
            <w:pPr>
              <w:spacing w:after="40" w:before="0" w:line="259" w:lineRule="auto"/>
            </w:pPr>
            <w:r>
              <w:rPr>
                <w:rFonts w:ascii="Calibri" w:hAnsi="Calibri"/>
                <w:b w:val="0"/>
                <w:i w:val="0"/>
                <w:color w:val="212121"/>
                <w:sz w:val="19"/>
              </w:rPr>
              <w:t>Rural pig-rearing communities</w:t>
            </w:r>
          </w:p>
        </w:tc>
        <w:tc>
          <w:tcPr>
            <w:tcW w:type="dxa" w:w="1512"/>
            <w:vAlign w:val="top"/>
          </w:tcPr>
          <w:p>
            <w:pPr>
              <w:spacing w:after="40" w:before="0" w:line="259" w:lineRule="auto"/>
            </w:pPr>
            <w:r>
              <w:rPr>
                <w:rFonts w:ascii="Calibri" w:hAnsi="Calibri"/>
                <w:b w:val="0"/>
                <w:i w:val="0"/>
                <w:color w:val="212121"/>
                <w:sz w:val="19"/>
              </w:rPr>
              <w:t>Use of an improved toilet; no open defecation</w:t>
            </w:r>
          </w:p>
        </w:tc>
        <w:tc>
          <w:tcPr>
            <w:tcW w:type="dxa" w:w="1512"/>
            <w:vAlign w:val="top"/>
          </w:tcPr>
          <w:p>
            <w:pPr>
              <w:spacing w:after="40" w:before="0" w:line="259" w:lineRule="auto"/>
            </w:pPr>
            <w:r>
              <w:rPr>
                <w:rFonts w:ascii="Calibri" w:hAnsi="Calibri"/>
                <w:b w:val="0"/>
                <w:i w:val="0"/>
                <w:color w:val="212121"/>
                <w:sz w:val="19"/>
              </w:rPr>
              <w:t>Open defecation</w:t>
            </w:r>
          </w:p>
        </w:tc>
        <w:tc>
          <w:tcPr>
            <w:tcW w:type="dxa" w:w="1468"/>
            <w:vAlign w:val="top"/>
          </w:tcPr>
          <w:p>
            <w:pPr>
              <w:spacing w:after="40" w:before="0" w:line="259" w:lineRule="auto"/>
            </w:pPr>
            <w:r>
              <w:rPr>
                <w:rFonts w:ascii="Calibri" w:hAnsi="Calibri"/>
                <w:b w:val="0"/>
                <w:i w:val="0"/>
                <w:color w:val="212121"/>
                <w:sz w:val="19"/>
              </w:rPr>
              <w:t>Prevents environmental egg contamination and pig infection.</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Drinking-water safety</w:t>
            </w:r>
          </w:p>
        </w:tc>
        <w:tc>
          <w:tcPr>
            <w:tcW w:type="dxa" w:w="1655"/>
            <w:vAlign w:val="top"/>
          </w:tcPr>
          <w:p>
            <w:pPr>
              <w:spacing w:after="40" w:before="0" w:line="259" w:lineRule="auto"/>
            </w:pPr>
            <w:r>
              <w:rPr>
                <w:rFonts w:ascii="Calibri" w:hAnsi="Calibri"/>
                <w:b w:val="0"/>
                <w:i w:val="0"/>
                <w:color w:val="212121"/>
                <w:sz w:val="19"/>
              </w:rPr>
              <w:t>Endemic-area residents</w:t>
            </w:r>
          </w:p>
        </w:tc>
        <w:tc>
          <w:tcPr>
            <w:tcW w:type="dxa" w:w="1512"/>
            <w:vAlign w:val="top"/>
          </w:tcPr>
          <w:p>
            <w:pPr>
              <w:spacing w:after="40" w:before="0" w:line="259" w:lineRule="auto"/>
            </w:pPr>
            <w:r>
              <w:rPr>
                <w:rFonts w:ascii="Calibri" w:hAnsi="Calibri"/>
                <w:b w:val="0"/>
                <w:i w:val="0"/>
                <w:color w:val="212121"/>
                <w:sz w:val="19"/>
              </w:rPr>
              <w:t>Boiled, filtered or treated water</w:t>
            </w:r>
          </w:p>
        </w:tc>
        <w:tc>
          <w:tcPr>
            <w:tcW w:type="dxa" w:w="1512"/>
            <w:vAlign w:val="top"/>
          </w:tcPr>
          <w:p>
            <w:pPr>
              <w:spacing w:after="40" w:before="0" w:line="259" w:lineRule="auto"/>
            </w:pPr>
            <w:r>
              <w:rPr>
                <w:rFonts w:ascii="Calibri" w:hAnsi="Calibri"/>
                <w:b w:val="0"/>
                <w:i w:val="0"/>
                <w:color w:val="212121"/>
                <w:sz w:val="19"/>
              </w:rPr>
              <w:t>Untreated surface or shallow-well water</w:t>
            </w:r>
          </w:p>
        </w:tc>
        <w:tc>
          <w:tcPr>
            <w:tcW w:type="dxa" w:w="1468"/>
            <w:vAlign w:val="top"/>
          </w:tcPr>
          <w:p>
            <w:pPr>
              <w:spacing w:after="40" w:before="0" w:line="259" w:lineRule="auto"/>
            </w:pPr>
            <w:r>
              <w:rPr>
                <w:rFonts w:ascii="Calibri" w:hAnsi="Calibri"/>
                <w:b w:val="0"/>
                <w:i w:val="0"/>
                <w:color w:val="212121"/>
                <w:sz w:val="19"/>
              </w:rPr>
              <w:t>Removes Taenia solium eggs that cause cysticercosis.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Meat source / inspection</w:t>
            </w:r>
          </w:p>
        </w:tc>
        <w:tc>
          <w:tcPr>
            <w:tcW w:type="dxa" w:w="1655"/>
            <w:vAlign w:val="top"/>
          </w:tcPr>
          <w:p>
            <w:pPr>
              <w:spacing w:after="40" w:before="0" w:line="259" w:lineRule="auto"/>
            </w:pPr>
            <w:r>
              <w:rPr>
                <w:rFonts w:ascii="Calibri" w:hAnsi="Calibri"/>
                <w:b w:val="0"/>
                <w:i w:val="0"/>
                <w:color w:val="212121"/>
                <w:sz w:val="19"/>
              </w:rPr>
              <w:t>Pork consumers</w:t>
            </w:r>
          </w:p>
        </w:tc>
        <w:tc>
          <w:tcPr>
            <w:tcW w:type="dxa" w:w="1512"/>
            <w:vAlign w:val="top"/>
          </w:tcPr>
          <w:p>
            <w:pPr>
              <w:spacing w:after="40" w:before="0" w:line="259" w:lineRule="auto"/>
            </w:pPr>
            <w:r>
              <w:rPr>
                <w:rFonts w:ascii="Calibri" w:hAnsi="Calibri"/>
                <w:b w:val="0"/>
                <w:i w:val="0"/>
                <w:color w:val="212121"/>
                <w:sz w:val="19"/>
              </w:rPr>
              <w:t>Inspected meat from a regulated abattoir</w:t>
            </w:r>
          </w:p>
        </w:tc>
        <w:tc>
          <w:tcPr>
            <w:tcW w:type="dxa" w:w="1512"/>
            <w:vAlign w:val="top"/>
          </w:tcPr>
          <w:p>
            <w:pPr>
              <w:spacing w:after="40" w:before="0" w:line="259" w:lineRule="auto"/>
            </w:pPr>
            <w:r>
              <w:rPr>
                <w:rFonts w:ascii="Calibri" w:hAnsi="Calibri"/>
                <w:b w:val="0"/>
                <w:i w:val="0"/>
                <w:color w:val="212121"/>
                <w:sz w:val="19"/>
              </w:rPr>
              <w:t>Backyard-slaughtered, uninspected pork</w:t>
            </w:r>
          </w:p>
        </w:tc>
        <w:tc>
          <w:tcPr>
            <w:tcW w:type="dxa" w:w="1468"/>
            <w:vAlign w:val="top"/>
          </w:tcPr>
          <w:p>
            <w:pPr>
              <w:spacing w:after="40" w:before="0" w:line="259" w:lineRule="auto"/>
            </w:pPr>
            <w:r>
              <w:rPr>
                <w:rFonts w:ascii="Calibri" w:hAnsi="Calibri"/>
                <w:b w:val="0"/>
                <w:i w:val="0"/>
                <w:color w:val="212121"/>
                <w:sz w:val="19"/>
              </w:rPr>
              <w:t>Inspected meat is far less likely to carry viable cysts.</w:t>
            </w:r>
          </w:p>
        </w:tc>
      </w:tr>
      <w:tr>
        <w:trPr>
          <w:cantSplit/>
        </w:trPr>
        <w:tc>
          <w:tcPr>
            <w:tcW w:type="dxa" w:w="1512"/>
            <w:vMerge w:val="restart"/>
            <w:vAlign w:val="center"/>
          </w:tcPr>
          <w:p>
            <w:pPr>
              <w:spacing w:after="40"/>
            </w:pPr>
            <w:r>
              <w:rPr>
                <w:rFonts w:ascii="Calibri" w:hAnsi="Calibri"/>
                <w:b w:val="0"/>
                <w:i w:val="0"/>
                <w:color w:val="212121"/>
                <w:sz w:val="19"/>
              </w:rPr>
              <w:t>Investigation</w:t>
            </w:r>
          </w:p>
        </w:tc>
        <w:tc>
          <w:tcPr>
            <w:tcW w:type="dxa" w:w="1944"/>
            <w:vAlign w:val="top"/>
          </w:tcPr>
          <w:p>
            <w:pPr>
              <w:spacing w:after="40" w:before="0" w:line="259" w:lineRule="auto"/>
            </w:pPr>
            <w:r>
              <w:rPr>
                <w:rFonts w:ascii="Calibri" w:hAnsi="Calibri"/>
                <w:b w:val="0"/>
                <w:i w:val="0"/>
                <w:color w:val="212121"/>
                <w:sz w:val="19"/>
              </w:rPr>
              <w:t>Stool Taenia egg / proglottid detection</w:t>
            </w:r>
          </w:p>
        </w:tc>
        <w:tc>
          <w:tcPr>
            <w:tcW w:type="dxa" w:w="1655"/>
            <w:vAlign w:val="top"/>
          </w:tcPr>
          <w:p>
            <w:pPr>
              <w:spacing w:after="40" w:before="0" w:line="259" w:lineRule="auto"/>
            </w:pPr>
            <w:r>
              <w:rPr>
                <w:rFonts w:ascii="Calibri" w:hAnsi="Calibri"/>
                <w:b w:val="0"/>
                <w:i w:val="0"/>
                <w:color w:val="212121"/>
                <w:sz w:val="19"/>
              </w:rPr>
              <w:t>Symptomatic patients, contacts</w:t>
            </w:r>
          </w:p>
        </w:tc>
        <w:tc>
          <w:tcPr>
            <w:tcW w:type="dxa" w:w="1512"/>
            <w:vAlign w:val="top"/>
          </w:tcPr>
          <w:p>
            <w:pPr>
              <w:spacing w:after="40" w:before="0" w:line="259" w:lineRule="auto"/>
            </w:pPr>
            <w:r>
              <w:rPr>
                <w:rFonts w:ascii="Calibri" w:hAnsi="Calibri"/>
                <w:b w:val="0"/>
                <w:i w:val="0"/>
                <w:color w:val="212121"/>
                <w:sz w:val="19"/>
              </w:rPr>
              <w:t>No ova or segments</w:t>
            </w:r>
          </w:p>
        </w:tc>
        <w:tc>
          <w:tcPr>
            <w:tcW w:type="dxa" w:w="1512"/>
            <w:vAlign w:val="top"/>
          </w:tcPr>
          <w:p>
            <w:pPr>
              <w:spacing w:after="40" w:before="0" w:line="259" w:lineRule="auto"/>
            </w:pPr>
            <w:r>
              <w:rPr>
                <w:rFonts w:ascii="Calibri" w:hAnsi="Calibri"/>
                <w:b w:val="0"/>
                <w:i w:val="0"/>
                <w:color w:val="212121"/>
                <w:sz w:val="19"/>
              </w:rPr>
              <w:t>Taeniid eggs or motile proglottids present</w:t>
            </w:r>
          </w:p>
        </w:tc>
        <w:tc>
          <w:tcPr>
            <w:tcW w:type="dxa" w:w="1468"/>
            <w:vAlign w:val="top"/>
          </w:tcPr>
          <w:p>
            <w:pPr>
              <w:spacing w:after="40" w:before="0" w:line="259" w:lineRule="auto"/>
            </w:pPr>
            <w:r>
              <w:rPr>
                <w:rFonts w:ascii="Calibri" w:hAnsi="Calibri"/>
                <w:b w:val="0"/>
                <w:i w:val="0"/>
                <w:color w:val="212121"/>
                <w:sz w:val="19"/>
              </w:rPr>
              <w:t>Confirms an adult-worm carrier who must be treated.</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Absolute eosinophil count</w:t>
            </w:r>
          </w:p>
        </w:tc>
        <w:tc>
          <w:tcPr>
            <w:tcW w:type="dxa" w:w="1655"/>
            <w:vAlign w:val="top"/>
          </w:tcPr>
          <w:p>
            <w:pPr>
              <w:spacing w:after="40" w:before="0" w:line="259" w:lineRule="auto"/>
            </w:pPr>
            <w:r>
              <w:rPr>
                <w:rFonts w:ascii="Calibri" w:hAnsi="Calibri"/>
                <w:b w:val="0"/>
                <w:i w:val="0"/>
                <w:color w:val="212121"/>
                <w:sz w:val="19"/>
              </w:rPr>
              <w:t>Infected persons</w:t>
            </w:r>
          </w:p>
        </w:tc>
        <w:tc>
          <w:tcPr>
            <w:tcW w:type="dxa" w:w="1512"/>
            <w:vAlign w:val="top"/>
          </w:tcPr>
          <w:p>
            <w:pPr>
              <w:spacing w:after="40" w:before="0" w:line="259" w:lineRule="auto"/>
            </w:pPr>
            <w:r>
              <w:rPr>
                <w:rFonts w:ascii="Calibri" w:hAnsi="Calibri"/>
                <w:b w:val="0"/>
                <w:i w:val="0"/>
                <w:color w:val="212121"/>
                <w:sz w:val="19"/>
              </w:rPr>
              <w:t>&lt; 500 cells/µL</w:t>
            </w:r>
          </w:p>
        </w:tc>
        <w:tc>
          <w:tcPr>
            <w:tcW w:type="dxa" w:w="1512"/>
            <w:vAlign w:val="top"/>
          </w:tcPr>
          <w:p>
            <w:pPr>
              <w:spacing w:after="40" w:before="0" w:line="259" w:lineRule="auto"/>
            </w:pPr>
            <w:r>
              <w:rPr>
                <w:rFonts w:ascii="Calibri" w:hAnsi="Calibri"/>
                <w:b w:val="0"/>
                <w:i w:val="0"/>
                <w:color w:val="212121"/>
                <w:sz w:val="19"/>
              </w:rPr>
              <w:t>Mildly raised</w:t>
            </w:r>
          </w:p>
        </w:tc>
        <w:tc>
          <w:tcPr>
            <w:tcW w:type="dxa" w:w="1468"/>
            <w:vAlign w:val="top"/>
          </w:tcPr>
          <w:p>
            <w:pPr>
              <w:spacing w:after="40" w:before="0" w:line="259" w:lineRule="auto"/>
            </w:pPr>
            <w:r>
              <w:rPr>
                <w:rFonts w:ascii="Calibri" w:hAnsi="Calibri"/>
                <w:b w:val="0"/>
                <w:i w:val="0"/>
                <w:color w:val="212121"/>
                <w:sz w:val="19"/>
              </w:rPr>
              <w:t>Eosinophilia is mild or absent in taeniasis, so a normal count does not exclude it.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Anti-cysticercus antibody (EITB)</w:t>
            </w:r>
          </w:p>
        </w:tc>
        <w:tc>
          <w:tcPr>
            <w:tcW w:type="dxa" w:w="1655"/>
            <w:vAlign w:val="top"/>
          </w:tcPr>
          <w:p>
            <w:pPr>
              <w:spacing w:after="40" w:before="0" w:line="259" w:lineRule="auto"/>
            </w:pPr>
            <w:r>
              <w:rPr>
                <w:rFonts w:ascii="Calibri" w:hAnsi="Calibri"/>
                <w:b w:val="0"/>
                <w:i w:val="0"/>
                <w:color w:val="212121"/>
                <w:sz w:val="19"/>
              </w:rPr>
              <w:t>Suspected cysticercosis/NCC</w:t>
            </w:r>
          </w:p>
        </w:tc>
        <w:tc>
          <w:tcPr>
            <w:tcW w:type="dxa" w:w="1512"/>
            <w:vAlign w:val="top"/>
          </w:tcPr>
          <w:p>
            <w:pPr>
              <w:spacing w:after="40" w:before="0" w:line="259" w:lineRule="auto"/>
            </w:pPr>
            <w:r>
              <w:rPr>
                <w:rFonts w:ascii="Calibri" w:hAnsi="Calibri"/>
                <w:b w:val="0"/>
                <w:i w:val="0"/>
                <w:color w:val="212121"/>
                <w:sz w:val="19"/>
              </w:rPr>
              <w:t>Negative</w:t>
            </w:r>
          </w:p>
        </w:tc>
        <w:tc>
          <w:tcPr>
            <w:tcW w:type="dxa" w:w="1512"/>
            <w:vAlign w:val="top"/>
          </w:tcPr>
          <w:p>
            <w:pPr>
              <w:spacing w:after="40" w:before="0" w:line="259" w:lineRule="auto"/>
            </w:pPr>
            <w:r>
              <w:rPr>
                <w:rFonts w:ascii="Calibri" w:hAnsi="Calibri"/>
                <w:b w:val="0"/>
                <w:i w:val="0"/>
                <w:color w:val="212121"/>
                <w:sz w:val="19"/>
              </w:rPr>
              <w:t>Positive</w:t>
            </w:r>
          </w:p>
        </w:tc>
        <w:tc>
          <w:tcPr>
            <w:tcW w:type="dxa" w:w="1468"/>
            <w:vAlign w:val="top"/>
          </w:tcPr>
          <w:p>
            <w:pPr>
              <w:spacing w:after="40" w:before="0" w:line="259" w:lineRule="auto"/>
            </w:pPr>
            <w:r>
              <w:rPr>
                <w:rFonts w:ascii="Calibri" w:hAnsi="Calibri"/>
                <w:b w:val="0"/>
                <w:i w:val="0"/>
                <w:color w:val="212121"/>
                <w:sz w:val="19"/>
              </w:rPr>
              <w:t>Supports cysticercosis, most sensitive with multiple viable brain cysts.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Parasitological</w:t>
            </w:r>
          </w:p>
        </w:tc>
        <w:tc>
          <w:tcPr>
            <w:tcW w:type="dxa" w:w="1036"/>
            <w:vAlign w:val="top"/>
          </w:tcPr>
          <w:p>
            <w:pPr>
              <w:spacing w:after="40" w:before="0" w:line="259" w:lineRule="auto"/>
            </w:pPr>
            <w:r>
              <w:rPr>
                <w:rFonts w:ascii="Calibri" w:hAnsi="Calibri"/>
                <w:b w:val="0"/>
                <w:i w:val="0"/>
                <w:color w:val="212121"/>
                <w:sz w:val="16"/>
              </w:rPr>
              <w:t>Stool ova &amp; parasite microscopy</w:t>
            </w:r>
          </w:p>
        </w:tc>
        <w:tc>
          <w:tcPr>
            <w:tcW w:type="dxa" w:w="892"/>
            <w:vAlign w:val="top"/>
          </w:tcPr>
          <w:p>
            <w:pPr>
              <w:spacing w:after="40" w:before="0" w:line="259" w:lineRule="auto"/>
            </w:pPr>
            <w:r>
              <w:rPr>
                <w:rFonts w:ascii="Calibri" w:hAnsi="Calibri"/>
                <w:b w:val="0"/>
                <w:i w:val="0"/>
                <w:color w:val="212121"/>
                <w:sz w:val="16"/>
              </w:rPr>
              <w:t>Taenia egg detection</w:t>
            </w:r>
          </w:p>
        </w:tc>
        <w:tc>
          <w:tcPr>
            <w:tcW w:type="dxa" w:w="950"/>
            <w:vAlign w:val="top"/>
          </w:tcPr>
          <w:p>
            <w:pPr>
              <w:spacing w:after="40" w:before="0" w:line="259" w:lineRule="auto"/>
            </w:pPr>
            <w:r>
              <w:rPr>
                <w:rFonts w:ascii="Calibri" w:hAnsi="Calibri"/>
                <w:b w:val="0"/>
                <w:i w:val="0"/>
                <w:color w:val="212121"/>
                <w:sz w:val="16"/>
              </w:rPr>
              <w:t>No taeniid ova</w:t>
            </w:r>
          </w:p>
        </w:tc>
        <w:tc>
          <w:tcPr>
            <w:tcW w:type="dxa" w:w="950"/>
            <w:vAlign w:val="top"/>
          </w:tcPr>
          <w:p>
            <w:pPr>
              <w:spacing w:after="40" w:before="0" w:line="259" w:lineRule="auto"/>
            </w:pPr>
            <w:r>
              <w:rPr>
                <w:rFonts w:ascii="Calibri" w:hAnsi="Calibri"/>
                <w:b w:val="0"/>
                <w:i w:val="0"/>
                <w:color w:val="212121"/>
                <w:sz w:val="16"/>
              </w:rPr>
              <w:t>Radially-striated taeniid eggs seen</w:t>
            </w:r>
          </w:p>
        </w:tc>
        <w:tc>
          <w:tcPr>
            <w:tcW w:type="dxa" w:w="1036"/>
            <w:vAlign w:val="top"/>
          </w:tcPr>
          <w:p>
            <w:pPr>
              <w:spacing w:after="40" w:before="0" w:line="259" w:lineRule="auto"/>
            </w:pPr>
            <w:r>
              <w:rPr>
                <w:rFonts w:ascii="Calibri" w:hAnsi="Calibri"/>
                <w:b w:val="0"/>
                <w:i w:val="0"/>
                <w:color w:val="212121"/>
                <w:sz w:val="16"/>
              </w:rPr>
              <w:t>Confirms Taenia infection but cannot distinguish species</w:t>
            </w:r>
          </w:p>
        </w:tc>
        <w:tc>
          <w:tcPr>
            <w:tcW w:type="dxa" w:w="1036"/>
            <w:vAlign w:val="top"/>
          </w:tcPr>
          <w:p>
            <w:pPr>
              <w:spacing w:after="40" w:before="0" w:line="259" w:lineRule="auto"/>
            </w:pPr>
            <w:r>
              <w:rPr>
                <w:rFonts w:ascii="Calibri" w:hAnsi="Calibri"/>
                <w:b w:val="0"/>
                <w:i w:val="0"/>
                <w:color w:val="212121"/>
                <w:sz w:val="16"/>
              </w:rPr>
              <w:t>Symptomatic patients, household contacts, pork/beef eaters</w:t>
            </w:r>
          </w:p>
        </w:tc>
        <w:tc>
          <w:tcPr>
            <w:tcW w:type="dxa" w:w="720"/>
            <w:vAlign w:val="top"/>
          </w:tcPr>
          <w:p>
            <w:pPr>
              <w:spacing w:after="40" w:before="0" w:line="259" w:lineRule="auto"/>
            </w:pPr>
            <w:r>
              <w:rPr>
                <w:rFonts w:ascii="Calibri" w:hAnsi="Calibri"/>
                <w:b w:val="0"/>
                <w:i w:val="0"/>
                <w:color w:val="212121"/>
                <w:sz w:val="16"/>
              </w:rPr>
              <w:t>Food; Hygiene</w:t>
            </w:r>
          </w:p>
        </w:tc>
        <w:tc>
          <w:tcPr>
            <w:tcW w:type="dxa" w:w="720"/>
            <w:vAlign w:val="top"/>
          </w:tcPr>
          <w:p>
            <w:pPr>
              <w:spacing w:after="40" w:before="0" w:line="259" w:lineRule="auto"/>
            </w:pPr>
            <w:r>
              <w:rPr>
                <w:rFonts w:ascii="Calibri" w:hAnsi="Calibri"/>
                <w:b w:val="0"/>
                <w:i w:val="0"/>
                <w:color w:val="212121"/>
                <w:sz w:val="16"/>
              </w:rPr>
              <w:t>First-line</w:t>
            </w:r>
          </w:p>
        </w:tc>
        <w:tc>
          <w:tcPr>
            <w:tcW w:type="dxa" w:w="720"/>
            <w:vAlign w:val="top"/>
          </w:tcPr>
          <w:p>
            <w:pPr>
              <w:spacing w:after="40" w:before="0" w:line="259" w:lineRule="auto"/>
            </w:pPr>
            <w:r>
              <w:rPr>
                <w:rFonts w:ascii="Calibri" w:hAnsi="Calibri"/>
                <w:b w:val="0"/>
                <w:i w:val="0"/>
                <w:color w:val="212121"/>
                <w:sz w:val="16"/>
              </w:rPr>
              <w:t>Shedding is intermittent — examine ≥3 specimens on different days.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Parasitological</w:t>
            </w:r>
          </w:p>
        </w:tc>
        <w:tc>
          <w:tcPr>
            <w:tcW w:type="dxa" w:w="1036"/>
            <w:vAlign w:val="top"/>
          </w:tcPr>
          <w:p>
            <w:pPr>
              <w:spacing w:after="40" w:before="0" w:line="259" w:lineRule="auto"/>
            </w:pPr>
            <w:r>
              <w:rPr>
                <w:rFonts w:ascii="Calibri" w:hAnsi="Calibri"/>
                <w:b w:val="0"/>
                <w:i w:val="0"/>
                <w:color w:val="212121"/>
                <w:sz w:val="16"/>
              </w:rPr>
              <w:t>Gravid proglottid / scolex examination</w:t>
            </w:r>
          </w:p>
        </w:tc>
        <w:tc>
          <w:tcPr>
            <w:tcW w:type="dxa" w:w="892"/>
            <w:vAlign w:val="top"/>
          </w:tcPr>
          <w:p>
            <w:pPr>
              <w:spacing w:after="40" w:before="0" w:line="259" w:lineRule="auto"/>
            </w:pPr>
            <w:r>
              <w:rPr>
                <w:rFonts w:ascii="Calibri" w:hAnsi="Calibri"/>
                <w:b w:val="0"/>
                <w:i w:val="0"/>
                <w:color w:val="212121"/>
                <w:sz w:val="16"/>
              </w:rPr>
              <w:t>Species identification</w:t>
            </w:r>
          </w:p>
        </w:tc>
        <w:tc>
          <w:tcPr>
            <w:tcW w:type="dxa" w:w="950"/>
            <w:vAlign w:val="top"/>
          </w:tcPr>
          <w:p>
            <w:pPr>
              <w:spacing w:after="40" w:before="0" w:line="259" w:lineRule="auto"/>
            </w:pPr>
            <w:r>
              <w:rPr>
                <w:rFonts w:ascii="Calibri" w:hAnsi="Calibri"/>
                <w:b w:val="0"/>
                <w:i w:val="0"/>
                <w:color w:val="212121"/>
                <w:sz w:val="16"/>
              </w:rPr>
              <w:t>No segments recovered</w:t>
            </w:r>
          </w:p>
        </w:tc>
        <w:tc>
          <w:tcPr>
            <w:tcW w:type="dxa" w:w="950"/>
            <w:vAlign w:val="top"/>
          </w:tcPr>
          <w:p>
            <w:pPr>
              <w:spacing w:after="40" w:before="0" w:line="259" w:lineRule="auto"/>
            </w:pPr>
            <w:r>
              <w:rPr>
                <w:rFonts w:ascii="Calibri" w:hAnsi="Calibri"/>
                <w:b w:val="0"/>
                <w:i w:val="0"/>
                <w:color w:val="212121"/>
                <w:sz w:val="16"/>
              </w:rPr>
              <w:t>15–30 uterine branches → T. saginata; 7–13 + armed scolex → T. solium</w:t>
            </w:r>
          </w:p>
        </w:tc>
        <w:tc>
          <w:tcPr>
            <w:tcW w:type="dxa" w:w="1036"/>
            <w:vAlign w:val="top"/>
          </w:tcPr>
          <w:p>
            <w:pPr>
              <w:spacing w:after="40" w:before="0" w:line="259" w:lineRule="auto"/>
            </w:pPr>
            <w:r>
              <w:rPr>
                <w:rFonts w:ascii="Calibri" w:hAnsi="Calibri"/>
                <w:b w:val="0"/>
                <w:i w:val="0"/>
                <w:color w:val="212121"/>
                <w:sz w:val="16"/>
              </w:rPr>
              <w:t>Speciation determines the cysticercosis risk</w:t>
            </w:r>
          </w:p>
        </w:tc>
        <w:tc>
          <w:tcPr>
            <w:tcW w:type="dxa" w:w="1036"/>
            <w:vAlign w:val="top"/>
          </w:tcPr>
          <w:p>
            <w:pPr>
              <w:spacing w:after="40" w:before="0" w:line="259" w:lineRule="auto"/>
            </w:pPr>
            <w:r>
              <w:rPr>
                <w:rFonts w:ascii="Calibri" w:hAnsi="Calibri"/>
                <w:b w:val="0"/>
                <w:i w:val="0"/>
                <w:color w:val="212121"/>
                <w:sz w:val="16"/>
              </w:rPr>
              <w:t>Patients passing segments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Species-defining</w:t>
            </w:r>
          </w:p>
        </w:tc>
        <w:tc>
          <w:tcPr>
            <w:tcW w:type="dxa" w:w="720"/>
            <w:vAlign w:val="top"/>
          </w:tcPr>
          <w:p>
            <w:pPr>
              <w:spacing w:after="40" w:before="0" w:line="259" w:lineRule="auto"/>
            </w:pPr>
            <w:r>
              <w:rPr>
                <w:rFonts w:ascii="Calibri" w:hAnsi="Calibri"/>
                <w:b w:val="0"/>
                <w:i w:val="0"/>
                <w:color w:val="212121"/>
                <w:sz w:val="16"/>
              </w:rPr>
              <w:t>Handle segments with gloves — eggs are infective.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Multiplex / species-specific PCR (stool)</w:t>
            </w:r>
          </w:p>
        </w:tc>
        <w:tc>
          <w:tcPr>
            <w:tcW w:type="dxa" w:w="892"/>
            <w:vAlign w:val="top"/>
          </w:tcPr>
          <w:p>
            <w:pPr>
              <w:spacing w:after="40" w:before="0" w:line="259" w:lineRule="auto"/>
            </w:pPr>
            <w:r>
              <w:rPr>
                <w:rFonts w:ascii="Calibri" w:hAnsi="Calibri"/>
                <w:b w:val="0"/>
                <w:i w:val="0"/>
                <w:color w:val="212121"/>
                <w:sz w:val="16"/>
              </w:rPr>
              <w:t>DNA speciation</w:t>
            </w:r>
          </w:p>
        </w:tc>
        <w:tc>
          <w:tcPr>
            <w:tcW w:type="dxa" w:w="950"/>
            <w:vAlign w:val="top"/>
          </w:tcPr>
          <w:p>
            <w:pPr>
              <w:spacing w:after="40" w:before="0" w:line="259" w:lineRule="auto"/>
            </w:pPr>
            <w:r>
              <w:rPr>
                <w:rFonts w:ascii="Calibri" w:hAnsi="Calibri"/>
                <w:b w:val="0"/>
                <w:i w:val="0"/>
                <w:color w:val="212121"/>
                <w:sz w:val="16"/>
              </w:rPr>
              <w:t>No Taenia DNA</w:t>
            </w:r>
          </w:p>
        </w:tc>
        <w:tc>
          <w:tcPr>
            <w:tcW w:type="dxa" w:w="950"/>
            <w:vAlign w:val="top"/>
          </w:tcPr>
          <w:p>
            <w:pPr>
              <w:spacing w:after="40" w:before="0" w:line="259" w:lineRule="auto"/>
            </w:pPr>
            <w:r>
              <w:rPr>
                <w:rFonts w:ascii="Calibri" w:hAnsi="Calibri"/>
                <w:b w:val="0"/>
                <w:i w:val="0"/>
                <w:color w:val="212121"/>
                <w:sz w:val="16"/>
              </w:rPr>
              <w:t>T. solium / T. saginata / T. asiatica DNA detected</w:t>
            </w:r>
          </w:p>
        </w:tc>
        <w:tc>
          <w:tcPr>
            <w:tcW w:type="dxa" w:w="1036"/>
            <w:vAlign w:val="top"/>
          </w:tcPr>
          <w:p>
            <w:pPr>
              <w:spacing w:after="40" w:before="0" w:line="259" w:lineRule="auto"/>
            </w:pPr>
            <w:r>
              <w:rPr>
                <w:rFonts w:ascii="Calibri" w:hAnsi="Calibri"/>
                <w:b w:val="0"/>
                <w:i w:val="0"/>
                <w:color w:val="212121"/>
                <w:sz w:val="16"/>
              </w:rPr>
              <w:t>Most accurate species discrimination, including mixed infection</w:t>
            </w:r>
          </w:p>
        </w:tc>
        <w:tc>
          <w:tcPr>
            <w:tcW w:type="dxa" w:w="1036"/>
            <w:vAlign w:val="top"/>
          </w:tcPr>
          <w:p>
            <w:pPr>
              <w:spacing w:after="40" w:before="0" w:line="259" w:lineRule="auto"/>
            </w:pPr>
            <w:r>
              <w:rPr>
                <w:rFonts w:ascii="Calibri" w:hAnsi="Calibri"/>
                <w:b w:val="0"/>
                <w:i w:val="0"/>
                <w:color w:val="212121"/>
                <w:sz w:val="16"/>
              </w:rPr>
              <w:t>Epidemiological work-up, unclear microscopy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Reference-laboratory test; not universally available.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Immunological</w:t>
            </w:r>
          </w:p>
        </w:tc>
        <w:tc>
          <w:tcPr>
            <w:tcW w:type="dxa" w:w="1036"/>
            <w:vAlign w:val="top"/>
          </w:tcPr>
          <w:p>
            <w:pPr>
              <w:spacing w:after="40" w:before="0" w:line="259" w:lineRule="auto"/>
            </w:pPr>
            <w:r>
              <w:rPr>
                <w:rFonts w:ascii="Calibri" w:hAnsi="Calibri"/>
                <w:b w:val="0"/>
                <w:i w:val="0"/>
                <w:color w:val="212121"/>
                <w:sz w:val="16"/>
              </w:rPr>
              <w:t>Stool copro-antigen ELISA</w:t>
            </w:r>
          </w:p>
        </w:tc>
        <w:tc>
          <w:tcPr>
            <w:tcW w:type="dxa" w:w="892"/>
            <w:vAlign w:val="top"/>
          </w:tcPr>
          <w:p>
            <w:pPr>
              <w:spacing w:after="40" w:before="0" w:line="259" w:lineRule="auto"/>
            </w:pPr>
            <w:r>
              <w:rPr>
                <w:rFonts w:ascii="Calibri" w:hAnsi="Calibri"/>
                <w:b w:val="0"/>
                <w:i w:val="0"/>
                <w:color w:val="212121"/>
                <w:sz w:val="16"/>
              </w:rPr>
              <w:t>Coproantigen detection</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Taenia coproantigen positive</w:t>
            </w:r>
          </w:p>
        </w:tc>
        <w:tc>
          <w:tcPr>
            <w:tcW w:type="dxa" w:w="1036"/>
            <w:vAlign w:val="top"/>
          </w:tcPr>
          <w:p>
            <w:pPr>
              <w:spacing w:after="40" w:before="0" w:line="259" w:lineRule="auto"/>
            </w:pPr>
            <w:r>
              <w:rPr>
                <w:rFonts w:ascii="Calibri" w:hAnsi="Calibri"/>
                <w:b w:val="0"/>
                <w:i w:val="0"/>
                <w:color w:val="212121"/>
                <w:sz w:val="16"/>
              </w:rPr>
              <w:t>More sensitive than microscopy; detects low or prepatent worm burden</w:t>
            </w:r>
          </w:p>
        </w:tc>
        <w:tc>
          <w:tcPr>
            <w:tcW w:type="dxa" w:w="1036"/>
            <w:vAlign w:val="top"/>
          </w:tcPr>
          <w:p>
            <w:pPr>
              <w:spacing w:after="40" w:before="0" w:line="259" w:lineRule="auto"/>
            </w:pPr>
            <w:r>
              <w:rPr>
                <w:rFonts w:ascii="Calibri" w:hAnsi="Calibri"/>
                <w:b w:val="0"/>
                <w:i w:val="0"/>
                <w:color w:val="212121"/>
                <w:sz w:val="16"/>
              </w:rPr>
              <w:t>Screening in endemic surveys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Sensitive screen</w:t>
            </w:r>
          </w:p>
        </w:tc>
        <w:tc>
          <w:tcPr>
            <w:tcW w:type="dxa" w:w="720"/>
            <w:vAlign w:val="top"/>
          </w:tcPr>
          <w:p>
            <w:pPr>
              <w:spacing w:after="40" w:before="0" w:line="259" w:lineRule="auto"/>
            </w:pPr>
            <w:r>
              <w:rPr>
                <w:rFonts w:ascii="Calibri" w:hAnsi="Calibri"/>
                <w:b w:val="0"/>
                <w:i w:val="0"/>
                <w:color w:val="212121"/>
                <w:sz w:val="16"/>
              </w:rPr>
              <w:t>Genus-level; can be positive before eggs appear in stool.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Complete blood count / eosinophils</w:t>
            </w:r>
          </w:p>
        </w:tc>
        <w:tc>
          <w:tcPr>
            <w:tcW w:type="dxa" w:w="892"/>
            <w:vAlign w:val="top"/>
          </w:tcPr>
          <w:p>
            <w:pPr>
              <w:spacing w:after="40" w:before="0" w:line="259" w:lineRule="auto"/>
            </w:pPr>
            <w:r>
              <w:rPr>
                <w:rFonts w:ascii="Calibri" w:hAnsi="Calibri"/>
                <w:b w:val="0"/>
                <w:i w:val="0"/>
                <w:color w:val="212121"/>
                <w:sz w:val="16"/>
              </w:rPr>
              <w:t>Eosinophil count</w:t>
            </w:r>
          </w:p>
        </w:tc>
        <w:tc>
          <w:tcPr>
            <w:tcW w:type="dxa" w:w="950"/>
            <w:vAlign w:val="top"/>
          </w:tcPr>
          <w:p>
            <w:pPr>
              <w:spacing w:after="40" w:before="0" w:line="259" w:lineRule="auto"/>
            </w:pPr>
            <w:r>
              <w:rPr>
                <w:rFonts w:ascii="Calibri" w:hAnsi="Calibri"/>
                <w:b w:val="0"/>
                <w:i w:val="0"/>
                <w:color w:val="212121"/>
                <w:sz w:val="16"/>
              </w:rPr>
              <w:t>&lt; 500 cells/µL</w:t>
            </w:r>
          </w:p>
        </w:tc>
        <w:tc>
          <w:tcPr>
            <w:tcW w:type="dxa" w:w="950"/>
            <w:vAlign w:val="top"/>
          </w:tcPr>
          <w:p>
            <w:pPr>
              <w:spacing w:after="40" w:before="0" w:line="259" w:lineRule="auto"/>
            </w:pPr>
            <w:r>
              <w:rPr>
                <w:rFonts w:ascii="Calibri" w:hAnsi="Calibri"/>
                <w:b w:val="0"/>
                <w:i w:val="0"/>
                <w:color w:val="212121"/>
                <w:sz w:val="16"/>
              </w:rPr>
              <w:t>Mildly raised</w:t>
            </w:r>
          </w:p>
        </w:tc>
        <w:tc>
          <w:tcPr>
            <w:tcW w:type="dxa" w:w="1036"/>
            <w:vAlign w:val="top"/>
          </w:tcPr>
          <w:p>
            <w:pPr>
              <w:spacing w:after="40" w:before="0" w:line="259" w:lineRule="auto"/>
            </w:pPr>
            <w:r>
              <w:rPr>
                <w:rFonts w:ascii="Calibri" w:hAnsi="Calibri"/>
                <w:b w:val="0"/>
                <w:i w:val="0"/>
                <w:color w:val="212121"/>
                <w:sz w:val="16"/>
              </w:rPr>
              <w:t>Mild or absent eosinophilia — non-specific</w:t>
            </w:r>
          </w:p>
        </w:tc>
        <w:tc>
          <w:tcPr>
            <w:tcW w:type="dxa" w:w="1036"/>
            <w:vAlign w:val="top"/>
          </w:tcPr>
          <w:p>
            <w:pPr>
              <w:spacing w:after="40" w:before="0" w:line="259" w:lineRule="auto"/>
            </w:pPr>
            <w:r>
              <w:rPr>
                <w:rFonts w:ascii="Calibri" w:hAnsi="Calibri"/>
                <w:b w:val="0"/>
                <w:i w:val="0"/>
                <w:color w:val="212121"/>
                <w:sz w:val="16"/>
              </w:rPr>
              <w:t>Any infected patient</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 normal count does not exclude taeniasis.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Serum anti-cysticercal antibody (EITB) / antigen ELISA</w:t>
            </w:r>
          </w:p>
        </w:tc>
        <w:tc>
          <w:tcPr>
            <w:tcW w:type="dxa" w:w="892"/>
            <w:vAlign w:val="top"/>
          </w:tcPr>
          <w:p>
            <w:pPr>
              <w:spacing w:after="40" w:before="0" w:line="259" w:lineRule="auto"/>
            </w:pPr>
            <w:r>
              <w:rPr>
                <w:rFonts w:ascii="Calibri" w:hAnsi="Calibri"/>
                <w:b w:val="0"/>
                <w:i w:val="0"/>
                <w:color w:val="212121"/>
                <w:sz w:val="16"/>
              </w:rPr>
              <w:t>Cysticercosis serology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Supports cysticercosis; sensitivity highest with multiple viable cysts</w:t>
            </w:r>
          </w:p>
        </w:tc>
        <w:tc>
          <w:tcPr>
            <w:tcW w:type="dxa" w:w="1036"/>
            <w:vAlign w:val="top"/>
          </w:tcPr>
          <w:p>
            <w:pPr>
              <w:spacing w:after="40" w:before="0" w:line="259" w:lineRule="auto"/>
            </w:pPr>
            <w:r>
              <w:rPr>
                <w:rFonts w:ascii="Calibri" w:hAnsi="Calibri"/>
                <w:b w:val="0"/>
                <w:i w:val="0"/>
                <w:color w:val="212121"/>
                <w:sz w:val="16"/>
              </w:rPr>
              <w:t>Suspected cysticercosis/NCC, new seizures</w:t>
            </w:r>
          </w:p>
        </w:tc>
        <w:tc>
          <w:tcPr>
            <w:tcW w:type="dxa" w:w="720"/>
            <w:vAlign w:val="top"/>
          </w:tcPr>
          <w:p>
            <w:pPr>
              <w:spacing w:after="40" w:before="0" w:line="259" w:lineRule="auto"/>
            </w:pPr>
            <w:r>
              <w:rPr>
                <w:rFonts w:ascii="Calibri" w:hAnsi="Calibri"/>
                <w:b w:val="0"/>
                <w:i w:val="0"/>
                <w:color w:val="212121"/>
                <w:sz w:val="16"/>
              </w:rPr>
              <w:t>Hygiene; Water</w:t>
            </w:r>
          </w:p>
        </w:tc>
        <w:tc>
          <w:tcPr>
            <w:tcW w:type="dxa" w:w="720"/>
            <w:vAlign w:val="top"/>
          </w:tcPr>
          <w:p>
            <w:pPr>
              <w:spacing w:after="40" w:before="0" w:line="259" w:lineRule="auto"/>
            </w:pPr>
            <w:r>
              <w:rPr>
                <w:rFonts w:ascii="Calibri" w:hAnsi="Calibri"/>
                <w:b w:val="0"/>
                <w:i w:val="0"/>
                <w:color w:val="212121"/>
                <w:sz w:val="16"/>
              </w:rPr>
              <w:t>Cysticercosis work-up</w:t>
            </w:r>
          </w:p>
        </w:tc>
        <w:tc>
          <w:tcPr>
            <w:tcW w:type="dxa" w:w="720"/>
            <w:vAlign w:val="top"/>
          </w:tcPr>
          <w:p>
            <w:pPr>
              <w:spacing w:after="40" w:before="0" w:line="259" w:lineRule="auto"/>
            </w:pPr>
            <w:r>
              <w:rPr>
                <w:rFonts w:ascii="Calibri" w:hAnsi="Calibri"/>
                <w:b w:val="0"/>
                <w:i w:val="0"/>
                <w:color w:val="212121"/>
                <w:sz w:val="16"/>
              </w:rPr>
              <w:t>May be negative with a single or fully calcified lesion.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CT / MRI brain</w:t>
            </w:r>
          </w:p>
        </w:tc>
        <w:tc>
          <w:tcPr>
            <w:tcW w:type="dxa" w:w="892"/>
            <w:vAlign w:val="top"/>
          </w:tcPr>
          <w:p>
            <w:pPr>
              <w:spacing w:after="40" w:before="0" w:line="259" w:lineRule="auto"/>
            </w:pPr>
            <w:r>
              <w:rPr>
                <w:rFonts w:ascii="Calibri" w:hAnsi="Calibri"/>
                <w:b w:val="0"/>
                <w:i w:val="0"/>
                <w:color w:val="212121"/>
                <w:sz w:val="16"/>
              </w:rPr>
              <w:t>Neuroimaging</w:t>
            </w:r>
          </w:p>
        </w:tc>
        <w:tc>
          <w:tcPr>
            <w:tcW w:type="dxa" w:w="950"/>
            <w:vAlign w:val="top"/>
          </w:tcPr>
          <w:p>
            <w:pPr>
              <w:spacing w:after="40" w:before="0" w:line="259" w:lineRule="auto"/>
            </w:pPr>
            <w:r>
              <w:rPr>
                <w:rFonts w:ascii="Calibri" w:hAnsi="Calibri"/>
                <w:b w:val="0"/>
                <w:i w:val="0"/>
                <w:color w:val="212121"/>
                <w:sz w:val="16"/>
              </w:rPr>
              <w:t>No cysts or calcification</w:t>
            </w:r>
          </w:p>
        </w:tc>
        <w:tc>
          <w:tcPr>
            <w:tcW w:type="dxa" w:w="950"/>
            <w:vAlign w:val="top"/>
          </w:tcPr>
          <w:p>
            <w:pPr>
              <w:spacing w:after="40" w:before="0" w:line="259" w:lineRule="auto"/>
            </w:pPr>
            <w:r>
              <w:rPr>
                <w:rFonts w:ascii="Calibri" w:hAnsi="Calibri"/>
                <w:b w:val="0"/>
                <w:i w:val="0"/>
                <w:color w:val="212121"/>
                <w:sz w:val="16"/>
              </w:rPr>
              <w:t>Cyst with eccentric scolex ('hole-with-dot'), ring-enhancing granuloma, or calcification</w:t>
            </w:r>
          </w:p>
        </w:tc>
        <w:tc>
          <w:tcPr>
            <w:tcW w:type="dxa" w:w="1036"/>
            <w:vAlign w:val="top"/>
          </w:tcPr>
          <w:p>
            <w:pPr>
              <w:spacing w:after="40" w:before="0" w:line="259" w:lineRule="auto"/>
            </w:pPr>
            <w:r>
              <w:rPr>
                <w:rFonts w:ascii="Calibri" w:hAnsi="Calibri"/>
                <w:b w:val="0"/>
                <w:i w:val="0"/>
                <w:color w:val="212121"/>
                <w:sz w:val="16"/>
              </w:rPr>
              <w:t>Diagnoses and stages neurocysticercosis</w:t>
            </w:r>
          </w:p>
        </w:tc>
        <w:tc>
          <w:tcPr>
            <w:tcW w:type="dxa" w:w="1036"/>
            <w:vAlign w:val="top"/>
          </w:tcPr>
          <w:p>
            <w:pPr>
              <w:spacing w:after="40" w:before="0" w:line="259" w:lineRule="auto"/>
            </w:pPr>
            <w:r>
              <w:rPr>
                <w:rFonts w:ascii="Calibri" w:hAnsi="Calibri"/>
                <w:b w:val="0"/>
                <w:i w:val="0"/>
                <w:color w:val="212121"/>
                <w:sz w:val="16"/>
              </w:rPr>
              <w:t>New-onset seizures, chronic headache, focal deficit</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Key for NCC</w:t>
            </w:r>
          </w:p>
        </w:tc>
        <w:tc>
          <w:tcPr>
            <w:tcW w:type="dxa" w:w="720"/>
            <w:vAlign w:val="top"/>
          </w:tcPr>
          <w:p>
            <w:pPr>
              <w:spacing w:after="40" w:before="0" w:line="259" w:lineRule="auto"/>
            </w:pPr>
            <w:r>
              <w:rPr>
                <w:rFonts w:ascii="Calibri" w:hAnsi="Calibri"/>
                <w:b w:val="0"/>
                <w:i w:val="0"/>
                <w:color w:val="212121"/>
                <w:sz w:val="16"/>
              </w:rPr>
              <w:t>MRI best for viable/extra-parenchymal cysts; CT best for calcification.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Ophthalmic</w:t>
            </w:r>
          </w:p>
        </w:tc>
        <w:tc>
          <w:tcPr>
            <w:tcW w:type="dxa" w:w="1036"/>
            <w:vAlign w:val="top"/>
          </w:tcPr>
          <w:p>
            <w:pPr>
              <w:spacing w:after="40" w:before="0" w:line="259" w:lineRule="auto"/>
            </w:pPr>
            <w:r>
              <w:rPr>
                <w:rFonts w:ascii="Calibri" w:hAnsi="Calibri"/>
                <w:b w:val="0"/>
                <w:i w:val="0"/>
                <w:color w:val="212121"/>
                <w:sz w:val="16"/>
              </w:rPr>
              <w:t>Fundoscopy / ocular ultrasound (B-scan)</w:t>
            </w:r>
          </w:p>
        </w:tc>
        <w:tc>
          <w:tcPr>
            <w:tcW w:type="dxa" w:w="892"/>
            <w:vAlign w:val="top"/>
          </w:tcPr>
          <w:p>
            <w:pPr>
              <w:spacing w:after="40" w:before="0" w:line="259" w:lineRule="auto"/>
            </w:pPr>
            <w:r>
              <w:rPr>
                <w:rFonts w:ascii="Calibri" w:hAnsi="Calibri"/>
                <w:b w:val="0"/>
                <w:i w:val="0"/>
                <w:color w:val="212121"/>
                <w:sz w:val="16"/>
              </w:rPr>
              <w:t>Ocular cysticercosis screen</w:t>
            </w:r>
          </w:p>
        </w:tc>
        <w:tc>
          <w:tcPr>
            <w:tcW w:type="dxa" w:w="950"/>
            <w:vAlign w:val="top"/>
          </w:tcPr>
          <w:p>
            <w:pPr>
              <w:spacing w:after="40" w:before="0" w:line="259" w:lineRule="auto"/>
            </w:pPr>
            <w:r>
              <w:rPr>
                <w:rFonts w:ascii="Calibri" w:hAnsi="Calibri"/>
                <w:b w:val="0"/>
                <w:i w:val="0"/>
                <w:color w:val="212121"/>
                <w:sz w:val="16"/>
              </w:rPr>
              <w:t>No intra-ocular cyst</w:t>
            </w:r>
          </w:p>
        </w:tc>
        <w:tc>
          <w:tcPr>
            <w:tcW w:type="dxa" w:w="950"/>
            <w:vAlign w:val="top"/>
          </w:tcPr>
          <w:p>
            <w:pPr>
              <w:spacing w:after="40" w:before="0" w:line="259" w:lineRule="auto"/>
            </w:pPr>
            <w:r>
              <w:rPr>
                <w:rFonts w:ascii="Calibri" w:hAnsi="Calibri"/>
                <w:b w:val="0"/>
                <w:i w:val="0"/>
                <w:color w:val="212121"/>
                <w:sz w:val="16"/>
              </w:rPr>
              <w:t>Sub-retinal or vitreous cyst</w:t>
            </w:r>
          </w:p>
        </w:tc>
        <w:tc>
          <w:tcPr>
            <w:tcW w:type="dxa" w:w="1036"/>
            <w:vAlign w:val="top"/>
          </w:tcPr>
          <w:p>
            <w:pPr>
              <w:spacing w:after="40" w:before="0" w:line="259" w:lineRule="auto"/>
            </w:pPr>
            <w:r>
              <w:rPr>
                <w:rFonts w:ascii="Calibri" w:hAnsi="Calibri"/>
                <w:b w:val="0"/>
                <w:i w:val="0"/>
                <w:color w:val="212121"/>
                <w:sz w:val="16"/>
              </w:rPr>
              <w:t>Detects ocular cysticercosis before deworming</w:t>
            </w:r>
          </w:p>
        </w:tc>
        <w:tc>
          <w:tcPr>
            <w:tcW w:type="dxa" w:w="1036"/>
            <w:vAlign w:val="top"/>
          </w:tcPr>
          <w:p>
            <w:pPr>
              <w:spacing w:after="40" w:before="0" w:line="259" w:lineRule="auto"/>
            </w:pPr>
            <w:r>
              <w:rPr>
                <w:rFonts w:ascii="Calibri" w:hAnsi="Calibri"/>
                <w:b w:val="0"/>
                <w:i w:val="0"/>
                <w:color w:val="212121"/>
                <w:sz w:val="16"/>
              </w:rPr>
              <w:t>Visual symptoms; pre-anthelmintic check</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Safety check</w:t>
            </w:r>
          </w:p>
        </w:tc>
        <w:tc>
          <w:tcPr>
            <w:tcW w:type="dxa" w:w="720"/>
            <w:vAlign w:val="top"/>
          </w:tcPr>
          <w:p>
            <w:pPr>
              <w:spacing w:after="40" w:before="0" w:line="259" w:lineRule="auto"/>
            </w:pPr>
            <w:r>
              <w:rPr>
                <w:rFonts w:ascii="Calibri" w:hAnsi="Calibri"/>
                <w:b w:val="0"/>
                <w:i w:val="0"/>
                <w:color w:val="212121"/>
                <w:sz w:val="16"/>
              </w:rPr>
              <w:t>Anthelmintics can worsen inflammation around an eye cyst — exclude first.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w:t>
            </w:r>
          </w:p>
        </w:tc>
        <w:tc>
          <w:tcPr>
            <w:tcW w:type="dxa" w:w="979"/>
            <w:vAlign w:val="top"/>
          </w:tcPr>
          <w:p>
            <w:pPr>
              <w:spacing w:after="40" w:before="0" w:line="259" w:lineRule="auto"/>
            </w:pPr>
            <w:r>
              <w:rPr>
                <w:rFonts w:ascii="Calibri" w:hAnsi="Calibri"/>
                <w:b w:val="0"/>
                <w:i w:val="0"/>
                <w:color w:val="212121"/>
                <w:sz w:val="16"/>
              </w:rPr>
              <w:t>Passage of motile segments (proglottids) in stool or on skin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White moving segments in stool or underclothing</w:t>
            </w:r>
          </w:p>
        </w:tc>
        <w:tc>
          <w:tcPr>
            <w:tcW w:type="dxa" w:w="1036"/>
            <w:vAlign w:val="top"/>
          </w:tcPr>
          <w:p>
            <w:pPr>
              <w:spacing w:after="40" w:before="0" w:line="259" w:lineRule="auto"/>
            </w:pPr>
            <w:r>
              <w:rPr>
                <w:rFonts w:ascii="Calibri" w:hAnsi="Calibri"/>
                <w:b w:val="0"/>
                <w:i w:val="0"/>
                <w:color w:val="212121"/>
                <w:sz w:val="16"/>
              </w:rPr>
              <w:t>Hallmark of intestinal taeniasis, especially T. saginata</w:t>
            </w:r>
          </w:p>
        </w:tc>
        <w:tc>
          <w:tcPr>
            <w:tcW w:type="dxa" w:w="1036"/>
            <w:vAlign w:val="top"/>
          </w:tcPr>
          <w:p>
            <w:pPr>
              <w:spacing w:after="40" w:before="0" w:line="259" w:lineRule="auto"/>
            </w:pPr>
            <w:r>
              <w:rPr>
                <w:rFonts w:ascii="Calibri" w:hAnsi="Calibri"/>
                <w:b w:val="0"/>
                <w:i w:val="0"/>
                <w:color w:val="212121"/>
                <w:sz w:val="16"/>
              </w:rPr>
              <w:t>Meat eaters, endemic-area residents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the only complaint — ask about it specifically.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Dietary history</w:t>
            </w:r>
          </w:p>
        </w:tc>
        <w:tc>
          <w:tcPr>
            <w:tcW w:type="dxa" w:w="979"/>
            <w:vAlign w:val="top"/>
          </w:tcPr>
          <w:p>
            <w:pPr>
              <w:spacing w:after="40" w:before="0" w:line="259" w:lineRule="auto"/>
            </w:pPr>
            <w:r>
              <w:rPr>
                <w:rFonts w:ascii="Calibri" w:hAnsi="Calibri"/>
                <w:b w:val="0"/>
                <w:i w:val="0"/>
                <w:color w:val="212121"/>
                <w:sz w:val="16"/>
              </w:rPr>
              <w:t>Raw/undercooked pork or beef intake</w:t>
            </w:r>
          </w:p>
        </w:tc>
        <w:tc>
          <w:tcPr>
            <w:tcW w:type="dxa" w:w="950"/>
            <w:vAlign w:val="top"/>
          </w:tcPr>
          <w:p>
            <w:pPr>
              <w:spacing w:after="40" w:before="0" w:line="259" w:lineRule="auto"/>
            </w:pPr>
            <w:r>
              <w:rPr>
                <w:rFonts w:ascii="Calibri" w:hAnsi="Calibri"/>
                <w:b w:val="0"/>
                <w:i w:val="0"/>
                <w:color w:val="212121"/>
                <w:sz w:val="16"/>
              </w:rPr>
              <w:t>Well-cooked meat only / vegetarian</w:t>
            </w:r>
          </w:p>
        </w:tc>
        <w:tc>
          <w:tcPr>
            <w:tcW w:type="dxa" w:w="950"/>
            <w:vAlign w:val="top"/>
          </w:tcPr>
          <w:p>
            <w:pPr>
              <w:spacing w:after="40" w:before="0" w:line="259" w:lineRule="auto"/>
            </w:pPr>
            <w:r>
              <w:rPr>
                <w:rFonts w:ascii="Calibri" w:hAnsi="Calibri"/>
                <w:b w:val="0"/>
                <w:i w:val="0"/>
                <w:color w:val="212121"/>
                <w:sz w:val="16"/>
              </w:rPr>
              <w:t>Habitual raw or undercooked pork/beef</w:t>
            </w:r>
          </w:p>
        </w:tc>
        <w:tc>
          <w:tcPr>
            <w:tcW w:type="dxa" w:w="1036"/>
            <w:vAlign w:val="top"/>
          </w:tcPr>
          <w:p>
            <w:pPr>
              <w:spacing w:after="40" w:before="0" w:line="259" w:lineRule="auto"/>
            </w:pPr>
            <w:r>
              <w:rPr>
                <w:rFonts w:ascii="Calibri" w:hAnsi="Calibri"/>
                <w:b w:val="0"/>
                <w:i w:val="0"/>
                <w:color w:val="212121"/>
                <w:sz w:val="16"/>
              </w:rPr>
              <w:t>Establishes route and likely species</w:t>
            </w:r>
          </w:p>
        </w:tc>
        <w:tc>
          <w:tcPr>
            <w:tcW w:type="dxa" w:w="1036"/>
            <w:vAlign w:val="top"/>
          </w:tcPr>
          <w:p>
            <w:pPr>
              <w:spacing w:after="40" w:before="0" w:line="259" w:lineRule="auto"/>
            </w:pPr>
            <w:r>
              <w:rPr>
                <w:rFonts w:ascii="Calibri" w:hAnsi="Calibri"/>
                <w:b w:val="0"/>
                <w:i w:val="0"/>
                <w:color w:val="212121"/>
                <w:sz w:val="16"/>
              </w:rPr>
              <w:t>Pork/beef consumers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Risk assessment</w:t>
            </w:r>
          </w:p>
        </w:tc>
        <w:tc>
          <w:tcPr>
            <w:tcW w:type="dxa" w:w="720"/>
            <w:vAlign w:val="top"/>
          </w:tcPr>
          <w:p>
            <w:pPr>
              <w:spacing w:after="40" w:before="0" w:line="259" w:lineRule="auto"/>
            </w:pPr>
            <w:r>
              <w:rPr>
                <w:rFonts w:ascii="Calibri" w:hAnsi="Calibri"/>
                <w:b w:val="0"/>
                <w:i w:val="0"/>
                <w:color w:val="212121"/>
                <w:sz w:val="16"/>
              </w:rPr>
              <w:t>Ask about cured, street and festival/home-slaughtered meat.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Sanitation &amp; exposure history</w:t>
            </w:r>
          </w:p>
        </w:tc>
        <w:tc>
          <w:tcPr>
            <w:tcW w:type="dxa" w:w="979"/>
            <w:vAlign w:val="top"/>
          </w:tcPr>
          <w:p>
            <w:pPr>
              <w:spacing w:after="40" w:before="0" w:line="259" w:lineRule="auto"/>
            </w:pPr>
            <w:r>
              <w:rPr>
                <w:rFonts w:ascii="Calibri" w:hAnsi="Calibri"/>
                <w:b w:val="0"/>
                <w:i w:val="0"/>
                <w:color w:val="212121"/>
                <w:sz w:val="16"/>
              </w:rPr>
              <w:t>Open defecation, pig-rearing, unsafe water, household carrier</w:t>
            </w:r>
          </w:p>
        </w:tc>
        <w:tc>
          <w:tcPr>
            <w:tcW w:type="dxa" w:w="950"/>
            <w:vAlign w:val="top"/>
          </w:tcPr>
          <w:p>
            <w:pPr>
              <w:spacing w:after="40" w:before="0" w:line="259" w:lineRule="auto"/>
            </w:pPr>
            <w:r>
              <w:rPr>
                <w:rFonts w:ascii="Calibri" w:hAnsi="Calibri"/>
                <w:b w:val="0"/>
                <w:i w:val="0"/>
                <w:color w:val="212121"/>
                <w:sz w:val="16"/>
              </w:rPr>
              <w:t>Safe sanitation &amp; water</w:t>
            </w:r>
          </w:p>
        </w:tc>
        <w:tc>
          <w:tcPr>
            <w:tcW w:type="dxa" w:w="950"/>
            <w:vAlign w:val="top"/>
          </w:tcPr>
          <w:p>
            <w:pPr>
              <w:spacing w:after="40" w:before="0" w:line="259" w:lineRule="auto"/>
            </w:pPr>
            <w:r>
              <w:rPr>
                <w:rFonts w:ascii="Calibri" w:hAnsi="Calibri"/>
                <w:b w:val="0"/>
                <w:i w:val="0"/>
                <w:color w:val="212121"/>
                <w:sz w:val="16"/>
              </w:rPr>
              <w:t>Any high-risk exposure present</w:t>
            </w:r>
          </w:p>
        </w:tc>
        <w:tc>
          <w:tcPr>
            <w:tcW w:type="dxa" w:w="1036"/>
            <w:vAlign w:val="top"/>
          </w:tcPr>
          <w:p>
            <w:pPr>
              <w:spacing w:after="40" w:before="0" w:line="259" w:lineRule="auto"/>
            </w:pPr>
            <w:r>
              <w:rPr>
                <w:rFonts w:ascii="Calibri" w:hAnsi="Calibri"/>
                <w:b w:val="0"/>
                <w:i w:val="0"/>
                <w:color w:val="212121"/>
                <w:sz w:val="16"/>
              </w:rPr>
              <w:t>Gauges the cysticercosis risk</w:t>
            </w:r>
          </w:p>
        </w:tc>
        <w:tc>
          <w:tcPr>
            <w:tcW w:type="dxa" w:w="1036"/>
            <w:vAlign w:val="top"/>
          </w:tcPr>
          <w:p>
            <w:pPr>
              <w:spacing w:after="40" w:before="0" w:line="259" w:lineRule="auto"/>
            </w:pPr>
            <w:r>
              <w:rPr>
                <w:rFonts w:ascii="Calibri" w:hAnsi="Calibri"/>
                <w:b w:val="0"/>
                <w:i w:val="0"/>
                <w:color w:val="212121"/>
                <w:sz w:val="16"/>
              </w:rPr>
              <w:t>Rural/peri-urban residents, contacts of carriers</w:t>
            </w:r>
          </w:p>
        </w:tc>
        <w:tc>
          <w:tcPr>
            <w:tcW w:type="dxa" w:w="720"/>
            <w:vAlign w:val="top"/>
          </w:tcPr>
          <w:p>
            <w:pPr>
              <w:spacing w:after="40" w:before="0" w:line="259" w:lineRule="auto"/>
            </w:pPr>
            <w:r>
              <w:rPr>
                <w:rFonts w:ascii="Calibri" w:hAnsi="Calibri"/>
                <w:b w:val="0"/>
                <w:i w:val="0"/>
                <w:color w:val="212121"/>
                <w:sz w:val="16"/>
              </w:rPr>
              <w:t>Hygiene; Water</w:t>
            </w:r>
          </w:p>
        </w:tc>
        <w:tc>
          <w:tcPr>
            <w:tcW w:type="dxa" w:w="720"/>
            <w:vAlign w:val="top"/>
          </w:tcPr>
          <w:p>
            <w:pPr>
              <w:spacing w:after="40" w:before="0" w:line="259" w:lineRule="auto"/>
            </w:pPr>
            <w:r>
              <w:rPr>
                <w:rFonts w:ascii="Calibri" w:hAnsi="Calibri"/>
                <w:b w:val="0"/>
                <w:i w:val="0"/>
                <w:color w:val="212121"/>
                <w:sz w:val="16"/>
              </w:rPr>
              <w:t>Risk assessment</w:t>
            </w:r>
          </w:p>
        </w:tc>
        <w:tc>
          <w:tcPr>
            <w:tcW w:type="dxa" w:w="720"/>
            <w:vAlign w:val="top"/>
          </w:tcPr>
          <w:p>
            <w:pPr>
              <w:spacing w:after="40" w:before="0" w:line="259" w:lineRule="auto"/>
            </w:pPr>
            <w:r>
              <w:rPr>
                <w:rFonts w:ascii="Calibri" w:hAnsi="Calibri"/>
                <w:b w:val="0"/>
                <w:i w:val="0"/>
                <w:color w:val="212121"/>
                <w:sz w:val="16"/>
              </w:rPr>
              <w:t>A household tapeworm carrier is the key risk for NCC.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Neurological screen</w:t>
            </w:r>
          </w:p>
        </w:tc>
        <w:tc>
          <w:tcPr>
            <w:tcW w:type="dxa" w:w="979"/>
            <w:vAlign w:val="top"/>
          </w:tcPr>
          <w:p>
            <w:pPr>
              <w:spacing w:after="40" w:before="0" w:line="259" w:lineRule="auto"/>
            </w:pPr>
            <w:r>
              <w:rPr>
                <w:rFonts w:ascii="Calibri" w:hAnsi="Calibri"/>
                <w:b w:val="0"/>
                <w:i w:val="0"/>
                <w:color w:val="212121"/>
                <w:sz w:val="16"/>
              </w:rPr>
              <w:t>New-onset seizures, chronic headache, focal deficit, visual change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present</w:t>
            </w:r>
          </w:p>
        </w:tc>
        <w:tc>
          <w:tcPr>
            <w:tcW w:type="dxa" w:w="1036"/>
            <w:vAlign w:val="top"/>
          </w:tcPr>
          <w:p>
            <w:pPr>
              <w:spacing w:after="40" w:before="0" w:line="259" w:lineRule="auto"/>
            </w:pPr>
            <w:r>
              <w:rPr>
                <w:rFonts w:ascii="Calibri" w:hAnsi="Calibri"/>
                <w:b w:val="0"/>
                <w:i w:val="0"/>
                <w:color w:val="212121"/>
                <w:sz w:val="16"/>
              </w:rPr>
              <w:t>Flags possible neurocysticercosis</w:t>
            </w:r>
          </w:p>
        </w:tc>
        <w:tc>
          <w:tcPr>
            <w:tcW w:type="dxa" w:w="1036"/>
            <w:vAlign w:val="top"/>
          </w:tcPr>
          <w:p>
            <w:pPr>
              <w:spacing w:after="40" w:before="0" w:line="259" w:lineRule="auto"/>
            </w:pPr>
            <w:r>
              <w:rPr>
                <w:rFonts w:ascii="Calibri" w:hAnsi="Calibri"/>
                <w:b w:val="0"/>
                <w:i w:val="0"/>
                <w:color w:val="212121"/>
                <w:sz w:val="16"/>
              </w:rPr>
              <w:t>Endemic-area patients with neuro symptoms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Do not miss NCC</w:t>
            </w:r>
          </w:p>
        </w:tc>
        <w:tc>
          <w:tcPr>
            <w:tcW w:type="dxa" w:w="720"/>
            <w:vAlign w:val="top"/>
          </w:tcPr>
          <w:p>
            <w:pPr>
              <w:spacing w:after="40" w:before="0" w:line="259" w:lineRule="auto"/>
            </w:pPr>
            <w:r>
              <w:rPr>
                <w:rFonts w:ascii="Calibri" w:hAnsi="Calibri"/>
                <w:b w:val="0"/>
                <w:i w:val="0"/>
                <w:color w:val="212121"/>
                <w:sz w:val="16"/>
              </w:rPr>
              <w:t>New focal seizures in an endemic area = NCC until excluded.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Tenderness, distension, bowel sounds</w:t>
            </w:r>
          </w:p>
        </w:tc>
        <w:tc>
          <w:tcPr>
            <w:tcW w:type="dxa" w:w="950"/>
            <w:vAlign w:val="top"/>
          </w:tcPr>
          <w:p>
            <w:pPr>
              <w:spacing w:after="40" w:before="0" w:line="259" w:lineRule="auto"/>
            </w:pPr>
            <w:r>
              <w:rPr>
                <w:rFonts w:ascii="Calibri" w:hAnsi="Calibri"/>
                <w:b w:val="0"/>
                <w:i w:val="0"/>
                <w:color w:val="212121"/>
                <w:sz w:val="16"/>
              </w:rPr>
              <w:t>Soft, non-tender</w:t>
            </w:r>
          </w:p>
        </w:tc>
        <w:tc>
          <w:tcPr>
            <w:tcW w:type="dxa" w:w="950"/>
            <w:vAlign w:val="top"/>
          </w:tcPr>
          <w:p>
            <w:pPr>
              <w:spacing w:after="40" w:before="0" w:line="259" w:lineRule="auto"/>
            </w:pPr>
            <w:r>
              <w:rPr>
                <w:rFonts w:ascii="Calibri" w:hAnsi="Calibri"/>
                <w:b w:val="0"/>
                <w:i w:val="0"/>
                <w:color w:val="212121"/>
                <w:sz w:val="16"/>
              </w:rPr>
              <w:t>Mild epigastric/peri-umbilical tenderness, bloating</w:t>
            </w:r>
          </w:p>
        </w:tc>
        <w:tc>
          <w:tcPr>
            <w:tcW w:type="dxa" w:w="1036"/>
            <w:vAlign w:val="top"/>
          </w:tcPr>
          <w:p>
            <w:pPr>
              <w:spacing w:after="40" w:before="0" w:line="259" w:lineRule="auto"/>
            </w:pPr>
            <w:r>
              <w:rPr>
                <w:rFonts w:ascii="Calibri" w:hAnsi="Calibri"/>
                <w:b w:val="0"/>
                <w:i w:val="0"/>
                <w:color w:val="212121"/>
                <w:sz w:val="16"/>
              </w:rPr>
              <w:t>Usually unremarkable in taeniasis</w:t>
            </w:r>
          </w:p>
        </w:tc>
        <w:tc>
          <w:tcPr>
            <w:tcW w:type="dxa" w:w="1036"/>
            <w:vAlign w:val="top"/>
          </w:tcPr>
          <w:p>
            <w:pPr>
              <w:spacing w:after="40" w:before="0" w:line="259" w:lineRule="auto"/>
            </w:pPr>
            <w:r>
              <w:rPr>
                <w:rFonts w:ascii="Calibri" w:hAnsi="Calibri"/>
                <w:b w:val="0"/>
                <w:i w:val="0"/>
                <w:color w:val="212121"/>
                <w:sz w:val="16"/>
              </w:rPr>
              <w:t>Symptomatic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Baseline</w:t>
            </w:r>
          </w:p>
        </w:tc>
        <w:tc>
          <w:tcPr>
            <w:tcW w:type="dxa" w:w="720"/>
            <w:vAlign w:val="top"/>
          </w:tcPr>
          <w:p>
            <w:pPr>
              <w:spacing w:after="40" w:before="0" w:line="259" w:lineRule="auto"/>
            </w:pPr>
            <w:r>
              <w:rPr>
                <w:rFonts w:ascii="Calibri" w:hAnsi="Calibri"/>
                <w:b w:val="0"/>
                <w:i w:val="0"/>
                <w:color w:val="212121"/>
                <w:sz w:val="16"/>
              </w:rPr>
              <w:t>Marked findings suggest a rare complication (obstruction).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Skin &amp; subcutaneous examination</w:t>
            </w:r>
          </w:p>
        </w:tc>
        <w:tc>
          <w:tcPr>
            <w:tcW w:type="dxa" w:w="979"/>
            <w:vAlign w:val="top"/>
          </w:tcPr>
          <w:p>
            <w:pPr>
              <w:spacing w:after="40" w:before="0" w:line="259" w:lineRule="auto"/>
            </w:pPr>
            <w:r>
              <w:rPr>
                <w:rFonts w:ascii="Calibri" w:hAnsi="Calibri"/>
                <w:b w:val="0"/>
                <w:i w:val="0"/>
                <w:color w:val="212121"/>
                <w:sz w:val="16"/>
              </w:rPr>
              <w:t>Palpable nodules over trunk/limbs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Firm mobile subcutaneous nodules</w:t>
            </w:r>
          </w:p>
        </w:tc>
        <w:tc>
          <w:tcPr>
            <w:tcW w:type="dxa" w:w="1036"/>
            <w:vAlign w:val="top"/>
          </w:tcPr>
          <w:p>
            <w:pPr>
              <w:spacing w:after="40" w:before="0" w:line="259" w:lineRule="auto"/>
            </w:pPr>
            <w:r>
              <w:rPr>
                <w:rFonts w:ascii="Calibri" w:hAnsi="Calibri"/>
                <w:b w:val="0"/>
                <w:i w:val="0"/>
                <w:color w:val="212121"/>
                <w:sz w:val="16"/>
              </w:rPr>
              <w:t>Subcutaneous/muscular cysticercosis</w:t>
            </w:r>
          </w:p>
        </w:tc>
        <w:tc>
          <w:tcPr>
            <w:tcW w:type="dxa" w:w="1036"/>
            <w:vAlign w:val="top"/>
          </w:tcPr>
          <w:p>
            <w:pPr>
              <w:spacing w:after="40" w:before="0" w:line="259" w:lineRule="auto"/>
            </w:pPr>
            <w:r>
              <w:rPr>
                <w:rFonts w:ascii="Calibri" w:hAnsi="Calibri"/>
                <w:b w:val="0"/>
                <w:i w:val="0"/>
                <w:color w:val="212121"/>
                <w:sz w:val="16"/>
              </w:rPr>
              <w:t>Cysticercosis suspects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Clue to cysticercosis</w:t>
            </w:r>
          </w:p>
        </w:tc>
        <w:tc>
          <w:tcPr>
            <w:tcW w:type="dxa" w:w="720"/>
            <w:vAlign w:val="top"/>
          </w:tcPr>
          <w:p>
            <w:pPr>
              <w:spacing w:after="40" w:before="0" w:line="259" w:lineRule="auto"/>
            </w:pPr>
            <w:r>
              <w:rPr>
                <w:rFonts w:ascii="Calibri" w:hAnsi="Calibri"/>
                <w:b w:val="0"/>
                <w:i w:val="0"/>
                <w:color w:val="212121"/>
                <w:sz w:val="16"/>
              </w:rPr>
              <w:t>Nodules may calcify and become visible on X-ray.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Neuro-ophthalmic examination</w:t>
            </w:r>
          </w:p>
        </w:tc>
        <w:tc>
          <w:tcPr>
            <w:tcW w:type="dxa" w:w="979"/>
            <w:vAlign w:val="top"/>
          </w:tcPr>
          <w:p>
            <w:pPr>
              <w:spacing w:after="40" w:before="0" w:line="259" w:lineRule="auto"/>
            </w:pPr>
            <w:r>
              <w:rPr>
                <w:rFonts w:ascii="Calibri" w:hAnsi="Calibri"/>
                <w:b w:val="0"/>
                <w:i w:val="0"/>
                <w:color w:val="212121"/>
                <w:sz w:val="16"/>
              </w:rPr>
              <w:t>Fundus (papilloedema), focal neurological signs</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Papilloedema or focal deficit</w:t>
            </w:r>
          </w:p>
        </w:tc>
        <w:tc>
          <w:tcPr>
            <w:tcW w:type="dxa" w:w="1036"/>
            <w:vAlign w:val="top"/>
          </w:tcPr>
          <w:p>
            <w:pPr>
              <w:spacing w:after="40" w:before="0" w:line="259" w:lineRule="auto"/>
            </w:pPr>
            <w:r>
              <w:rPr>
                <w:rFonts w:ascii="Calibri" w:hAnsi="Calibri"/>
                <w:b w:val="0"/>
                <w:i w:val="0"/>
                <w:color w:val="212121"/>
                <w:sz w:val="16"/>
              </w:rPr>
              <w:t>Raised ICP / parenchymal NCC</w:t>
            </w:r>
          </w:p>
        </w:tc>
        <w:tc>
          <w:tcPr>
            <w:tcW w:type="dxa" w:w="1036"/>
            <w:vAlign w:val="top"/>
          </w:tcPr>
          <w:p>
            <w:pPr>
              <w:spacing w:after="40" w:before="0" w:line="259" w:lineRule="auto"/>
            </w:pPr>
            <w:r>
              <w:rPr>
                <w:rFonts w:ascii="Calibri" w:hAnsi="Calibri"/>
                <w:b w:val="0"/>
                <w:i w:val="0"/>
                <w:color w:val="212121"/>
                <w:sz w:val="16"/>
              </w:rPr>
              <w:t>Suspected neurocysticercosis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Severity/safety</w:t>
            </w:r>
          </w:p>
        </w:tc>
        <w:tc>
          <w:tcPr>
            <w:tcW w:type="dxa" w:w="720"/>
            <w:vAlign w:val="top"/>
          </w:tcPr>
          <w:p>
            <w:pPr>
              <w:spacing w:after="40" w:before="0" w:line="259" w:lineRule="auto"/>
            </w:pPr>
            <w:r>
              <w:rPr>
                <w:rFonts w:ascii="Calibri" w:hAnsi="Calibri"/>
                <w:b w:val="0"/>
                <w:i w:val="0"/>
                <w:color w:val="212121"/>
                <w:sz w:val="16"/>
              </w:rPr>
              <w:t>Papilloedema warns of hydrocephalus or mass effect.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Passage of proglottids (tapeworm segments)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most commonly noticed feature — whitish motile segments in stool or on underclothing/perianal skin, especially with T. saginata.</w:t>
            </w:r>
          </w:p>
        </w:tc>
      </w:tr>
      <w:tr>
        <w:trPr>
          <w:cantSplit/>
        </w:trPr>
        <w:tc>
          <w:tcPr>
            <w:tcW w:type="dxa" w:w="2304"/>
            <w:vAlign w:val="top"/>
          </w:tcPr>
          <w:p>
            <w:pPr>
              <w:spacing w:after="40" w:before="0" w:line="259" w:lineRule="auto"/>
            </w:pPr>
            <w:r>
              <w:rPr>
                <w:rFonts w:ascii="Calibri" w:hAnsi="Calibri"/>
                <w:b/>
                <w:i w:val="0"/>
                <w:color w:val="212121"/>
                <w:sz w:val="19"/>
              </w:rPr>
              <w:t>Abdominal pain /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Mild epigastric or peri-umbilical cramping from the worm in the small intestine.</w:t>
            </w:r>
          </w:p>
        </w:tc>
      </w:tr>
      <w:tr>
        <w:trPr>
          <w:cantSplit/>
        </w:trPr>
        <w:tc>
          <w:tcPr>
            <w:tcW w:type="dxa" w:w="2304"/>
            <w:vAlign w:val="top"/>
          </w:tcPr>
          <w:p>
            <w:pPr>
              <w:spacing w:after="40" w:before="0" w:line="259" w:lineRule="auto"/>
            </w:pPr>
            <w:r>
              <w:rPr>
                <w:rFonts w:ascii="Calibri" w:hAnsi="Calibri"/>
                <w:b/>
                <w:i w:val="0"/>
                <w:color w:val="212121"/>
                <w:sz w:val="19"/>
              </w:rPr>
              <w:t>Perianal itching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Irritation as motile Taenia saginata proglottids migrate through the anus.</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Non-specific upper-gastrointestinal upset associated with the intestinal worm.</w:t>
            </w:r>
          </w:p>
        </w:tc>
      </w:tr>
      <w:tr>
        <w:trPr>
          <w:cantSplit/>
        </w:trPr>
        <w:tc>
          <w:tcPr>
            <w:tcW w:type="dxa" w:w="2304"/>
            <w:vAlign w:val="top"/>
          </w:tcPr>
          <w:p>
            <w:pPr>
              <w:spacing w:after="40" w:before="0" w:line="259" w:lineRule="auto"/>
            </w:pPr>
            <w:r>
              <w:rPr>
                <w:rFonts w:ascii="Calibri" w:hAnsi="Calibri"/>
                <w:b/>
                <w:i w:val="0"/>
                <w:color w:val="212121"/>
                <w:sz w:val="19"/>
              </w:rPr>
              <w:t>Loss of appetite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appetite; some patients instead report feeling hungrier.</w:t>
            </w:r>
          </w:p>
        </w:tc>
      </w:tr>
      <w:tr>
        <w:trPr>
          <w:cantSplit/>
        </w:trPr>
        <w:tc>
          <w:tcPr>
            <w:tcW w:type="dxa" w:w="2304"/>
            <w:vAlign w:val="top"/>
          </w:tcPr>
          <w:p>
            <w:pPr>
              <w:spacing w:after="40" w:before="0" w:line="259" w:lineRule="auto"/>
            </w:pPr>
            <w:r>
              <w:rPr>
                <w:rFonts w:ascii="Calibri" w:hAnsi="Calibri"/>
                <w:b/>
                <w:i w:val="0"/>
                <w:color w:val="212121"/>
                <w:sz w:val="19"/>
              </w:rPr>
              <w:t>Bloating / indigestion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Flatulence and fullness from disturbed intestinal function.</w:t>
            </w:r>
          </w:p>
        </w:tc>
      </w:tr>
      <w:tr>
        <w:trPr>
          <w:cantSplit/>
        </w:trPr>
        <w:tc>
          <w:tcPr>
            <w:tcW w:type="dxa" w:w="2304"/>
            <w:vAlign w:val="top"/>
          </w:tcPr>
          <w:p>
            <w:pPr>
              <w:spacing w:after="40" w:before="0" w:line="259" w:lineRule="auto"/>
            </w:pPr>
            <w:r>
              <w:rPr>
                <w:rFonts w:ascii="Calibri" w:hAnsi="Calibri"/>
                <w:b/>
                <w:i w:val="0"/>
                <w:color w:val="212121"/>
                <w:sz w:val="19"/>
              </w:rPr>
              <w:t>Increased appetite / hunger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Occasionally patients feel hungrier despite the worm consuming nutrients.</w:t>
            </w:r>
          </w:p>
        </w:tc>
      </w:tr>
      <w:tr>
        <w:trPr>
          <w:cantSplit/>
        </w:trPr>
        <w:tc>
          <w:tcPr>
            <w:tcW w:type="dxa" w:w="2304"/>
            <w:vAlign w:val="top"/>
          </w:tcPr>
          <w:p>
            <w:pPr>
              <w:spacing w:after="40" w:before="0" w:line="259" w:lineRule="auto"/>
            </w:pPr>
            <w:r>
              <w:rPr>
                <w:rFonts w:ascii="Calibri" w:hAnsi="Calibri"/>
                <w:b/>
                <w:i w:val="0"/>
                <w:color w:val="212121"/>
                <w:sz w:val="19"/>
              </w:rPr>
              <w:t>Weight loss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Gradual loss from altered appetite and nutrient competition in heavy or prolonged infection.</w:t>
            </w:r>
          </w:p>
        </w:tc>
      </w:tr>
      <w:tr>
        <w:trPr>
          <w:cantSplit/>
        </w:trPr>
        <w:tc>
          <w:tcPr>
            <w:tcW w:type="dxa" w:w="2304"/>
            <w:vAlign w:val="top"/>
          </w:tcPr>
          <w:p>
            <w:pPr>
              <w:spacing w:after="40" w:before="0" w:line="259" w:lineRule="auto"/>
            </w:pPr>
            <w:r>
              <w:rPr>
                <w:rFonts w:ascii="Calibri" w:hAnsi="Calibri"/>
                <w:b/>
                <w:i w:val="0"/>
                <w:color w:val="212121"/>
                <w:sz w:val="19"/>
              </w:rPr>
              <w:t>Diarrhoea or constipation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Altered bowel habit; either can occur.</w:t>
            </w:r>
          </w:p>
        </w:tc>
      </w:tr>
      <w:tr>
        <w:trPr>
          <w:cantSplit/>
        </w:trPr>
        <w:tc>
          <w:tcPr>
            <w:tcW w:type="dxa" w:w="2304"/>
            <w:vAlign w:val="top"/>
          </w:tcPr>
          <w:p>
            <w:pPr>
              <w:spacing w:after="40" w:before="0" w:line="259" w:lineRule="auto"/>
            </w:pPr>
            <w:r>
              <w:rPr>
                <w:rFonts w:ascii="Calibri" w:hAnsi="Calibri"/>
                <w:b/>
                <w:i w:val="0"/>
                <w:color w:val="212121"/>
                <w:sz w:val="19"/>
              </w:rPr>
              <w:t>Fatigue / weakness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General tiredness, more likely with heavy worm burden or coexisting anaemia/malnutrition.</w:t>
            </w:r>
          </w:p>
        </w:tc>
      </w:tr>
      <w:tr>
        <w:trPr>
          <w:cantSplit/>
        </w:trPr>
        <w:tc>
          <w:tcPr>
            <w:tcW w:type="dxa" w:w="2304"/>
            <w:vAlign w:val="top"/>
          </w:tcPr>
          <w:p>
            <w:pPr>
              <w:spacing w:after="40" w:before="0" w:line="259" w:lineRule="auto"/>
            </w:pPr>
            <w:r>
              <w:rPr>
                <w:rFonts w:ascii="Calibri" w:hAnsi="Calibri"/>
                <w:b/>
                <w:i w:val="0"/>
                <w:color w:val="212121"/>
                <w:sz w:val="19"/>
              </w:rPr>
              <w:t>Seizures (new-onset, often focal)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Due to the larval brain disease (neurocysticercosis) — the commonest and often first manifestation of prior T. solium egg exposure.</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Chronic or raised-pressure headache when cysts lodge in the brain (neurocysticercosis).</w:t>
            </w:r>
          </w:p>
        </w:tc>
      </w:tr>
      <w:tr>
        <w:trPr>
          <w:cantSplit/>
        </w:trPr>
        <w:tc>
          <w:tcPr>
            <w:tcW w:type="dxa" w:w="2304"/>
            <w:vAlign w:val="top"/>
          </w:tcPr>
          <w:p>
            <w:pPr>
              <w:spacing w:after="40" w:before="0" w:line="259" w:lineRule="auto"/>
            </w:pPr>
            <w:r>
              <w:rPr>
                <w:rFonts w:ascii="Calibri" w:hAnsi="Calibri"/>
                <w:b/>
                <w:i w:val="0"/>
                <w:color w:val="212121"/>
                <w:sz w:val="19"/>
              </w:rPr>
              <w:t>Vomiting / visual disturbance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raised intracranial pressure in intraventricular or racemose neurocysticercosis.</w:t>
            </w:r>
          </w:p>
        </w:tc>
      </w:tr>
      <w:tr>
        <w:trPr>
          <w:cantSplit/>
        </w:trPr>
        <w:tc>
          <w:tcPr>
            <w:tcW w:type="dxa" w:w="2304"/>
            <w:vAlign w:val="top"/>
          </w:tcPr>
          <w:p>
            <w:pPr>
              <w:spacing w:after="40" w:before="0" w:line="259" w:lineRule="auto"/>
            </w:pPr>
            <w:r>
              <w:rPr>
                <w:rFonts w:ascii="Calibri" w:hAnsi="Calibri"/>
                <w:b/>
                <w:i w:val="0"/>
                <w:color w:val="212121"/>
                <w:sz w:val="19"/>
              </w:rPr>
              <w:t>Painless subcutaneous lumps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Firm nodules of subcutaneous/muscular cysticercosis, which may later calcify.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Motile proglottids in stool or on perianal skin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Direct visualisation of tapeworm segments on examination of stool or the perianal region.</w:t>
            </w:r>
          </w:p>
        </w:tc>
      </w:tr>
      <w:tr>
        <w:trPr>
          <w:cantSplit/>
        </w:trPr>
        <w:tc>
          <w:tcPr>
            <w:tcW w:type="dxa" w:w="3456"/>
            <w:vAlign w:val="top"/>
          </w:tcPr>
          <w:p>
            <w:pPr>
              <w:spacing w:after="40" w:before="0" w:line="259" w:lineRule="auto"/>
            </w:pPr>
            <w:r>
              <w:rPr>
                <w:rFonts w:ascii="Calibri" w:hAnsi="Calibri"/>
                <w:b/>
                <w:i w:val="0"/>
                <w:color w:val="212121"/>
                <w:sz w:val="19"/>
              </w:rPr>
              <w:t>Unremarkable abdominal examination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Exam is usually normal or shows only mild tenderness in uncomplicated taeniasis.</w:t>
            </w:r>
          </w:p>
        </w:tc>
      </w:tr>
      <w:tr>
        <w:trPr>
          <w:cantSplit/>
        </w:trPr>
        <w:tc>
          <w:tcPr>
            <w:tcW w:type="dxa" w:w="3456"/>
            <w:vAlign w:val="top"/>
          </w:tcPr>
          <w:p>
            <w:pPr>
              <w:spacing w:after="40" w:before="0" w:line="259" w:lineRule="auto"/>
            </w:pPr>
            <w:r>
              <w:rPr>
                <w:rFonts w:ascii="Calibri" w:hAnsi="Calibri"/>
                <w:b/>
                <w:i w:val="0"/>
                <w:color w:val="212121"/>
                <w:sz w:val="19"/>
              </w:rPr>
              <w:t>Firm mobile subcutaneous / intramuscular nodules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Palpable cysticerci; may calcify over time.</w:t>
            </w:r>
          </w:p>
        </w:tc>
      </w:tr>
      <w:tr>
        <w:trPr>
          <w:cantSplit/>
        </w:trPr>
        <w:tc>
          <w:tcPr>
            <w:tcW w:type="dxa" w:w="3456"/>
            <w:vAlign w:val="top"/>
          </w:tcPr>
          <w:p>
            <w:pPr>
              <w:spacing w:after="40" w:before="0" w:line="259" w:lineRule="auto"/>
            </w:pPr>
            <w:r>
              <w:rPr>
                <w:rFonts w:ascii="Calibri" w:hAnsi="Calibri"/>
                <w:b/>
                <w:i w:val="0"/>
                <w:color w:val="212121"/>
                <w:sz w:val="19"/>
              </w:rPr>
              <w:t>Pallor (anaemia)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May accompany heavy or prolonged infection or coexisting nutritional deficiency.</w:t>
            </w:r>
          </w:p>
        </w:tc>
      </w:tr>
      <w:tr>
        <w:trPr>
          <w:cantSplit/>
        </w:trPr>
        <w:tc>
          <w:tcPr>
            <w:tcW w:type="dxa" w:w="3456"/>
            <w:vAlign w:val="top"/>
          </w:tcPr>
          <w:p>
            <w:pPr>
              <w:spacing w:after="40" w:before="0" w:line="259" w:lineRule="auto"/>
            </w:pPr>
            <w:r>
              <w:rPr>
                <w:rFonts w:ascii="Calibri" w:hAnsi="Calibri"/>
                <w:b/>
                <w:i w:val="0"/>
                <w:color w:val="212121"/>
                <w:sz w:val="19"/>
              </w:rPr>
              <w:t>Low BMI / visible weight loss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Seen in chronic heavy infection.</w:t>
            </w:r>
          </w:p>
        </w:tc>
      </w:tr>
      <w:tr>
        <w:trPr>
          <w:cantSplit/>
        </w:trPr>
        <w:tc>
          <w:tcPr>
            <w:tcW w:type="dxa" w:w="3456"/>
            <w:vAlign w:val="top"/>
          </w:tcPr>
          <w:p>
            <w:pPr>
              <w:spacing w:after="40" w:before="0" w:line="259" w:lineRule="auto"/>
            </w:pPr>
            <w:r>
              <w:rPr>
                <w:rFonts w:ascii="Calibri" w:hAnsi="Calibri"/>
                <w:b/>
                <w:i w:val="0"/>
                <w:color w:val="212121"/>
                <w:sz w:val="19"/>
              </w:rPr>
              <w:t>Witnessed seizure / post-ictal state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Focal or generalised seizure due to neurocysticercosis.</w:t>
            </w:r>
          </w:p>
        </w:tc>
      </w:tr>
      <w:tr>
        <w:trPr>
          <w:cantSplit/>
        </w:trPr>
        <w:tc>
          <w:tcPr>
            <w:tcW w:type="dxa" w:w="3456"/>
            <w:vAlign w:val="top"/>
          </w:tcPr>
          <w:p>
            <w:pPr>
              <w:spacing w:after="40" w:before="0" w:line="259" w:lineRule="auto"/>
            </w:pPr>
            <w:r>
              <w:rPr>
                <w:rFonts w:ascii="Calibri" w:hAnsi="Calibri"/>
                <w:b/>
                <w:i w:val="0"/>
                <w:color w:val="212121"/>
                <w:sz w:val="19"/>
              </w:rPr>
              <w:t>Focal neurological deficit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a parenchymal brain cyst in neurocysticercosis.</w:t>
            </w:r>
          </w:p>
        </w:tc>
      </w:tr>
      <w:tr>
        <w:trPr>
          <w:cantSplit/>
        </w:trPr>
        <w:tc>
          <w:tcPr>
            <w:tcW w:type="dxa" w:w="3456"/>
            <w:vAlign w:val="top"/>
          </w:tcPr>
          <w:p>
            <w:pPr>
              <w:spacing w:after="40" w:before="0" w:line="259" w:lineRule="auto"/>
            </w:pPr>
            <w:r>
              <w:rPr>
                <w:rFonts w:ascii="Calibri" w:hAnsi="Calibri"/>
                <w:b/>
                <w:i w:val="0"/>
                <w:color w:val="212121"/>
                <w:sz w:val="19"/>
              </w:rPr>
              <w:t>Papilloedema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 of raised intracranial pressure (intraventricular/racemose NCC with hydrocephalus).</w:t>
            </w:r>
          </w:p>
        </w:tc>
      </w:tr>
      <w:tr>
        <w:trPr>
          <w:cantSplit/>
        </w:trPr>
        <w:tc>
          <w:tcPr>
            <w:tcW w:type="dxa" w:w="3456"/>
            <w:vAlign w:val="top"/>
          </w:tcPr>
          <w:p>
            <w:pPr>
              <w:spacing w:after="40" w:before="0" w:line="259" w:lineRule="auto"/>
            </w:pPr>
            <w:r>
              <w:rPr>
                <w:rFonts w:ascii="Calibri" w:hAnsi="Calibri"/>
                <w:b/>
                <w:i w:val="0"/>
                <w:color w:val="212121"/>
                <w:sz w:val="19"/>
              </w:rPr>
              <w:t>Intra-ocular cyst / visual field defect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Ocular cysticercosis on fundoscopy or ocular ultrasound.</w:t>
            </w:r>
          </w:p>
        </w:tc>
      </w:tr>
      <w:tr>
        <w:trPr>
          <w:cantSplit/>
        </w:trPr>
        <w:tc>
          <w:tcPr>
            <w:tcW w:type="dxa" w:w="3456"/>
            <w:vAlign w:val="top"/>
          </w:tcPr>
          <w:p>
            <w:pPr>
              <w:spacing w:after="40" w:before="0" w:line="259" w:lineRule="auto"/>
            </w:pPr>
            <w:r>
              <w:rPr>
                <w:rFonts w:ascii="Calibri" w:hAnsi="Calibri"/>
                <w:b/>
                <w:i w:val="0"/>
                <w:color w:val="212121"/>
                <w:sz w:val="19"/>
              </w:rPr>
              <w:t>Soft-tissue 'rice-grain' calcifications on X-ray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Old calcified cysticerci in muscle.</w:t>
            </w:r>
          </w:p>
        </w:tc>
      </w:tr>
      <w:tr>
        <w:trPr>
          <w:cantSplit/>
        </w:trPr>
        <w:tc>
          <w:tcPr>
            <w:tcW w:type="dxa" w:w="3456"/>
            <w:vAlign w:val="top"/>
          </w:tcPr>
          <w:p>
            <w:pPr>
              <w:spacing w:after="40" w:before="0" w:line="259" w:lineRule="auto"/>
            </w:pPr>
            <w:r>
              <w:rPr>
                <w:rFonts w:ascii="Calibri" w:hAnsi="Calibri"/>
                <w:b/>
                <w:i w:val="0"/>
                <w:color w:val="212121"/>
                <w:sz w:val="19"/>
              </w:rPr>
              <w:t>Mild peripheral eosinophilia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Non-specific and frequently absent, so not a reliable marker.</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Nutrient competition and mild malabsorption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abdominal discomfort and dyspepsia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Perianal irritation from migrating proglottids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Rare mechanical events: appendicular, biliary or pancreatic-duct obstruction by a migrating segment, or intestinal obstruction with a heavy Taenia saginata burden</w:t>
            </w:r>
          </w:p>
        </w:tc>
        <w:tc>
          <w:tcPr>
            <w:tcW w:type="dxa" w:w="2980"/>
            <w:vAlign w:val="top"/>
          </w:tcPr>
          <w:p>
            <w:pPr>
              <w:spacing w:after="40" w:before="0" w:line="259" w:lineRule="auto"/>
            </w:pPr>
            <w:r>
              <w:rPr>
                <w:rFonts w:ascii="Calibri" w:hAnsi="Calibri"/>
                <w:b w:val="0"/>
                <w:i w:val="0"/>
                <w:color w:val="212121"/>
                <w:sz w:val="19"/>
              </w:rPr>
              <w:t>Direct effects of the adult worm in the gut — usually mild and self-limited once the worm is cleared.</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Human cysticercosis from ingested Taenia solium eggs (auto-infection or faecal–oral)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Neurocysticercosis — parenchymal, subarachnoid/racemose, intraventricular or spinal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Subcutaneous and intramuscular cysticercosis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Ocular cysticercosis</w:t>
            </w:r>
          </w:p>
        </w:tc>
        <w:tc>
          <w:tcPr>
            <w:tcW w:type="dxa" w:w="2980"/>
            <w:vAlign w:val="top"/>
          </w:tcPr>
          <w:p>
            <w:pPr>
              <w:spacing w:after="40" w:before="0" w:line="259" w:lineRule="auto"/>
            </w:pPr>
            <w:r>
              <w:rPr>
                <w:rFonts w:ascii="Calibri" w:hAnsi="Calibri"/>
                <w:b w:val="0"/>
                <w:i w:val="0"/>
                <w:color w:val="212121"/>
                <w:sz w:val="19"/>
              </w:rPr>
              <w:t>Larval tissue invasion — the serious consequence unique to T. solium, not caused by T. saginata or T. asiatica.</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epilepsy and recurrent seizures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Hydrocephalus with raised intracranial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meningitis/arachnoiditis and cysticercotic vasculitis leading to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Vision loss from ocular cysticercosis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Cognitive/psychiatric impairment and social stigma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and, rarely, death</w:t>
            </w:r>
          </w:p>
        </w:tc>
        <w:tc>
          <w:tcPr>
            <w:tcW w:type="dxa" w:w="2980"/>
            <w:vAlign w:val="top"/>
          </w:tcPr>
          <w:p>
            <w:pPr>
              <w:spacing w:after="40" w:before="0" w:line="259" w:lineRule="auto"/>
            </w:pPr>
            <w:r>
              <w:rPr>
                <w:rFonts w:ascii="Calibri" w:hAnsi="Calibri"/>
                <w:b w:val="0"/>
                <w:i w:val="0"/>
                <w:color w:val="212121"/>
                <w:sz w:val="19"/>
              </w:rPr>
              <w:t>Irreversible, disabling outcomes of long-standing or heavy neurocysticercosis.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Neurocysticercosis (NCC)</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Larval T. solium cysts in the brain — the principal serious association of pork-tapeworm carriage and a leading cause of acquired epilepsy.</w:t>
            </w:r>
          </w:p>
        </w:tc>
      </w:tr>
      <w:tr>
        <w:trPr>
          <w:cantSplit/>
        </w:trPr>
        <w:tc>
          <w:tcPr>
            <w:tcW w:type="dxa" w:w="2232"/>
            <w:vAlign w:val="top"/>
          </w:tcPr>
          <w:p>
            <w:pPr>
              <w:spacing w:after="40" w:before="0" w:line="259" w:lineRule="auto"/>
            </w:pPr>
            <w:r>
              <w:rPr>
                <w:rFonts w:ascii="Calibri" w:hAnsi="Calibri"/>
                <w:b/>
                <w:i w:val="0"/>
                <w:color w:val="212121"/>
                <w:sz w:val="19"/>
              </w:rPr>
              <w:t>Epilepsy / seizure disorder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 T. solium-endemic areas a large share of acquired epilepsy is attributable to neurocysticercosis.</w:t>
            </w:r>
          </w:p>
          <w:p>
            <w:pPr>
              <w:spacing w:after="40" w:before="0" w:line="259" w:lineRule="auto"/>
            </w:pPr>
            <w:r>
              <w:rPr>
                <w:rFonts w:ascii="Calibri" w:hAnsi="Calibri"/>
                <w:b/>
                <w:i w:val="0"/>
                <w:color w:val="212121"/>
                <w:sz w:val="19"/>
              </w:rPr>
              <w:t>~30% (up to 70% in high-risk communities)</w:t>
            </w:r>
          </w:p>
        </w:tc>
      </w:tr>
      <w:tr>
        <w:trPr>
          <w:cantSplit/>
        </w:trPr>
        <w:tc>
          <w:tcPr>
            <w:tcW w:type="dxa" w:w="2232"/>
            <w:vAlign w:val="top"/>
          </w:tcPr>
          <w:p>
            <w:pPr>
              <w:spacing w:after="40" w:before="0" w:line="259" w:lineRule="auto"/>
            </w:pPr>
            <w:r>
              <w:rPr>
                <w:rFonts w:ascii="Calibri" w:hAnsi="Calibri"/>
                <w:b/>
                <w:i w:val="0"/>
                <w:color w:val="212121"/>
                <w:sz w:val="19"/>
              </w:rPr>
              <w:t>Hydrocephalus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From intraventricular or subarachnoid NCC obstructing cerebrospinal-fluid flow.</w:t>
            </w:r>
          </w:p>
        </w:tc>
      </w:tr>
      <w:tr>
        <w:trPr>
          <w:cantSplit/>
        </w:trPr>
        <w:tc>
          <w:tcPr>
            <w:tcW w:type="dxa" w:w="2232"/>
            <w:vAlign w:val="top"/>
          </w:tcPr>
          <w:p>
            <w:pPr>
              <w:spacing w:after="40" w:before="0" w:line="259" w:lineRule="auto"/>
            </w:pPr>
            <w:r>
              <w:rPr>
                <w:rFonts w:ascii="Calibri" w:hAnsi="Calibri"/>
                <w:b/>
                <w:i w:val="0"/>
                <w:color w:val="212121"/>
                <w:sz w:val="19"/>
              </w:rPr>
              <w:t>Subcutaneous &amp; muscular cysticercosis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Palpable or calcified tissue cysts that may coexist with, or occur without, neural disease.</w:t>
            </w:r>
          </w:p>
        </w:tc>
      </w:tr>
      <w:tr>
        <w:trPr>
          <w:cantSplit/>
        </w:trPr>
        <w:tc>
          <w:tcPr>
            <w:tcW w:type="dxa" w:w="2232"/>
            <w:vAlign w:val="top"/>
          </w:tcPr>
          <w:p>
            <w:pPr>
              <w:spacing w:after="40" w:before="0" w:line="259" w:lineRule="auto"/>
            </w:pPr>
            <w:r>
              <w:rPr>
                <w:rFonts w:ascii="Calibri" w:hAnsi="Calibri"/>
                <w:b/>
                <w:i w:val="0"/>
                <w:color w:val="212121"/>
                <w:sz w:val="19"/>
              </w:rPr>
              <w:t>Ocular cysticercosis</w:t>
            </w:r>
          </w:p>
        </w:tc>
        <w:tc>
          <w:tcPr>
            <w:tcW w:type="dxa" w:w="2520"/>
            <w:vAlign w:val="top"/>
          </w:tcPr>
          <w:p>
            <w:pPr>
              <w:spacing w:after="40" w:before="0" w:line="259" w:lineRule="auto"/>
            </w:pPr>
            <w:r>
              <w:rPr>
                <w:rFonts w:ascii="Calibri" w:hAnsi="Calibri"/>
                <w:b w:val="0"/>
                <w:i w:val="0"/>
                <w:color w:val="212121"/>
                <w:sz w:val="18"/>
              </w:rPr>
              <w:t>Treatment Interaction</w:t>
            </w:r>
          </w:p>
        </w:tc>
        <w:tc>
          <w:tcPr>
            <w:tcW w:type="dxa" w:w="4852"/>
            <w:vAlign w:val="top"/>
          </w:tcPr>
          <w:p>
            <w:pPr>
              <w:spacing w:after="40" w:before="0" w:line="259" w:lineRule="auto"/>
            </w:pPr>
            <w:r>
              <w:rPr>
                <w:rFonts w:ascii="Calibri" w:hAnsi="Calibri"/>
                <w:b w:val="0"/>
                <w:i w:val="0"/>
                <w:color w:val="212121"/>
                <w:sz w:val="19"/>
              </w:rPr>
              <w:t>Intra-ocular larvae threatening vision; must be excluded before anthelmintic therapy.</w:t>
            </w:r>
          </w:p>
        </w:tc>
      </w:tr>
      <w:tr>
        <w:trPr>
          <w:cantSplit/>
        </w:trPr>
        <w:tc>
          <w:tcPr>
            <w:tcW w:type="dxa" w:w="2232"/>
            <w:vAlign w:val="top"/>
          </w:tcPr>
          <w:p>
            <w:pPr>
              <w:spacing w:after="40" w:before="0" w:line="259" w:lineRule="auto"/>
            </w:pPr>
            <w:r>
              <w:rPr>
                <w:rFonts w:ascii="Calibri" w:hAnsi="Calibri"/>
                <w:b/>
                <w:i w:val="0"/>
                <w:color w:val="212121"/>
                <w:sz w:val="19"/>
              </w:rPr>
              <w:t>Iron-deficiency anaemia / malnutrition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From nutrient competition, reduced appetite and frequent coexisting soil-transmitted helminth infection.</w:t>
            </w:r>
          </w:p>
        </w:tc>
      </w:tr>
      <w:tr>
        <w:trPr>
          <w:cantSplit/>
        </w:trPr>
        <w:tc>
          <w:tcPr>
            <w:tcW w:type="dxa" w:w="2232"/>
            <w:vAlign w:val="top"/>
          </w:tcPr>
          <w:p>
            <w:pPr>
              <w:spacing w:after="40" w:before="0" w:line="259" w:lineRule="auto"/>
            </w:pPr>
            <w:r>
              <w:rPr>
                <w:rFonts w:ascii="Calibri" w:hAnsi="Calibri"/>
                <w:b/>
                <w:i w:val="0"/>
                <w:color w:val="212121"/>
                <w:sz w:val="19"/>
              </w:rPr>
              <w:t>Soil-transmitted helminth co-infection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Ascaris, hookworm and Trichuris share the faecal–oral / poor-sanitation risk and are common in the same populations.</w:t>
            </w:r>
          </w:p>
        </w:tc>
      </w:tr>
      <w:tr>
        <w:trPr>
          <w:cantSplit/>
        </w:trPr>
        <w:tc>
          <w:tcPr>
            <w:tcW w:type="dxa" w:w="2232"/>
            <w:vAlign w:val="top"/>
          </w:tcPr>
          <w:p>
            <w:pPr>
              <w:spacing w:after="40" w:before="0" w:line="259" w:lineRule="auto"/>
            </w:pPr>
            <w:r>
              <w:rPr>
                <w:rFonts w:ascii="Calibri" w:hAnsi="Calibri"/>
                <w:b/>
                <w:i w:val="0"/>
                <w:color w:val="212121"/>
                <w:sz w:val="19"/>
              </w:rPr>
              <w:t>Depression, anxiety &amp; social stigma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Psychosocial burden of chronic neurocysticercosis-related epilepsy.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the two routes: eating undercooked pork/beef gives the gut worm, while swallowing its eggs — from a carrier's faeces, dirty hands, food or water — causes brain cysts (neurocysticercosis).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all pork and beef thoroughly until no pink remains, or freeze meat well before any raw/cured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with soap after using the toilet and before preparing or eating food; wash raw vegetables and fruit in safe water.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proper toilet and end open defecation; keep pigs penned and away from human waste.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warning signs — white moving segments in stool, and especially new seizures or persistent headache — and seek prompt testing.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every diagnosed tapeworm carrier is treated and close household contacts are screened to prevent cysticercosis clusters.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community members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Pork/beef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Pig-rearing &amp; rural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Contacts of a known carrier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handlers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general fitness and a healthy weight to support immunity and recovery — prevention depends mainly on food safety and hygiene, not exercise.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Anyone with neurocysticercosis-related epilepsy should stay active but choose seizure-safe activities (avoid unsupervised swimming, heights or dangerous machinery until seizures are controlled).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normal activity after successful deworming; intestinal taeniasis alone imposes no long-term activity restriction.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NCC/epilepsy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pork and beef to a safe core temperature throughout (no pink centre); use a thermometer for large joints.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eating raw, cured or smoked meat, freeze it well below −10°C for several days first to kill any cysts.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Buy meat that has been inspected and passed by a regulated abattoir; avoid backyard-slaughtered, uninspected pork.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salad leaves, herbs and fruit in clean water, since eggs can contaminate produce irrigated or fertilised with untreated waste.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taste raw meat or marinade while cooking, and keep raw meat separate from ready-to-eat food.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Pork/beef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Street-food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Home cooks &amp; butchers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residents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the prescribed single-dose anthelmintic (praziquantel or niclosamide) exactly as directed; a light meal aids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and eat normally after treatment; confirm cure by checking that no further segments or eggs are passed.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anaemia and nutritional deficiency with an iron- and protein-adequate diet during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neurocysticercosis, follow the specialist plan (albendazole/praziquantel with corticosteroids and anti-seizure medicines) — never self-treat brain cysts.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Confirmed taeniasis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Malnourished/anaemic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NCC patients under specialist care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Hygiene</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thoroughly with soap and safe water after defecation, after handling animals or raw meat, and before eating or preparing food.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and maintain a proper latrine; end open defecation to stop environmental egg contamination.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Drink and cook with boiled, filtered or treated water in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pigs penned away from human faeces and support community sanitation and meat-inspection programmes.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known tapeworm carriers are treated and practise strict hand hygiene to protect the household from cysticercosis.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Rural/pig-rearing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handlers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Carriers &amp; their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residents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routine during recovery to support overall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neurocysticercosis-related epilepsy, avoid sleep deprivation and shift-work disruption, as poor sleep lowers the seizure threshold.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NCC/epilepsy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Smoking does not cause tapeworm, but avoiding it supports general and vascular health — important if neurocysticercosis has caused seizures or stroke.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NCC-related epilepsy should avoid tobacco and other triggers that can worsen seizure control.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NCC/epilepsy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around the time of anthelmintic treatment to reduce drowsiness and gastrointestinal side-effects.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neurocysticercosis-related epilepsy, limit or avoid alcohol, which lowers the seizure threshold and interacts with anti-seizure medication.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NCC/epilepsy patients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reassurance — intestinal tapeworm is readily cured with a single dose of medicine.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counselling and community support for neurocysticercosis-related epilepsy to reduce stigma, anxiety and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or anxiety in patients with chronic seizures, and involve the family in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NCC/epilepsy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 carers</w:t>
            </w:r>
          </w:p>
        </w:tc>
        <w:tc>
          <w:tcPr>
            <w:tcW w:type="dxa" w:w="1036"/>
            <w:vAlign w:val="top"/>
          </w:tcPr>
          <w:p>
            <w:pPr>
              <w:spacing w:after="40" w:before="0" w:line="259" w:lineRule="auto"/>
            </w:pPr>
            <w:r>
              <w:rPr>
                <w:rFonts w:ascii="Calibri" w:hAnsi="Calibri"/>
                <w:b w:val="0"/>
                <w:i w:val="0"/>
                <w:color w:val="212121"/>
                <w:sz w:val="19"/>
              </w:rPr>
              <w:t>Low</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8929415/" TargetMode="External"/><Relationship Id="rId10" Type="http://schemas.openxmlformats.org/officeDocument/2006/relationships/hyperlink" Target="https://www.who.int/news-room/fact-sheets/detail/taeniasis-cysticercosis" TargetMode="External"/><Relationship Id="rId11" Type="http://schemas.openxmlformats.org/officeDocument/2006/relationships/hyperlink" Target="https://pubmed.ncbi.nlm.nih.gov/37076247/" TargetMode="External"/><Relationship Id="rId12" Type="http://schemas.openxmlformats.org/officeDocument/2006/relationships/hyperlink" Target="https://pubmed.ncbi.nlm.nih.gov/22702323/" TargetMode="External"/><Relationship Id="rId13" Type="http://schemas.openxmlformats.org/officeDocument/2006/relationships/hyperlink" Target="https://pubmed.ncbi.nlm.nih.gov/12781378/" TargetMode="External"/><Relationship Id="rId14" Type="http://schemas.openxmlformats.org/officeDocument/2006/relationships/hyperlink" Target="https://www.cdc.gov/cysticercosis/about/index.html" TargetMode="External"/><Relationship Id="rId15" Type="http://schemas.openxmlformats.org/officeDocument/2006/relationships/hyperlink" Target="https://pubmed.ncbi.nlm.nih.gov/30439944/" TargetMode="External"/><Relationship Id="rId16" Type="http://schemas.openxmlformats.org/officeDocument/2006/relationships/hyperlink" Target="https://www.cdc.gov/taeniasis/abou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