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Hydatid Disease (Echinococcosis)</w:t>
      </w:r>
    </w:p>
    <w:p>
      <w:pPr>
        <w:spacing w:before="0" w:after="160"/>
      </w:pPr>
      <w:r>
        <w:rPr>
          <w:rFonts w:ascii="Calibri" w:hAnsi="Calibri"/>
          <w:b/>
          <w:i w:val="0"/>
          <w:color w:val="212121"/>
          <w:sz w:val="22"/>
        </w:rPr>
        <w:t xml:space="preserve">AKA </w:t>
      </w:r>
      <w:r>
        <w:rPr>
          <w:rFonts w:ascii="Calibri" w:hAnsi="Calibri"/>
          <w:b w:val="0"/>
          <w:i w:val="0"/>
          <w:color w:val="212121"/>
          <w:sz w:val="22"/>
        </w:rPr>
        <w:t>i.e., Hydatidosis, Cystic Echinococcosis (CE), Hydatid Cyst Disease, Echinococcal Disease, Dog-tapeworm Cyst Disease</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Hydatid disease is a chronic zoonotic parasitic infection caused by the larval (metacestode) stage of Echinococcus tapeworms, most commonly Echinococcus granulosus, which forms slowly enlarging fluid-filled cysts predominantly in the liver and lungs. Humans are accidental intermediate hosts, infected by ingesting microscopic parasite eggs shed in the faeces of definitive hosts (mainly dogs). Cysts grow silently over many years and may stay asymptomatic until they enlarge, compress adjacent structures, become secondarily infected, or rupture, potentially triggering anaphylaxis and secondary dissemination.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Hydatid disease (cystic echinococcosis) is endemic throughout India and remains an important, frequently under-reported cause of surgical hepatobiliary and pulmonary disease, especially among sheep-, goat- and cattle-rearing pastoral and farming communities of Jammu &amp; Kashmir, Himachal Pradesh, Punjab, Rajasthan, Madhya Pradesh, Andhra Pradesh, Tamil Nadu and Karnataka. Because it is not a notifiable disease, reliable nationwide figures are lacking, but Indian hospital surgical series and human seroprevalence studies (documented across North India from 2004 onward) consistently identify it as a common cystic liver lesion in endemic districts, and it is recognised as a source of substantial livestock and human economic loss in India. Globally, WHO estimates that more than one million people are living with echinococcosis at any given time, that it causes about 871,000 disability-adjusted life-years and roughly US$3 billion in costs each year, and that human incidence can exceed 50 per 100,000 person-years in highly endemic pastoral regions.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Hydatid disease is diagnosed by combining imaging (the mainstay) with serology and an epidemiological exposure history; blind percutaneous aspiration is avoided as a first diagnostic step because cyst-fluid leak can provoke anaphylaxis and seed secondary disease: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abdominal ultrasonography is the first-line investigation, showing characteristic features (cyst wall, daughter cysts, hydatid sand, detached membranes / 'water-lily' sign) and enabling WHO-IWGE staging (CL, CE1-CE5);</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CT and MRI define cyst number, size, anatomical relations and complications (biliary or vascular communication, extra-abdominal disease) and are essential for surgical planning;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chest radiograph and CT thorax detect pulmonary cysts, which may show a 'water-lily', 'meniscus' or 'crescent' sign when complicated;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serology (ELISA and indirect haemagglutination for anti-Echinococcus IgG, with confirmatory immunoblot) supports the diagnosis, though sensitivity is lower for lung, splenic and calcified or dead cysts;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peripheral eosinophilia may be present (especially after cyst leakage) but is neither sensitive nor specific;</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demonstration of protoscolices, hooklets or parasite antigen in aspirated fluid or a surgical specimen is confirmatory (the Casoni intradermal test is now obsolete and no longer recommended).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Echinococcosis is classified by species (which determines the disease form) and, for cystic disease, by the WHO Informal Working Group on Echinococcosis (WHO-IWGE) ultrasound stages that guide management:</w:t>
      </w:r>
    </w:p>
    <w:p>
      <w:pPr>
        <w:spacing w:before="0" w:after="80"/>
      </w:pPr>
      <w:r>
        <w:rPr>
          <w:rFonts w:ascii="Calibri" w:hAnsi="Calibri"/>
          <w:b w:val="0"/>
          <w:i w:val="0"/>
          <w:color w:val="212121"/>
          <w:sz w:val="21"/>
        </w:rPr>
        <w:t>(1) Cystic echinococcosis (CE / hydatidosis), caused by Echinococcus granulosus sensu lato, is by far the commonest form in India, producing unilocular, well-defined fluid-filled cysts, most often in the liver;</w:t>
      </w:r>
    </w:p>
    <w:p>
      <w:pPr>
        <w:spacing w:before="0" w:after="80"/>
      </w:pPr>
      <w:r>
        <w:rPr>
          <w:rFonts w:ascii="Calibri" w:hAnsi="Calibri"/>
          <w:b w:val="0"/>
          <w:i w:val="0"/>
          <w:color w:val="212121"/>
          <w:sz w:val="21"/>
        </w:rPr>
        <w:t>(2) Alveolar echinococcosis (AE), caused by E. multilocularis, is a rarer but far more aggressive, tumour-like infiltrative hepatic disease of the northern hemisphere that behaves like a malignancy and can be fatal if untreated;</w:t>
      </w:r>
    </w:p>
    <w:p>
      <w:pPr>
        <w:spacing w:before="0" w:after="80"/>
      </w:pPr>
      <w:r>
        <w:rPr>
          <w:rFonts w:ascii="Calibri" w:hAnsi="Calibri"/>
          <w:b w:val="0"/>
          <w:i w:val="0"/>
          <w:color w:val="212121"/>
          <w:sz w:val="21"/>
        </w:rPr>
        <w:t>(3) Neotropical (polycystic and unicystic) echinococcosis, caused by E. vogeli and E. oligarthrus, is confined to Central and South America;</w:t>
      </w:r>
    </w:p>
    <w:p>
      <w:pPr>
        <w:spacing w:before="0" w:after="80"/>
      </w:pPr>
      <w:r>
        <w:rPr>
          <w:rFonts w:ascii="Calibri" w:hAnsi="Calibri"/>
          <w:b w:val="0"/>
          <w:i w:val="0"/>
          <w:color w:val="212121"/>
          <w:sz w:val="21"/>
        </w:rPr>
        <w:t>(4) WHO-IWGE ultrasound stages for CE: CL (undifferentiated cystic lesion); CE1 and CE2 are active (CE1 unilocular with hydatid sand, CE2 multivesicular with daughter cysts); CE3a and CE3b are transitional (detached membranes or daughter cysts within a solid matrix); CE4 and CE5 are inactive or degenerated (heterogeneous or calcified) - the stage drives the 'watch-and-wait' versus intervention decision.</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Ingestion of Echinococcus eggs: The necessary cause - faecal-oral transmission of microscopic eggs shed by infected dogs via contaminated food, water, soil, or direct contact; eggs are immediately infective.</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Close contact with dogs: Ownership of or proximity to dogs (especially unwormed farm and stray dogs fed raw offal), which are the definitive host, is the dominant risk factor.</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Livestock rearing and home slaughter: Sheep, goats and cattle act as intermediate hosts; feeding infected viscera to dogs perpetuates the parasite cycle.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Rural / pastoral occupation and poor hygiene: Farming, shepherding, abattoir and butchery work and inadequate hand-washing increase the chance of egg ingestion.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Environmental contamination: Eggs survive for months in soil and water; use of untreated water and consumption of unwashed raw vegetables act as vehicles.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Host factors: The parasite establishes in nearly all exposed humans; cyst site and growth rate are influenced by host immunity, but there is no strong single-gene predisposition.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(20-50 years)</w:t>
            </w:r>
          </w:p>
        </w:tc>
        <w:tc>
          <w:tcPr>
            <w:tcW w:type="dxa" w:w="4276"/>
            <w:vAlign w:val="top"/>
          </w:tcPr>
          <w:p>
            <w:pPr>
              <w:spacing w:after="60" w:line="259" w:lineRule="auto"/>
            </w:pPr>
            <w:r>
              <w:rPr>
                <w:rFonts w:ascii="Calibri" w:hAnsi="Calibri"/>
                <w:b w:val="0"/>
                <w:i w:val="0"/>
                <w:color w:val="212121"/>
                <w:sz w:val="19"/>
              </w:rPr>
              <w:t>Cysts acquired in childhood grow silently at roughly 1-5 mm/year, so most symptomatic disease surfaces in working-age adults when a cyst finally enlarges enough to cause mass effect.</w:t>
            </w:r>
          </w:p>
          <w:p>
            <w:pPr>
              <w:spacing w:after="40" w:before="60" w:line="259" w:lineRule="auto"/>
            </w:pPr>
            <w:r>
              <w:rPr>
                <w:rFonts w:ascii="Calibri" w:hAnsi="Calibri"/>
                <w:b w:val="0"/>
                <w:i w:val="0"/>
                <w:color w:val="212121"/>
                <w:sz w:val="19"/>
              </w:rPr>
              <w:t>Echinococcosis affects more than one million people worldwide at any given time, most diagnosed in adulthood after years of silent cyst growth.</w:t>
            </w:r>
          </w:p>
          <w:p>
            <w:pPr>
              <w:spacing w:after="40" w:line="252" w:lineRule="auto"/>
            </w:pPr>
            <w:hyperlink r:id="rId9">
              <w:r>
                <w:rPr>
                  <w:rFonts w:ascii="Calibri" w:hAnsi="Calibri" w:cs="Calibri"/>
                  <w:sz w:val="18"/>
                  <w:color w:val="1155CC"/>
                  <w:u w:val="single"/>
                </w:rPr>
                <w:t xml:space="preserve">who.int — echinococcosis fact sheet</w:t>
              </w:r>
            </w:hyperlink>
          </w:p>
          <w:p>
            <w:pPr>
              <w:spacing w:before="60" w:after="40"/>
            </w:pPr>
            <w:r>
              <w:rPr>
                <w:rFonts w:ascii="Calibri" w:hAnsi="Calibri"/>
                <w:b w:val="0"/>
                <w:i w:val="0"/>
                <w:color w:val="5A5A5A"/>
                <w:sz w:val="18"/>
              </w:rPr>
              <w:t>#hydatid  #echinococcus  #livercyst  #zoonosis  #silentgrowth</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(&gt;60 years)</w:t>
            </w:r>
          </w:p>
        </w:tc>
        <w:tc>
          <w:tcPr>
            <w:tcW w:type="dxa" w:w="4276"/>
            <w:vAlign w:val="top"/>
          </w:tcPr>
          <w:p>
            <w:pPr>
              <w:spacing w:after="60" w:line="259" w:lineRule="auto"/>
            </w:pPr>
            <w:r>
              <w:rPr>
                <w:rFonts w:ascii="Calibri" w:hAnsi="Calibri"/>
                <w:b w:val="0"/>
                <w:i w:val="0"/>
                <w:color w:val="212121"/>
                <w:sz w:val="19"/>
              </w:rPr>
              <w:t>Very long latency means large, complicated or calcified inactive (CE4-CE5) cysts are often first detected in older adults, who also carry higher operative and anaesthetic risk.</w:t>
            </w:r>
          </w:p>
          <w:p>
            <w:pPr>
              <w:spacing w:after="40" w:before="60" w:line="259" w:lineRule="auto"/>
            </w:pPr>
            <w:r>
              <w:rPr>
                <w:rFonts w:ascii="Calibri" w:hAnsi="Calibri"/>
                <w:b w:val="0"/>
                <w:i w:val="0"/>
                <w:color w:val="212121"/>
                <w:sz w:val="19"/>
              </w:rPr>
              <w:t>The cystic form can remain silent for many years to decades before symptoms appear, so cysts are frequently discovered incidentally late in life.</w:t>
            </w:r>
          </w:p>
          <w:p>
            <w:pPr>
              <w:spacing w:after="40" w:line="252" w:lineRule="auto"/>
            </w:pPr>
            <w:hyperlink r:id="rId9">
              <w:r>
                <w:rPr>
                  <w:rFonts w:ascii="Calibri" w:hAnsi="Calibri" w:cs="Calibri"/>
                  <w:sz w:val="18"/>
                  <w:color w:val="1155CC"/>
                  <w:u w:val="single"/>
                </w:rPr>
                <w:t xml:space="preserve">who.int — echinococcosis fact sheet</w:t>
              </w:r>
            </w:hyperlink>
          </w:p>
          <w:p>
            <w:pPr>
              <w:spacing w:before="60" w:after="40"/>
            </w:pPr>
            <w:r>
              <w:rPr>
                <w:rFonts w:ascii="Calibri" w:hAnsi="Calibri"/>
                <w:b w:val="0"/>
                <w:i w:val="0"/>
                <w:color w:val="5A5A5A"/>
                <w:sz w:val="18"/>
              </w:rPr>
              <w:t>#ageing  #calcifiedcyst  #CE4  #incidental  #surgicalrisk</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Children in hyperendemic areas</w:t>
            </w:r>
          </w:p>
        </w:tc>
        <w:tc>
          <w:tcPr>
            <w:tcW w:type="dxa" w:w="4276"/>
            <w:vAlign w:val="top"/>
          </w:tcPr>
          <w:p>
            <w:pPr>
              <w:spacing w:after="60" w:line="259" w:lineRule="auto"/>
            </w:pPr>
            <w:r>
              <w:rPr>
                <w:rFonts w:ascii="Calibri" w:hAnsi="Calibri"/>
                <w:b w:val="0"/>
                <w:i w:val="0"/>
                <w:color w:val="212121"/>
                <w:sz w:val="19"/>
              </w:rPr>
              <w:t>Intense early-life exposure in pastoral households leads to childhood infection; pulmonary cysts are proportionally more common in children because compliant lung tissue allows faster cyst expansion.</w:t>
            </w:r>
          </w:p>
          <w:p>
            <w:pPr>
              <w:spacing w:after="40" w:before="60" w:line="259" w:lineRule="auto"/>
            </w:pPr>
            <w:r>
              <w:rPr>
                <w:rFonts w:ascii="Calibri" w:hAnsi="Calibri"/>
                <w:b w:val="0"/>
                <w:i w:val="0"/>
                <w:color w:val="212121"/>
                <w:sz w:val="19"/>
              </w:rPr>
              <w:t>In hyperendemic pastoral settings childhood exposure is common, though clinical disease usually emerges only years later.</w:t>
            </w:r>
          </w:p>
          <w:p>
            <w:pPr>
              <w:spacing w:before="60" w:after="40"/>
            </w:pPr>
            <w:r>
              <w:rPr>
                <w:rFonts w:ascii="Calibri" w:hAnsi="Calibri"/>
                <w:b w:val="0"/>
                <w:i w:val="0"/>
                <w:color w:val="5A5A5A"/>
                <w:sz w:val="18"/>
              </w:rPr>
              <w:t>#children  #lungcyst  #pastoral  #earlyexposure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Both sexes (exposure-dependent)</w:t>
            </w:r>
          </w:p>
        </w:tc>
        <w:tc>
          <w:tcPr>
            <w:tcW w:type="dxa" w:w="4276"/>
            <w:vAlign w:val="top"/>
          </w:tcPr>
          <w:p>
            <w:pPr>
              <w:spacing w:after="60" w:line="259" w:lineRule="auto"/>
            </w:pPr>
            <w:r>
              <w:rPr>
                <w:rFonts w:ascii="Calibri" w:hAnsi="Calibri"/>
                <w:b w:val="0"/>
                <w:i w:val="0"/>
                <w:color w:val="212121"/>
                <w:sz w:val="19"/>
              </w:rPr>
              <w:t>Risk tracks exposure rather than biology - male shepherds, farmers and abattoir workers and women handling dogs, produce and home slaughter are both affected.</w:t>
            </w:r>
          </w:p>
          <w:p>
            <w:pPr>
              <w:spacing w:after="40" w:before="60" w:line="259" w:lineRule="auto"/>
            </w:pPr>
            <w:r>
              <w:rPr>
                <w:rFonts w:ascii="Calibri" w:hAnsi="Calibri"/>
                <w:b w:val="0"/>
                <w:i w:val="0"/>
                <w:color w:val="212121"/>
                <w:sz w:val="19"/>
              </w:rPr>
              <w:t>No consistent sex predilection independent of occupational and domestic exposure is established.</w:t>
            </w:r>
          </w:p>
          <w:p>
            <w:pPr>
              <w:spacing w:before="60" w:after="40"/>
            </w:pPr>
            <w:r>
              <w:rPr>
                <w:rFonts w:ascii="Calibri" w:hAnsi="Calibri"/>
                <w:b w:val="0"/>
                <w:i w:val="0"/>
                <w:color w:val="5A5A5A"/>
                <w:sz w:val="18"/>
              </w:rPr>
              <w:t>#exposure  #occupational  #household  #zoonosis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rural &amp; pastoral communities</w:t>
            </w:r>
          </w:p>
        </w:tc>
        <w:tc>
          <w:tcPr>
            <w:tcW w:type="dxa" w:w="4276"/>
            <w:vAlign w:val="top"/>
          </w:tcPr>
          <w:p>
            <w:pPr>
              <w:spacing w:after="60" w:line="259" w:lineRule="auto"/>
            </w:pPr>
            <w:r>
              <w:rPr>
                <w:rFonts w:ascii="Calibri" w:hAnsi="Calibri"/>
                <w:b w:val="0"/>
                <w:i w:val="0"/>
                <w:color w:val="212121"/>
                <w:sz w:val="19"/>
              </w:rPr>
              <w:t>Poor sanitation, unwormed dogs, home slaughter, untreated water and limited veterinary services sustain transmission; echinococcosis is a neglected disease of poor pastoral populations and imposes documented livestock and human economic losses in India.</w:t>
            </w:r>
          </w:p>
          <w:p>
            <w:pPr>
              <w:spacing w:after="40" w:before="60" w:line="259" w:lineRule="auto"/>
            </w:pPr>
            <w:r>
              <w:rPr>
                <w:rFonts w:ascii="Calibri" w:hAnsi="Calibri"/>
                <w:b w:val="0"/>
                <w:i w:val="0"/>
                <w:color w:val="212121"/>
                <w:sz w:val="19"/>
              </w:rPr>
              <w:t>Cystic echinococcosis is a recognised cause of economic loss in India through livestock organ condemnation and human surgical treatment; WHO estimates the global burden at about US$3 billion and ~871,000 DALYs each year, falling hardest on resource-poor pastoral communities.</w:t>
            </w:r>
          </w:p>
          <w:p>
            <w:pPr>
              <w:spacing w:after="40" w:line="252" w:lineRule="auto"/>
            </w:pPr>
            <w:hyperlink r:id="rId10">
              <w:r>
                <w:rPr>
                  <w:rFonts w:ascii="Calibri" w:hAnsi="Calibri" w:cs="Calibri"/>
                  <w:sz w:val="18"/>
                  <w:color w:val="1155CC"/>
                  <w:u w:val="single"/>
                </w:rPr>
                <w:t xml:space="preserve">pubmed 24148988 — economic losses from cystic echinococcosis in India</w:t>
              </w:r>
            </w:hyperlink>
          </w:p>
          <w:p>
            <w:pPr>
              <w:spacing w:before="60" w:after="40"/>
            </w:pPr>
            <w:r>
              <w:rPr>
                <w:rFonts w:ascii="Calibri" w:hAnsi="Calibri"/>
                <w:b w:val="0"/>
                <w:i w:val="0"/>
                <w:color w:val="5A5A5A"/>
                <w:sz w:val="18"/>
              </w:rPr>
              <w:t>#neglecteddisease  #poverty  #sanitation  #pastoral  #economicloss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 (India)</w:t>
            </w:r>
          </w:p>
        </w:tc>
        <w:tc>
          <w:tcPr>
            <w:tcW w:type="dxa" w:w="2160"/>
            <w:vAlign w:val="top"/>
          </w:tcPr>
          <w:p>
            <w:pPr>
              <w:spacing w:after="40" w:before="0" w:line="259" w:lineRule="auto"/>
            </w:pPr>
            <w:r>
              <w:rPr>
                <w:rFonts w:ascii="Calibri" w:hAnsi="Calibri"/>
                <w:b w:val="0"/>
                <w:i w:val="0"/>
                <w:color w:val="212121"/>
                <w:sz w:val="19"/>
              </w:rPr>
              <w:t>Endemic belts of North &amp; Central India (J&amp;K, Himachal, Punjab, Rajasthan, MP)</w:t>
            </w:r>
          </w:p>
        </w:tc>
        <w:tc>
          <w:tcPr>
            <w:tcW w:type="dxa" w:w="4276"/>
            <w:vAlign w:val="top"/>
          </w:tcPr>
          <w:p>
            <w:pPr>
              <w:spacing w:after="60" w:line="259" w:lineRule="auto"/>
            </w:pPr>
            <w:r>
              <w:rPr>
                <w:rFonts w:ascii="Calibri" w:hAnsi="Calibri"/>
                <w:b w:val="0"/>
                <w:i w:val="0"/>
                <w:color w:val="212121"/>
                <w:sz w:val="19"/>
              </w:rPr>
              <w:t>Sheep, goat and cattle rearing alongside free-roaming and unwormed dogs maintains the dog-livestock cycle; India is a recognised endemic country and human CE has been documented by hospital seroprevalence studies across North India.</w:t>
            </w:r>
          </w:p>
          <w:p>
            <w:pPr>
              <w:spacing w:after="40" w:before="60" w:line="259" w:lineRule="auto"/>
            </w:pPr>
            <w:r>
              <w:rPr>
                <w:rFonts w:ascii="Calibri" w:hAnsi="Calibri"/>
                <w:b w:val="0"/>
                <w:i w:val="0"/>
                <w:color w:val="212121"/>
                <w:sz w:val="19"/>
              </w:rPr>
              <w:t>Human cystic echinococcosis has been documented across North India by hospital seroprevalence studies (cases recorded 2004-2015), confirming sustained endemic transmission.</w:t>
            </w:r>
          </w:p>
          <w:p>
            <w:pPr>
              <w:spacing w:after="40" w:line="252" w:lineRule="auto"/>
            </w:pPr>
            <w:hyperlink r:id="rId11">
              <w:r>
                <w:rPr>
                  <w:rFonts w:ascii="Calibri" w:hAnsi="Calibri" w:cs="Calibri"/>
                  <w:sz w:val="18"/>
                  <w:color w:val="1155CC"/>
                  <w:u w:val="single"/>
                </w:rPr>
                <w:t xml:space="preserve">pubmed 29114488 — human CE seroprevalence, North India (2004-2015)</w:t>
              </w:r>
            </w:hyperlink>
          </w:p>
          <w:p>
            <w:pPr>
              <w:spacing w:before="60" w:after="40"/>
            </w:pPr>
            <w:r>
              <w:rPr>
                <w:rFonts w:ascii="Calibri" w:hAnsi="Calibri"/>
                <w:b w:val="0"/>
                <w:i w:val="0"/>
                <w:color w:val="5A5A5A"/>
                <w:sz w:val="18"/>
              </w:rPr>
              <w:t>#India  #endemic  #NorthIndia  #seroprevalence  #zoonosis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(India)</w:t>
            </w:r>
          </w:p>
        </w:tc>
        <w:tc>
          <w:tcPr>
            <w:tcW w:type="dxa" w:w="2160"/>
            <w:vAlign w:val="top"/>
          </w:tcPr>
          <w:p>
            <w:pPr>
              <w:spacing w:after="40" w:before="0" w:line="259" w:lineRule="auto"/>
            </w:pPr>
            <w:r>
              <w:rPr>
                <w:rFonts w:ascii="Calibri" w:hAnsi="Calibri"/>
                <w:b w:val="0"/>
                <w:i w:val="0"/>
                <w:color w:val="212121"/>
                <w:sz w:val="19"/>
              </w:rPr>
              <w:t>Pastoral &amp; peri-urban populations of Northern India</w:t>
            </w:r>
          </w:p>
        </w:tc>
        <w:tc>
          <w:tcPr>
            <w:tcW w:type="dxa" w:w="4276"/>
            <w:vAlign w:val="top"/>
          </w:tcPr>
          <w:p>
            <w:pPr>
              <w:spacing w:after="60" w:line="259" w:lineRule="auto"/>
            </w:pPr>
            <w:r>
              <w:rPr>
                <w:rFonts w:ascii="Calibri" w:hAnsi="Calibri"/>
                <w:b w:val="0"/>
                <w:i w:val="0"/>
                <w:color w:val="212121"/>
                <w:sz w:val="19"/>
              </w:rPr>
              <w:t>Ongoing dog-livestock contact in northern pastoral and peri-urban populations sustains exposure; recent Indian data continue to document CE seroprevalence and evolving risk dynamics.</w:t>
            </w:r>
          </w:p>
          <w:p>
            <w:pPr>
              <w:spacing w:after="40" w:before="60" w:line="259" w:lineRule="auto"/>
            </w:pPr>
            <w:r>
              <w:rPr>
                <w:rFonts w:ascii="Calibri" w:hAnsi="Calibri"/>
                <w:b w:val="0"/>
                <w:i w:val="0"/>
                <w:color w:val="212121"/>
                <w:sz w:val="19"/>
              </w:rPr>
              <w:t>Recent Northern-India seroprevalence work highlights persistent CE transmission and risk dynamics in exposed pastoral and peri-urban populations.</w:t>
            </w:r>
          </w:p>
          <w:p>
            <w:pPr>
              <w:spacing w:after="40" w:line="252" w:lineRule="auto"/>
            </w:pPr>
            <w:hyperlink r:id="rId12">
              <w:r>
                <w:rPr>
                  <w:rFonts w:ascii="Calibri" w:hAnsi="Calibri" w:cs="Calibri"/>
                  <w:sz w:val="18"/>
                  <w:color w:val="1155CC"/>
                  <w:u w:val="single"/>
                </w:rPr>
                <w:t xml:space="preserve">pubmed 40850573 — CE seroprevalence trends &amp; risk, Northern India</w:t>
              </w:r>
            </w:hyperlink>
          </w:p>
          <w:p>
            <w:pPr>
              <w:spacing w:before="60" w:after="40"/>
            </w:pPr>
            <w:r>
              <w:rPr>
                <w:rFonts w:ascii="Calibri" w:hAnsi="Calibri"/>
                <w:b w:val="0"/>
                <w:i w:val="0"/>
                <w:color w:val="5A5A5A"/>
                <w:sz w:val="18"/>
              </w:rPr>
              <w:t>#India  #NorthIndia  #seroprevalence  #riskdynamics  #pastoral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Endemic region (global)</w:t>
            </w:r>
          </w:p>
        </w:tc>
        <w:tc>
          <w:tcPr>
            <w:tcW w:type="dxa" w:w="2160"/>
            <w:vAlign w:val="top"/>
          </w:tcPr>
          <w:p>
            <w:pPr>
              <w:spacing w:after="40" w:before="0" w:line="259" w:lineRule="auto"/>
            </w:pPr>
            <w:r>
              <w:rPr>
                <w:rFonts w:ascii="Calibri" w:hAnsi="Calibri"/>
                <w:b w:val="0"/>
                <w:i w:val="0"/>
                <w:color w:val="212121"/>
                <w:sz w:val="19"/>
              </w:rPr>
              <w:t>Sheep- and livestock-rearing zones worldwide</w:t>
            </w:r>
          </w:p>
        </w:tc>
        <w:tc>
          <w:tcPr>
            <w:tcW w:type="dxa" w:w="4276"/>
            <w:vAlign w:val="top"/>
          </w:tcPr>
          <w:p>
            <w:pPr>
              <w:spacing w:after="60" w:line="259" w:lineRule="auto"/>
            </w:pPr>
            <w:r>
              <w:rPr>
                <w:rFonts w:ascii="Calibri" w:hAnsi="Calibri"/>
                <w:b w:val="0"/>
                <w:i w:val="0"/>
                <w:color w:val="212121"/>
                <w:sz w:val="19"/>
              </w:rPr>
              <w:t>Wherever dogs have access to infected livestock offal the parasite cycle is self-sustaining and human exposure is high, giving the classic sheep-dog transmission focus; livestock cyst burden at slaughter can be very high in such foci.</w:t>
            </w:r>
          </w:p>
          <w:p>
            <w:pPr>
              <w:spacing w:after="40" w:before="60" w:line="259" w:lineRule="auto"/>
            </w:pPr>
            <w:r>
              <w:rPr>
                <w:rFonts w:ascii="Calibri" w:hAnsi="Calibri"/>
                <w:b w:val="0"/>
                <w:i w:val="0"/>
                <w:color w:val="212121"/>
                <w:sz w:val="19"/>
              </w:rPr>
              <w:t>In highly endemic regions human incidence can exceed 50 per 100,000 person-years, with prevalence of 5-10% in parts of Central Asia, China, East Africa and South America and livestock cyst prevalence reaching 20-95% at slaughter.</w:t>
            </w:r>
          </w:p>
          <w:p>
            <w:pPr>
              <w:spacing w:after="40" w:line="252" w:lineRule="auto"/>
            </w:pPr>
            <w:hyperlink r:id="rId9">
              <w:r>
                <w:rPr>
                  <w:rFonts w:ascii="Calibri" w:hAnsi="Calibri" w:cs="Calibri"/>
                  <w:sz w:val="18"/>
                  <w:color w:val="1155CC"/>
                  <w:u w:val="single"/>
                </w:rPr>
                <w:t xml:space="preserve">who.int — echinococcosis fact sheet</w:t>
              </w:r>
            </w:hyperlink>
          </w:p>
          <w:p>
            <w:pPr>
              <w:spacing w:before="60" w:after="40"/>
            </w:pPr>
            <w:r>
              <w:rPr>
                <w:rFonts w:ascii="Calibri" w:hAnsi="Calibri"/>
                <w:b w:val="0"/>
                <w:i w:val="0"/>
                <w:color w:val="5A5A5A"/>
                <w:sz w:val="18"/>
              </w:rPr>
              <w:t>#endemic  #sheepdogcycle  #highincidence  #livestockreservoir</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Animal reservoir (India)</w:t>
            </w:r>
          </w:p>
        </w:tc>
        <w:tc>
          <w:tcPr>
            <w:tcW w:type="dxa" w:w="2160"/>
            <w:vAlign w:val="top"/>
          </w:tcPr>
          <w:p>
            <w:pPr>
              <w:spacing w:after="40" w:before="0" w:line="259" w:lineRule="auto"/>
            </w:pPr>
            <w:r>
              <w:rPr>
                <w:rFonts w:ascii="Calibri" w:hAnsi="Calibri"/>
                <w:b w:val="0"/>
                <w:i w:val="0"/>
                <w:color w:val="212121"/>
                <w:sz w:val="19"/>
              </w:rPr>
              <w:t>Livestock-rearing zones with high ovine cyst burden (e.g. Kashmir Valley, Maharashtra)</w:t>
            </w:r>
          </w:p>
        </w:tc>
        <w:tc>
          <w:tcPr>
            <w:tcW w:type="dxa" w:w="4276"/>
            <w:vAlign w:val="top"/>
          </w:tcPr>
          <w:p>
            <w:pPr>
              <w:spacing w:after="60" w:line="259" w:lineRule="auto"/>
            </w:pPr>
            <w:r>
              <w:rPr>
                <w:rFonts w:ascii="Calibri" w:hAnsi="Calibri"/>
                <w:b w:val="0"/>
                <w:i w:val="0"/>
                <w:color w:val="212121"/>
                <w:sz w:val="19"/>
              </w:rPr>
              <w:t>The intensity of the animal reservoir predicts human risk; infected sheep, goat and cattle viscera fed to dogs amplify egg output, and Indian abattoir/veterinary surveys document substantial ovine and bovine cyst burdens.</w:t>
            </w:r>
          </w:p>
          <w:p>
            <w:pPr>
              <w:spacing w:after="40" w:before="60" w:line="259" w:lineRule="auto"/>
            </w:pPr>
            <w:r>
              <w:rPr>
                <w:rFonts w:ascii="Calibri" w:hAnsi="Calibri"/>
                <w:b w:val="0"/>
                <w:i w:val="0"/>
                <w:color w:val="212121"/>
                <w:sz w:val="19"/>
              </w:rPr>
              <w:t>Ovine cystic echinococcosis is documented at notable prevalence in Kashmir Valley livestock, sustaining the local dog-sheep cycle that drives human exposure.</w:t>
            </w:r>
          </w:p>
          <w:p>
            <w:pPr>
              <w:spacing w:after="40" w:line="252" w:lineRule="auto"/>
            </w:pPr>
            <w:hyperlink r:id="rId13">
              <w:r>
                <w:rPr>
                  <w:rFonts w:ascii="Calibri" w:hAnsi="Calibri" w:cs="Calibri"/>
                  <w:sz w:val="18"/>
                  <w:color w:val="1155CC"/>
                  <w:u w:val="single"/>
                </w:rPr>
                <w:t xml:space="preserve">pubmed 31014606 — ovine CE prevalence, Kashmir Valley, North India</w:t>
              </w:r>
            </w:hyperlink>
          </w:p>
          <w:p>
            <w:pPr>
              <w:spacing w:before="60" w:after="40"/>
            </w:pPr>
            <w:r>
              <w:rPr>
                <w:rFonts w:ascii="Calibri" w:hAnsi="Calibri"/>
                <w:b w:val="0"/>
                <w:i w:val="0"/>
                <w:color w:val="5A5A5A"/>
                <w:sz w:val="18"/>
              </w:rPr>
              <w:t>#reservoir  #livestock  #KashmirValley  #ovineCE  #offal</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Dog contact</w:t>
            </w:r>
          </w:p>
        </w:tc>
        <w:tc>
          <w:tcPr>
            <w:tcW w:type="dxa" w:w="2160"/>
            <w:vAlign w:val="top"/>
          </w:tcPr>
          <w:p>
            <w:pPr>
              <w:spacing w:after="40" w:before="0" w:line="259" w:lineRule="auto"/>
            </w:pPr>
            <w:r>
              <w:rPr>
                <w:rFonts w:ascii="Calibri" w:hAnsi="Calibri"/>
                <w:b w:val="0"/>
                <w:i w:val="0"/>
                <w:color w:val="212121"/>
                <w:sz w:val="19"/>
              </w:rPr>
              <w:t>Dog owners, shepherds, hunters, stray-dog feeders</w:t>
            </w:r>
          </w:p>
        </w:tc>
        <w:tc>
          <w:tcPr>
            <w:tcW w:type="dxa" w:w="4276"/>
            <w:vAlign w:val="top"/>
          </w:tcPr>
          <w:p>
            <w:pPr>
              <w:spacing w:after="60" w:line="259" w:lineRule="auto"/>
            </w:pPr>
            <w:r>
              <w:rPr>
                <w:rFonts w:ascii="Calibri" w:hAnsi="Calibri"/>
                <w:b w:val="0"/>
                <w:i w:val="0"/>
                <w:color w:val="212121"/>
                <w:sz w:val="19"/>
              </w:rPr>
              <w:t>Dogs are the definitive host; eggs in their faeces contaminate hands, fur, food and soil and are immediately infective, so close canine contact is the single strongest behavioural risk.</w:t>
            </w:r>
          </w:p>
          <w:p>
            <w:pPr>
              <w:spacing w:after="40" w:before="60" w:line="259" w:lineRule="auto"/>
            </w:pPr>
            <w:r>
              <w:rPr>
                <w:rFonts w:ascii="Calibri" w:hAnsi="Calibri"/>
                <w:b w:val="0"/>
                <w:i w:val="0"/>
                <w:color w:val="212121"/>
                <w:sz w:val="19"/>
              </w:rPr>
              <w:t>Dogs are the primary definitive host of E. granulosus (adult worm ~7 mm); human infection follows ingestion of eggs passed in dog faeces.</w:t>
            </w:r>
          </w:p>
          <w:p>
            <w:pPr>
              <w:spacing w:after="40" w:line="252" w:lineRule="auto"/>
            </w:pPr>
            <w:hyperlink r:id="rId14">
              <w:r>
                <w:rPr>
                  <w:rFonts w:ascii="Calibri" w:hAnsi="Calibri" w:cs="Calibri"/>
                  <w:sz w:val="18"/>
                  <w:color w:val="1155CC"/>
                  <w:u w:val="single"/>
                </w:rPr>
                <w:t xml:space="preserve">cdc.gov — about echinococcosis</w:t>
              </w:r>
            </w:hyperlink>
          </w:p>
          <w:p>
            <w:pPr>
              <w:spacing w:before="60" w:after="40"/>
            </w:pPr>
            <w:r>
              <w:rPr>
                <w:rFonts w:ascii="Calibri" w:hAnsi="Calibri"/>
                <w:b w:val="0"/>
                <w:i w:val="0"/>
                <w:color w:val="5A5A5A"/>
                <w:sz w:val="18"/>
              </w:rPr>
              <w:t>#dogcontact  #definitivehost  #faecaloral  #shepherd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w:t>
            </w:r>
          </w:p>
        </w:tc>
        <w:tc>
          <w:tcPr>
            <w:tcW w:type="dxa" w:w="2160"/>
            <w:vAlign w:val="top"/>
          </w:tcPr>
          <w:p>
            <w:pPr>
              <w:spacing w:after="40" w:before="0" w:line="259" w:lineRule="auto"/>
            </w:pPr>
            <w:r>
              <w:rPr>
                <w:rFonts w:ascii="Calibri" w:hAnsi="Calibri"/>
                <w:b w:val="0"/>
                <w:i w:val="0"/>
                <w:color w:val="212121"/>
                <w:sz w:val="19"/>
              </w:rPr>
              <w:t>Farmers, shepherds, abattoir &amp; butchery workers, wool/hide handlers</w:t>
            </w:r>
          </w:p>
        </w:tc>
        <w:tc>
          <w:tcPr>
            <w:tcW w:type="dxa" w:w="4276"/>
            <w:vAlign w:val="top"/>
          </w:tcPr>
          <w:p>
            <w:pPr>
              <w:spacing w:after="60" w:line="259" w:lineRule="auto"/>
            </w:pPr>
            <w:r>
              <w:rPr>
                <w:rFonts w:ascii="Calibri" w:hAnsi="Calibri"/>
                <w:b w:val="0"/>
                <w:i w:val="0"/>
                <w:color w:val="212121"/>
                <w:sz w:val="19"/>
              </w:rPr>
              <w:t>Occupational contact with dogs, livestock and contaminated environments raises the cumulative chance of egg ingestion over a working lifetime; Indian studies report CE in both animals and humans in rural farming states.</w:t>
            </w:r>
          </w:p>
          <w:p>
            <w:pPr>
              <w:spacing w:after="40" w:before="60" w:line="259" w:lineRule="auto"/>
            </w:pPr>
            <w:r>
              <w:rPr>
                <w:rFonts w:ascii="Calibri" w:hAnsi="Calibri"/>
                <w:b w:val="0"/>
                <w:i w:val="0"/>
                <w:color w:val="212121"/>
                <w:sz w:val="19"/>
              </w:rPr>
              <w:t>Cystic echinococcosis is reported in both animals and humans in Maharashtra, India, reflecting rural occupational exposure across the dog-livestock interface.</w:t>
            </w:r>
          </w:p>
          <w:p>
            <w:pPr>
              <w:spacing w:after="40" w:line="252" w:lineRule="auto"/>
            </w:pPr>
            <w:hyperlink r:id="rId15">
              <w:r>
                <w:rPr>
                  <w:rFonts w:ascii="Calibri" w:hAnsi="Calibri" w:cs="Calibri"/>
                  <w:sz w:val="18"/>
                  <w:color w:val="1155CC"/>
                  <w:u w:val="single"/>
                </w:rPr>
                <w:t xml:space="preserve">pubmed 29654685 — CE in animals &amp; humans, Maharashtra, India</w:t>
              </w:r>
            </w:hyperlink>
          </w:p>
          <w:p>
            <w:pPr>
              <w:spacing w:before="60" w:after="40"/>
            </w:pPr>
            <w:r>
              <w:rPr>
                <w:rFonts w:ascii="Calibri" w:hAnsi="Calibri"/>
                <w:b w:val="0"/>
                <w:i w:val="0"/>
                <w:color w:val="5A5A5A"/>
                <w:sz w:val="18"/>
              </w:rPr>
              <w:t>#occupational  #abattoir  #farming  #Maharashtra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w:t>
            </w:r>
          </w:p>
        </w:tc>
        <w:tc>
          <w:tcPr>
            <w:tcW w:type="dxa" w:w="2160"/>
            <w:vAlign w:val="top"/>
          </w:tcPr>
          <w:p>
            <w:pPr>
              <w:spacing w:after="40" w:before="0" w:line="259" w:lineRule="auto"/>
            </w:pPr>
            <w:r>
              <w:rPr>
                <w:rFonts w:ascii="Calibri" w:hAnsi="Calibri"/>
                <w:b w:val="0"/>
                <w:i w:val="0"/>
                <w:color w:val="212121"/>
                <w:sz w:val="19"/>
              </w:rPr>
              <w:t>Poor hand hygiene / limited sanitation</w:t>
            </w:r>
          </w:p>
        </w:tc>
        <w:tc>
          <w:tcPr>
            <w:tcW w:type="dxa" w:w="4276"/>
            <w:vAlign w:val="top"/>
          </w:tcPr>
          <w:p>
            <w:pPr>
              <w:spacing w:after="60" w:line="259" w:lineRule="auto"/>
            </w:pPr>
            <w:r>
              <w:rPr>
                <w:rFonts w:ascii="Calibri" w:hAnsi="Calibri"/>
                <w:b w:val="0"/>
                <w:i w:val="0"/>
                <w:color w:val="212121"/>
                <w:sz w:val="19"/>
              </w:rPr>
              <w:t>Because transmission is faecal-oral, unwashed hands after dog, soil or livestock contact are a principal vehicle carrying eggs to the mouth.</w:t>
            </w:r>
          </w:p>
          <w:p>
            <w:pPr>
              <w:spacing w:after="40" w:before="60" w:line="259" w:lineRule="auto"/>
            </w:pPr>
            <w:r>
              <w:rPr>
                <w:rFonts w:ascii="Calibri" w:hAnsi="Calibri"/>
                <w:b w:val="0"/>
                <w:i w:val="0"/>
                <w:color w:val="212121"/>
                <w:sz w:val="19"/>
              </w:rPr>
              <w:t>Consistent hand-washing after animal and soil contact is a core preventive behaviour interrupting egg ingestion.</w:t>
            </w:r>
          </w:p>
          <w:p>
            <w:pPr>
              <w:spacing w:before="60" w:after="40"/>
            </w:pPr>
            <w:r>
              <w:rPr>
                <w:rFonts w:ascii="Calibri" w:hAnsi="Calibri"/>
                <w:b w:val="0"/>
                <w:i w:val="0"/>
                <w:color w:val="5A5A5A"/>
                <w:sz w:val="18"/>
              </w:rPr>
              <w:t>#handhygiene  #sanitation  #faecaloral  #prevention</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preference</w:t>
            </w:r>
          </w:p>
        </w:tc>
        <w:tc>
          <w:tcPr>
            <w:tcW w:type="dxa" w:w="2160"/>
            <w:vAlign w:val="top"/>
          </w:tcPr>
          <w:p>
            <w:pPr>
              <w:spacing w:after="40" w:before="0" w:line="259" w:lineRule="auto"/>
            </w:pPr>
            <w:r>
              <w:rPr>
                <w:rFonts w:ascii="Calibri" w:hAnsi="Calibri"/>
                <w:b w:val="0"/>
                <w:i w:val="0"/>
                <w:color w:val="212121"/>
                <w:sz w:val="19"/>
              </w:rPr>
              <w:t>Consumers of raw/unwashed vegetables &amp; untreated water</w:t>
            </w:r>
          </w:p>
        </w:tc>
        <w:tc>
          <w:tcPr>
            <w:tcW w:type="dxa" w:w="4276"/>
            <w:vAlign w:val="top"/>
          </w:tcPr>
          <w:p>
            <w:pPr>
              <w:spacing w:after="60" w:line="259" w:lineRule="auto"/>
            </w:pPr>
            <w:r>
              <w:rPr>
                <w:rFonts w:ascii="Calibri" w:hAnsi="Calibri"/>
                <w:b w:val="0"/>
                <w:i w:val="0"/>
                <w:color w:val="212121"/>
                <w:sz w:val="19"/>
              </w:rPr>
              <w:t>Echinococcus eggs survive for months in soil and water; raw produce and untreated water are recognised food- and water-borne transmission vehicles.</w:t>
            </w:r>
          </w:p>
          <w:p>
            <w:pPr>
              <w:spacing w:after="40" w:before="60" w:line="259" w:lineRule="auto"/>
            </w:pPr>
            <w:r>
              <w:rPr>
                <w:rFonts w:ascii="Calibri" w:hAnsi="Calibri"/>
                <w:b w:val="0"/>
                <w:i w:val="0"/>
                <w:color w:val="212121"/>
                <w:sz w:val="19"/>
              </w:rPr>
              <w:t>Humans are infected by ingesting eggs via contaminated food, water or soil, or through direct contact with animal hosts.</w:t>
            </w:r>
          </w:p>
          <w:p>
            <w:pPr>
              <w:spacing w:after="40" w:line="252" w:lineRule="auto"/>
            </w:pPr>
            <w:hyperlink r:id="rId9">
              <w:r>
                <w:rPr>
                  <w:rFonts w:ascii="Calibri" w:hAnsi="Calibri" w:cs="Calibri"/>
                  <w:sz w:val="18"/>
                  <w:color w:val="1155CC"/>
                  <w:u w:val="single"/>
                </w:rPr>
                <w:t xml:space="preserve">who.int — echinococcosis fact sheet</w:t>
              </w:r>
            </w:hyperlink>
          </w:p>
          <w:p>
            <w:pPr>
              <w:spacing w:before="60" w:after="40"/>
            </w:pPr>
            <w:r>
              <w:rPr>
                <w:rFonts w:ascii="Calibri" w:hAnsi="Calibri"/>
                <w:b w:val="0"/>
                <w:i w:val="0"/>
                <w:color w:val="5A5A5A"/>
                <w:sz w:val="18"/>
              </w:rPr>
              <w:t>#rawvegetables  #unsafewater  #foodborne  #waterborne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Household practice</w:t>
            </w:r>
          </w:p>
        </w:tc>
        <w:tc>
          <w:tcPr>
            <w:tcW w:type="dxa" w:w="2160"/>
            <w:vAlign w:val="top"/>
          </w:tcPr>
          <w:p>
            <w:pPr>
              <w:spacing w:after="40" w:before="0" w:line="259" w:lineRule="auto"/>
            </w:pPr>
            <w:r>
              <w:rPr>
                <w:rFonts w:ascii="Calibri" w:hAnsi="Calibri"/>
                <w:b w:val="0"/>
                <w:i w:val="0"/>
                <w:color w:val="212121"/>
                <w:sz w:val="19"/>
              </w:rPr>
              <w:t>Households that feed raw offal to dogs</w:t>
            </w:r>
          </w:p>
        </w:tc>
        <w:tc>
          <w:tcPr>
            <w:tcW w:type="dxa" w:w="4276"/>
            <w:vAlign w:val="top"/>
          </w:tcPr>
          <w:p>
            <w:pPr>
              <w:spacing w:after="60" w:line="259" w:lineRule="auto"/>
            </w:pPr>
            <w:r>
              <w:rPr>
                <w:rFonts w:ascii="Calibri" w:hAnsi="Calibri"/>
                <w:b w:val="0"/>
                <w:i w:val="0"/>
                <w:color w:val="212121"/>
                <w:sz w:val="19"/>
              </w:rPr>
              <w:t>Feeding uncooked, cyst-containing viscera to dogs completes the parasite life cycle and seeds the household environment with infective eggs.</w:t>
            </w:r>
          </w:p>
          <w:p>
            <w:pPr>
              <w:spacing w:after="40" w:before="60" w:line="259" w:lineRule="auto"/>
            </w:pPr>
            <w:r>
              <w:rPr>
                <w:rFonts w:ascii="Calibri" w:hAnsi="Calibri"/>
                <w:b w:val="0"/>
                <w:i w:val="0"/>
                <w:color w:val="212121"/>
                <w:sz w:val="19"/>
              </w:rPr>
              <w:t>Home slaughter with raw-offal feeding of dogs is a key amplifier of household and community transmission.</w:t>
            </w:r>
          </w:p>
          <w:p>
            <w:pPr>
              <w:spacing w:before="60" w:after="40"/>
            </w:pPr>
            <w:r>
              <w:rPr>
                <w:rFonts w:ascii="Calibri" w:hAnsi="Calibri"/>
                <w:b w:val="0"/>
                <w:i w:val="0"/>
                <w:color w:val="5A5A5A"/>
                <w:sz w:val="18"/>
              </w:rPr>
              <w:t>#rawoffal  #homeslaughter  #lifecycle  #dogfeeding</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 household clustering</w:t>
            </w:r>
          </w:p>
        </w:tc>
        <w:tc>
          <w:tcPr>
            <w:tcW w:type="dxa" w:w="2160"/>
            <w:vAlign w:val="top"/>
          </w:tcPr>
          <w:p>
            <w:pPr>
              <w:spacing w:after="40" w:before="0" w:line="259" w:lineRule="auto"/>
            </w:pPr>
            <w:r>
              <w:rPr>
                <w:rFonts w:ascii="Calibri" w:hAnsi="Calibri"/>
                <w:b w:val="0"/>
                <w:i w:val="0"/>
                <w:color w:val="212121"/>
                <w:sz w:val="19"/>
              </w:rPr>
              <w:t>Members of the same flock-owning household</w:t>
            </w:r>
          </w:p>
        </w:tc>
        <w:tc>
          <w:tcPr>
            <w:tcW w:type="dxa" w:w="4276"/>
            <w:vAlign w:val="top"/>
          </w:tcPr>
          <w:p>
            <w:pPr>
              <w:spacing w:after="60" w:line="259" w:lineRule="auto"/>
            </w:pPr>
            <w:r>
              <w:rPr>
                <w:rFonts w:ascii="Calibri" w:hAnsi="Calibri"/>
                <w:b w:val="0"/>
                <w:i w:val="0"/>
                <w:color w:val="212121"/>
                <w:sz w:val="19"/>
              </w:rPr>
              <w:t>Clustering of cases within families reflects shared environmental exposure (the same dogs, water and food) rather than true heredity.</w:t>
            </w:r>
          </w:p>
          <w:p>
            <w:pPr>
              <w:spacing w:after="40" w:before="60" w:line="259" w:lineRule="auto"/>
            </w:pPr>
            <w:r>
              <w:rPr>
                <w:rFonts w:ascii="Calibri" w:hAnsi="Calibri"/>
                <w:b w:val="0"/>
                <w:i w:val="0"/>
                <w:color w:val="212121"/>
                <w:sz w:val="19"/>
              </w:rPr>
              <w:t>Case clustering in endemic households is driven by common exposure, not inherited susceptibility.</w:t>
            </w:r>
          </w:p>
          <w:p>
            <w:pPr>
              <w:spacing w:before="60" w:after="40"/>
            </w:pPr>
            <w:r>
              <w:rPr>
                <w:rFonts w:ascii="Calibri" w:hAnsi="Calibri"/>
                <w:b w:val="0"/>
                <w:i w:val="0"/>
                <w:color w:val="5A5A5A"/>
                <w:sz w:val="18"/>
              </w:rPr>
              <w:t>#clustering  #householdexposure  #sharedrisk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Host immune genes</w:t>
            </w:r>
          </w:p>
        </w:tc>
        <w:tc>
          <w:tcPr>
            <w:tcW w:type="dxa" w:w="2160"/>
            <w:vAlign w:val="top"/>
          </w:tcPr>
          <w:p>
            <w:pPr>
              <w:spacing w:after="40" w:before="0" w:line="259" w:lineRule="auto"/>
            </w:pPr>
            <w:r>
              <w:rPr>
                <w:rFonts w:ascii="Calibri" w:hAnsi="Calibri"/>
                <w:b w:val="0"/>
                <w:i w:val="0"/>
                <w:color w:val="212121"/>
                <w:sz w:val="19"/>
              </w:rPr>
              <w:t>Individuals with certain HLA / immune-response profiles</w:t>
            </w:r>
          </w:p>
        </w:tc>
        <w:tc>
          <w:tcPr>
            <w:tcW w:type="dxa" w:w="4276"/>
            <w:vAlign w:val="top"/>
          </w:tcPr>
          <w:p>
            <w:pPr>
              <w:spacing w:after="60" w:line="259" w:lineRule="auto"/>
            </w:pPr>
            <w:r>
              <w:rPr>
                <w:rFonts w:ascii="Calibri" w:hAnsi="Calibri"/>
                <w:b w:val="0"/>
                <w:i w:val="0"/>
                <w:color w:val="212121"/>
                <w:sz w:val="19"/>
              </w:rPr>
              <w:t>Host immunity influences whether cysts establish, grow rapidly or degenerate, but no strong single-gene predisposition to infection is established.</w:t>
            </w:r>
          </w:p>
          <w:p>
            <w:pPr>
              <w:spacing w:after="40" w:before="60" w:line="259" w:lineRule="auto"/>
            </w:pPr>
            <w:r>
              <w:rPr>
                <w:rFonts w:ascii="Calibri" w:hAnsi="Calibri"/>
                <w:b w:val="0"/>
                <w:i w:val="0"/>
                <w:color w:val="212121"/>
                <w:sz w:val="19"/>
              </w:rPr>
              <w:t>Genetic influence on outcome is modest and polygenic; exposure remains the overriding determinant of infection.</w:t>
            </w:r>
          </w:p>
          <w:p>
            <w:pPr>
              <w:spacing w:before="60" w:after="40"/>
            </w:pPr>
            <w:r>
              <w:rPr>
                <w:rFonts w:ascii="Calibri" w:hAnsi="Calibri"/>
                <w:b w:val="0"/>
                <w:i w:val="0"/>
                <w:color w:val="5A5A5A"/>
                <w:sz w:val="18"/>
              </w:rPr>
              <w:t>#HLA  #immuneresponse  #hostfactors</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HIV, transplant recipients, chemotherapy, long-term steroids</w:t>
            </w:r>
          </w:p>
        </w:tc>
        <w:tc>
          <w:tcPr>
            <w:tcW w:type="dxa" w:w="4276"/>
            <w:vAlign w:val="top"/>
          </w:tcPr>
          <w:p>
            <w:pPr>
              <w:spacing w:after="60" w:line="259" w:lineRule="auto"/>
            </w:pPr>
            <w:r>
              <w:rPr>
                <w:rFonts w:ascii="Calibri" w:hAnsi="Calibri"/>
                <w:b w:val="0"/>
                <w:i w:val="0"/>
                <w:color w:val="212121"/>
                <w:sz w:val="19"/>
              </w:rPr>
              <w:t>Impaired cell-mediated immunity permits faster cyst growth, atypical or disseminated disease and higher recurrence, and can blunt serological detection.</w:t>
            </w:r>
          </w:p>
          <w:p>
            <w:pPr>
              <w:spacing w:after="40" w:before="60" w:line="259" w:lineRule="auto"/>
            </w:pPr>
            <w:r>
              <w:rPr>
                <w:rFonts w:ascii="Calibri" w:hAnsi="Calibri"/>
                <w:b w:val="0"/>
                <w:i w:val="0"/>
                <w:color w:val="212121"/>
                <w:sz w:val="19"/>
              </w:rPr>
              <w:t>Immunocompromised hosts may show accelerated, multi-organ or recurrent hydatid disease requiring more aggressive management.</w:t>
            </w:r>
          </w:p>
          <w:p>
            <w:pPr>
              <w:spacing w:before="60" w:after="40"/>
            </w:pPr>
            <w:r>
              <w:rPr>
                <w:rFonts w:ascii="Calibri" w:hAnsi="Calibri"/>
                <w:b w:val="0"/>
                <w:i w:val="0"/>
                <w:color w:val="5A5A5A"/>
                <w:sz w:val="18"/>
              </w:rPr>
              <w:t>#immunosuppression  #HIV  #transplant  #disseminated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hydatid disease</w:t>
            </w:r>
          </w:p>
        </w:tc>
        <w:tc>
          <w:tcPr>
            <w:tcW w:type="dxa" w:w="2160"/>
            <w:vAlign w:val="top"/>
          </w:tcPr>
          <w:p>
            <w:pPr>
              <w:spacing w:after="40" w:before="0" w:line="259" w:lineRule="auto"/>
            </w:pPr>
            <w:r>
              <w:rPr>
                <w:rFonts w:ascii="Calibri" w:hAnsi="Calibri"/>
                <w:b w:val="0"/>
                <w:i w:val="0"/>
                <w:color w:val="212121"/>
                <w:sz w:val="19"/>
              </w:rPr>
              <w:t>Patients with previous cyst rupture or incomplete surgery</w:t>
            </w:r>
          </w:p>
        </w:tc>
        <w:tc>
          <w:tcPr>
            <w:tcW w:type="dxa" w:w="4276"/>
            <w:vAlign w:val="top"/>
          </w:tcPr>
          <w:p>
            <w:pPr>
              <w:spacing w:after="60" w:line="259" w:lineRule="auto"/>
            </w:pPr>
            <w:r>
              <w:rPr>
                <w:rFonts w:ascii="Calibri" w:hAnsi="Calibri"/>
                <w:b w:val="0"/>
                <w:i w:val="0"/>
                <w:color w:val="212121"/>
                <w:sz w:val="19"/>
              </w:rPr>
              <w:t>Spillage of protoscolices seeds secondary (disseminated) echinococcosis; recurrence is a recognised risk after surgical or percutaneous intervention.</w:t>
            </w:r>
          </w:p>
          <w:p>
            <w:pPr>
              <w:spacing w:after="40" w:before="60" w:line="259" w:lineRule="auto"/>
            </w:pPr>
            <w:r>
              <w:rPr>
                <w:rFonts w:ascii="Calibri" w:hAnsi="Calibri"/>
                <w:b w:val="0"/>
                <w:i w:val="0"/>
                <w:color w:val="212121"/>
                <w:sz w:val="19"/>
              </w:rPr>
              <w:t>Relapse after surgical or percutaneous intervention occurs in about 6.5% of treated cases.</w:t>
            </w:r>
          </w:p>
          <w:p>
            <w:pPr>
              <w:spacing w:after="40" w:line="252" w:lineRule="auto"/>
            </w:pPr>
            <w:hyperlink r:id="rId9">
              <w:r>
                <w:rPr>
                  <w:rFonts w:ascii="Calibri" w:hAnsi="Calibri" w:cs="Calibri"/>
                  <w:sz w:val="18"/>
                  <w:color w:val="1155CC"/>
                  <w:u w:val="single"/>
                </w:rPr>
                <w:t xml:space="preserve">who.int — echinococcosis fact sheet</w:t>
              </w:r>
            </w:hyperlink>
          </w:p>
          <w:p>
            <w:pPr>
              <w:spacing w:before="60" w:after="40"/>
            </w:pPr>
            <w:r>
              <w:rPr>
                <w:rFonts w:ascii="Calibri" w:hAnsi="Calibri"/>
                <w:b w:val="0"/>
                <w:i w:val="0"/>
                <w:color w:val="5A5A5A"/>
                <w:sz w:val="18"/>
              </w:rPr>
              <w:t>#recurrence  #spillage  #secondaryhydatid  #relapse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has no role in acquiring echinococcosis, which is exposure-driven. Good baseline fitness and nutrition, however, improve tolerance of major hepatic or thoracic surgery and post-operative recovery.</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Food-borne ingestion of eggs on raw or unwashed vegetables, fruit and produce irrigated or washed with contaminated water is a principal transmission route; safe food handling and washing/peeling markedly reduce risk.</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has no established causal role in transmission; adequate rest supports immune competence and recovery after treatment but does not influence acquisition.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Smoking does not transmit the parasite, but it impairs pulmonary reserve and wound healing and worsens outcomes and recovery for patients with lung hydatid disease or after thoracic surgery.</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Alcohol has no role in acquisition, but heavy use causes hepatic injury that complicates hepatic hydatid disease and compounds the hepatotoxicity risk of prolonged albendazole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There is no causal link to onset, but the chronicity of disease, fear of rupture, repeated imaging and long drug courses impose psychological burden and can undermine treatment adherence.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Water-borne ingestion of eggs from untreated surface or well water is a major transmission route because eggs remain viable in water for months; boiling, filtration or treatment is protective.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plausible or studied relationship with echinococcosis.</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Hand-washing after dog, soil and livestock contact, washing raw produce, safe carcass disposal and regular deworming of dogs are the central preventive levers that interrupt the faecal-oral cycle.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Blunt abdominal trauma, unguarded needle aspiration or intra-operative spillage can rupture a cyst, provoking acute anaphylaxis and seeding secondary disseminated hydatidosis.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posture has no bearing on transmission or cyst behaviour.</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Dog deworming frequency</w:t>
            </w:r>
          </w:p>
        </w:tc>
        <w:tc>
          <w:tcPr>
            <w:tcW w:type="dxa" w:w="1655"/>
            <w:vAlign w:val="top"/>
          </w:tcPr>
          <w:p>
            <w:pPr>
              <w:spacing w:after="40" w:before="0" w:line="259" w:lineRule="auto"/>
            </w:pPr>
            <w:r>
              <w:rPr>
                <w:rFonts w:ascii="Calibri" w:hAnsi="Calibri"/>
                <w:b w:val="0"/>
                <w:i w:val="0"/>
                <w:color w:val="212121"/>
                <w:sz w:val="19"/>
              </w:rPr>
              <w:t>Households and farms owning dogs</w:t>
            </w:r>
          </w:p>
        </w:tc>
        <w:tc>
          <w:tcPr>
            <w:tcW w:type="dxa" w:w="1512"/>
            <w:vAlign w:val="top"/>
          </w:tcPr>
          <w:p>
            <w:pPr>
              <w:spacing w:after="40" w:before="0" w:line="259" w:lineRule="auto"/>
            </w:pPr>
            <w:r>
              <w:rPr>
                <w:rFonts w:ascii="Calibri" w:hAnsi="Calibri"/>
                <w:b w:val="0"/>
                <w:i w:val="0"/>
                <w:color w:val="212121"/>
                <w:sz w:val="19"/>
              </w:rPr>
              <w:t>Praziquantel every 6 weeks</w:t>
            </w:r>
          </w:p>
        </w:tc>
        <w:tc>
          <w:tcPr>
            <w:tcW w:type="dxa" w:w="1512"/>
            <w:vAlign w:val="top"/>
          </w:tcPr>
          <w:p>
            <w:pPr>
              <w:spacing w:after="40" w:before="0" w:line="259" w:lineRule="auto"/>
            </w:pPr>
            <w:r>
              <w:rPr>
                <w:rFonts w:ascii="Calibri" w:hAnsi="Calibri"/>
                <w:b w:val="0"/>
                <w:i w:val="0"/>
                <w:color w:val="212121"/>
                <w:sz w:val="19"/>
              </w:rPr>
              <w:t>Unwormed or infrequently wormed dogs</w:t>
            </w:r>
          </w:p>
        </w:tc>
        <w:tc>
          <w:tcPr>
            <w:tcW w:type="dxa" w:w="1468"/>
            <w:vAlign w:val="top"/>
          </w:tcPr>
          <w:p>
            <w:pPr>
              <w:spacing w:after="40" w:before="0" w:line="259" w:lineRule="auto"/>
            </w:pPr>
            <w:r>
              <w:rPr>
                <w:rFonts w:ascii="Calibri" w:hAnsi="Calibri"/>
                <w:b w:val="0"/>
                <w:i w:val="0"/>
                <w:color w:val="212121"/>
                <w:sz w:val="19"/>
              </w:rPr>
              <w:t>Deworming definitive-host dogs interrupts egg shedding and is the core control measure.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Hand-washing after animal/soil contact</w:t>
            </w:r>
          </w:p>
        </w:tc>
        <w:tc>
          <w:tcPr>
            <w:tcW w:type="dxa" w:w="1655"/>
            <w:vAlign w:val="top"/>
          </w:tcPr>
          <w:p>
            <w:pPr>
              <w:spacing w:after="40" w:before="0" w:line="259" w:lineRule="auto"/>
            </w:pPr>
            <w:r>
              <w:rPr>
                <w:rFonts w:ascii="Calibri" w:hAnsi="Calibri"/>
                <w:b w:val="0"/>
                <w:i w:val="0"/>
                <w:color w:val="212121"/>
                <w:sz w:val="19"/>
              </w:rPr>
              <w:t>Farmers, dog owners, children</w:t>
            </w:r>
          </w:p>
        </w:tc>
        <w:tc>
          <w:tcPr>
            <w:tcW w:type="dxa" w:w="1512"/>
            <w:vAlign w:val="top"/>
          </w:tcPr>
          <w:p>
            <w:pPr>
              <w:spacing w:after="40" w:before="0" w:line="259" w:lineRule="auto"/>
            </w:pPr>
            <w:r>
              <w:rPr>
                <w:rFonts w:ascii="Calibri" w:hAnsi="Calibri"/>
                <w:b w:val="0"/>
                <w:i w:val="0"/>
                <w:color w:val="212121"/>
                <w:sz w:val="19"/>
              </w:rPr>
              <w:t>Soap and water every time</w:t>
            </w:r>
          </w:p>
        </w:tc>
        <w:tc>
          <w:tcPr>
            <w:tcW w:type="dxa" w:w="1512"/>
            <w:vAlign w:val="top"/>
          </w:tcPr>
          <w:p>
            <w:pPr>
              <w:spacing w:after="40" w:before="0" w:line="259" w:lineRule="auto"/>
            </w:pPr>
            <w:r>
              <w:rPr>
                <w:rFonts w:ascii="Calibri" w:hAnsi="Calibri"/>
                <w:b w:val="0"/>
                <w:i w:val="0"/>
                <w:color w:val="212121"/>
                <w:sz w:val="19"/>
              </w:rPr>
              <w:t>Inconsistent or absent hand-washing</w:t>
            </w:r>
          </w:p>
        </w:tc>
        <w:tc>
          <w:tcPr>
            <w:tcW w:type="dxa" w:w="1468"/>
            <w:vAlign w:val="top"/>
          </w:tcPr>
          <w:p>
            <w:pPr>
              <w:spacing w:after="40" w:before="0" w:line="259" w:lineRule="auto"/>
            </w:pPr>
            <w:r>
              <w:rPr>
                <w:rFonts w:ascii="Calibri" w:hAnsi="Calibri"/>
                <w:b w:val="0"/>
                <w:i w:val="0"/>
                <w:color w:val="212121"/>
                <w:sz w:val="19"/>
              </w:rPr>
              <w:t>Reduces faecal-oral ingestion of eggs from hands, fur and soil.</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Washing/peeling raw produce</w:t>
            </w:r>
          </w:p>
        </w:tc>
        <w:tc>
          <w:tcPr>
            <w:tcW w:type="dxa" w:w="1655"/>
            <w:vAlign w:val="top"/>
          </w:tcPr>
          <w:p>
            <w:pPr>
              <w:spacing w:after="40" w:before="0" w:line="259" w:lineRule="auto"/>
            </w:pPr>
            <w:r>
              <w:rPr>
                <w:rFonts w:ascii="Calibri" w:hAnsi="Calibri"/>
                <w:b w:val="0"/>
                <w:i w:val="0"/>
                <w:color w:val="212121"/>
                <w:sz w:val="19"/>
              </w:rPr>
              <w:t>All residents of endemic areas</w:t>
            </w:r>
          </w:p>
        </w:tc>
        <w:tc>
          <w:tcPr>
            <w:tcW w:type="dxa" w:w="1512"/>
            <w:vAlign w:val="top"/>
          </w:tcPr>
          <w:p>
            <w:pPr>
              <w:spacing w:after="40" w:before="0" w:line="259" w:lineRule="auto"/>
            </w:pPr>
            <w:r>
              <w:rPr>
                <w:rFonts w:ascii="Calibri" w:hAnsi="Calibri"/>
                <w:b w:val="0"/>
                <w:i w:val="0"/>
                <w:color w:val="212121"/>
                <w:sz w:val="19"/>
              </w:rPr>
              <w:t>Thorough washing and peeling</w:t>
            </w:r>
          </w:p>
        </w:tc>
        <w:tc>
          <w:tcPr>
            <w:tcW w:type="dxa" w:w="1512"/>
            <w:vAlign w:val="top"/>
          </w:tcPr>
          <w:p>
            <w:pPr>
              <w:spacing w:after="40" w:before="0" w:line="259" w:lineRule="auto"/>
            </w:pPr>
            <w:r>
              <w:rPr>
                <w:rFonts w:ascii="Calibri" w:hAnsi="Calibri"/>
                <w:b w:val="0"/>
                <w:i w:val="0"/>
                <w:color w:val="212121"/>
                <w:sz w:val="19"/>
              </w:rPr>
              <w:t>Raw, unwashed vegetables or fruit</w:t>
            </w:r>
          </w:p>
        </w:tc>
        <w:tc>
          <w:tcPr>
            <w:tcW w:type="dxa" w:w="1468"/>
            <w:vAlign w:val="top"/>
          </w:tcPr>
          <w:p>
            <w:pPr>
              <w:spacing w:after="40" w:before="0" w:line="259" w:lineRule="auto"/>
            </w:pPr>
            <w:r>
              <w:rPr>
                <w:rFonts w:ascii="Calibri" w:hAnsi="Calibri"/>
                <w:b w:val="0"/>
                <w:i w:val="0"/>
                <w:color w:val="212121"/>
                <w:sz w:val="19"/>
              </w:rPr>
              <w:t>Removes soil-borne eggs from produce before consumption.</w:t>
            </w:r>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Drinking-water safety</w:t>
            </w:r>
          </w:p>
        </w:tc>
        <w:tc>
          <w:tcPr>
            <w:tcW w:type="dxa" w:w="1655"/>
            <w:vAlign w:val="top"/>
          </w:tcPr>
          <w:p>
            <w:pPr>
              <w:spacing w:after="40" w:before="0" w:line="259" w:lineRule="auto"/>
            </w:pPr>
            <w:r>
              <w:rPr>
                <w:rFonts w:ascii="Calibri" w:hAnsi="Calibri"/>
                <w:b w:val="0"/>
                <w:i w:val="0"/>
                <w:color w:val="212121"/>
                <w:sz w:val="19"/>
              </w:rPr>
              <w:t>Rural and pastoral households</w:t>
            </w:r>
          </w:p>
        </w:tc>
        <w:tc>
          <w:tcPr>
            <w:tcW w:type="dxa" w:w="1512"/>
            <w:vAlign w:val="top"/>
          </w:tcPr>
          <w:p>
            <w:pPr>
              <w:spacing w:after="40" w:before="0" w:line="259" w:lineRule="auto"/>
            </w:pPr>
            <w:r>
              <w:rPr>
                <w:rFonts w:ascii="Calibri" w:hAnsi="Calibri"/>
                <w:b w:val="0"/>
                <w:i w:val="0"/>
                <w:color w:val="212121"/>
                <w:sz w:val="19"/>
              </w:rPr>
              <w:t>Boiled, filtered or treated water</w:t>
            </w:r>
          </w:p>
        </w:tc>
        <w:tc>
          <w:tcPr>
            <w:tcW w:type="dxa" w:w="1512"/>
            <w:vAlign w:val="top"/>
          </w:tcPr>
          <w:p>
            <w:pPr>
              <w:spacing w:after="40" w:before="0" w:line="259" w:lineRule="auto"/>
            </w:pPr>
            <w:r>
              <w:rPr>
                <w:rFonts w:ascii="Calibri" w:hAnsi="Calibri"/>
                <w:b w:val="0"/>
                <w:i w:val="0"/>
                <w:color w:val="212121"/>
                <w:sz w:val="19"/>
              </w:rPr>
              <w:t>Untreated surface or shallow-well water</w:t>
            </w:r>
          </w:p>
        </w:tc>
        <w:tc>
          <w:tcPr>
            <w:tcW w:type="dxa" w:w="1468"/>
            <w:vAlign w:val="top"/>
          </w:tcPr>
          <w:p>
            <w:pPr>
              <w:spacing w:after="40" w:before="0" w:line="259" w:lineRule="auto"/>
            </w:pPr>
            <w:r>
              <w:rPr>
                <w:rFonts w:ascii="Calibri" w:hAnsi="Calibri"/>
                <w:b w:val="0"/>
                <w:i w:val="0"/>
                <w:color w:val="212121"/>
                <w:sz w:val="19"/>
              </w:rPr>
              <w:t>Eggs survive in water for months; treatment prevents water-borne ingestion.</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Safe carcass / offal disposal at slaughter</w:t>
            </w:r>
          </w:p>
        </w:tc>
        <w:tc>
          <w:tcPr>
            <w:tcW w:type="dxa" w:w="1655"/>
            <w:vAlign w:val="top"/>
          </w:tcPr>
          <w:p>
            <w:pPr>
              <w:spacing w:after="40" w:before="0" w:line="259" w:lineRule="auto"/>
            </w:pPr>
            <w:r>
              <w:rPr>
                <w:rFonts w:ascii="Calibri" w:hAnsi="Calibri"/>
                <w:b w:val="0"/>
                <w:i w:val="0"/>
                <w:color w:val="212121"/>
                <w:sz w:val="19"/>
              </w:rPr>
              <w:t>Home and informal slaughter</w:t>
            </w:r>
          </w:p>
        </w:tc>
        <w:tc>
          <w:tcPr>
            <w:tcW w:type="dxa" w:w="1512"/>
            <w:vAlign w:val="top"/>
          </w:tcPr>
          <w:p>
            <w:pPr>
              <w:spacing w:after="40" w:before="0" w:line="259" w:lineRule="auto"/>
            </w:pPr>
            <w:r>
              <w:rPr>
                <w:rFonts w:ascii="Calibri" w:hAnsi="Calibri"/>
                <w:b w:val="0"/>
                <w:i w:val="0"/>
                <w:color w:val="212121"/>
                <w:sz w:val="19"/>
              </w:rPr>
              <w:t>Infected viscera destroyed, never fed to dogs</w:t>
            </w:r>
          </w:p>
        </w:tc>
        <w:tc>
          <w:tcPr>
            <w:tcW w:type="dxa" w:w="1512"/>
            <w:vAlign w:val="top"/>
          </w:tcPr>
          <w:p>
            <w:pPr>
              <w:spacing w:after="40" w:before="0" w:line="259" w:lineRule="auto"/>
            </w:pPr>
            <w:r>
              <w:rPr>
                <w:rFonts w:ascii="Calibri" w:hAnsi="Calibri"/>
                <w:b w:val="0"/>
                <w:i w:val="0"/>
                <w:color w:val="212121"/>
                <w:sz w:val="19"/>
              </w:rPr>
              <w:t>Raw offal fed to dogs</w:t>
            </w:r>
          </w:p>
        </w:tc>
        <w:tc>
          <w:tcPr>
            <w:tcW w:type="dxa" w:w="1468"/>
            <w:vAlign w:val="top"/>
          </w:tcPr>
          <w:p>
            <w:pPr>
              <w:spacing w:after="40" w:before="0" w:line="259" w:lineRule="auto"/>
            </w:pPr>
            <w:r>
              <w:rPr>
                <w:rFonts w:ascii="Calibri" w:hAnsi="Calibri"/>
                <w:b w:val="0"/>
                <w:i w:val="0"/>
                <w:color w:val="212121"/>
                <w:sz w:val="19"/>
              </w:rPr>
              <w:t>Breaks the livestock-to-dog amplification step of the life cycle.</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Nutritional status / BMI (surgical fitness)</w:t>
            </w:r>
          </w:p>
        </w:tc>
        <w:tc>
          <w:tcPr>
            <w:tcW w:type="dxa" w:w="1655"/>
            <w:vAlign w:val="top"/>
          </w:tcPr>
          <w:p>
            <w:pPr>
              <w:spacing w:after="40" w:before="0" w:line="259" w:lineRule="auto"/>
            </w:pPr>
            <w:r>
              <w:rPr>
                <w:rFonts w:ascii="Calibri" w:hAnsi="Calibri"/>
                <w:b w:val="0"/>
                <w:i w:val="0"/>
                <w:color w:val="212121"/>
                <w:sz w:val="19"/>
              </w:rPr>
              <w:t>Pre-operative patients</w:t>
            </w:r>
          </w:p>
        </w:tc>
        <w:tc>
          <w:tcPr>
            <w:tcW w:type="dxa" w:w="1512"/>
            <w:vAlign w:val="top"/>
          </w:tcPr>
          <w:p>
            <w:pPr>
              <w:spacing w:after="40" w:before="0" w:line="259" w:lineRule="auto"/>
            </w:pPr>
            <w:r>
              <w:rPr>
                <w:rFonts w:ascii="Calibri" w:hAnsi="Calibri"/>
                <w:b w:val="0"/>
                <w:i w:val="0"/>
                <w:color w:val="212121"/>
                <w:sz w:val="19"/>
              </w:rPr>
              <w:t>18.5-24.9 kg/m2, well nourished</w:t>
            </w:r>
          </w:p>
        </w:tc>
        <w:tc>
          <w:tcPr>
            <w:tcW w:type="dxa" w:w="1512"/>
            <w:vAlign w:val="top"/>
          </w:tcPr>
          <w:p>
            <w:pPr>
              <w:spacing w:after="40" w:before="0" w:line="259" w:lineRule="auto"/>
            </w:pPr>
            <w:r>
              <w:rPr>
                <w:rFonts w:ascii="Calibri" w:hAnsi="Calibri"/>
                <w:b w:val="0"/>
                <w:i w:val="0"/>
                <w:color w:val="212121"/>
                <w:sz w:val="19"/>
              </w:rPr>
              <w:t>Malnutrition or obesity raising operative risk</w:t>
            </w:r>
          </w:p>
        </w:tc>
        <w:tc>
          <w:tcPr>
            <w:tcW w:type="dxa" w:w="1468"/>
            <w:vAlign w:val="top"/>
          </w:tcPr>
          <w:p>
            <w:pPr>
              <w:spacing w:after="40" w:before="0" w:line="259" w:lineRule="auto"/>
            </w:pPr>
            <w:r>
              <w:rPr>
                <w:rFonts w:ascii="Calibri" w:hAnsi="Calibri"/>
                <w:b w:val="0"/>
                <w:i w:val="0"/>
                <w:color w:val="212121"/>
                <w:sz w:val="19"/>
              </w:rPr>
              <w:t>Optimising nutrition and fitness improves perioperative outcomes for cyst surgery.</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Cyst diameter on ultrasound</w:t>
            </w:r>
          </w:p>
        </w:tc>
        <w:tc>
          <w:tcPr>
            <w:tcW w:type="dxa" w:w="1655"/>
            <w:vAlign w:val="top"/>
          </w:tcPr>
          <w:p>
            <w:pPr>
              <w:spacing w:after="40" w:before="0" w:line="259" w:lineRule="auto"/>
            </w:pPr>
            <w:r>
              <w:rPr>
                <w:rFonts w:ascii="Calibri" w:hAnsi="Calibri"/>
                <w:b w:val="0"/>
                <w:i w:val="0"/>
                <w:color w:val="212121"/>
                <w:sz w:val="19"/>
              </w:rPr>
              <w:t>Hepatic hydatid patients</w:t>
            </w:r>
          </w:p>
        </w:tc>
        <w:tc>
          <w:tcPr>
            <w:tcW w:type="dxa" w:w="1512"/>
            <w:vAlign w:val="top"/>
          </w:tcPr>
          <w:p>
            <w:pPr>
              <w:spacing w:after="40" w:before="0" w:line="259" w:lineRule="auto"/>
            </w:pPr>
            <w:r>
              <w:rPr>
                <w:rFonts w:ascii="Calibri" w:hAnsi="Calibri"/>
                <w:b w:val="0"/>
                <w:i w:val="0"/>
                <w:color w:val="212121"/>
                <w:sz w:val="19"/>
              </w:rPr>
              <w:t>No cyst</w:t>
            </w:r>
          </w:p>
        </w:tc>
        <w:tc>
          <w:tcPr>
            <w:tcW w:type="dxa" w:w="1512"/>
            <w:vAlign w:val="top"/>
          </w:tcPr>
          <w:p>
            <w:pPr>
              <w:spacing w:after="40" w:before="0" w:line="259" w:lineRule="auto"/>
            </w:pPr>
            <w:r>
              <w:rPr>
                <w:rFonts w:ascii="Calibri" w:hAnsi="Calibri"/>
                <w:b w:val="0"/>
                <w:i w:val="0"/>
                <w:color w:val="212121"/>
                <w:sz w:val="19"/>
              </w:rPr>
              <w:t>&lt;5 cm uncomplicated -&gt; albendazole; &gt;10 cm -&gt; surgery</w:t>
            </w:r>
          </w:p>
        </w:tc>
        <w:tc>
          <w:tcPr>
            <w:tcW w:type="dxa" w:w="1468"/>
            <w:vAlign w:val="top"/>
          </w:tcPr>
          <w:p>
            <w:pPr>
              <w:spacing w:after="40" w:before="0" w:line="259" w:lineRule="auto"/>
            </w:pPr>
            <w:r>
              <w:rPr>
                <w:rFonts w:ascii="Calibri" w:hAnsi="Calibri"/>
                <w:b w:val="0"/>
                <w:i w:val="0"/>
                <w:color w:val="212121"/>
                <w:sz w:val="19"/>
              </w:rPr>
              <w:t>Cyst size with WHO-IWGE stage guides watch-and-wait versus drug, PAIR or surgery.</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WHO-IWGE ultrasound stage</w:t>
            </w:r>
          </w:p>
        </w:tc>
        <w:tc>
          <w:tcPr>
            <w:tcW w:type="dxa" w:w="1655"/>
            <w:vAlign w:val="top"/>
          </w:tcPr>
          <w:p>
            <w:pPr>
              <w:spacing w:after="40" w:before="0" w:line="259" w:lineRule="auto"/>
            </w:pPr>
            <w:r>
              <w:rPr>
                <w:rFonts w:ascii="Calibri" w:hAnsi="Calibri"/>
                <w:b w:val="0"/>
                <w:i w:val="0"/>
                <w:color w:val="212121"/>
                <w:sz w:val="19"/>
              </w:rPr>
              <w:t>Cystic echinococcosis patients</w:t>
            </w:r>
          </w:p>
        </w:tc>
        <w:tc>
          <w:tcPr>
            <w:tcW w:type="dxa" w:w="1512"/>
            <w:vAlign w:val="top"/>
          </w:tcPr>
          <w:p>
            <w:pPr>
              <w:spacing w:after="40" w:before="0" w:line="259" w:lineRule="auto"/>
            </w:pPr>
            <w:r>
              <w:rPr>
                <w:rFonts w:ascii="Calibri" w:hAnsi="Calibri"/>
                <w:b w:val="0"/>
                <w:i w:val="0"/>
                <w:color w:val="212121"/>
                <w:sz w:val="19"/>
              </w:rPr>
              <w:t>CE4-CE5 (inactive/degenerated)</w:t>
            </w:r>
          </w:p>
        </w:tc>
        <w:tc>
          <w:tcPr>
            <w:tcW w:type="dxa" w:w="1512"/>
            <w:vAlign w:val="top"/>
          </w:tcPr>
          <w:p>
            <w:pPr>
              <w:spacing w:after="40" w:before="0" w:line="259" w:lineRule="auto"/>
            </w:pPr>
            <w:r>
              <w:rPr>
                <w:rFonts w:ascii="Calibri" w:hAnsi="Calibri"/>
                <w:b w:val="0"/>
                <w:i w:val="0"/>
                <w:color w:val="212121"/>
                <w:sz w:val="19"/>
              </w:rPr>
              <w:t>CE1-CE3b (active or transitional)</w:t>
            </w:r>
          </w:p>
        </w:tc>
        <w:tc>
          <w:tcPr>
            <w:tcW w:type="dxa" w:w="1468"/>
            <w:vAlign w:val="top"/>
          </w:tcPr>
          <w:p>
            <w:pPr>
              <w:spacing w:after="60" w:line="259" w:lineRule="auto"/>
            </w:pPr>
            <w:r>
              <w:rPr>
                <w:rFonts w:ascii="Calibri" w:hAnsi="Calibri"/>
                <w:b w:val="0"/>
                <w:i w:val="0"/>
                <w:color w:val="212121"/>
                <w:sz w:val="19"/>
              </w:rPr>
              <w:t>Active and transitional cysts need treatment; inactive cysts can be monitored.</w:t>
            </w:r>
          </w:p>
          <w:p>
            <w:pPr>
              <w:spacing w:after="40" w:line="252" w:lineRule="auto"/>
            </w:pPr>
            <w:hyperlink r:id="rId16">
              <w:r>
                <w:rPr>
                  <w:rFonts w:ascii="Calibri" w:hAnsi="Calibri" w:cs="Calibri"/>
                  <w:sz w:val="18"/>
                  <w:color w:val="1155CC"/>
                  <w:u w:val="single"/>
                </w:rPr>
                <w:t xml:space="preserve">https://pubmed.ncbi.nlm.nih.gov/30364890/</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Albendazole therapy monitoring (LFTs &amp; CBC)</w:t>
            </w:r>
          </w:p>
        </w:tc>
        <w:tc>
          <w:tcPr>
            <w:tcW w:type="dxa" w:w="1655"/>
            <w:vAlign w:val="top"/>
          </w:tcPr>
          <w:p>
            <w:pPr>
              <w:spacing w:after="40" w:before="0" w:line="259" w:lineRule="auto"/>
            </w:pPr>
            <w:r>
              <w:rPr>
                <w:rFonts w:ascii="Calibri" w:hAnsi="Calibri"/>
                <w:b w:val="0"/>
                <w:i w:val="0"/>
                <w:color w:val="212121"/>
                <w:sz w:val="19"/>
              </w:rPr>
              <w:t>Patients on drug therapy</w:t>
            </w:r>
          </w:p>
        </w:tc>
        <w:tc>
          <w:tcPr>
            <w:tcW w:type="dxa" w:w="1512"/>
            <w:vAlign w:val="top"/>
          </w:tcPr>
          <w:p>
            <w:pPr>
              <w:spacing w:after="40" w:before="0" w:line="259" w:lineRule="auto"/>
            </w:pPr>
            <w:r>
              <w:rPr>
                <w:rFonts w:ascii="Calibri" w:hAnsi="Calibri"/>
                <w:b w:val="0"/>
                <w:i w:val="0"/>
                <w:color w:val="212121"/>
                <w:sz w:val="19"/>
              </w:rPr>
              <w:t>Normal transaminases and neutrophil count</w:t>
            </w:r>
          </w:p>
        </w:tc>
        <w:tc>
          <w:tcPr>
            <w:tcW w:type="dxa" w:w="1512"/>
            <w:vAlign w:val="top"/>
          </w:tcPr>
          <w:p>
            <w:pPr>
              <w:spacing w:after="40" w:before="0" w:line="259" w:lineRule="auto"/>
            </w:pPr>
            <w:r>
              <w:rPr>
                <w:rFonts w:ascii="Calibri" w:hAnsi="Calibri"/>
                <w:b w:val="0"/>
                <w:i w:val="0"/>
                <w:color w:val="212121"/>
                <w:sz w:val="19"/>
              </w:rPr>
              <w:t>Transaminases &gt;5x ULN or neutropenia</w:t>
            </w:r>
          </w:p>
        </w:tc>
        <w:tc>
          <w:tcPr>
            <w:tcW w:type="dxa" w:w="1468"/>
            <w:vAlign w:val="top"/>
          </w:tcPr>
          <w:p>
            <w:pPr>
              <w:spacing w:after="40" w:before="0" w:line="259" w:lineRule="auto"/>
            </w:pPr>
            <w:r>
              <w:rPr>
                <w:rFonts w:ascii="Calibri" w:hAnsi="Calibri"/>
                <w:b w:val="0"/>
                <w:i w:val="0"/>
                <w:color w:val="212121"/>
                <w:sz w:val="19"/>
              </w:rPr>
              <w:t>Albendazole is hepatotoxic and myelosuppressive; monitor blood counts and LFTs 2-4 weekly.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Cyst morphology &amp; WHO-IWGE stage</w:t>
            </w:r>
          </w:p>
        </w:tc>
        <w:tc>
          <w:tcPr>
            <w:tcW w:type="dxa" w:w="892"/>
            <w:vAlign w:val="top"/>
          </w:tcPr>
          <w:p>
            <w:pPr>
              <w:spacing w:after="40" w:before="0" w:line="259" w:lineRule="auto"/>
            </w:pPr>
            <w:r>
              <w:rPr>
                <w:rFonts w:ascii="Calibri" w:hAnsi="Calibri"/>
                <w:b w:val="0"/>
                <w:i w:val="0"/>
                <w:color w:val="212121"/>
                <w:sz w:val="16"/>
              </w:rPr>
              <w:t>Abdominal Ultrasonography</w:t>
            </w:r>
          </w:p>
        </w:tc>
        <w:tc>
          <w:tcPr>
            <w:tcW w:type="dxa" w:w="950"/>
            <w:vAlign w:val="top"/>
          </w:tcPr>
          <w:p>
            <w:pPr>
              <w:spacing w:after="40" w:before="0" w:line="259" w:lineRule="auto"/>
            </w:pPr>
            <w:r>
              <w:rPr>
                <w:rFonts w:ascii="Calibri" w:hAnsi="Calibri"/>
                <w:b w:val="0"/>
                <w:i w:val="0"/>
                <w:color w:val="212121"/>
                <w:sz w:val="16"/>
              </w:rPr>
              <w:t>No cystic lesion</w:t>
            </w:r>
          </w:p>
        </w:tc>
        <w:tc>
          <w:tcPr>
            <w:tcW w:type="dxa" w:w="950"/>
            <w:vAlign w:val="top"/>
          </w:tcPr>
          <w:p>
            <w:pPr>
              <w:spacing w:after="40" w:before="0" w:line="259" w:lineRule="auto"/>
            </w:pPr>
            <w:r>
              <w:rPr>
                <w:rFonts w:ascii="Calibri" w:hAnsi="Calibri"/>
                <w:b w:val="0"/>
                <w:i w:val="0"/>
                <w:color w:val="212121"/>
                <w:sz w:val="16"/>
              </w:rPr>
              <w:t>Unilocular/multivesicular cyst, daughter cysts, hydatid sand, detached membranes</w:t>
            </w:r>
          </w:p>
        </w:tc>
        <w:tc>
          <w:tcPr>
            <w:tcW w:type="dxa" w:w="1036"/>
            <w:vAlign w:val="top"/>
          </w:tcPr>
          <w:p>
            <w:pPr>
              <w:spacing w:after="40" w:before="0" w:line="259" w:lineRule="auto"/>
            </w:pPr>
            <w:r>
              <w:rPr>
                <w:rFonts w:ascii="Calibri" w:hAnsi="Calibri"/>
                <w:b w:val="0"/>
                <w:i w:val="0"/>
                <w:color w:val="212121"/>
                <w:sz w:val="16"/>
              </w:rPr>
              <w:t>First-line diagnostic and staging tool for hepatic and abdominal cysts</w:t>
            </w:r>
          </w:p>
        </w:tc>
        <w:tc>
          <w:tcPr>
            <w:tcW w:type="dxa" w:w="1036"/>
            <w:vAlign w:val="top"/>
          </w:tcPr>
          <w:p>
            <w:pPr>
              <w:spacing w:after="40" w:before="0" w:line="259" w:lineRule="auto"/>
            </w:pPr>
            <w:r>
              <w:rPr>
                <w:rFonts w:ascii="Calibri" w:hAnsi="Calibri"/>
                <w:b w:val="0"/>
                <w:i w:val="0"/>
                <w:color w:val="212121"/>
                <w:sz w:val="16"/>
              </w:rPr>
              <w:t>Endemic-area patients with hepatic mass or RUQ pain</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Operator-dependent; avoid blind aspiration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Size, number, biliary &amp; vascular relations</w:t>
            </w:r>
          </w:p>
        </w:tc>
        <w:tc>
          <w:tcPr>
            <w:tcW w:type="dxa" w:w="892"/>
            <w:vAlign w:val="top"/>
          </w:tcPr>
          <w:p>
            <w:pPr>
              <w:spacing w:after="40" w:before="0" w:line="259" w:lineRule="auto"/>
            </w:pPr>
            <w:r>
              <w:rPr>
                <w:rFonts w:ascii="Calibri" w:hAnsi="Calibri"/>
                <w:b w:val="0"/>
                <w:i w:val="0"/>
                <w:color w:val="212121"/>
                <w:sz w:val="16"/>
              </w:rPr>
              <w:t>CT Abdomen</w:t>
            </w:r>
          </w:p>
        </w:tc>
        <w:tc>
          <w:tcPr>
            <w:tcW w:type="dxa" w:w="950"/>
            <w:vAlign w:val="top"/>
          </w:tcPr>
          <w:p>
            <w:pPr>
              <w:spacing w:after="40" w:before="0" w:line="259" w:lineRule="auto"/>
            </w:pPr>
            <w:r>
              <w:rPr>
                <w:rFonts w:ascii="Calibri" w:hAnsi="Calibri"/>
                <w:b w:val="0"/>
                <w:i w:val="0"/>
                <w:color w:val="212121"/>
                <w:sz w:val="16"/>
              </w:rPr>
              <w:t>No cyst</w:t>
            </w:r>
          </w:p>
        </w:tc>
        <w:tc>
          <w:tcPr>
            <w:tcW w:type="dxa" w:w="950"/>
            <w:vAlign w:val="top"/>
          </w:tcPr>
          <w:p>
            <w:pPr>
              <w:spacing w:after="40" w:before="0" w:line="259" w:lineRule="auto"/>
            </w:pPr>
            <w:r>
              <w:rPr>
                <w:rFonts w:ascii="Calibri" w:hAnsi="Calibri"/>
                <w:b w:val="0"/>
                <w:i w:val="0"/>
                <w:color w:val="212121"/>
                <w:sz w:val="16"/>
              </w:rPr>
              <w:t>Well-defined cyst(s), calcified rim, daughter cysts, biliary communication</w:t>
            </w:r>
          </w:p>
        </w:tc>
        <w:tc>
          <w:tcPr>
            <w:tcW w:type="dxa" w:w="1036"/>
            <w:vAlign w:val="top"/>
          </w:tcPr>
          <w:p>
            <w:pPr>
              <w:spacing w:after="40" w:before="0" w:line="259" w:lineRule="auto"/>
            </w:pPr>
            <w:r>
              <w:rPr>
                <w:rFonts w:ascii="Calibri" w:hAnsi="Calibri"/>
                <w:b w:val="0"/>
                <w:i w:val="0"/>
                <w:color w:val="212121"/>
                <w:sz w:val="16"/>
              </w:rPr>
              <w:t>Defines anatomy and complications for surgical planning</w:t>
            </w:r>
          </w:p>
        </w:tc>
        <w:tc>
          <w:tcPr>
            <w:tcW w:type="dxa" w:w="1036"/>
            <w:vAlign w:val="top"/>
          </w:tcPr>
          <w:p>
            <w:pPr>
              <w:spacing w:after="40" w:before="0" w:line="259" w:lineRule="auto"/>
            </w:pPr>
            <w:r>
              <w:rPr>
                <w:rFonts w:ascii="Calibri" w:hAnsi="Calibri"/>
                <w:b w:val="0"/>
                <w:i w:val="0"/>
                <w:color w:val="212121"/>
                <w:sz w:val="16"/>
              </w:rPr>
              <w:t>Pre-operative patients, complicated or extrahepatic disease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MRI/MRCP better for biliary and CNS cysts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Pulmonary cyst / water-lily sign</w:t>
            </w:r>
          </w:p>
        </w:tc>
        <w:tc>
          <w:tcPr>
            <w:tcW w:type="dxa" w:w="892"/>
            <w:vAlign w:val="top"/>
          </w:tcPr>
          <w:p>
            <w:pPr>
              <w:spacing w:after="40" w:before="0" w:line="259" w:lineRule="auto"/>
            </w:pPr>
            <w:r>
              <w:rPr>
                <w:rFonts w:ascii="Calibri" w:hAnsi="Calibri"/>
                <w:b w:val="0"/>
                <w:i w:val="0"/>
                <w:color w:val="212121"/>
                <w:sz w:val="16"/>
              </w:rPr>
              <w:t>Chest X-ray / CT Thorax</w:t>
            </w:r>
          </w:p>
        </w:tc>
        <w:tc>
          <w:tcPr>
            <w:tcW w:type="dxa" w:w="950"/>
            <w:vAlign w:val="top"/>
          </w:tcPr>
          <w:p>
            <w:pPr>
              <w:spacing w:after="40" w:before="0" w:line="259" w:lineRule="auto"/>
            </w:pPr>
            <w:r>
              <w:rPr>
                <w:rFonts w:ascii="Calibri" w:hAnsi="Calibri"/>
                <w:b w:val="0"/>
                <w:i w:val="0"/>
                <w:color w:val="212121"/>
                <w:sz w:val="16"/>
              </w:rPr>
              <w:t>Clear lung fields</w:t>
            </w:r>
          </w:p>
        </w:tc>
        <w:tc>
          <w:tcPr>
            <w:tcW w:type="dxa" w:w="950"/>
            <w:vAlign w:val="top"/>
          </w:tcPr>
          <w:p>
            <w:pPr>
              <w:spacing w:after="40" w:before="0" w:line="259" w:lineRule="auto"/>
            </w:pPr>
            <w:r>
              <w:rPr>
                <w:rFonts w:ascii="Calibri" w:hAnsi="Calibri"/>
                <w:b w:val="0"/>
                <w:i w:val="0"/>
                <w:color w:val="212121"/>
                <w:sz w:val="16"/>
              </w:rPr>
              <w:t>Round opacity; 'water-lily' or 'meniscus' sign if ruptured</w:t>
            </w:r>
          </w:p>
        </w:tc>
        <w:tc>
          <w:tcPr>
            <w:tcW w:type="dxa" w:w="1036"/>
            <w:vAlign w:val="top"/>
          </w:tcPr>
          <w:p>
            <w:pPr>
              <w:spacing w:after="40" w:before="0" w:line="259" w:lineRule="auto"/>
            </w:pPr>
            <w:r>
              <w:rPr>
                <w:rFonts w:ascii="Calibri" w:hAnsi="Calibri"/>
                <w:b w:val="0"/>
                <w:i w:val="0"/>
                <w:color w:val="212121"/>
                <w:sz w:val="16"/>
              </w:rPr>
              <w:t>Detects and characterises pulmonary hydatid cysts</w:t>
            </w:r>
          </w:p>
        </w:tc>
        <w:tc>
          <w:tcPr>
            <w:tcW w:type="dxa" w:w="1036"/>
            <w:vAlign w:val="top"/>
          </w:tcPr>
          <w:p>
            <w:pPr>
              <w:spacing w:after="40" w:before="0" w:line="259" w:lineRule="auto"/>
            </w:pPr>
            <w:r>
              <w:rPr>
                <w:rFonts w:ascii="Calibri" w:hAnsi="Calibri"/>
                <w:b w:val="0"/>
                <w:i w:val="0"/>
                <w:color w:val="212121"/>
                <w:sz w:val="16"/>
              </w:rPr>
              <w:t>Patients with cough, haemoptysis or chest pain</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Lung cysts often thin-walled and may be multiple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Anti-Echinococcus IgG (ELISA / IHA)</w:t>
            </w:r>
          </w:p>
        </w:tc>
        <w:tc>
          <w:tcPr>
            <w:tcW w:type="dxa" w:w="892"/>
            <w:vAlign w:val="top"/>
          </w:tcPr>
          <w:p>
            <w:pPr>
              <w:spacing w:after="40" w:before="0" w:line="259" w:lineRule="auto"/>
            </w:pPr>
            <w:r>
              <w:rPr>
                <w:rFonts w:ascii="Calibri" w:hAnsi="Calibri"/>
                <w:b w:val="0"/>
                <w:i w:val="0"/>
                <w:color w:val="212121"/>
                <w:sz w:val="16"/>
              </w:rPr>
              <w:t>Immunoassay</w:t>
            </w:r>
          </w:p>
        </w:tc>
        <w:tc>
          <w:tcPr>
            <w:tcW w:type="dxa" w:w="950"/>
            <w:vAlign w:val="top"/>
          </w:tcPr>
          <w:p>
            <w:pPr>
              <w:spacing w:after="40" w:before="0" w:line="259" w:lineRule="auto"/>
            </w:pPr>
            <w:r>
              <w:rPr>
                <w:rFonts w:ascii="Calibri" w:hAnsi="Calibri"/>
                <w:b w:val="0"/>
                <w:i w:val="0"/>
                <w:color w:val="212121"/>
                <w:sz w:val="16"/>
              </w:rPr>
              <w:t>Negative / low titre</w:t>
            </w:r>
          </w:p>
        </w:tc>
        <w:tc>
          <w:tcPr>
            <w:tcW w:type="dxa" w:w="950"/>
            <w:vAlign w:val="top"/>
          </w:tcPr>
          <w:p>
            <w:pPr>
              <w:spacing w:after="40" w:before="0" w:line="259" w:lineRule="auto"/>
            </w:pPr>
            <w:r>
              <w:rPr>
                <w:rFonts w:ascii="Calibri" w:hAnsi="Calibri"/>
                <w:b w:val="0"/>
                <w:i w:val="0"/>
                <w:color w:val="212121"/>
                <w:sz w:val="16"/>
              </w:rPr>
              <w:t>Raised antibody titre</w:t>
            </w:r>
          </w:p>
        </w:tc>
        <w:tc>
          <w:tcPr>
            <w:tcW w:type="dxa" w:w="1036"/>
            <w:vAlign w:val="top"/>
          </w:tcPr>
          <w:p>
            <w:pPr>
              <w:spacing w:after="40" w:before="0" w:line="259" w:lineRule="auto"/>
            </w:pPr>
            <w:r>
              <w:rPr>
                <w:rFonts w:ascii="Calibri" w:hAnsi="Calibri"/>
                <w:b w:val="0"/>
                <w:i w:val="0"/>
                <w:color w:val="212121"/>
                <w:sz w:val="16"/>
              </w:rPr>
              <w:t>Supports diagnosis; lower sensitivity for lung, splenic and calcified cysts</w:t>
            </w:r>
          </w:p>
        </w:tc>
        <w:tc>
          <w:tcPr>
            <w:tcW w:type="dxa" w:w="1036"/>
            <w:vAlign w:val="top"/>
          </w:tcPr>
          <w:p>
            <w:pPr>
              <w:spacing w:after="40" w:before="0" w:line="259" w:lineRule="auto"/>
            </w:pPr>
            <w:r>
              <w:rPr>
                <w:rFonts w:ascii="Calibri" w:hAnsi="Calibri"/>
                <w:b w:val="0"/>
                <w:i w:val="0"/>
                <w:color w:val="212121"/>
                <w:sz w:val="16"/>
              </w:rPr>
              <w:t>Suspected hydatid on imaging, follow-up after therapy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False negatives with intact/dead cysts; confirm with immunoblot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Immunology</w:t>
            </w:r>
          </w:p>
        </w:tc>
        <w:tc>
          <w:tcPr>
            <w:tcW w:type="dxa" w:w="1036"/>
            <w:vAlign w:val="top"/>
          </w:tcPr>
          <w:p>
            <w:pPr>
              <w:spacing w:after="40" w:before="0" w:line="259" w:lineRule="auto"/>
            </w:pPr>
            <w:r>
              <w:rPr>
                <w:rFonts w:ascii="Calibri" w:hAnsi="Calibri"/>
                <w:b w:val="0"/>
                <w:i w:val="0"/>
                <w:color w:val="212121"/>
                <w:sz w:val="16"/>
              </w:rPr>
              <w:t>Species-specific antibody bands</w:t>
            </w:r>
          </w:p>
        </w:tc>
        <w:tc>
          <w:tcPr>
            <w:tcW w:type="dxa" w:w="892"/>
            <w:vAlign w:val="top"/>
          </w:tcPr>
          <w:p>
            <w:pPr>
              <w:spacing w:after="40" w:before="0" w:line="259" w:lineRule="auto"/>
            </w:pPr>
            <w:r>
              <w:rPr>
                <w:rFonts w:ascii="Calibri" w:hAnsi="Calibri"/>
                <w:b w:val="0"/>
                <w:i w:val="0"/>
                <w:color w:val="212121"/>
                <w:sz w:val="16"/>
              </w:rPr>
              <w:t>Immunoblot (confirmatory)</w:t>
            </w:r>
          </w:p>
        </w:tc>
        <w:tc>
          <w:tcPr>
            <w:tcW w:type="dxa" w:w="950"/>
            <w:vAlign w:val="top"/>
          </w:tcPr>
          <w:p>
            <w:pPr>
              <w:spacing w:after="40" w:before="0" w:line="259" w:lineRule="auto"/>
            </w:pPr>
            <w:r>
              <w:rPr>
                <w:rFonts w:ascii="Calibri" w:hAnsi="Calibri"/>
                <w:b w:val="0"/>
                <w:i w:val="0"/>
                <w:color w:val="212121"/>
                <w:sz w:val="16"/>
              </w:rPr>
              <w:t>No specific bands</w:t>
            </w:r>
          </w:p>
        </w:tc>
        <w:tc>
          <w:tcPr>
            <w:tcW w:type="dxa" w:w="950"/>
            <w:vAlign w:val="top"/>
          </w:tcPr>
          <w:p>
            <w:pPr>
              <w:spacing w:after="40" w:before="0" w:line="259" w:lineRule="auto"/>
            </w:pPr>
            <w:r>
              <w:rPr>
                <w:rFonts w:ascii="Calibri" w:hAnsi="Calibri"/>
                <w:b w:val="0"/>
                <w:i w:val="0"/>
                <w:color w:val="212121"/>
                <w:sz w:val="16"/>
              </w:rPr>
              <w:t>Echinococcus-specific bands present</w:t>
            </w:r>
          </w:p>
        </w:tc>
        <w:tc>
          <w:tcPr>
            <w:tcW w:type="dxa" w:w="1036"/>
            <w:vAlign w:val="top"/>
          </w:tcPr>
          <w:p>
            <w:pPr>
              <w:spacing w:after="40" w:before="0" w:line="259" w:lineRule="auto"/>
            </w:pPr>
            <w:r>
              <w:rPr>
                <w:rFonts w:ascii="Calibri" w:hAnsi="Calibri"/>
                <w:b w:val="0"/>
                <w:i w:val="0"/>
                <w:color w:val="212121"/>
                <w:sz w:val="16"/>
              </w:rPr>
              <w:t>Improves specificity and helps resolve equivocal serology</w:t>
            </w:r>
          </w:p>
        </w:tc>
        <w:tc>
          <w:tcPr>
            <w:tcW w:type="dxa" w:w="1036"/>
            <w:vAlign w:val="top"/>
          </w:tcPr>
          <w:p>
            <w:pPr>
              <w:spacing w:after="40" w:before="0" w:line="259" w:lineRule="auto"/>
            </w:pPr>
            <w:r>
              <w:rPr>
                <w:rFonts w:ascii="Calibri" w:hAnsi="Calibri"/>
                <w:b w:val="0"/>
                <w:i w:val="0"/>
                <w:color w:val="212121"/>
                <w:sz w:val="16"/>
              </w:rPr>
              <w:t>Serology-positive or equivocal cases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Cross-reactivity reduced versus ELISA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Eosinophil count</w:t>
            </w:r>
          </w:p>
        </w:tc>
        <w:tc>
          <w:tcPr>
            <w:tcW w:type="dxa" w:w="892"/>
            <w:vAlign w:val="top"/>
          </w:tcPr>
          <w:p>
            <w:pPr>
              <w:spacing w:after="40" w:before="0" w:line="259" w:lineRule="auto"/>
            </w:pPr>
            <w:r>
              <w:rPr>
                <w:rFonts w:ascii="Calibri" w:hAnsi="Calibri"/>
                <w:b w:val="0"/>
                <w:i w:val="0"/>
                <w:color w:val="212121"/>
                <w:sz w:val="16"/>
              </w:rPr>
              <w:t>Complete Blood Count</w:t>
            </w:r>
          </w:p>
        </w:tc>
        <w:tc>
          <w:tcPr>
            <w:tcW w:type="dxa" w:w="950"/>
            <w:vAlign w:val="top"/>
          </w:tcPr>
          <w:p>
            <w:pPr>
              <w:spacing w:after="40" w:before="0" w:line="259" w:lineRule="auto"/>
            </w:pPr>
            <w:r>
              <w:rPr>
                <w:rFonts w:ascii="Calibri" w:hAnsi="Calibri"/>
                <w:b w:val="0"/>
                <w:i w:val="0"/>
                <w:color w:val="212121"/>
                <w:sz w:val="16"/>
              </w:rPr>
              <w:t>&lt; 500 cells/microL</w:t>
            </w:r>
          </w:p>
        </w:tc>
        <w:tc>
          <w:tcPr>
            <w:tcW w:type="dxa" w:w="950"/>
            <w:vAlign w:val="top"/>
          </w:tcPr>
          <w:p>
            <w:pPr>
              <w:spacing w:after="40" w:before="0" w:line="259" w:lineRule="auto"/>
            </w:pPr>
            <w:r>
              <w:rPr>
                <w:rFonts w:ascii="Calibri" w:hAnsi="Calibri"/>
                <w:b w:val="0"/>
                <w:i w:val="0"/>
                <w:color w:val="212121"/>
                <w:sz w:val="16"/>
              </w:rPr>
              <w:t>Eosinophilia, often after cyst leakage</w:t>
            </w:r>
          </w:p>
        </w:tc>
        <w:tc>
          <w:tcPr>
            <w:tcW w:type="dxa" w:w="1036"/>
            <w:vAlign w:val="top"/>
          </w:tcPr>
          <w:p>
            <w:pPr>
              <w:spacing w:after="40" w:before="0" w:line="259" w:lineRule="auto"/>
            </w:pPr>
            <w:r>
              <w:rPr>
                <w:rFonts w:ascii="Calibri" w:hAnsi="Calibri"/>
                <w:b w:val="0"/>
                <w:i w:val="0"/>
                <w:color w:val="212121"/>
                <w:sz w:val="16"/>
              </w:rPr>
              <w:t>Non-specific supportive clue; may rise with antigen release</w:t>
            </w:r>
          </w:p>
        </w:tc>
        <w:tc>
          <w:tcPr>
            <w:tcW w:type="dxa" w:w="1036"/>
            <w:vAlign w:val="top"/>
          </w:tcPr>
          <w:p>
            <w:pPr>
              <w:spacing w:after="40" w:before="0" w:line="259" w:lineRule="auto"/>
            </w:pPr>
            <w:r>
              <w:rPr>
                <w:rFonts w:ascii="Calibri" w:hAnsi="Calibri"/>
                <w:b w:val="0"/>
                <w:i w:val="0"/>
                <w:color w:val="212121"/>
                <w:sz w:val="16"/>
              </w:rPr>
              <w:t>Patients with suspected leak or allergic symptoms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Normal count does not exclude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Liver function tests</w:t>
            </w:r>
          </w:p>
        </w:tc>
        <w:tc>
          <w:tcPr>
            <w:tcW w:type="dxa" w:w="892"/>
            <w:vAlign w:val="top"/>
          </w:tcPr>
          <w:p>
            <w:pPr>
              <w:spacing w:after="40" w:before="0" w:line="259" w:lineRule="auto"/>
            </w:pPr>
            <w:r>
              <w:rPr>
                <w:rFonts w:ascii="Calibri" w:hAnsi="Calibri"/>
                <w:b w:val="0"/>
                <w:i w:val="0"/>
                <w:color w:val="212121"/>
                <w:sz w:val="16"/>
              </w:rPr>
              <w:t>Serum LFTs</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Obstructive pattern if biliary communication/compression</w:t>
            </w:r>
          </w:p>
        </w:tc>
        <w:tc>
          <w:tcPr>
            <w:tcW w:type="dxa" w:w="1036"/>
            <w:vAlign w:val="top"/>
          </w:tcPr>
          <w:p>
            <w:pPr>
              <w:spacing w:after="40" w:before="0" w:line="259" w:lineRule="auto"/>
            </w:pPr>
            <w:r>
              <w:rPr>
                <w:rFonts w:ascii="Calibri" w:hAnsi="Calibri"/>
                <w:b w:val="0"/>
                <w:i w:val="0"/>
                <w:color w:val="212121"/>
                <w:sz w:val="16"/>
              </w:rPr>
              <w:t>Detects biliary involvement and baselines albendazole safety monitoring</w:t>
            </w:r>
          </w:p>
        </w:tc>
        <w:tc>
          <w:tcPr>
            <w:tcW w:type="dxa" w:w="1036"/>
            <w:vAlign w:val="top"/>
          </w:tcPr>
          <w:p>
            <w:pPr>
              <w:spacing w:after="40" w:before="0" w:line="259" w:lineRule="auto"/>
            </w:pPr>
            <w:r>
              <w:rPr>
                <w:rFonts w:ascii="Calibri" w:hAnsi="Calibri"/>
                <w:b w:val="0"/>
                <w:i w:val="0"/>
                <w:color w:val="212121"/>
                <w:sz w:val="16"/>
              </w:rPr>
              <w:t>Hepatic cysts, jaundice, patients starting albendazole</w:t>
            </w:r>
          </w:p>
        </w:tc>
        <w:tc>
          <w:tcPr>
            <w:tcW w:type="dxa" w:w="720"/>
            <w:vAlign w:val="top"/>
          </w:tcPr>
          <w:p>
            <w:pPr>
              <w:spacing w:after="40" w:before="0" w:line="259" w:lineRule="auto"/>
            </w:pPr>
            <w:r>
              <w:rPr>
                <w:rFonts w:ascii="Calibri" w:hAnsi="Calibri"/>
                <w:b w:val="0"/>
                <w:i w:val="0"/>
                <w:color w:val="212121"/>
                <w:sz w:val="16"/>
              </w:rPr>
              <w:t>Alcohol; Food</w:t>
            </w:r>
          </w:p>
        </w:tc>
        <w:tc>
          <w:tcPr>
            <w:tcW w:type="dxa" w:w="720"/>
            <w:vAlign w:val="top"/>
          </w:tcPr>
          <w:p>
            <w:pPr>
              <w:spacing w:after="40" w:before="0" w:line="259" w:lineRule="auto"/>
            </w:pPr>
            <w:r>
              <w:rPr>
                <w:rFonts w:ascii="Calibri" w:hAnsi="Calibri"/>
                <w:b w:val="0"/>
                <w:i w:val="0"/>
                <w:color w:val="212121"/>
                <w:sz w:val="16"/>
              </w:rPr>
              <w:t>Baseline/monitoring</w:t>
            </w:r>
          </w:p>
        </w:tc>
        <w:tc>
          <w:tcPr>
            <w:tcW w:type="dxa" w:w="720"/>
            <w:vAlign w:val="top"/>
          </w:tcPr>
          <w:p>
            <w:pPr>
              <w:spacing w:after="40" w:before="0" w:line="259" w:lineRule="auto"/>
            </w:pPr>
            <w:r>
              <w:rPr>
                <w:rFonts w:ascii="Calibri" w:hAnsi="Calibri"/>
                <w:b w:val="0"/>
                <w:i w:val="0"/>
                <w:color w:val="212121"/>
                <w:sz w:val="16"/>
              </w:rPr>
              <w:t>Repeat to monitor drug hepatotoxicity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Parasitology</w:t>
            </w:r>
          </w:p>
        </w:tc>
        <w:tc>
          <w:tcPr>
            <w:tcW w:type="dxa" w:w="1036"/>
            <w:vAlign w:val="top"/>
          </w:tcPr>
          <w:p>
            <w:pPr>
              <w:spacing w:after="40" w:before="0" w:line="259" w:lineRule="auto"/>
            </w:pPr>
            <w:r>
              <w:rPr>
                <w:rFonts w:ascii="Calibri" w:hAnsi="Calibri"/>
                <w:b w:val="0"/>
                <w:i w:val="0"/>
                <w:color w:val="212121"/>
                <w:sz w:val="16"/>
              </w:rPr>
              <w:t>Protoscolices &amp; hooklets / antigen</w:t>
            </w:r>
          </w:p>
        </w:tc>
        <w:tc>
          <w:tcPr>
            <w:tcW w:type="dxa" w:w="892"/>
            <w:vAlign w:val="top"/>
          </w:tcPr>
          <w:p>
            <w:pPr>
              <w:spacing w:after="40" w:before="0" w:line="259" w:lineRule="auto"/>
            </w:pPr>
            <w:r>
              <w:rPr>
                <w:rFonts w:ascii="Calibri" w:hAnsi="Calibri"/>
                <w:b w:val="0"/>
                <w:i w:val="0"/>
                <w:color w:val="212121"/>
                <w:sz w:val="16"/>
              </w:rPr>
              <w:t>Microscopy of aspirate or surgical specimen</w:t>
            </w:r>
          </w:p>
        </w:tc>
        <w:tc>
          <w:tcPr>
            <w:tcW w:type="dxa" w:w="950"/>
            <w:vAlign w:val="top"/>
          </w:tcPr>
          <w:p>
            <w:pPr>
              <w:spacing w:after="40" w:before="0" w:line="259" w:lineRule="auto"/>
            </w:pPr>
            <w:r>
              <w:rPr>
                <w:rFonts w:ascii="Calibri" w:hAnsi="Calibri"/>
                <w:b w:val="0"/>
                <w:i w:val="0"/>
                <w:color w:val="212121"/>
                <w:sz w:val="16"/>
              </w:rPr>
              <w:t>None seen</w:t>
            </w:r>
          </w:p>
        </w:tc>
        <w:tc>
          <w:tcPr>
            <w:tcW w:type="dxa" w:w="950"/>
            <w:vAlign w:val="top"/>
          </w:tcPr>
          <w:p>
            <w:pPr>
              <w:spacing w:after="40" w:before="0" w:line="259" w:lineRule="auto"/>
            </w:pPr>
            <w:r>
              <w:rPr>
                <w:rFonts w:ascii="Calibri" w:hAnsi="Calibri"/>
                <w:b w:val="0"/>
                <w:i w:val="0"/>
                <w:color w:val="212121"/>
                <w:sz w:val="16"/>
              </w:rPr>
              <w:t>Protoscolices, hooklets or antigen detected</w:t>
            </w:r>
          </w:p>
        </w:tc>
        <w:tc>
          <w:tcPr>
            <w:tcW w:type="dxa" w:w="1036"/>
            <w:vAlign w:val="top"/>
          </w:tcPr>
          <w:p>
            <w:pPr>
              <w:spacing w:after="40" w:before="0" w:line="259" w:lineRule="auto"/>
            </w:pPr>
            <w:r>
              <w:rPr>
                <w:rFonts w:ascii="Calibri" w:hAnsi="Calibri"/>
                <w:b w:val="0"/>
                <w:i w:val="0"/>
                <w:color w:val="212121"/>
                <w:sz w:val="16"/>
              </w:rPr>
              <w:t>Definitive confirmation of viable parasite</w:t>
            </w:r>
          </w:p>
        </w:tc>
        <w:tc>
          <w:tcPr>
            <w:tcW w:type="dxa" w:w="1036"/>
            <w:vAlign w:val="top"/>
          </w:tcPr>
          <w:p>
            <w:pPr>
              <w:spacing w:after="40" w:before="0" w:line="259" w:lineRule="auto"/>
            </w:pPr>
            <w:r>
              <w:rPr>
                <w:rFonts w:ascii="Calibri" w:hAnsi="Calibri"/>
                <w:b w:val="0"/>
                <w:i w:val="0"/>
                <w:color w:val="212121"/>
                <w:sz w:val="16"/>
              </w:rPr>
              <w:t>Intra-operative specimens, PAIR aspirates under cover</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Only under scolicidal and anti-allergic cover</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RUQ/epigastric pain, abdominal mass, chronic cough, haemoptysis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Point to hepatic or pulmonary cyst with mass effect</w:t>
            </w:r>
          </w:p>
        </w:tc>
        <w:tc>
          <w:tcPr>
            <w:tcW w:type="dxa" w:w="1036"/>
            <w:vAlign w:val="top"/>
          </w:tcPr>
          <w:p>
            <w:pPr>
              <w:spacing w:after="40" w:before="0" w:line="259" w:lineRule="auto"/>
            </w:pPr>
            <w:r>
              <w:rPr>
                <w:rFonts w:ascii="Calibri" w:hAnsi="Calibri"/>
                <w:b w:val="0"/>
                <w:i w:val="0"/>
                <w:color w:val="212121"/>
                <w:sz w:val="16"/>
              </w:rPr>
              <w:t>Adults from endemic areas with organ symptoms</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asymptomatic and found incidentally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Dog contact, livestock rearing, rural residence</w:t>
            </w:r>
          </w:p>
        </w:tc>
        <w:tc>
          <w:tcPr>
            <w:tcW w:type="dxa" w:w="950"/>
            <w:vAlign w:val="top"/>
          </w:tcPr>
          <w:p>
            <w:pPr>
              <w:spacing w:after="40" w:before="0" w:line="259" w:lineRule="auto"/>
            </w:pPr>
            <w:r>
              <w:rPr>
                <w:rFonts w:ascii="Calibri" w:hAnsi="Calibri"/>
                <w:b w:val="0"/>
                <w:i w:val="0"/>
                <w:color w:val="212121"/>
                <w:sz w:val="16"/>
              </w:rPr>
              <w:t>No exposure</w:t>
            </w:r>
          </w:p>
        </w:tc>
        <w:tc>
          <w:tcPr>
            <w:tcW w:type="dxa" w:w="950"/>
            <w:vAlign w:val="top"/>
          </w:tcPr>
          <w:p>
            <w:pPr>
              <w:spacing w:after="40" w:before="0" w:line="259" w:lineRule="auto"/>
            </w:pPr>
            <w:r>
              <w:rPr>
                <w:rFonts w:ascii="Calibri" w:hAnsi="Calibri"/>
                <w:b w:val="0"/>
                <w:i w:val="0"/>
                <w:color w:val="212121"/>
                <w:sz w:val="16"/>
              </w:rPr>
              <w:t>Positive canine/livestock/rural exposure</w:t>
            </w:r>
          </w:p>
        </w:tc>
        <w:tc>
          <w:tcPr>
            <w:tcW w:type="dxa" w:w="1036"/>
            <w:vAlign w:val="top"/>
          </w:tcPr>
          <w:p>
            <w:pPr>
              <w:spacing w:after="40" w:before="0" w:line="259" w:lineRule="auto"/>
            </w:pPr>
            <w:r>
              <w:rPr>
                <w:rFonts w:ascii="Calibri" w:hAnsi="Calibri"/>
                <w:b w:val="0"/>
                <w:i w:val="0"/>
                <w:color w:val="212121"/>
                <w:sz w:val="16"/>
              </w:rPr>
              <w:t>Establishes epidemiological risk and raises pre-test probability</w:t>
            </w:r>
          </w:p>
        </w:tc>
        <w:tc>
          <w:tcPr>
            <w:tcW w:type="dxa" w:w="1036"/>
            <w:vAlign w:val="top"/>
          </w:tcPr>
          <w:p>
            <w:pPr>
              <w:spacing w:after="40" w:before="0" w:line="259" w:lineRule="auto"/>
            </w:pPr>
            <w:r>
              <w:rPr>
                <w:rFonts w:ascii="Calibri" w:hAnsi="Calibri"/>
                <w:b w:val="0"/>
                <w:i w:val="0"/>
                <w:color w:val="212121"/>
                <w:sz w:val="16"/>
              </w:rPr>
              <w:t>Shepherds, farmers, dog owners, endemic-area residents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Key to distinguishing from other cystic lesions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residential history</w:t>
            </w:r>
          </w:p>
        </w:tc>
        <w:tc>
          <w:tcPr>
            <w:tcW w:type="dxa" w:w="979"/>
            <w:vAlign w:val="top"/>
          </w:tcPr>
          <w:p>
            <w:pPr>
              <w:spacing w:after="40" w:before="0" w:line="259" w:lineRule="auto"/>
            </w:pPr>
            <w:r>
              <w:rPr>
                <w:rFonts w:ascii="Calibri" w:hAnsi="Calibri"/>
                <w:b w:val="0"/>
                <w:i w:val="0"/>
                <w:color w:val="212121"/>
                <w:sz w:val="16"/>
              </w:rPr>
              <w:t>Farming, shepherding, abattoir/butchery work</w:t>
            </w:r>
          </w:p>
        </w:tc>
        <w:tc>
          <w:tcPr>
            <w:tcW w:type="dxa" w:w="950"/>
            <w:vAlign w:val="top"/>
          </w:tcPr>
          <w:p>
            <w:pPr>
              <w:spacing w:after="40" w:before="0" w:line="259" w:lineRule="auto"/>
            </w:pPr>
            <w:r>
              <w:rPr>
                <w:rFonts w:ascii="Calibri" w:hAnsi="Calibri"/>
                <w:b w:val="0"/>
                <w:i w:val="0"/>
                <w:color w:val="212121"/>
                <w:sz w:val="16"/>
              </w:rPr>
              <w:t>Low-risk occupation</w:t>
            </w:r>
          </w:p>
        </w:tc>
        <w:tc>
          <w:tcPr>
            <w:tcW w:type="dxa" w:w="950"/>
            <w:vAlign w:val="top"/>
          </w:tcPr>
          <w:p>
            <w:pPr>
              <w:spacing w:after="40" w:before="0" w:line="259" w:lineRule="auto"/>
            </w:pPr>
            <w:r>
              <w:rPr>
                <w:rFonts w:ascii="Calibri" w:hAnsi="Calibri"/>
                <w:b w:val="0"/>
                <w:i w:val="0"/>
                <w:color w:val="212121"/>
                <w:sz w:val="16"/>
              </w:rPr>
              <w:t>High-exposure occupation</w:t>
            </w:r>
          </w:p>
        </w:tc>
        <w:tc>
          <w:tcPr>
            <w:tcW w:type="dxa" w:w="1036"/>
            <w:vAlign w:val="top"/>
          </w:tcPr>
          <w:p>
            <w:pPr>
              <w:spacing w:after="40" w:before="0" w:line="259" w:lineRule="auto"/>
            </w:pPr>
            <w:r>
              <w:rPr>
                <w:rFonts w:ascii="Calibri" w:hAnsi="Calibri"/>
                <w:b w:val="0"/>
                <w:i w:val="0"/>
                <w:color w:val="212121"/>
                <w:sz w:val="16"/>
              </w:rPr>
              <w:t>Quantifies cumulative occupational exposure</w:t>
            </w:r>
          </w:p>
        </w:tc>
        <w:tc>
          <w:tcPr>
            <w:tcW w:type="dxa" w:w="1036"/>
            <w:vAlign w:val="top"/>
          </w:tcPr>
          <w:p>
            <w:pPr>
              <w:spacing w:after="40" w:before="0" w:line="259" w:lineRule="auto"/>
            </w:pPr>
            <w:r>
              <w:rPr>
                <w:rFonts w:ascii="Calibri" w:hAnsi="Calibri"/>
                <w:b w:val="0"/>
                <w:i w:val="0"/>
                <w:color w:val="212121"/>
                <w:sz w:val="16"/>
              </w:rPr>
              <w:t>Abattoir workers, wool/hide handlers, herders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household and community screening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Abdominal palpation</w:t>
            </w:r>
          </w:p>
        </w:tc>
        <w:tc>
          <w:tcPr>
            <w:tcW w:type="dxa" w:w="979"/>
            <w:vAlign w:val="top"/>
          </w:tcPr>
          <w:p>
            <w:pPr>
              <w:spacing w:after="40" w:before="0" w:line="259" w:lineRule="auto"/>
            </w:pPr>
            <w:r>
              <w:rPr>
                <w:rFonts w:ascii="Calibri" w:hAnsi="Calibri"/>
                <w:b w:val="0"/>
                <w:i w:val="0"/>
                <w:color w:val="212121"/>
                <w:sz w:val="16"/>
              </w:rPr>
              <w:t>Hepatomegaly, smooth palpable cystic mass</w:t>
            </w:r>
          </w:p>
        </w:tc>
        <w:tc>
          <w:tcPr>
            <w:tcW w:type="dxa" w:w="950"/>
            <w:vAlign w:val="top"/>
          </w:tcPr>
          <w:p>
            <w:pPr>
              <w:spacing w:after="40" w:before="0" w:line="259" w:lineRule="auto"/>
            </w:pPr>
            <w:r>
              <w:rPr>
                <w:rFonts w:ascii="Calibri" w:hAnsi="Calibri"/>
                <w:b w:val="0"/>
                <w:i w:val="0"/>
                <w:color w:val="212121"/>
                <w:sz w:val="16"/>
              </w:rPr>
              <w:t>Soft, non-tender abdomen</w:t>
            </w:r>
          </w:p>
        </w:tc>
        <w:tc>
          <w:tcPr>
            <w:tcW w:type="dxa" w:w="950"/>
            <w:vAlign w:val="top"/>
          </w:tcPr>
          <w:p>
            <w:pPr>
              <w:spacing w:after="40" w:before="0" w:line="259" w:lineRule="auto"/>
            </w:pPr>
            <w:r>
              <w:rPr>
                <w:rFonts w:ascii="Calibri" w:hAnsi="Calibri"/>
                <w:b w:val="0"/>
                <w:i w:val="0"/>
                <w:color w:val="212121"/>
                <w:sz w:val="16"/>
              </w:rPr>
              <w:t>Firm, smooth, non-tender hepatic mass</w:t>
            </w:r>
          </w:p>
        </w:tc>
        <w:tc>
          <w:tcPr>
            <w:tcW w:type="dxa" w:w="1036"/>
            <w:vAlign w:val="top"/>
          </w:tcPr>
          <w:p>
            <w:pPr>
              <w:spacing w:after="40" w:before="0" w:line="259" w:lineRule="auto"/>
            </w:pPr>
            <w:r>
              <w:rPr>
                <w:rFonts w:ascii="Calibri" w:hAnsi="Calibri"/>
                <w:b w:val="0"/>
                <w:i w:val="0"/>
                <w:color w:val="212121"/>
                <w:sz w:val="16"/>
              </w:rPr>
              <w:t>Suggests enlarging hepatic cyst</w:t>
            </w:r>
          </w:p>
        </w:tc>
        <w:tc>
          <w:tcPr>
            <w:tcW w:type="dxa" w:w="1036"/>
            <w:vAlign w:val="top"/>
          </w:tcPr>
          <w:p>
            <w:pPr>
              <w:spacing w:after="40" w:before="0" w:line="259" w:lineRule="auto"/>
            </w:pPr>
            <w:r>
              <w:rPr>
                <w:rFonts w:ascii="Calibri" w:hAnsi="Calibri"/>
                <w:b w:val="0"/>
                <w:i w:val="0"/>
                <w:color w:val="212121"/>
                <w:sz w:val="16"/>
              </w:rPr>
              <w:t>Patients with hepatic hydatid</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Avoid vigorous palpation of a tense cyst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Respiratory examination</w:t>
            </w:r>
          </w:p>
        </w:tc>
        <w:tc>
          <w:tcPr>
            <w:tcW w:type="dxa" w:w="979"/>
            <w:vAlign w:val="top"/>
          </w:tcPr>
          <w:p>
            <w:pPr>
              <w:spacing w:after="40" w:before="0" w:line="259" w:lineRule="auto"/>
            </w:pPr>
            <w:r>
              <w:rPr>
                <w:rFonts w:ascii="Calibri" w:hAnsi="Calibri"/>
                <w:b w:val="0"/>
                <w:i w:val="0"/>
                <w:color w:val="212121"/>
                <w:sz w:val="16"/>
              </w:rPr>
              <w:t>Decreased breath sounds, dullness over cyst</w:t>
            </w:r>
          </w:p>
        </w:tc>
        <w:tc>
          <w:tcPr>
            <w:tcW w:type="dxa" w:w="950"/>
            <w:vAlign w:val="top"/>
          </w:tcPr>
          <w:p>
            <w:pPr>
              <w:spacing w:after="40" w:before="0" w:line="259" w:lineRule="auto"/>
            </w:pPr>
            <w:r>
              <w:rPr>
                <w:rFonts w:ascii="Calibri" w:hAnsi="Calibri"/>
                <w:b w:val="0"/>
                <w:i w:val="0"/>
                <w:color w:val="212121"/>
                <w:sz w:val="16"/>
              </w:rPr>
              <w:t>Normal air entry</w:t>
            </w:r>
          </w:p>
        </w:tc>
        <w:tc>
          <w:tcPr>
            <w:tcW w:type="dxa" w:w="950"/>
            <w:vAlign w:val="top"/>
          </w:tcPr>
          <w:p>
            <w:pPr>
              <w:spacing w:after="40" w:before="0" w:line="259" w:lineRule="auto"/>
            </w:pPr>
            <w:r>
              <w:rPr>
                <w:rFonts w:ascii="Calibri" w:hAnsi="Calibri"/>
                <w:b w:val="0"/>
                <w:i w:val="0"/>
                <w:color w:val="212121"/>
                <w:sz w:val="16"/>
              </w:rPr>
              <w:t>Localised reduced breath sounds/dullness</w:t>
            </w:r>
          </w:p>
        </w:tc>
        <w:tc>
          <w:tcPr>
            <w:tcW w:type="dxa" w:w="1036"/>
            <w:vAlign w:val="top"/>
          </w:tcPr>
          <w:p>
            <w:pPr>
              <w:spacing w:after="40" w:before="0" w:line="259" w:lineRule="auto"/>
            </w:pPr>
            <w:r>
              <w:rPr>
                <w:rFonts w:ascii="Calibri" w:hAnsi="Calibri"/>
                <w:b w:val="0"/>
                <w:i w:val="0"/>
                <w:color w:val="212121"/>
                <w:sz w:val="16"/>
              </w:rPr>
              <w:t>Indicates space-occupying pulmonary cyst</w:t>
            </w:r>
          </w:p>
        </w:tc>
        <w:tc>
          <w:tcPr>
            <w:tcW w:type="dxa" w:w="1036"/>
            <w:vAlign w:val="top"/>
          </w:tcPr>
          <w:p>
            <w:pPr>
              <w:spacing w:after="40" w:before="0" w:line="259" w:lineRule="auto"/>
            </w:pPr>
            <w:r>
              <w:rPr>
                <w:rFonts w:ascii="Calibri" w:hAnsi="Calibri"/>
                <w:b w:val="0"/>
                <w:i w:val="0"/>
                <w:color w:val="212121"/>
                <w:sz w:val="16"/>
              </w:rPr>
              <w:t>Patients with pulmonary hydatid</w:t>
            </w:r>
          </w:p>
        </w:tc>
        <w:tc>
          <w:tcPr>
            <w:tcW w:type="dxa" w:w="720"/>
            <w:vAlign w:val="top"/>
          </w:tcPr>
          <w:p>
            <w:pPr>
              <w:spacing w:after="40" w:before="0" w:line="259" w:lineRule="auto"/>
            </w:pPr>
            <w:r>
              <w:rPr>
                <w:rFonts w:ascii="Calibri" w:hAnsi="Calibri"/>
                <w:b w:val="0"/>
                <w:i w:val="0"/>
                <w:color w:val="212121"/>
                <w:sz w:val="16"/>
              </w:rPr>
              <w:t>Smoking</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Correlate with chest imaging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Allergic / systemic signs</w:t>
            </w:r>
          </w:p>
        </w:tc>
        <w:tc>
          <w:tcPr>
            <w:tcW w:type="dxa" w:w="979"/>
            <w:vAlign w:val="top"/>
          </w:tcPr>
          <w:p>
            <w:pPr>
              <w:spacing w:after="40" w:before="0" w:line="259" w:lineRule="auto"/>
            </w:pPr>
            <w:r>
              <w:rPr>
                <w:rFonts w:ascii="Calibri" w:hAnsi="Calibri"/>
                <w:b w:val="0"/>
                <w:i w:val="0"/>
                <w:color w:val="212121"/>
                <w:sz w:val="16"/>
              </w:rPr>
              <w:t>Urticaria, angioedema, hypotension</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(suggesting cyst leak/rupture)</w:t>
            </w:r>
          </w:p>
        </w:tc>
        <w:tc>
          <w:tcPr>
            <w:tcW w:type="dxa" w:w="1036"/>
            <w:vAlign w:val="top"/>
          </w:tcPr>
          <w:p>
            <w:pPr>
              <w:spacing w:after="40" w:before="0" w:line="259" w:lineRule="auto"/>
            </w:pPr>
            <w:r>
              <w:rPr>
                <w:rFonts w:ascii="Calibri" w:hAnsi="Calibri"/>
                <w:b w:val="0"/>
                <w:i w:val="0"/>
                <w:color w:val="212121"/>
                <w:sz w:val="16"/>
              </w:rPr>
              <w:t>Warns of hypersensitivity to escaping cyst antigen</w:t>
            </w:r>
          </w:p>
        </w:tc>
        <w:tc>
          <w:tcPr>
            <w:tcW w:type="dxa" w:w="1036"/>
            <w:vAlign w:val="top"/>
          </w:tcPr>
          <w:p>
            <w:pPr>
              <w:spacing w:after="40" w:before="0" w:line="259" w:lineRule="auto"/>
            </w:pPr>
            <w:r>
              <w:rPr>
                <w:rFonts w:ascii="Calibri" w:hAnsi="Calibri"/>
                <w:b w:val="0"/>
                <w:i w:val="0"/>
                <w:color w:val="212121"/>
                <w:sz w:val="16"/>
              </w:rPr>
              <w:t>Patients with suspected leaking or ruptured cyst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Red flag</w:t>
            </w:r>
          </w:p>
        </w:tc>
        <w:tc>
          <w:tcPr>
            <w:tcW w:type="dxa" w:w="720"/>
            <w:vAlign w:val="top"/>
          </w:tcPr>
          <w:p>
            <w:pPr>
              <w:spacing w:after="40" w:before="0" w:line="259" w:lineRule="auto"/>
            </w:pPr>
            <w:r>
              <w:rPr>
                <w:rFonts w:ascii="Calibri" w:hAnsi="Calibri"/>
                <w:b w:val="0"/>
                <w:i w:val="0"/>
                <w:color w:val="212121"/>
                <w:sz w:val="16"/>
              </w:rPr>
              <w:t>Prepare for anaphylaxis management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Prior treatment / recurrence</w:t>
            </w:r>
          </w:p>
        </w:tc>
        <w:tc>
          <w:tcPr>
            <w:tcW w:type="dxa" w:w="979"/>
            <w:vAlign w:val="top"/>
          </w:tcPr>
          <w:p>
            <w:pPr>
              <w:spacing w:after="40" w:before="0" w:line="259" w:lineRule="auto"/>
            </w:pPr>
            <w:r>
              <w:rPr>
                <w:rFonts w:ascii="Calibri" w:hAnsi="Calibri"/>
                <w:b w:val="0"/>
                <w:i w:val="0"/>
                <w:color w:val="212121"/>
                <w:sz w:val="16"/>
              </w:rPr>
              <w:t>Previous hydatid surgery or spillage</w:t>
            </w:r>
          </w:p>
        </w:tc>
        <w:tc>
          <w:tcPr>
            <w:tcW w:type="dxa" w:w="950"/>
            <w:vAlign w:val="top"/>
          </w:tcPr>
          <w:p>
            <w:pPr>
              <w:spacing w:after="40" w:before="0" w:line="259" w:lineRule="auto"/>
            </w:pPr>
            <w:r>
              <w:rPr>
                <w:rFonts w:ascii="Calibri" w:hAnsi="Calibri"/>
                <w:b w:val="0"/>
                <w:i w:val="0"/>
                <w:color w:val="212121"/>
                <w:sz w:val="16"/>
              </w:rPr>
              <w:t>No prior disease</w:t>
            </w:r>
          </w:p>
        </w:tc>
        <w:tc>
          <w:tcPr>
            <w:tcW w:type="dxa" w:w="950"/>
            <w:vAlign w:val="top"/>
          </w:tcPr>
          <w:p>
            <w:pPr>
              <w:spacing w:after="40" w:before="0" w:line="259" w:lineRule="auto"/>
            </w:pPr>
            <w:r>
              <w:rPr>
                <w:rFonts w:ascii="Calibri" w:hAnsi="Calibri"/>
                <w:b w:val="0"/>
                <w:i w:val="0"/>
                <w:color w:val="212121"/>
                <w:sz w:val="16"/>
              </w:rPr>
              <w:t>Past cyst surgery, rupture or spillage</w:t>
            </w:r>
          </w:p>
        </w:tc>
        <w:tc>
          <w:tcPr>
            <w:tcW w:type="dxa" w:w="1036"/>
            <w:vAlign w:val="top"/>
          </w:tcPr>
          <w:p>
            <w:pPr>
              <w:spacing w:after="40" w:before="0" w:line="259" w:lineRule="auto"/>
            </w:pPr>
            <w:r>
              <w:rPr>
                <w:rFonts w:ascii="Calibri" w:hAnsi="Calibri"/>
                <w:b w:val="0"/>
                <w:i w:val="0"/>
                <w:color w:val="212121"/>
                <w:sz w:val="16"/>
              </w:rPr>
              <w:t>Flags risk of secondary/recurrent disseminated disease</w:t>
            </w:r>
          </w:p>
        </w:tc>
        <w:tc>
          <w:tcPr>
            <w:tcW w:type="dxa" w:w="1036"/>
            <w:vAlign w:val="top"/>
          </w:tcPr>
          <w:p>
            <w:pPr>
              <w:spacing w:after="40" w:before="0" w:line="259" w:lineRule="auto"/>
            </w:pPr>
            <w:r>
              <w:rPr>
                <w:rFonts w:ascii="Calibri" w:hAnsi="Calibri"/>
                <w:b w:val="0"/>
                <w:i w:val="0"/>
                <w:color w:val="212121"/>
                <w:sz w:val="16"/>
              </w:rPr>
              <w:t>Post-operative and previously treated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Warrants surveillance imaging</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Asymptomatic / incidental cyst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Most infections cause no symptoms; cysts grow unnoticed for years and are found incidentally on imaging.</w:t>
            </w:r>
          </w:p>
        </w:tc>
      </w:tr>
      <w:tr>
        <w:trPr>
          <w:cantSplit/>
        </w:trPr>
        <w:tc>
          <w:tcPr>
            <w:tcW w:type="dxa" w:w="2304"/>
            <w:vAlign w:val="top"/>
          </w:tcPr>
          <w:p>
            <w:pPr>
              <w:spacing w:after="40" w:before="0" w:line="259" w:lineRule="auto"/>
            </w:pPr>
            <w:r>
              <w:rPr>
                <w:rFonts w:ascii="Calibri" w:hAnsi="Calibri"/>
                <w:b/>
                <w:i w:val="0"/>
                <w:color w:val="212121"/>
                <w:sz w:val="19"/>
              </w:rPr>
              <w:t>Right upper quadrant / epigastric pain or discomfort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Enlarging hepatic cyst stretches the liver capsule and compresses adjacent structures.</w:t>
            </w:r>
          </w:p>
        </w:tc>
      </w:tr>
      <w:tr>
        <w:trPr>
          <w:cantSplit/>
        </w:trPr>
        <w:tc>
          <w:tcPr>
            <w:tcW w:type="dxa" w:w="2304"/>
            <w:vAlign w:val="top"/>
          </w:tcPr>
          <w:p>
            <w:pPr>
              <w:spacing w:after="40" w:before="0" w:line="259" w:lineRule="auto"/>
            </w:pPr>
            <w:r>
              <w:rPr>
                <w:rFonts w:ascii="Calibri" w:hAnsi="Calibri"/>
                <w:b/>
                <w:i w:val="0"/>
                <w:color w:val="212121"/>
                <w:sz w:val="19"/>
              </w:rPr>
              <w:t>Abdominal swelling / palpable mass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Large hepatic cyst produces visible or palpable upper-abdominal fullness.</w:t>
            </w:r>
          </w:p>
        </w:tc>
      </w:tr>
      <w:tr>
        <w:trPr>
          <w:cantSplit/>
        </w:trPr>
        <w:tc>
          <w:tcPr>
            <w:tcW w:type="dxa" w:w="2304"/>
            <w:vAlign w:val="top"/>
          </w:tcPr>
          <w:p>
            <w:pPr>
              <w:spacing w:after="40" w:before="0" w:line="259" w:lineRule="auto"/>
            </w:pPr>
            <w:r>
              <w:rPr>
                <w:rFonts w:ascii="Calibri" w:hAnsi="Calibri"/>
                <w:b/>
                <w:i w:val="0"/>
                <w:color w:val="212121"/>
                <w:sz w:val="19"/>
              </w:rPr>
              <w:t>Chronic cough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Pulmonary cyst irritates and compresses bronchi and lung parenchyma.</w:t>
            </w:r>
          </w:p>
        </w:tc>
      </w:tr>
      <w:tr>
        <w:trPr>
          <w:cantSplit/>
        </w:trPr>
        <w:tc>
          <w:tcPr>
            <w:tcW w:type="dxa" w:w="2304"/>
            <w:vAlign w:val="top"/>
          </w:tcPr>
          <w:p>
            <w:pPr>
              <w:spacing w:after="40" w:before="0" w:line="259" w:lineRule="auto"/>
            </w:pPr>
            <w:r>
              <w:rPr>
                <w:rFonts w:ascii="Calibri" w:hAnsi="Calibri"/>
                <w:b/>
                <w:i w:val="0"/>
                <w:color w:val="212121"/>
                <w:sz w:val="19"/>
              </w:rPr>
              <w:t>Dyspnoea /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Space-occupying lung cyst reduces functional lung volume.</w:t>
            </w:r>
          </w:p>
        </w:tc>
      </w:tr>
      <w:tr>
        <w:trPr>
          <w:cantSplit/>
        </w:trPr>
        <w:tc>
          <w:tcPr>
            <w:tcW w:type="dxa" w:w="2304"/>
            <w:vAlign w:val="top"/>
          </w:tcPr>
          <w:p>
            <w:pPr>
              <w:spacing w:after="40" w:before="0" w:line="259" w:lineRule="auto"/>
            </w:pPr>
            <w:r>
              <w:rPr>
                <w:rFonts w:ascii="Calibri" w:hAnsi="Calibri"/>
                <w:b/>
                <w:i w:val="0"/>
                <w:color w:val="212121"/>
                <w:sz w:val="19"/>
              </w:rPr>
              <w:t>Nausea, vomiting, early satiety, dyspepsia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Mass effect of hepatic cyst on stomach and duodenum.</w:t>
            </w:r>
          </w:p>
        </w:tc>
      </w:tr>
      <w:tr>
        <w:trPr>
          <w:cantSplit/>
        </w:trPr>
        <w:tc>
          <w:tcPr>
            <w:tcW w:type="dxa" w:w="2304"/>
            <w:vAlign w:val="top"/>
          </w:tcPr>
          <w:p>
            <w:pPr>
              <w:spacing w:after="40" w:before="0" w:line="259" w:lineRule="auto"/>
            </w:pPr>
            <w:r>
              <w:rPr>
                <w:rFonts w:ascii="Calibri" w:hAnsi="Calibri"/>
                <w:b/>
                <w:i w:val="0"/>
                <w:color w:val="212121"/>
                <w:sz w:val="19"/>
              </w:rPr>
              <w:t>Haemoptysis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Pulmonary cyst erodes into airways or vessels.</w:t>
            </w:r>
          </w:p>
        </w:tc>
      </w:tr>
      <w:tr>
        <w:trPr>
          <w:cantSplit/>
        </w:trPr>
        <w:tc>
          <w:tcPr>
            <w:tcW w:type="dxa" w:w="2304"/>
            <w:vAlign w:val="top"/>
          </w:tcPr>
          <w:p>
            <w:pPr>
              <w:spacing w:after="40" w:before="0" w:line="259" w:lineRule="auto"/>
            </w:pPr>
            <w:r>
              <w:rPr>
                <w:rFonts w:ascii="Calibri" w:hAnsi="Calibri"/>
                <w:b/>
                <w:i w:val="0"/>
                <w:color w:val="212121"/>
                <w:sz w:val="19"/>
              </w:rPr>
              <w:t>Jaundice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Cyst compresses or ruptures into the biliary tree causing obstruction.</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secondary bacterial infection of the cyst (cyst abscess).</w:t>
            </w:r>
          </w:p>
        </w:tc>
      </w:tr>
      <w:tr>
        <w:trPr>
          <w:cantSplit/>
        </w:trPr>
        <w:tc>
          <w:tcPr>
            <w:tcW w:type="dxa" w:w="2304"/>
            <w:vAlign w:val="top"/>
          </w:tcPr>
          <w:p>
            <w:pPr>
              <w:spacing w:after="40" w:before="0" w:line="259" w:lineRule="auto"/>
            </w:pPr>
            <w:r>
              <w:rPr>
                <w:rFonts w:ascii="Calibri" w:hAnsi="Calibri"/>
                <w:b/>
                <w:i w:val="0"/>
                <w:color w:val="212121"/>
                <w:sz w:val="19"/>
              </w:rPr>
              <w:t>Urticaria, pruritus, allergic symptoms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Minor leakage of antigenic cyst fluid triggers hypersensitivity.</w:t>
            </w:r>
          </w:p>
        </w:tc>
      </w:tr>
      <w:tr>
        <w:trPr>
          <w:cantSplit/>
        </w:trPr>
        <w:tc>
          <w:tcPr>
            <w:tcW w:type="dxa" w:w="2304"/>
            <w:vAlign w:val="top"/>
          </w:tcPr>
          <w:p>
            <w:pPr>
              <w:spacing w:after="40" w:before="0" w:line="259" w:lineRule="auto"/>
            </w:pPr>
            <w:r>
              <w:rPr>
                <w:rFonts w:ascii="Calibri" w:hAnsi="Calibri"/>
                <w:b/>
                <w:i w:val="0"/>
                <w:color w:val="212121"/>
                <w:sz w:val="19"/>
              </w:rPr>
              <w:t>Weight loss, malaise, fatigue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disease burden or a very large space-occupying cyst.</w:t>
            </w:r>
          </w:p>
        </w:tc>
      </w:tr>
      <w:tr>
        <w:trPr>
          <w:cantSplit/>
        </w:trPr>
        <w:tc>
          <w:tcPr>
            <w:tcW w:type="dxa" w:w="2304"/>
            <w:vAlign w:val="top"/>
          </w:tcPr>
          <w:p>
            <w:pPr>
              <w:spacing w:after="40" w:before="0" w:line="259" w:lineRule="auto"/>
            </w:pPr>
            <w:r>
              <w:rPr>
                <w:rFonts w:ascii="Calibri" w:hAnsi="Calibri"/>
                <w:b/>
                <w:i w:val="0"/>
                <w:color w:val="212121"/>
                <w:sz w:val="19"/>
              </w:rPr>
              <w:t>Expectoration of salty fluid / 'grape-skin' membranes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Pathognomonic of a ruptured pulmonary hydatid cyst discharging into a bronchus.</w:t>
            </w:r>
          </w:p>
        </w:tc>
      </w:tr>
      <w:tr>
        <w:trPr>
          <w:cantSplit/>
        </w:trPr>
        <w:tc>
          <w:tcPr>
            <w:tcW w:type="dxa" w:w="2304"/>
            <w:vAlign w:val="top"/>
          </w:tcPr>
          <w:p>
            <w:pPr>
              <w:spacing w:after="40" w:before="0" w:line="259" w:lineRule="auto"/>
            </w:pPr>
            <w:r>
              <w:rPr>
                <w:rFonts w:ascii="Calibri" w:hAnsi="Calibri"/>
                <w:b/>
                <w:i w:val="0"/>
                <w:color w:val="212121"/>
                <w:sz w:val="19"/>
              </w:rPr>
              <w:t>Anaphylaxis / sudden collapse</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Sudden rupture releases antigen into the circulation, causing anaphylactic shock.</w:t>
            </w:r>
          </w:p>
        </w:tc>
      </w:tr>
      <w:tr>
        <w:trPr>
          <w:cantSplit/>
        </w:trPr>
        <w:tc>
          <w:tcPr>
            <w:tcW w:type="dxa" w:w="2304"/>
            <w:vAlign w:val="top"/>
          </w:tcPr>
          <w:p>
            <w:pPr>
              <w:spacing w:after="40" w:before="0" w:line="259" w:lineRule="auto"/>
            </w:pPr>
            <w:r>
              <w:rPr>
                <w:rFonts w:ascii="Calibri" w:hAnsi="Calibri"/>
                <w:b/>
                <w:i w:val="0"/>
                <w:color w:val="212121"/>
                <w:sz w:val="19"/>
              </w:rPr>
              <w:t>Seizures or focal neurological deficit</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Cerebral hydatid cyst acting as a space-occupying lesion.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Hepatomegaly / smooth palpable cystic mass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Enlarged liver bearing a well-defined, non-tender cyst.</w:t>
            </w:r>
          </w:p>
        </w:tc>
      </w:tr>
      <w:tr>
        <w:trPr>
          <w:cantSplit/>
        </w:trPr>
        <w:tc>
          <w:tcPr>
            <w:tcW w:type="dxa" w:w="3456"/>
            <w:vAlign w:val="top"/>
          </w:tcPr>
          <w:p>
            <w:pPr>
              <w:spacing w:after="40" w:before="0" w:line="259" w:lineRule="auto"/>
            </w:pPr>
            <w:r>
              <w:rPr>
                <w:rFonts w:ascii="Calibri" w:hAnsi="Calibri"/>
                <w:b/>
                <w:i w:val="0"/>
                <w:color w:val="212121"/>
                <w:sz w:val="19"/>
              </w:rPr>
              <w:t>Decreased breath sounds / dullness over a lung cyst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Localised reduced air entry from a space-occupying pulmonary cyst.</w:t>
            </w:r>
          </w:p>
        </w:tc>
      </w:tr>
      <w:tr>
        <w:trPr>
          <w:cantSplit/>
        </w:trPr>
        <w:tc>
          <w:tcPr>
            <w:tcW w:type="dxa" w:w="3456"/>
            <w:vAlign w:val="top"/>
          </w:tcPr>
          <w:p>
            <w:pPr>
              <w:spacing w:after="40" w:before="0" w:line="259" w:lineRule="auto"/>
            </w:pPr>
            <w:r>
              <w:rPr>
                <w:rFonts w:ascii="Calibri" w:hAnsi="Calibri"/>
                <w:b/>
                <w:i w:val="0"/>
                <w:color w:val="212121"/>
                <w:sz w:val="19"/>
              </w:rPr>
              <w:t>Scleral icterus / jaundice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Biliary obstruction from cyst compression or rupture into bile ducts.</w:t>
            </w:r>
          </w:p>
        </w:tc>
      </w:tr>
      <w:tr>
        <w:trPr>
          <w:cantSplit/>
        </w:trPr>
        <w:tc>
          <w:tcPr>
            <w:tcW w:type="dxa" w:w="3456"/>
            <w:vAlign w:val="top"/>
          </w:tcPr>
          <w:p>
            <w:pPr>
              <w:spacing w:after="40" w:before="0" w:line="259" w:lineRule="auto"/>
            </w:pPr>
            <w:r>
              <w:rPr>
                <w:rFonts w:ascii="Calibri" w:hAnsi="Calibri"/>
                <w:b/>
                <w:i w:val="0"/>
                <w:color w:val="212121"/>
                <w:sz w:val="19"/>
              </w:rPr>
              <w:t>Urticarial rash / signs of allergic reaction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Cutaneous hypersensitivity from leaking cyst antigen.</w:t>
            </w:r>
          </w:p>
        </w:tc>
      </w:tr>
      <w:tr>
        <w:trPr>
          <w:cantSplit/>
        </w:trPr>
        <w:tc>
          <w:tcPr>
            <w:tcW w:type="dxa" w:w="3456"/>
            <w:vAlign w:val="top"/>
          </w:tcPr>
          <w:p>
            <w:pPr>
              <w:spacing w:after="40" w:before="0" w:line="259" w:lineRule="auto"/>
            </w:pPr>
            <w:r>
              <w:rPr>
                <w:rFonts w:ascii="Calibri" w:hAnsi="Calibri"/>
                <w:b/>
                <w:i w:val="0"/>
                <w:color w:val="212121"/>
                <w:sz w:val="19"/>
              </w:rPr>
              <w:t>Fever with a tender cyst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Secondary bacterial infection converting a cyst into an abscess.</w:t>
            </w:r>
          </w:p>
        </w:tc>
      </w:tr>
      <w:tr>
        <w:trPr>
          <w:cantSplit/>
        </w:trPr>
        <w:tc>
          <w:tcPr>
            <w:tcW w:type="dxa" w:w="3456"/>
            <w:vAlign w:val="top"/>
          </w:tcPr>
          <w:p>
            <w:pPr>
              <w:spacing w:after="40" w:before="0" w:line="259" w:lineRule="auto"/>
            </w:pPr>
            <w:r>
              <w:rPr>
                <w:rFonts w:ascii="Calibri" w:hAnsi="Calibri"/>
                <w:b/>
                <w:i w:val="0"/>
                <w:color w:val="212121"/>
                <w:sz w:val="19"/>
              </w:rPr>
              <w:t>Peripheral eosinophilia (laboratory sign)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Non-specific eosinophil rise, more marked after cyst leakage.</w:t>
            </w:r>
          </w:p>
        </w:tc>
      </w:tr>
      <w:tr>
        <w:trPr>
          <w:cantSplit/>
        </w:trPr>
        <w:tc>
          <w:tcPr>
            <w:tcW w:type="dxa" w:w="3456"/>
            <w:vAlign w:val="top"/>
          </w:tcPr>
          <w:p>
            <w:pPr>
              <w:spacing w:after="40" w:before="0" w:line="259" w:lineRule="auto"/>
            </w:pPr>
            <w:r>
              <w:rPr>
                <w:rFonts w:ascii="Calibri" w:hAnsi="Calibri"/>
                <w:b/>
                <w:i w:val="0"/>
                <w:color w:val="212121"/>
                <w:sz w:val="19"/>
              </w:rPr>
              <w:t>Signs of anaphylaxis (hypotension, bronchospasm, angioedema)</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Systemic hypersensitivity following cyst rupture.</w:t>
            </w:r>
          </w:p>
        </w:tc>
      </w:tr>
      <w:tr>
        <w:trPr>
          <w:cantSplit/>
        </w:trPr>
        <w:tc>
          <w:tcPr>
            <w:tcW w:type="dxa" w:w="3456"/>
            <w:vAlign w:val="top"/>
          </w:tcPr>
          <w:p>
            <w:pPr>
              <w:spacing w:after="40" w:before="0" w:line="259" w:lineRule="auto"/>
            </w:pPr>
            <w:r>
              <w:rPr>
                <w:rFonts w:ascii="Calibri" w:hAnsi="Calibri"/>
                <w:b/>
                <w:i w:val="0"/>
                <w:color w:val="212121"/>
                <w:sz w:val="19"/>
              </w:rPr>
              <w:t>Ascites / features of portal hypertension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Large cyst compressing the portal vein or hepatic outflow.</w:t>
            </w:r>
          </w:p>
        </w:tc>
      </w:tr>
      <w:tr>
        <w:trPr>
          <w:cantSplit/>
        </w:trPr>
        <w:tc>
          <w:tcPr>
            <w:tcW w:type="dxa" w:w="3456"/>
            <w:vAlign w:val="top"/>
          </w:tcPr>
          <w:p>
            <w:pPr>
              <w:spacing w:after="40" w:before="0" w:line="259" w:lineRule="auto"/>
            </w:pPr>
            <w:r>
              <w:rPr>
                <w:rFonts w:ascii="Calibri" w:hAnsi="Calibri"/>
                <w:b/>
                <w:i w:val="0"/>
                <w:color w:val="212121"/>
                <w:sz w:val="19"/>
              </w:rPr>
              <w:t>Hydatid thrill over a superficial cyst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Classical but seldom-elicited palpable thrill; palpation is discouraged.</w:t>
            </w:r>
          </w:p>
        </w:tc>
      </w:tr>
      <w:tr>
        <w:trPr>
          <w:cantSplit/>
        </w:trPr>
        <w:tc>
          <w:tcPr>
            <w:tcW w:type="dxa" w:w="3456"/>
            <w:vAlign w:val="top"/>
          </w:tcPr>
          <w:p>
            <w:pPr>
              <w:spacing w:after="40" w:before="0" w:line="259" w:lineRule="auto"/>
            </w:pPr>
            <w:r>
              <w:rPr>
                <w:rFonts w:ascii="Calibri" w:hAnsi="Calibri"/>
                <w:b/>
                <w:i w:val="0"/>
                <w:color w:val="212121"/>
                <w:sz w:val="19"/>
              </w:rPr>
              <w:t>Localised swelling or pathological fracture</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Osseous hydatid disease weakening and expanding bone.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cyst enlargement with mass effect and compression of adjacent organs/vessels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bacterial infection of the cyst (cyst abscess)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Cyst rupture - into the peritoneum, pleural cavity, biliary tree or a bronchus</w:t>
            </w:r>
          </w:p>
        </w:tc>
        <w:tc>
          <w:tcPr>
            <w:tcW w:type="dxa" w:w="2980"/>
            <w:vAlign w:val="top"/>
          </w:tcPr>
          <w:p>
            <w:pPr>
              <w:spacing w:after="40" w:before="0" w:line="259" w:lineRule="auto"/>
            </w:pPr>
            <w:r>
              <w:rPr>
                <w:rFonts w:ascii="Calibri" w:hAnsi="Calibri"/>
                <w:b w:val="0"/>
                <w:i w:val="0"/>
                <w:color w:val="212121"/>
                <w:sz w:val="19"/>
              </w:rPr>
              <w:t>Direct local consequences of a slowly expanding or breached cyst</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Anaphylaxis / anaphylactic shock from antigen release on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(disseminated) echinococcosis from spillage of protoscolices seeding new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Biliary obstruction, obstructive jaundice and cholangitis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Bronchobiliary or bronchopleural fistula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Portal hypertension or Budd-Chiari-type obstruction from vascular compression</w:t>
            </w:r>
          </w:p>
        </w:tc>
        <w:tc>
          <w:tcPr>
            <w:tcW w:type="dxa" w:w="2980"/>
            <w:vAlign w:val="top"/>
          </w:tcPr>
          <w:p>
            <w:pPr>
              <w:spacing w:after="40" w:before="0" w:line="259" w:lineRule="auto"/>
            </w:pPr>
            <w:r>
              <w:rPr>
                <w:rFonts w:ascii="Calibri" w:hAnsi="Calibri"/>
                <w:b w:val="0"/>
                <w:i w:val="0"/>
                <w:color w:val="212121"/>
                <w:sz w:val="19"/>
              </w:rPr>
              <w:t>Result from rupture, spillage and pressure effects on biliary and vascular structures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or inoperable disseminated hydatidosis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organ damage (hepatic, pulmonary) and chronic disability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Peri-operative death and post-treatment relapse</w:t>
            </w:r>
          </w:p>
        </w:tc>
        <w:tc>
          <w:tcPr>
            <w:tcW w:type="dxa" w:w="2980"/>
            <w:vAlign w:val="top"/>
          </w:tcPr>
          <w:p>
            <w:pPr>
              <w:spacing w:after="40" w:before="0" w:line="259" w:lineRule="auto"/>
            </w:pPr>
            <w:r>
              <w:rPr>
                <w:rFonts w:ascii="Calibri" w:hAnsi="Calibri"/>
                <w:b w:val="0"/>
                <w:i w:val="0"/>
                <w:color w:val="212121"/>
                <w:sz w:val="19"/>
              </w:rPr>
              <w:t>Irreversible outcomes of advanced disease; WHO cites ~2.2% post-operative mortality and ~6.5% relapse after intervention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Secondary bacterial infection of the cyst (hepatic/pulmonary abscess)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Superinfection of a cyst converts it into an abscess with fever and sepsis risk.</w:t>
            </w:r>
          </w:p>
        </w:tc>
      </w:tr>
      <w:tr>
        <w:trPr>
          <w:cantSplit/>
        </w:trPr>
        <w:tc>
          <w:tcPr>
            <w:tcW w:type="dxa" w:w="2232"/>
            <w:vAlign w:val="top"/>
          </w:tcPr>
          <w:p>
            <w:pPr>
              <w:spacing w:after="40" w:before="0" w:line="259" w:lineRule="auto"/>
            </w:pPr>
            <w:r>
              <w:rPr>
                <w:rFonts w:ascii="Calibri" w:hAnsi="Calibri"/>
                <w:b/>
                <w:i w:val="0"/>
                <w:color w:val="212121"/>
                <w:sz w:val="19"/>
              </w:rPr>
              <w:t>Obstructive jaundice / cholangitis (biliary rupture or compression)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Cyst communication with the biliary tree causes obstruction, cholangitis and alters surgical approach.</w:t>
            </w:r>
          </w:p>
        </w:tc>
      </w:tr>
      <w:tr>
        <w:trPr>
          <w:cantSplit/>
        </w:trPr>
        <w:tc>
          <w:tcPr>
            <w:tcW w:type="dxa" w:w="2232"/>
            <w:vAlign w:val="top"/>
          </w:tcPr>
          <w:p>
            <w:pPr>
              <w:spacing w:after="40" w:before="0" w:line="259" w:lineRule="auto"/>
            </w:pPr>
            <w:r>
              <w:rPr>
                <w:rFonts w:ascii="Calibri" w:hAnsi="Calibri"/>
                <w:b/>
                <w:i w:val="0"/>
                <w:color w:val="212121"/>
                <w:sz w:val="19"/>
              </w:rPr>
              <w:t>Anaphylaxis / hydatid hypersensitivity reactions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Escape of antigenic cyst fluid provokes urticaria through to fatal anaphylactic shock.</w:t>
            </w:r>
          </w:p>
        </w:tc>
      </w:tr>
      <w:tr>
        <w:trPr>
          <w:cantSplit/>
        </w:trPr>
        <w:tc>
          <w:tcPr>
            <w:tcW w:type="dxa" w:w="2232"/>
            <w:vAlign w:val="top"/>
          </w:tcPr>
          <w:p>
            <w:pPr>
              <w:spacing w:after="40" w:before="0" w:line="259" w:lineRule="auto"/>
            </w:pPr>
            <w:r>
              <w:rPr>
                <w:rFonts w:ascii="Calibri" w:hAnsi="Calibri"/>
                <w:b/>
                <w:i w:val="0"/>
                <w:color w:val="212121"/>
                <w:sz w:val="19"/>
              </w:rPr>
              <w:t>Secondary (disseminated) echinococcosis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Spillage of protoscolices seeds multiple new cysts; recurrence follows ~6.5% of interventions.</w:t>
            </w:r>
          </w:p>
          <w:p>
            <w:pPr>
              <w:spacing w:after="40" w:before="0" w:line="259" w:lineRule="auto"/>
            </w:pPr>
            <w:r>
              <w:rPr>
                <w:rFonts w:ascii="Calibri" w:hAnsi="Calibri"/>
                <w:b/>
                <w:i w:val="0"/>
                <w:color w:val="212121"/>
                <w:sz w:val="19"/>
              </w:rPr>
              <w:t>~6.5% after intervention</w:t>
            </w:r>
          </w:p>
        </w:tc>
      </w:tr>
      <w:tr>
        <w:trPr>
          <w:cantSplit/>
        </w:trPr>
        <w:tc>
          <w:tcPr>
            <w:tcW w:type="dxa" w:w="2232"/>
            <w:vAlign w:val="top"/>
          </w:tcPr>
          <w:p>
            <w:pPr>
              <w:spacing w:after="40" w:before="0" w:line="259" w:lineRule="auto"/>
            </w:pPr>
            <w:r>
              <w:rPr>
                <w:rFonts w:ascii="Calibri" w:hAnsi="Calibri"/>
                <w:b/>
                <w:i w:val="0"/>
                <w:color w:val="212121"/>
                <w:sz w:val="19"/>
              </w:rPr>
              <w:t>Portal hypertension / Budd-Chiari-type venous obstruction</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A large or centrally placed cyst compresses the portal vein or hepatic venous outflow.</w:t>
            </w:r>
          </w:p>
        </w:tc>
      </w:tr>
      <w:tr>
        <w:trPr>
          <w:cantSplit/>
        </w:trPr>
        <w:tc>
          <w:tcPr>
            <w:tcW w:type="dxa" w:w="2232"/>
            <w:vAlign w:val="top"/>
          </w:tcPr>
          <w:p>
            <w:pPr>
              <w:spacing w:after="40" w:before="0" w:line="259" w:lineRule="auto"/>
            </w:pPr>
            <w:r>
              <w:rPr>
                <w:rFonts w:ascii="Calibri" w:hAnsi="Calibri"/>
                <w:b/>
                <w:i w:val="0"/>
                <w:color w:val="212121"/>
                <w:sz w:val="19"/>
              </w:rPr>
              <w:t>Immunosuppression (HIV, transplant, chemotherapy)</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Blunted cell-mediated immunity accelerates cyst growth, favours dissemination and impairs serology.</w:t>
            </w:r>
          </w:p>
        </w:tc>
      </w:tr>
      <w:tr>
        <w:trPr>
          <w:cantSplit/>
        </w:trPr>
        <w:tc>
          <w:tcPr>
            <w:tcW w:type="dxa" w:w="2232"/>
            <w:vAlign w:val="top"/>
          </w:tcPr>
          <w:p>
            <w:pPr>
              <w:spacing w:after="40" w:before="0" w:line="259" w:lineRule="auto"/>
            </w:pPr>
            <w:r>
              <w:rPr>
                <w:rFonts w:ascii="Calibri" w:hAnsi="Calibri"/>
                <w:b/>
                <w:i w:val="0"/>
                <w:color w:val="212121"/>
                <w:sz w:val="19"/>
              </w:rPr>
              <w:t>Chronic liver disease / other cystic liver lesions</w:t>
            </w:r>
          </w:p>
        </w:tc>
        <w:tc>
          <w:tcPr>
            <w:tcW w:type="dxa" w:w="2520"/>
            <w:vAlign w:val="top"/>
          </w:tcPr>
          <w:p>
            <w:pPr>
              <w:spacing w:after="40" w:before="0" w:line="259" w:lineRule="auto"/>
            </w:pPr>
            <w:r>
              <w:rPr>
                <w:rFonts w:ascii="Calibri" w:hAnsi="Calibri"/>
                <w:b w:val="0"/>
                <w:i w:val="0"/>
                <w:color w:val="212121"/>
                <w:sz w:val="18"/>
              </w:rPr>
              <w:t>Clinical Management Impact</w:t>
            </w:r>
          </w:p>
        </w:tc>
        <w:tc>
          <w:tcPr>
            <w:tcW w:type="dxa" w:w="4852"/>
            <w:vAlign w:val="top"/>
          </w:tcPr>
          <w:p>
            <w:pPr>
              <w:spacing w:after="40" w:before="0" w:line="259" w:lineRule="auto"/>
            </w:pPr>
            <w:r>
              <w:rPr>
                <w:rFonts w:ascii="Calibri" w:hAnsi="Calibri"/>
                <w:b w:val="0"/>
                <w:i w:val="0"/>
                <w:color w:val="212121"/>
                <w:sz w:val="19"/>
              </w:rPr>
              <w:t>Diagnostic overlap with simple, neoplastic and abscess-related cysts complicates imaging interpretation and surgical risk.</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Deworm household and farm dogs regularly with praziquantel (about every 6 weeks) and control stray-dog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Never feed raw or infected animal viscera (offal) to dogs; ensure safe home slaughter and proper disposal of infected organs.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hands thoroughly with soap after contact with dogs, livestock or soil, and before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Wash and peel raw vegetables and fruit, and drink only boiled, filtered or treated water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close face contact with, and feeding of, unwormed stray dogs.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features (right-upper-abdomen pain or mass, chronic cough, allergic reactions) and seek timely imaging.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&amp; pastoral communities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Dog owners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Farmers and shepherds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Abattoir and butchery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endemic areas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albendazole course (often with praziquantel) and never stop early on your own.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scheduled blood tests (liver function, blood counts) during drug therapy to catch side effects.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all follow-up ultrasound appointments; inactive CE4-CE5 cysts may be safely monitored ('watch and wait').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Do not allow needle aspiration or drainage of a cyst outside a specialist centre because of rupture and anaphylaxis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emergency care immediately for sudden severe pain, breathlessness, hives or collapse.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medical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surveillance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Inoperable/recurrent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Thoroughly wash and, where possible, peel raw vegetables and fruit before eating.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salads and produce washed in untreated water when in endemic rural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 food handling and keep dogs away from kitchens and food-preparation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Store and cover food to prevent contamination by dog faeces, dust and flies.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Farming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pastoral regions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nutrition and general fitness before elective cyst surgery to improve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Resume activity gradually and as guided after hepatic or thoracic surgery.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contact sports or activities risking blunt abdominal trauma while a large cyst is present, to reduce rupture risk.</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large intact cysts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or avoid alcohol, especially with hepatic hydatid disease, to protect liver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while on albendazole because both stress the liver and can compound hepatotoxicity.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hepatic cysts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albendazole</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to improve pulmonary reserve and wound healing, particularly with lung hydatid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before planned thoracic surgery to lower respiratory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pulmonary hydatid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Pre-operative thoracic surgery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regular sleep to support immune function and recovery during long treatment courses.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pain or cough-related sleep disruption with your clinician.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prolonged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Post-operative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reassurance and counselling to cope with the anxiety of a chronic parasitic diagnosis and fear of rupture.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adherence support and reminders to sustain months-long drug therapy and follow-up imaging.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Engage family and community health workers for practical and emotional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chronic/recurrent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on long-term 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patients with limited access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echinococcosis" TargetMode="External"/><Relationship Id="rId10" Type="http://schemas.openxmlformats.org/officeDocument/2006/relationships/hyperlink" Target="https://pubmed.ncbi.nlm.nih.gov/24148988/" TargetMode="External"/><Relationship Id="rId11" Type="http://schemas.openxmlformats.org/officeDocument/2006/relationships/hyperlink" Target="https://pubmed.ncbi.nlm.nih.gov/29114488/" TargetMode="External"/><Relationship Id="rId12" Type="http://schemas.openxmlformats.org/officeDocument/2006/relationships/hyperlink" Target="https://pubmed.ncbi.nlm.nih.gov/40850573/" TargetMode="External"/><Relationship Id="rId13" Type="http://schemas.openxmlformats.org/officeDocument/2006/relationships/hyperlink" Target="https://pubmed.ncbi.nlm.nih.gov/31014606/" TargetMode="External"/><Relationship Id="rId14" Type="http://schemas.openxmlformats.org/officeDocument/2006/relationships/hyperlink" Target="https://www.cdc.gov/echinococcosis/about/index.html" TargetMode="External"/><Relationship Id="rId15" Type="http://schemas.openxmlformats.org/officeDocument/2006/relationships/hyperlink" Target="https://pubmed.ncbi.nlm.nih.gov/29654685/" TargetMode="External"/><Relationship Id="rId16" Type="http://schemas.openxmlformats.org/officeDocument/2006/relationships/hyperlink" Target="https://pubmed.ncbi.nlm.nih.gov/3036489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