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Shigellosis / Bacillary Dysentery</w:t>
      </w:r>
    </w:p>
    <w:p>
      <w:pPr>
        <w:spacing w:before="0" w:after="160"/>
      </w:pPr>
      <w:r>
        <w:rPr>
          <w:rFonts w:ascii="Calibri" w:hAnsi="Calibri"/>
          <w:b/>
          <w:i w:val="0"/>
          <w:color w:val="212121"/>
          <w:sz w:val="22"/>
        </w:rPr>
        <w:t xml:space="preserve">AKA </w:t>
      </w:r>
      <w:r>
        <w:rPr>
          <w:rFonts w:ascii="Calibri" w:hAnsi="Calibri"/>
          <w:b w:val="0"/>
          <w:i w:val="0"/>
          <w:color w:val="212121"/>
          <w:sz w:val="22"/>
        </w:rPr>
        <w:t>i.e., Bacillary dysentery, Shigella enteritis, Shigella gastroenteritis, Marasmus-associated dysentery (lay: bloody loose motions, khooni dast)</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Shigellosis (bacillary dysentery) is an acute invasive bacterial infection of the colon and distal ileum caused by Gram-negative, non-motile, non-lactose-fermenting bacilli of the genus Shigella (serogroups S. dysenteriae, S. flexneri, S. boydii and S. sonnei). It classically presents as dysentery — fever with frequent, small-volume stools containing blood and mucus, abdominal cramps and painful straining at stool (tenesmus). Shigella is exquisitely contagious: swallowing as few as 10–100 organisms can cause disease, and spread is faecal–oral through contaminated food or water, person-to-person contact and, in adults, sexual contact.</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Shigella is among the leading bacterial causes of dysentery and moderate-to-severe diarrhoea in India, where Shigella flexneri is the predominant serogroup while S. sonnei is steadily rising and S. dysenteriae has largely receded from the north and east. National incidence is under-captured by routine surveillance, but diarrhoeal diseases still accounted for an estimated 0.46 million deaths across all ages in India in 2023 (a 68.3% fall from 1.46 million in 1990), with the burden concentrated in young children and older adults and in states with weaker sanitation. Pooled childhood-diarrhoea prevalence across South Asia (India included) is about 10.1%, and in the MAL-ED birth-cohort — which had an Indian site — 29.6% of children experienced at least one Shigella-attributed diarrhoea episode by the age of two years.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Shigellosis is suspected clinically in any patient with acute febrile dysentery (bloody, mucoid, small-volume stools with cramps and tenesmus) and confirmed by stool studies. Diagnosis rests on one or more of the following, with antimicrobial susceptibility testing on every isolate given rising multidrug resistance: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clinical dysentery — fever plus frequent small-volume stools with visible blood and mucus, abdominal cramps and tenesmus, usually 1–4 days after exposure;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stool microscopy showing sheets of faecal leukocytes (pus cells) and red blood cells, indicating an invasive/inflammatory colitis;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stool culture on selective/differential media (MacConkey, XLD, Hektoen or SS agar) growing non-lactose-fermenting, non-motile colonies, biochemically and serologically confirmed as Shigella — the diagnostic gold standard, with serogrouping/serotyping;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culture-independent nucleic-acid amplification (multiplex PCR targeting the ipaH gene) detecting Shigella/enteroinvasive E. coli when culture is negative or unavailable (does not provide susceptibility or reliably separate species);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supportive findings — neutrophil leukocytosis (occasionally a leukemoid reaction with S. dysenteriae type 1), and, when complications are suspected, electrolytes/renal function and a blood film for haemolytic uraemic syndrome.</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Shigella is classified into four species (serogroups) on the basis of biochemical reactions and O-antigen structure; severity and epidemiology differ markedly between them:</w:t>
      </w:r>
    </w:p>
    <w:p>
      <w:pPr>
        <w:spacing w:before="0" w:after="80"/>
      </w:pPr>
      <w:r>
        <w:rPr>
          <w:rFonts w:ascii="Calibri" w:hAnsi="Calibri"/>
          <w:b w:val="0"/>
          <w:i w:val="0"/>
          <w:color w:val="212121"/>
          <w:sz w:val="21"/>
        </w:rPr>
        <w:t>(1) Serogroup A — Shigella dysenteriae (approx. 15 serotypes). Type 1 elaborates Shiga toxin and causes the most severe, often epidemic dysentery with the highest rates of complications such as haemolytic uraemic syndrome and toxic megacolon; it has become uncommon in much of India but periodically re-emerges;</w:t>
      </w:r>
    </w:p>
    <w:p>
      <w:pPr>
        <w:spacing w:before="0" w:after="80"/>
      </w:pPr>
      <w:r>
        <w:rPr>
          <w:rFonts w:ascii="Calibri" w:hAnsi="Calibri"/>
          <w:b w:val="0"/>
          <w:i w:val="0"/>
          <w:color w:val="212121"/>
          <w:sz w:val="21"/>
        </w:rPr>
        <w:t>(2) Serogroup B — Shigella flexneri (multiple serotypes, e.g., 2a and 6). The predominant, endemic serogroup across India and other resource-limited settings, associated with bloody, more severe illness and, on cohort data, with impaired linear growth in children;</w:t>
      </w:r>
    </w:p>
    <w:p>
      <w:pPr>
        <w:spacing w:before="0" w:after="80"/>
      </w:pPr>
      <w:r>
        <w:rPr>
          <w:rFonts w:ascii="Calibri" w:hAnsi="Calibri"/>
          <w:b w:val="0"/>
          <w:i w:val="0"/>
          <w:color w:val="212121"/>
          <w:sz w:val="21"/>
        </w:rPr>
        <w:t>(3) Serogroup C — Shigella boydii, biochemically similar to S. flexneri, largely restricted to the Indian subcontinent but an uncommon isolate;</w:t>
      </w:r>
    </w:p>
    <w:p>
      <w:pPr>
        <w:spacing w:before="0" w:after="80"/>
      </w:pPr>
      <w:r>
        <w:rPr>
          <w:rFonts w:ascii="Calibri" w:hAnsi="Calibri"/>
          <w:b w:val="0"/>
          <w:i w:val="0"/>
          <w:color w:val="212121"/>
          <w:sz w:val="21"/>
        </w:rPr>
        <w:t>(4) Serogroup D — Shigella sonnei (a single serotype). Classically the dominant species in industrialised countries and typically causing milder, more watery disease, it is rising in India and has driven recent food/water-borne outbreaks. Illness is also described operationally as watery versus dysenteric, and by resistance phenotype — multidrug-resistant (MDR) or extensively drug-resistant (XDR).</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Shigella infection: Colonic invasion via a type III secretion system that injects effectors (IpaH and others), triggering epithelial invasion, macrophage apoptosis and intense mucosal inflammation; S. dysenteriae type 1 additionally produces Shiga toxin causing microvascular endothelial injury.</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Very low infectious dose &amp; faecal-oral spread: As few as 10–100 ingested organisms cause disease, so person-to-person, food and water transmission is highly efficient and outbreaks propagate rapidly.</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Unsafe water and inadequate sanitation: Faecal contamination of drinking water and food — including open defecation and untreated surface water — is the dominant environmental driver in India.</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Poor hand and food hygiene: Absence of handwashing with soap and unsafe food handling (notably by asymptomatic food handlers) seed common-source outbreaks, especially at mass gatherings.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Crowding and close contact: Households, daycare centres, camps, institutions and slums amplify low-dose person-to-person transmission.</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Host susceptibility: Young age, undernutrition, reduced gastric acidity, immunosuppression (e.g., HIV) and lack of breastfeeding lower the threshold for infection and severe disease.</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Children under 5 years</w:t>
            </w:r>
          </w:p>
        </w:tc>
        <w:tc>
          <w:tcPr>
            <w:tcW w:type="dxa" w:w="4276"/>
            <w:vAlign w:val="top"/>
          </w:tcPr>
          <w:p>
            <w:pPr>
              <w:spacing w:after="60" w:line="259" w:lineRule="auto"/>
            </w:pPr>
            <w:r>
              <w:rPr>
                <w:rFonts w:ascii="Calibri" w:hAnsi="Calibri"/>
                <w:b w:val="0"/>
                <w:i w:val="0"/>
                <w:color w:val="212121"/>
                <w:sz w:val="19"/>
              </w:rPr>
              <w:t>Highest incidence and severity: immature mucosal immunity, hand-to-mouth behaviour, weaning-food exposure and dehydration risk converge, and invasive S. flexneri drives bloody, growth-impairing disease.</w:t>
            </w:r>
          </w:p>
          <w:p>
            <w:pPr>
              <w:spacing w:after="40" w:before="60" w:line="259" w:lineRule="auto"/>
            </w:pPr>
            <w:r>
              <w:rPr>
                <w:rFonts w:ascii="Calibri" w:hAnsi="Calibri"/>
                <w:b w:val="0"/>
                <w:i w:val="0"/>
                <w:color w:val="212121"/>
                <w:sz w:val="19"/>
              </w:rPr>
              <w:t>In the MAL-ED birth cohort (India among the sites), 29.6% of children had at least one Shigella-attributed diarrhoea episode by age 2; asymptomatic S. flexneri infection was linked to impaired linear growth.</w:t>
            </w:r>
          </w:p>
          <w:p>
            <w:pPr>
              <w:spacing w:after="40" w:line="252" w:lineRule="auto"/>
            </w:pPr>
            <w:hyperlink r:id="rId9">
              <w:r>
                <w:rPr>
                  <w:rFonts w:ascii="Calibri" w:hAnsi="Calibri" w:cs="Calibri"/>
                  <w:sz w:val="18"/>
                  <w:color w:val="1155CC"/>
                  <w:u w:val="single"/>
                </w:rPr>
                <w:t xml:space="preserve">pmc.ncbi.nlm.nih.gov — MAL-ED Shigella in children</w:t>
              </w:r>
            </w:hyperlink>
          </w:p>
          <w:p>
            <w:pPr>
              <w:spacing w:before="60" w:after="40"/>
            </w:pPr>
            <w:r>
              <w:rPr>
                <w:rFonts w:ascii="Calibri" w:hAnsi="Calibri"/>
                <w:b w:val="0"/>
                <w:i w:val="0"/>
                <w:color w:val="5A5A5A"/>
                <w:sz w:val="18"/>
              </w:rPr>
              <w:t>#underfive  #weaning  #growthfaltering  #dysentery  #dehydration</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Adults (working-age)</w:t>
            </w:r>
          </w:p>
        </w:tc>
        <w:tc>
          <w:tcPr>
            <w:tcW w:type="dxa" w:w="4276"/>
            <w:vAlign w:val="top"/>
          </w:tcPr>
          <w:p>
            <w:pPr>
              <w:spacing w:after="60" w:line="259" w:lineRule="auto"/>
            </w:pPr>
            <w:r>
              <w:rPr>
                <w:rFonts w:ascii="Calibri" w:hAnsi="Calibri"/>
                <w:b w:val="0"/>
                <w:i w:val="0"/>
                <w:color w:val="212121"/>
                <w:sz w:val="19"/>
              </w:rPr>
              <w:t>Generally milder illness but an important transmission reservoir through food handling, caregiving and travel; symptomatic and convalescent adults shed organisms and seed household and workplace clusters.</w:t>
            </w:r>
          </w:p>
          <w:p>
            <w:pPr>
              <w:spacing w:after="40" w:before="60" w:line="259" w:lineRule="auto"/>
            </w:pPr>
            <w:r>
              <w:rPr>
                <w:rFonts w:ascii="Calibri" w:hAnsi="Calibri"/>
                <w:b w:val="0"/>
                <w:i w:val="0"/>
                <w:color w:val="212121"/>
                <w:sz w:val="19"/>
              </w:rPr>
              <w:t>Shigella is one of the major causes of diarrhoea across all ages in India, with efficient person-to-person spread owing to a very low infectious dose (10–100 organisms).</w:t>
            </w:r>
          </w:p>
          <w:p>
            <w:pPr>
              <w:spacing w:after="40" w:line="252" w:lineRule="auto"/>
            </w:pPr>
            <w:hyperlink r:id="rId10">
              <w:r>
                <w:rPr>
                  <w:rFonts w:ascii="Calibri" w:hAnsi="Calibri" w:cs="Calibri"/>
                  <w:sz w:val="18"/>
                  <w:color w:val="1155CC"/>
                  <w:u w:val="single"/>
                </w:rPr>
                <w:t xml:space="preserve">pubmed.ncbi.nlm.nih.gov/27487999 — epidemiology in India</w:t>
              </w:r>
            </w:hyperlink>
          </w:p>
          <w:p>
            <w:pPr>
              <w:spacing w:before="60" w:after="40"/>
            </w:pPr>
            <w:r>
              <w:rPr>
                <w:rFonts w:ascii="Calibri" w:hAnsi="Calibri"/>
                <w:b w:val="0"/>
                <w:i w:val="0"/>
                <w:color w:val="5A5A5A"/>
                <w:sz w:val="18"/>
              </w:rPr>
              <w:t>#foodhandler  #transmission  #reservoir  #householdspread</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Higher risk of severe dehydration, electrolyte derangement, bacteraemia and death from dysentery because of blunted thirst, comorbidity and reduced physiological reserve.</w:t>
            </w:r>
          </w:p>
          <w:p>
            <w:pPr>
              <w:spacing w:after="40" w:before="60" w:line="259" w:lineRule="auto"/>
            </w:pPr>
            <w:r>
              <w:rPr>
                <w:rFonts w:ascii="Calibri" w:hAnsi="Calibri"/>
                <w:b w:val="0"/>
                <w:i w:val="0"/>
                <w:color w:val="212121"/>
                <w:sz w:val="19"/>
              </w:rPr>
              <w:t>India's GBD analysis shows diarrhoeal mortality is concentrated in young children and older adults; diarrhoeal disease still caused ~0.46 million deaths across all ages in India in 2023.</w:t>
            </w:r>
          </w:p>
          <w:p>
            <w:pPr>
              <w:spacing w:after="40" w:line="252" w:lineRule="auto"/>
            </w:pPr>
            <w:hyperlink r:id="rId11">
              <w:r>
                <w:rPr>
                  <w:rFonts w:ascii="Calibri" w:hAnsi="Calibri" w:cs="Calibri"/>
                  <w:sz w:val="18"/>
                  <w:color w:val="1155CC"/>
                  <w:u w:val="single"/>
                </w:rPr>
                <w:t xml:space="preserve">pmc.ncbi.nlm.nih.gov — GBD India diarrhoea 1990–2023</w:t>
              </w:r>
            </w:hyperlink>
          </w:p>
          <w:p>
            <w:pPr>
              <w:spacing w:before="60" w:after="40"/>
            </w:pPr>
            <w:r>
              <w:rPr>
                <w:rFonts w:ascii="Calibri" w:hAnsi="Calibri"/>
                <w:b w:val="0"/>
                <w:i w:val="0"/>
                <w:color w:val="5A5A5A"/>
                <w:sz w:val="18"/>
              </w:rPr>
              <w:t>#elderly  #dehydration  #comorbidity  #mortality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 children; and adult MSM</w:t>
            </w:r>
          </w:p>
        </w:tc>
        <w:tc>
          <w:tcPr>
            <w:tcW w:type="dxa" w:w="4276"/>
            <w:vAlign w:val="top"/>
          </w:tcPr>
          <w:p>
            <w:pPr>
              <w:spacing w:after="60" w:line="259" w:lineRule="auto"/>
            </w:pPr>
            <w:r>
              <w:rPr>
                <w:rFonts w:ascii="Calibri" w:hAnsi="Calibri"/>
                <w:b w:val="0"/>
                <w:i w:val="0"/>
                <w:color w:val="212121"/>
                <w:sz w:val="19"/>
              </w:rPr>
              <w:t>Boys carry modestly higher odds of childhood diarrhoea in South Asian survey data, while among adults men who have sex with men are an established risk group for sexually transmitted, often drug-resistant, shigellosis.</w:t>
            </w:r>
          </w:p>
          <w:p>
            <w:pPr>
              <w:spacing w:after="40" w:before="60" w:line="259" w:lineRule="auto"/>
            </w:pPr>
            <w:r>
              <w:rPr>
                <w:rFonts w:ascii="Calibri" w:hAnsi="Calibri"/>
                <w:b w:val="0"/>
                <w:i w:val="0"/>
                <w:color w:val="212121"/>
                <w:sz w:val="19"/>
              </w:rPr>
              <w:t>Pooled South-Asian analysis (India included) found male sex among the factors associated with higher odds of childhood diarrhoea; CDC lists MSM as a key high-risk group for Shigella.</w:t>
            </w:r>
          </w:p>
          <w:p>
            <w:pPr>
              <w:spacing w:after="40" w:line="252" w:lineRule="auto"/>
            </w:pPr>
            <w:hyperlink r:id="rId12">
              <w:r>
                <w:rPr>
                  <w:rFonts w:ascii="Calibri" w:hAnsi="Calibri" w:cs="Calibri"/>
                  <w:sz w:val="18"/>
                  <w:color w:val="1155CC"/>
                  <w:u w:val="single"/>
                </w:rPr>
                <w:t xml:space="preserve">pmc.ncbi.nlm.nih.gov — childhood diarrhoea, South Asia</w:t>
              </w:r>
            </w:hyperlink>
          </w:p>
          <w:p>
            <w:pPr>
              <w:spacing w:before="60" w:after="40"/>
            </w:pPr>
            <w:r>
              <w:rPr>
                <w:rFonts w:ascii="Calibri" w:hAnsi="Calibri"/>
                <w:b w:val="0"/>
                <w:i w:val="0"/>
                <w:color w:val="5A5A5A"/>
                <w:sz w:val="18"/>
              </w:rPr>
              <w:t>#malesex  #MSM  #sexualtransmission  #XDRclones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households, low maternal education</w:t>
            </w:r>
          </w:p>
        </w:tc>
        <w:tc>
          <w:tcPr>
            <w:tcW w:type="dxa" w:w="4276"/>
            <w:vAlign w:val="top"/>
          </w:tcPr>
          <w:p>
            <w:pPr>
              <w:spacing w:after="60" w:line="259" w:lineRule="auto"/>
            </w:pPr>
            <w:r>
              <w:rPr>
                <w:rFonts w:ascii="Calibri" w:hAnsi="Calibri"/>
                <w:b w:val="0"/>
                <w:i w:val="0"/>
                <w:color w:val="212121"/>
                <w:sz w:val="19"/>
              </w:rPr>
              <w:t>Poverty clusters the key exposures — unimproved drinking water, poor toilet facilities, no soap for handwashing, crowding and limited health access — that determine faecal-oral transmission.</w:t>
            </w:r>
          </w:p>
          <w:p>
            <w:pPr>
              <w:spacing w:after="40" w:before="60" w:line="259" w:lineRule="auto"/>
            </w:pPr>
            <w:r>
              <w:rPr>
                <w:rFonts w:ascii="Calibri" w:hAnsi="Calibri"/>
                <w:b w:val="0"/>
                <w:i w:val="0"/>
                <w:color w:val="212121"/>
                <w:sz w:val="19"/>
              </w:rPr>
              <w:t>In South Asia (India included), higher odds of childhood diarrhoea were associated with unimproved drinking water, poor toilet type, lack of soap for handwashing, larger households and low maternal education; pooled prevalence ~10.1%.</w:t>
            </w:r>
          </w:p>
          <w:p>
            <w:pPr>
              <w:spacing w:after="40" w:line="252" w:lineRule="auto"/>
            </w:pPr>
            <w:hyperlink r:id="rId12">
              <w:r>
                <w:rPr>
                  <w:rFonts w:ascii="Calibri" w:hAnsi="Calibri" w:cs="Calibri"/>
                  <w:sz w:val="18"/>
                  <w:color w:val="1155CC"/>
                  <w:u w:val="single"/>
                </w:rPr>
                <w:t xml:space="preserve">pmc.ncbi.nlm.nih.gov — childhood diarrhoea, South Asia</w:t>
              </w:r>
            </w:hyperlink>
          </w:p>
          <w:p>
            <w:pPr>
              <w:spacing w:before="60" w:after="40"/>
            </w:pPr>
            <w:r>
              <w:rPr>
                <w:rFonts w:ascii="Calibri" w:hAnsi="Calibri"/>
                <w:b w:val="0"/>
                <w:i w:val="0"/>
                <w:color w:val="5A5A5A"/>
                <w:sz w:val="18"/>
              </w:rPr>
              <w:t>#poverty  #sanitation  #maternaleducation  #unsafewater  #crowding</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 / State</w:t>
            </w:r>
          </w:p>
        </w:tc>
        <w:tc>
          <w:tcPr>
            <w:tcW w:type="dxa" w:w="2160"/>
            <w:vAlign w:val="top"/>
          </w:tcPr>
          <w:p>
            <w:pPr>
              <w:spacing w:after="40" w:before="0" w:line="259" w:lineRule="auto"/>
            </w:pPr>
            <w:r>
              <w:rPr>
                <w:rFonts w:ascii="Calibri" w:hAnsi="Calibri"/>
                <w:b w:val="0"/>
                <w:i w:val="0"/>
                <w:color w:val="212121"/>
                <w:sz w:val="19"/>
              </w:rPr>
              <w:t>North-eastern and eastern India; high-burden states</w:t>
            </w:r>
          </w:p>
        </w:tc>
        <w:tc>
          <w:tcPr>
            <w:tcW w:type="dxa" w:w="4276"/>
            <w:vAlign w:val="top"/>
          </w:tcPr>
          <w:p>
            <w:pPr>
              <w:spacing w:after="60" w:line="259" w:lineRule="auto"/>
            </w:pPr>
            <w:r>
              <w:rPr>
                <w:rFonts w:ascii="Calibri" w:hAnsi="Calibri"/>
                <w:b w:val="0"/>
                <w:i w:val="0"/>
                <w:color w:val="212121"/>
                <w:sz w:val="19"/>
              </w:rPr>
              <w:t>Endemic transmission and recurrent outbreaks concentrate where sanitation and safe-water coverage lag — the north-east, eastern India and the Bay of Bengal islands — with S. flexneri predominance and rising S. sonnei.</w:t>
            </w:r>
          </w:p>
          <w:p>
            <w:pPr>
              <w:spacing w:after="40" w:before="60" w:line="259" w:lineRule="auto"/>
            </w:pPr>
            <w:r>
              <w:rPr>
                <w:rFonts w:ascii="Calibri" w:hAnsi="Calibri"/>
                <w:b w:val="0"/>
                <w:i w:val="0"/>
                <w:color w:val="212121"/>
                <w:sz w:val="19"/>
              </w:rPr>
              <w:t>A 2023 outbreak of Shigella sonnei dysentery was investigated in rural Dibrugarh district, Assam, with a 60% attack rate among party attendees and 20% requiring hospitalisation.</w:t>
            </w:r>
          </w:p>
          <w:p>
            <w:pPr>
              <w:spacing w:after="40" w:line="252" w:lineRule="auto"/>
            </w:pPr>
            <w:hyperlink r:id="rId13">
              <w:r>
                <w:rPr>
                  <w:rFonts w:ascii="Calibri" w:hAnsi="Calibri" w:cs="Calibri"/>
                  <w:sz w:val="18"/>
                  <w:color w:val="1155CC"/>
                  <w:u w:val="single"/>
                </w:rPr>
                <w:t xml:space="preserve">pmc.ncbi.nlm.nih.gov — S. sonnei outbreak, Assam (IJMR)</w:t>
              </w:r>
            </w:hyperlink>
          </w:p>
          <w:p>
            <w:pPr>
              <w:spacing w:before="60" w:after="40"/>
            </w:pPr>
            <w:r>
              <w:rPr>
                <w:rFonts w:ascii="Calibri" w:hAnsi="Calibri"/>
                <w:b w:val="0"/>
                <w:i w:val="0"/>
                <w:color w:val="5A5A5A"/>
                <w:sz w:val="18"/>
              </w:rPr>
              <w:t>#northeastindia  #endemic  #outbreak  #Sflexneri  #Ssonnei</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Season / Climate</w:t>
            </w:r>
          </w:p>
        </w:tc>
        <w:tc>
          <w:tcPr>
            <w:tcW w:type="dxa" w:w="2160"/>
            <w:vAlign w:val="top"/>
          </w:tcPr>
          <w:p>
            <w:pPr>
              <w:spacing w:after="40" w:before="0" w:line="259" w:lineRule="auto"/>
            </w:pPr>
            <w:r>
              <w:rPr>
                <w:rFonts w:ascii="Calibri" w:hAnsi="Calibri"/>
                <w:b w:val="0"/>
                <w:i w:val="0"/>
                <w:color w:val="212121"/>
                <w:sz w:val="19"/>
              </w:rPr>
              <w:t>Monsoon, flood-affected and warm-humid areas</w:t>
            </w:r>
          </w:p>
        </w:tc>
        <w:tc>
          <w:tcPr>
            <w:tcW w:type="dxa" w:w="4276"/>
            <w:vAlign w:val="top"/>
          </w:tcPr>
          <w:p>
            <w:pPr>
              <w:spacing w:after="60" w:line="259" w:lineRule="auto"/>
            </w:pPr>
            <w:r>
              <w:rPr>
                <w:rFonts w:ascii="Calibri" w:hAnsi="Calibri"/>
                <w:b w:val="0"/>
                <w:i w:val="0"/>
                <w:color w:val="212121"/>
                <w:sz w:val="19"/>
              </w:rPr>
              <w:t>Monsoon flooding contaminates water supplies and overwhelms sanitation, producing seasonal peaks of bacillary dysentery; warm, humid conditions favour survival and food contamination.</w:t>
            </w:r>
          </w:p>
          <w:p>
            <w:pPr>
              <w:spacing w:after="40" w:before="60" w:line="259" w:lineRule="auto"/>
            </w:pPr>
            <w:r>
              <w:rPr>
                <w:rFonts w:ascii="Calibri" w:hAnsi="Calibri"/>
                <w:b w:val="0"/>
                <w:i w:val="0"/>
                <w:color w:val="212121"/>
                <w:sz w:val="19"/>
              </w:rPr>
              <w:t>Diarrhoeal disease transmission rises with contaminated water and poor sanitation, which WHO identifies as principal drivers of faecal-oral enteric infection.</w:t>
            </w:r>
          </w:p>
          <w:p>
            <w:pPr>
              <w:spacing w:after="40" w:line="252" w:lineRule="auto"/>
            </w:pPr>
            <w:hyperlink r:id="rId14">
              <w:r>
                <w:rPr>
                  <w:rFonts w:ascii="Calibri" w:hAnsi="Calibri" w:cs="Calibri"/>
                  <w:sz w:val="18"/>
                  <w:color w:val="1155CC"/>
                  <w:u w:val="single"/>
                </w:rPr>
                <w:t xml:space="preserve">who.int — diarrhoeal disease</w:t>
              </w:r>
            </w:hyperlink>
          </w:p>
          <w:p>
            <w:pPr>
              <w:spacing w:before="60" w:after="40"/>
            </w:pPr>
            <w:r>
              <w:rPr>
                <w:rFonts w:ascii="Calibri" w:hAnsi="Calibri"/>
                <w:b w:val="0"/>
                <w:i w:val="0"/>
                <w:color w:val="5A5A5A"/>
                <w:sz w:val="18"/>
              </w:rPr>
              <w:t>#monsoon  #flooding  #watercontamination  #seasonalpeak</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Sanitation / Open defecation</w:t>
            </w:r>
          </w:p>
        </w:tc>
        <w:tc>
          <w:tcPr>
            <w:tcW w:type="dxa" w:w="2160"/>
            <w:vAlign w:val="top"/>
          </w:tcPr>
          <w:p>
            <w:pPr>
              <w:spacing w:after="40" w:before="0" w:line="259" w:lineRule="auto"/>
            </w:pPr>
            <w:r>
              <w:rPr>
                <w:rFonts w:ascii="Calibri" w:hAnsi="Calibri"/>
                <w:b w:val="0"/>
                <w:i w:val="0"/>
                <w:color w:val="212121"/>
                <w:sz w:val="19"/>
              </w:rPr>
              <w:t>Households without improved toilets</w:t>
            </w:r>
          </w:p>
        </w:tc>
        <w:tc>
          <w:tcPr>
            <w:tcW w:type="dxa" w:w="4276"/>
            <w:vAlign w:val="top"/>
          </w:tcPr>
          <w:p>
            <w:pPr>
              <w:spacing w:after="60" w:line="259" w:lineRule="auto"/>
            </w:pPr>
            <w:r>
              <w:rPr>
                <w:rFonts w:ascii="Calibri" w:hAnsi="Calibri"/>
                <w:b w:val="0"/>
                <w:i w:val="0"/>
                <w:color w:val="212121"/>
                <w:sz w:val="19"/>
              </w:rPr>
              <w:t>Open defecation and unimproved sanitation contaminate the local environment, water and food, directly enabling the faecal-oral cycle that sustains Shigella.</w:t>
            </w:r>
          </w:p>
          <w:p>
            <w:pPr>
              <w:spacing w:after="40" w:before="60" w:line="259" w:lineRule="auto"/>
            </w:pPr>
            <w:r>
              <w:rPr>
                <w:rFonts w:ascii="Calibri" w:hAnsi="Calibri"/>
                <w:b w:val="0"/>
                <w:i w:val="0"/>
                <w:color w:val="212121"/>
                <w:sz w:val="19"/>
              </w:rPr>
              <w:t>Unimproved sanitation and drinking water are among the strongest correlates of childhood diarrhoea in South Asian survey data.</w:t>
            </w:r>
          </w:p>
          <w:p>
            <w:pPr>
              <w:spacing w:after="40" w:line="252" w:lineRule="auto"/>
            </w:pPr>
            <w:hyperlink r:id="rId12">
              <w:r>
                <w:rPr>
                  <w:rFonts w:ascii="Calibri" w:hAnsi="Calibri" w:cs="Calibri"/>
                  <w:sz w:val="18"/>
                  <w:color w:val="1155CC"/>
                  <w:u w:val="single"/>
                </w:rPr>
                <w:t xml:space="preserve">pmc.ncbi.nlm.nih.gov — childhood diarrhoea, South Asia</w:t>
              </w:r>
            </w:hyperlink>
          </w:p>
          <w:p>
            <w:pPr>
              <w:spacing w:before="60" w:after="40"/>
            </w:pPr>
            <w:r>
              <w:rPr>
                <w:rFonts w:ascii="Calibri" w:hAnsi="Calibri"/>
                <w:b w:val="0"/>
                <w:i w:val="0"/>
                <w:color w:val="5A5A5A"/>
                <w:sz w:val="18"/>
              </w:rPr>
              <w:t>#opendefecation  #sanitation  #swachhbharat  #faecaloral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Hand hygiene</w:t>
            </w:r>
          </w:p>
        </w:tc>
        <w:tc>
          <w:tcPr>
            <w:tcW w:type="dxa" w:w="2160"/>
            <w:vAlign w:val="top"/>
          </w:tcPr>
          <w:p>
            <w:pPr>
              <w:spacing w:after="40" w:before="0" w:line="259" w:lineRule="auto"/>
            </w:pPr>
            <w:r>
              <w:rPr>
                <w:rFonts w:ascii="Calibri" w:hAnsi="Calibri"/>
                <w:b w:val="0"/>
                <w:i w:val="0"/>
                <w:color w:val="212121"/>
                <w:sz w:val="19"/>
              </w:rPr>
              <w:t>People without access to soap/handwashing</w:t>
            </w:r>
          </w:p>
        </w:tc>
        <w:tc>
          <w:tcPr>
            <w:tcW w:type="dxa" w:w="4276"/>
            <w:vAlign w:val="top"/>
          </w:tcPr>
          <w:p>
            <w:pPr>
              <w:spacing w:after="60" w:line="259" w:lineRule="auto"/>
            </w:pPr>
            <w:r>
              <w:rPr>
                <w:rFonts w:ascii="Calibri" w:hAnsi="Calibri"/>
                <w:b w:val="0"/>
                <w:i w:val="0"/>
                <w:color w:val="212121"/>
                <w:sz w:val="19"/>
              </w:rPr>
              <w:t>Because the infectious dose is tiny, hands contaminated during toileting, nappy-changing or food preparation transmit disease efficiently; handwashing with soap interrupts this route.</w:t>
            </w:r>
          </w:p>
          <w:p>
            <w:pPr>
              <w:spacing w:after="40" w:before="60" w:line="259" w:lineRule="auto"/>
            </w:pPr>
            <w:r>
              <w:rPr>
                <w:rFonts w:ascii="Calibri" w:hAnsi="Calibri"/>
                <w:b w:val="0"/>
                <w:i w:val="0"/>
                <w:color w:val="212121"/>
                <w:sz w:val="19"/>
              </w:rPr>
              <w:t>Lack of soap for handwashing was independently associated with higher odds of childhood diarrhoea across South Asia; CDC ranks careful handwashing as the primary preventive measure.</w:t>
            </w:r>
          </w:p>
          <w:p>
            <w:pPr>
              <w:spacing w:after="40" w:line="252" w:lineRule="auto"/>
            </w:pPr>
            <w:hyperlink r:id="rId15">
              <w:r>
                <w:rPr>
                  <w:rFonts w:ascii="Calibri" w:hAnsi="Calibri" w:cs="Calibri"/>
                  <w:sz w:val="18"/>
                  <w:color w:val="1155CC"/>
                  <w:u w:val="single"/>
                </w:rPr>
                <w:t xml:space="preserve">cdc.gov — Shigella prevention</w:t>
              </w:r>
            </w:hyperlink>
          </w:p>
          <w:p>
            <w:pPr>
              <w:spacing w:before="60" w:after="40"/>
            </w:pPr>
            <w:r>
              <w:rPr>
                <w:rFonts w:ascii="Calibri" w:hAnsi="Calibri"/>
                <w:b w:val="0"/>
                <w:i w:val="0"/>
                <w:color w:val="5A5A5A"/>
                <w:sz w:val="18"/>
              </w:rPr>
              <w:t>#handwashing  #soap  #hygiene  #lowinfectiousdose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Occupation</w:t>
            </w:r>
          </w:p>
        </w:tc>
        <w:tc>
          <w:tcPr>
            <w:tcW w:type="dxa" w:w="2160"/>
            <w:vAlign w:val="top"/>
          </w:tcPr>
          <w:p>
            <w:pPr>
              <w:spacing w:after="40" w:before="0" w:line="259" w:lineRule="auto"/>
            </w:pPr>
            <w:r>
              <w:rPr>
                <w:rFonts w:ascii="Calibri" w:hAnsi="Calibri"/>
                <w:b w:val="0"/>
                <w:i w:val="0"/>
                <w:color w:val="212121"/>
                <w:sz w:val="19"/>
              </w:rPr>
              <w:t>Food handlers, childcare &amp; healthcare workers</w:t>
            </w:r>
          </w:p>
        </w:tc>
        <w:tc>
          <w:tcPr>
            <w:tcW w:type="dxa" w:w="4276"/>
            <w:vAlign w:val="top"/>
          </w:tcPr>
          <w:p>
            <w:pPr>
              <w:spacing w:after="60" w:line="259" w:lineRule="auto"/>
            </w:pPr>
            <w:r>
              <w:rPr>
                <w:rFonts w:ascii="Calibri" w:hAnsi="Calibri"/>
                <w:b w:val="0"/>
                <w:i w:val="0"/>
                <w:color w:val="212121"/>
                <w:sz w:val="19"/>
              </w:rPr>
              <w:t>Occupations involving food preparation or close contact with faeces/children can seed and amplify common-source outbreaks; asymptomatic carriage prolongs shedding.</w:t>
            </w:r>
          </w:p>
          <w:p>
            <w:pPr>
              <w:spacing w:after="40" w:before="60" w:line="259" w:lineRule="auto"/>
            </w:pPr>
            <w:r>
              <w:rPr>
                <w:rFonts w:ascii="Calibri" w:hAnsi="Calibri"/>
                <w:b w:val="0"/>
                <w:i w:val="0"/>
                <w:color w:val="212121"/>
                <w:sz w:val="19"/>
              </w:rPr>
              <w:t>The Assam outbreak was traced to contaminated food at a gathering, with food handlers among those sampled; food/water-borne illness remains a neglected public-health issue in India.</w:t>
            </w:r>
          </w:p>
          <w:p>
            <w:pPr>
              <w:spacing w:after="40" w:line="252" w:lineRule="auto"/>
            </w:pPr>
            <w:hyperlink r:id="rId13">
              <w:r>
                <w:rPr>
                  <w:rFonts w:ascii="Calibri" w:hAnsi="Calibri" w:cs="Calibri"/>
                  <w:sz w:val="18"/>
                  <w:color w:val="1155CC"/>
                  <w:u w:val="single"/>
                </w:rPr>
                <w:t xml:space="preserve">pmc.ncbi.nlm.nih.gov — S. sonnei outbreak, Assam</w:t>
              </w:r>
            </w:hyperlink>
          </w:p>
          <w:p>
            <w:pPr>
              <w:spacing w:before="60" w:after="40"/>
            </w:pPr>
            <w:r>
              <w:rPr>
                <w:rFonts w:ascii="Calibri" w:hAnsi="Calibri"/>
                <w:b w:val="0"/>
                <w:i w:val="0"/>
                <w:color w:val="5A5A5A"/>
                <w:sz w:val="18"/>
              </w:rPr>
              <w:t>#foodhandlers  #childcare  #outbreak  #carriage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Travel</w:t>
            </w:r>
          </w:p>
        </w:tc>
        <w:tc>
          <w:tcPr>
            <w:tcW w:type="dxa" w:w="2160"/>
            <w:vAlign w:val="top"/>
          </w:tcPr>
          <w:p>
            <w:pPr>
              <w:spacing w:after="40" w:before="0" w:line="259" w:lineRule="auto"/>
            </w:pPr>
            <w:r>
              <w:rPr>
                <w:rFonts w:ascii="Calibri" w:hAnsi="Calibri"/>
                <w:b w:val="0"/>
                <w:i w:val="0"/>
                <w:color w:val="212121"/>
                <w:sz w:val="19"/>
              </w:rPr>
              <w:t>Travellers to/within endemic regions</w:t>
            </w:r>
          </w:p>
        </w:tc>
        <w:tc>
          <w:tcPr>
            <w:tcW w:type="dxa" w:w="4276"/>
            <w:vAlign w:val="top"/>
          </w:tcPr>
          <w:p>
            <w:pPr>
              <w:spacing w:after="60" w:line="259" w:lineRule="auto"/>
            </w:pPr>
            <w:r>
              <w:rPr>
                <w:rFonts w:ascii="Calibri" w:hAnsi="Calibri"/>
                <w:b w:val="0"/>
                <w:i w:val="0"/>
                <w:color w:val="212121"/>
                <w:sz w:val="19"/>
              </w:rPr>
              <w:t>Ingestion of contaminated food, water or ice in high-transmission settings makes bacillary dysentery a common cause of travellers' dysentery, including imported drug-resistant strains.</w:t>
            </w:r>
          </w:p>
          <w:p>
            <w:pPr>
              <w:spacing w:after="40" w:before="60" w:line="259" w:lineRule="auto"/>
            </w:pPr>
            <w:r>
              <w:rPr>
                <w:rFonts w:ascii="Calibri" w:hAnsi="Calibri"/>
                <w:b w:val="0"/>
                <w:i w:val="0"/>
                <w:color w:val="212121"/>
                <w:sz w:val="19"/>
              </w:rPr>
              <w:t>CDC identifies international travellers to areas with poor sanitation as a key group at risk of Shigella infection.</w:t>
            </w:r>
          </w:p>
          <w:p>
            <w:pPr>
              <w:spacing w:after="40" w:line="252" w:lineRule="auto"/>
            </w:pPr>
            <w:hyperlink r:id="rId16">
              <w:r>
                <w:rPr>
                  <w:rFonts w:ascii="Calibri" w:hAnsi="Calibri" w:cs="Calibri"/>
                  <w:sz w:val="18"/>
                  <w:color w:val="1155CC"/>
                  <w:u w:val="single"/>
                </w:rPr>
                <w:t xml:space="preserve">cdc.gov — about Shigella (risk groups)</w:t>
              </w:r>
            </w:hyperlink>
          </w:p>
          <w:p>
            <w:pPr>
              <w:spacing w:before="60" w:after="40"/>
            </w:pPr>
            <w:r>
              <w:rPr>
                <w:rFonts w:ascii="Calibri" w:hAnsi="Calibri"/>
                <w:b w:val="0"/>
                <w:i w:val="0"/>
                <w:color w:val="5A5A5A"/>
                <w:sz w:val="18"/>
              </w:rPr>
              <w:t>#travellersdiarrhoea  #endemic  #contaminatedwater  #imported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Crowding</w:t>
            </w:r>
          </w:p>
        </w:tc>
        <w:tc>
          <w:tcPr>
            <w:tcW w:type="dxa" w:w="2160"/>
            <w:vAlign w:val="top"/>
          </w:tcPr>
          <w:p>
            <w:pPr>
              <w:spacing w:after="40" w:before="0" w:line="259" w:lineRule="auto"/>
            </w:pPr>
            <w:r>
              <w:rPr>
                <w:rFonts w:ascii="Calibri" w:hAnsi="Calibri"/>
                <w:b w:val="0"/>
                <w:i w:val="0"/>
                <w:color w:val="212121"/>
                <w:sz w:val="19"/>
              </w:rPr>
              <w:t>Slums, camps, daycare, institutions</w:t>
            </w:r>
          </w:p>
        </w:tc>
        <w:tc>
          <w:tcPr>
            <w:tcW w:type="dxa" w:w="4276"/>
            <w:vAlign w:val="top"/>
          </w:tcPr>
          <w:p>
            <w:pPr>
              <w:spacing w:after="60" w:line="259" w:lineRule="auto"/>
            </w:pPr>
            <w:r>
              <w:rPr>
                <w:rFonts w:ascii="Calibri" w:hAnsi="Calibri"/>
                <w:b w:val="0"/>
                <w:i w:val="0"/>
                <w:color w:val="212121"/>
                <w:sz w:val="19"/>
              </w:rPr>
              <w:t>Close, sustained contact in crowded settings enables efficient low-dose person-to-person spread, sustaining transmission chains and secondary household cases.</w:t>
            </w:r>
          </w:p>
          <w:p>
            <w:pPr>
              <w:spacing w:after="40" w:before="60" w:line="259" w:lineRule="auto"/>
            </w:pPr>
            <w:r>
              <w:rPr>
                <w:rFonts w:ascii="Calibri" w:hAnsi="Calibri"/>
                <w:b w:val="0"/>
                <w:i w:val="0"/>
                <w:color w:val="212121"/>
                <w:sz w:val="19"/>
              </w:rPr>
              <w:t>Larger household size was associated with higher odds of childhood diarrhoea in South Asia; low infectious dose makes person-to-person spread central to Shigella epidemiology.</w:t>
            </w:r>
          </w:p>
          <w:p>
            <w:pPr>
              <w:spacing w:after="40" w:line="252" w:lineRule="auto"/>
            </w:pPr>
            <w:hyperlink r:id="rId17">
              <w:r>
                <w:rPr>
                  <w:rFonts w:ascii="Calibri" w:hAnsi="Calibri" w:cs="Calibri"/>
                  <w:sz w:val="18"/>
                  <w:color w:val="1155CC"/>
                  <w:u w:val="single"/>
                </w:rPr>
                <w:t xml:space="preserve">ncbi.nlm.nih.gov/books — StatPearls: Shigella</w:t>
              </w:r>
            </w:hyperlink>
          </w:p>
          <w:p>
            <w:pPr>
              <w:spacing w:before="60" w:after="40"/>
            </w:pPr>
            <w:r>
              <w:rPr>
                <w:rFonts w:ascii="Calibri" w:hAnsi="Calibri"/>
                <w:b w:val="0"/>
                <w:i w:val="0"/>
                <w:color w:val="5A5A5A"/>
                <w:sz w:val="18"/>
              </w:rPr>
              <w:t>#crowding  #slums  #daycare  #persontoperson</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Contaminated food &amp; water</w:t>
            </w:r>
          </w:p>
        </w:tc>
        <w:tc>
          <w:tcPr>
            <w:tcW w:type="dxa" w:w="2160"/>
            <w:vAlign w:val="top"/>
          </w:tcPr>
          <w:p>
            <w:pPr>
              <w:spacing w:after="40" w:before="0" w:line="259" w:lineRule="auto"/>
            </w:pPr>
            <w:r>
              <w:rPr>
                <w:rFonts w:ascii="Calibri" w:hAnsi="Calibri"/>
                <w:b w:val="0"/>
                <w:i w:val="0"/>
                <w:color w:val="212121"/>
                <w:sz w:val="19"/>
              </w:rPr>
              <w:t>Street food and untreated-water consumers</w:t>
            </w:r>
          </w:p>
        </w:tc>
        <w:tc>
          <w:tcPr>
            <w:tcW w:type="dxa" w:w="4276"/>
            <w:vAlign w:val="top"/>
          </w:tcPr>
          <w:p>
            <w:pPr>
              <w:spacing w:after="60" w:line="259" w:lineRule="auto"/>
            </w:pPr>
            <w:r>
              <w:rPr>
                <w:rFonts w:ascii="Calibri" w:hAnsi="Calibri"/>
                <w:b w:val="0"/>
                <w:i w:val="0"/>
                <w:color w:val="212121"/>
                <w:sz w:val="19"/>
              </w:rPr>
              <w:t>Consuming food or water contaminated with human faeces — street food, raw produce washed in unsafe water, untreated drinking water — is the classic vehicle for bacillary dysentery.</w:t>
            </w:r>
          </w:p>
          <w:p>
            <w:pPr>
              <w:spacing w:after="40" w:before="60" w:line="259" w:lineRule="auto"/>
            </w:pPr>
            <w:r>
              <w:rPr>
                <w:rFonts w:ascii="Calibri" w:hAnsi="Calibri"/>
                <w:b w:val="0"/>
                <w:i w:val="0"/>
                <w:color w:val="212121"/>
                <w:sz w:val="19"/>
              </w:rPr>
              <w:t>WHO attributes diarrhoeal disease chiefly to contaminated food and drinking water; safe water, sanitation and hygiene are the core preventive measures.</w:t>
            </w:r>
          </w:p>
          <w:p>
            <w:pPr>
              <w:spacing w:after="40" w:line="252" w:lineRule="auto"/>
            </w:pPr>
            <w:hyperlink r:id="rId18">
              <w:r>
                <w:rPr>
                  <w:rFonts w:ascii="Calibri" w:hAnsi="Calibri" w:cs="Calibri"/>
                  <w:sz w:val="18"/>
                  <w:color w:val="1155CC"/>
                  <w:u w:val="single"/>
                </w:rPr>
                <w:t xml:space="preserve">who.int — drinking-water</w:t>
              </w:r>
            </w:hyperlink>
          </w:p>
          <w:p>
            <w:pPr>
              <w:spacing w:before="60" w:after="40"/>
            </w:pPr>
            <w:r>
              <w:rPr>
                <w:rFonts w:ascii="Calibri" w:hAnsi="Calibri"/>
                <w:b w:val="0"/>
                <w:i w:val="0"/>
                <w:color w:val="5A5A5A"/>
                <w:sz w:val="18"/>
              </w:rPr>
              <w:t>#streetfood  #untreatedwater  #rawproduce  #foodsafety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Infant feeding</w:t>
            </w:r>
          </w:p>
        </w:tc>
        <w:tc>
          <w:tcPr>
            <w:tcW w:type="dxa" w:w="2160"/>
            <w:vAlign w:val="top"/>
          </w:tcPr>
          <w:p>
            <w:pPr>
              <w:spacing w:after="40" w:before="0" w:line="259" w:lineRule="auto"/>
            </w:pPr>
            <w:r>
              <w:rPr>
                <w:rFonts w:ascii="Calibri" w:hAnsi="Calibri"/>
                <w:b w:val="0"/>
                <w:i w:val="0"/>
                <w:color w:val="212121"/>
                <w:sz w:val="19"/>
              </w:rPr>
              <w:t>Non-breastfed / early-weaned infants</w:t>
            </w:r>
          </w:p>
        </w:tc>
        <w:tc>
          <w:tcPr>
            <w:tcW w:type="dxa" w:w="4276"/>
            <w:vAlign w:val="top"/>
          </w:tcPr>
          <w:p>
            <w:pPr>
              <w:spacing w:after="60" w:line="259" w:lineRule="auto"/>
            </w:pPr>
            <w:r>
              <w:rPr>
                <w:rFonts w:ascii="Calibri" w:hAnsi="Calibri"/>
                <w:b w:val="0"/>
                <w:i w:val="0"/>
                <w:color w:val="212121"/>
                <w:sz w:val="19"/>
              </w:rPr>
              <w:t>Breastfeeding provides protective antibodies and avoids contaminated water and weaning foods; formula- or early-weaned infants lose this barrier and face higher exposure and severity.</w:t>
            </w:r>
          </w:p>
          <w:p>
            <w:pPr>
              <w:spacing w:after="40" w:before="60" w:line="259" w:lineRule="auto"/>
            </w:pPr>
            <w:r>
              <w:rPr>
                <w:rFonts w:ascii="Calibri" w:hAnsi="Calibri"/>
                <w:b w:val="0"/>
                <w:i w:val="0"/>
                <w:color w:val="212121"/>
                <w:sz w:val="19"/>
              </w:rPr>
              <w:t>WHO recommends exclusive breastfeeding for the first six months as a key measure to prevent diarrhoeal disease.</w:t>
            </w:r>
          </w:p>
          <w:p>
            <w:pPr>
              <w:spacing w:after="40" w:line="252" w:lineRule="auto"/>
            </w:pPr>
            <w:hyperlink r:id="rId14">
              <w:r>
                <w:rPr>
                  <w:rFonts w:ascii="Calibri" w:hAnsi="Calibri" w:cs="Calibri"/>
                  <w:sz w:val="18"/>
                  <w:color w:val="1155CC"/>
                  <w:u w:val="single"/>
                </w:rPr>
                <w:t xml:space="preserve">who.int — diarrhoeal disease (breastfeeding)</w:t>
              </w:r>
            </w:hyperlink>
          </w:p>
          <w:p>
            <w:pPr>
              <w:spacing w:before="60" w:after="40"/>
            </w:pPr>
            <w:r>
              <w:rPr>
                <w:rFonts w:ascii="Calibri" w:hAnsi="Calibri"/>
                <w:b w:val="0"/>
                <w:i w:val="0"/>
                <w:color w:val="5A5A5A"/>
                <w:sz w:val="18"/>
              </w:rPr>
              <w:t>#breastfeeding  #weaning  #infantnutrition  #protectiveantibodies</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HLA type</w:t>
            </w:r>
          </w:p>
        </w:tc>
        <w:tc>
          <w:tcPr>
            <w:tcW w:type="dxa" w:w="2160"/>
            <w:vAlign w:val="top"/>
          </w:tcPr>
          <w:p>
            <w:pPr>
              <w:spacing w:after="40" w:before="0" w:line="259" w:lineRule="auto"/>
            </w:pPr>
            <w:r>
              <w:rPr>
                <w:rFonts w:ascii="Calibri" w:hAnsi="Calibri"/>
                <w:b w:val="0"/>
                <w:i w:val="0"/>
                <w:color w:val="212121"/>
                <w:sz w:val="19"/>
              </w:rPr>
              <w:t>HLA-B27-positive individuals</w:t>
            </w:r>
          </w:p>
        </w:tc>
        <w:tc>
          <w:tcPr>
            <w:tcW w:type="dxa" w:w="4276"/>
            <w:vAlign w:val="top"/>
          </w:tcPr>
          <w:p>
            <w:pPr>
              <w:spacing w:after="60" w:line="259" w:lineRule="auto"/>
            </w:pPr>
            <w:r>
              <w:rPr>
                <w:rFonts w:ascii="Calibri" w:hAnsi="Calibri"/>
                <w:b w:val="0"/>
                <w:i w:val="0"/>
                <w:color w:val="212121"/>
                <w:sz w:val="19"/>
              </w:rPr>
              <w:t>HLA-B27 carriage predisposes to post-infectious reactive arthritis (Reiter's syndrome) after shigellosis, a recognised sequela of enteric infection.</w:t>
            </w:r>
          </w:p>
          <w:p>
            <w:pPr>
              <w:spacing w:after="40" w:before="60" w:line="259" w:lineRule="auto"/>
            </w:pPr>
            <w:r>
              <w:rPr>
                <w:rFonts w:ascii="Calibri" w:hAnsi="Calibri"/>
                <w:b w:val="0"/>
                <w:i w:val="0"/>
                <w:color w:val="212121"/>
                <w:sz w:val="19"/>
              </w:rPr>
              <w:t>Reactive arthritis is a recognised post-Shigella complication, occurring particularly after S. flexneri and classically in HLA-B27-positive hosts.</w:t>
            </w:r>
          </w:p>
          <w:p>
            <w:pPr>
              <w:spacing w:after="40" w:line="252" w:lineRule="auto"/>
            </w:pPr>
            <w:hyperlink r:id="rId17">
              <w:r>
                <w:rPr>
                  <w:rFonts w:ascii="Calibri" w:hAnsi="Calibri" w:cs="Calibri"/>
                  <w:sz w:val="18"/>
                  <w:color w:val="1155CC"/>
                  <w:u w:val="single"/>
                </w:rPr>
                <w:t xml:space="preserve">ncbi.nlm.nih.gov/books — StatPearls: Shigella complications</w:t>
              </w:r>
            </w:hyperlink>
          </w:p>
          <w:p>
            <w:pPr>
              <w:spacing w:before="60" w:after="40"/>
            </w:pPr>
            <w:r>
              <w:rPr>
                <w:rFonts w:ascii="Calibri" w:hAnsi="Calibri"/>
                <w:b w:val="0"/>
                <w:i w:val="0"/>
                <w:color w:val="5A5A5A"/>
                <w:sz w:val="18"/>
              </w:rPr>
              <w:t>#HLAB27  #reactivearthritis  #Reiters  #postinfectious</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Malnutrition</w:t>
            </w:r>
          </w:p>
        </w:tc>
        <w:tc>
          <w:tcPr>
            <w:tcW w:type="dxa" w:w="2160"/>
            <w:vAlign w:val="top"/>
          </w:tcPr>
          <w:p>
            <w:pPr>
              <w:spacing w:after="40" w:before="0" w:line="259" w:lineRule="auto"/>
            </w:pPr>
            <w:r>
              <w:rPr>
                <w:rFonts w:ascii="Calibri" w:hAnsi="Calibri"/>
                <w:b w:val="0"/>
                <w:i w:val="0"/>
                <w:color w:val="212121"/>
                <w:sz w:val="19"/>
              </w:rPr>
              <w:t>Undernourished / stunted children</w:t>
            </w:r>
          </w:p>
        </w:tc>
        <w:tc>
          <w:tcPr>
            <w:tcW w:type="dxa" w:w="4276"/>
            <w:vAlign w:val="top"/>
          </w:tcPr>
          <w:p>
            <w:pPr>
              <w:spacing w:after="60" w:line="259" w:lineRule="auto"/>
            </w:pPr>
            <w:r>
              <w:rPr>
                <w:rFonts w:ascii="Calibri" w:hAnsi="Calibri"/>
                <w:b w:val="0"/>
                <w:i w:val="0"/>
                <w:color w:val="212121"/>
                <w:sz w:val="19"/>
              </w:rPr>
              <w:t>Undernutrition and shigellosis are bidirectional: malnutrition worsens invasive disease (bacteraemia, protein loss) while dysentery drives further weight loss, stunting and growth faltering.</w:t>
            </w:r>
          </w:p>
          <w:p>
            <w:pPr>
              <w:spacing w:after="40" w:before="60" w:line="259" w:lineRule="auto"/>
            </w:pPr>
            <w:r>
              <w:rPr>
                <w:rFonts w:ascii="Calibri" w:hAnsi="Calibri"/>
                <w:b w:val="0"/>
                <w:i w:val="0"/>
                <w:color w:val="212121"/>
                <w:sz w:val="19"/>
              </w:rPr>
              <w:t>Shigella bacteraemia is rare but carries ~20% mortality, occurring chiefly in malnourished children; asymptomatic Shigella infection is associated with impaired linear growth.</w:t>
            </w:r>
          </w:p>
          <w:p>
            <w:pPr>
              <w:spacing w:after="40" w:line="252" w:lineRule="auto"/>
            </w:pPr>
            <w:hyperlink r:id="rId17">
              <w:r>
                <w:rPr>
                  <w:rFonts w:ascii="Calibri" w:hAnsi="Calibri" w:cs="Calibri"/>
                  <w:sz w:val="18"/>
                  <w:color w:val="1155CC"/>
                  <w:u w:val="single"/>
                </w:rPr>
                <w:t xml:space="preserve">ncbi.nlm.nih.gov/books — StatPearls: Shigella</w:t>
              </w:r>
            </w:hyperlink>
          </w:p>
          <w:p>
            <w:pPr>
              <w:spacing w:before="60" w:after="40"/>
            </w:pPr>
            <w:r>
              <w:rPr>
                <w:rFonts w:ascii="Calibri" w:hAnsi="Calibri"/>
                <w:b w:val="0"/>
                <w:i w:val="0"/>
                <w:color w:val="5A5A5A"/>
                <w:sz w:val="18"/>
              </w:rPr>
              <w:t>#malnutrition  #stunting  #bacteraemia  #proteinlosing  #growthfaltering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Immunosuppression</w:t>
            </w:r>
          </w:p>
        </w:tc>
        <w:tc>
          <w:tcPr>
            <w:tcW w:type="dxa" w:w="2160"/>
            <w:vAlign w:val="top"/>
          </w:tcPr>
          <w:p>
            <w:pPr>
              <w:spacing w:after="40" w:before="0" w:line="259" w:lineRule="auto"/>
            </w:pPr>
            <w:r>
              <w:rPr>
                <w:rFonts w:ascii="Calibri" w:hAnsi="Calibri"/>
                <w:b w:val="0"/>
                <w:i w:val="0"/>
                <w:color w:val="212121"/>
                <w:sz w:val="19"/>
              </w:rPr>
              <w:t>People living with HIV / immunocompromised</w:t>
            </w:r>
          </w:p>
        </w:tc>
        <w:tc>
          <w:tcPr>
            <w:tcW w:type="dxa" w:w="4276"/>
            <w:vAlign w:val="top"/>
          </w:tcPr>
          <w:p>
            <w:pPr>
              <w:spacing w:after="60" w:line="259" w:lineRule="auto"/>
            </w:pPr>
            <w:r>
              <w:rPr>
                <w:rFonts w:ascii="Calibri" w:hAnsi="Calibri"/>
                <w:b w:val="0"/>
                <w:i w:val="0"/>
                <w:color w:val="212121"/>
                <w:sz w:val="19"/>
              </w:rPr>
              <w:t>Impaired mucosal and systemic immunity permits more invasive, prolonged, relapsing and bacteraemic shigellosis, and complicates eradication amid rising drug resistance.</w:t>
            </w:r>
          </w:p>
          <w:p>
            <w:pPr>
              <w:spacing w:after="40" w:before="60" w:line="259" w:lineRule="auto"/>
            </w:pPr>
            <w:r>
              <w:rPr>
                <w:rFonts w:ascii="Calibri" w:hAnsi="Calibri"/>
                <w:b w:val="0"/>
                <w:i w:val="0"/>
                <w:color w:val="212121"/>
                <w:sz w:val="19"/>
              </w:rPr>
              <w:t>Immunocompromised hosts experience more severe and persistent Shigella disease; WHO classifies Shigella as a priority pathogen owing to escalating antimicrobial resistance.</w:t>
            </w:r>
          </w:p>
          <w:p>
            <w:pPr>
              <w:spacing w:after="40" w:line="252" w:lineRule="auto"/>
            </w:pPr>
            <w:hyperlink r:id="rId19">
              <w:r>
                <w:rPr>
                  <w:rFonts w:ascii="Calibri" w:hAnsi="Calibri" w:cs="Calibri"/>
                  <w:sz w:val="18"/>
                  <w:color w:val="1155CC"/>
                  <w:u w:val="single"/>
                </w:rPr>
                <w:t xml:space="preserve">pubmed.ncbi.nlm.nih.gov/42496106 — XDR Shigella, Kolkata</w:t>
              </w:r>
            </w:hyperlink>
          </w:p>
          <w:p>
            <w:pPr>
              <w:spacing w:before="60" w:after="40"/>
            </w:pPr>
            <w:r>
              <w:rPr>
                <w:rFonts w:ascii="Calibri" w:hAnsi="Calibri"/>
                <w:b w:val="0"/>
                <w:i w:val="0"/>
                <w:color w:val="5A5A5A"/>
                <w:sz w:val="18"/>
              </w:rPr>
              <w:t>#HIV  #immunocompromised  #invasive  #relapsing  #XDR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Reduced gastric acid</w:t>
            </w:r>
          </w:p>
        </w:tc>
        <w:tc>
          <w:tcPr>
            <w:tcW w:type="dxa" w:w="2160"/>
            <w:vAlign w:val="top"/>
          </w:tcPr>
          <w:p>
            <w:pPr>
              <w:spacing w:after="40" w:before="0" w:line="259" w:lineRule="auto"/>
            </w:pPr>
            <w:r>
              <w:rPr>
                <w:rFonts w:ascii="Calibri" w:hAnsi="Calibri"/>
                <w:b w:val="0"/>
                <w:i w:val="0"/>
                <w:color w:val="212121"/>
                <w:sz w:val="19"/>
              </w:rPr>
              <w:t>PPI/antacid users, achlorhydria, post-gastrectomy</w:t>
            </w:r>
          </w:p>
        </w:tc>
        <w:tc>
          <w:tcPr>
            <w:tcW w:type="dxa" w:w="4276"/>
            <w:vAlign w:val="top"/>
          </w:tcPr>
          <w:p>
            <w:pPr>
              <w:spacing w:after="60" w:line="259" w:lineRule="auto"/>
            </w:pPr>
            <w:r>
              <w:rPr>
                <w:rFonts w:ascii="Calibri" w:hAnsi="Calibri"/>
                <w:b w:val="0"/>
                <w:i w:val="0"/>
                <w:color w:val="212121"/>
                <w:sz w:val="19"/>
              </w:rPr>
              <w:t>Gastric acid is a key barrier to enteric pathogens; blunting it with proton-pump inhibitors or surgery lowers the effective infectious dose and increases susceptibility.</w:t>
            </w:r>
          </w:p>
          <w:p>
            <w:pPr>
              <w:spacing w:after="40" w:before="60" w:line="259" w:lineRule="auto"/>
            </w:pPr>
            <w:r>
              <w:rPr>
                <w:rFonts w:ascii="Calibri" w:hAnsi="Calibri"/>
                <w:b w:val="0"/>
                <w:i w:val="0"/>
                <w:color w:val="212121"/>
                <w:sz w:val="19"/>
              </w:rPr>
              <w:t>Shigella already establishes infection at only 10–100 organisms; loss of the gastric acid barrier further reduces this threshold.</w:t>
            </w:r>
          </w:p>
          <w:p>
            <w:pPr>
              <w:spacing w:after="40" w:line="252" w:lineRule="auto"/>
            </w:pPr>
            <w:hyperlink r:id="rId17">
              <w:r>
                <w:rPr>
                  <w:rFonts w:ascii="Calibri" w:hAnsi="Calibri" w:cs="Calibri"/>
                  <w:sz w:val="18"/>
                  <w:color w:val="1155CC"/>
                  <w:u w:val="single"/>
                </w:rPr>
                <w:t xml:space="preserve">ncbi.nlm.nih.gov/books — StatPearls: Shigella</w:t>
              </w:r>
            </w:hyperlink>
          </w:p>
          <w:p>
            <w:pPr>
              <w:spacing w:before="60" w:after="40"/>
            </w:pPr>
            <w:r>
              <w:rPr>
                <w:rFonts w:ascii="Calibri" w:hAnsi="Calibri"/>
                <w:b w:val="0"/>
                <w:i w:val="0"/>
                <w:color w:val="5A5A5A"/>
                <w:sz w:val="18"/>
              </w:rPr>
              <w:t>#PPI  #achlorhydria  #gastricacid  #infectiousdose</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Physical activity is not a determinant of acquiring shigellosis; overall nutritional and functional status matters more, and prolonged bed-bound or institutionalised states can raise cross-infection risk through shared care.</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Contaminated food is a primary vehicle; WHO attributes diarrhoeal disease largely to unsafe food, and Indian outbreaks (e.g., Assam S. sonnei) have been traced to contaminated food at gatherings with attack rates around 60%.</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established direct link between sleep and Shigella acquisition; adequate rest aids recovery and immune competence during acute illness.</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Smoking is not a recognised primary risk factor for shigellosis, though it impairs mucosal immunity and is associated with worse outcomes in enteric and inflammatory bowel conditions.</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Heavy alcohol use can lower gastric acidity and impair immunity, and contaminated ice or water in drinks may transmit infection, but a direct causal role is weak.</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Acute infection itself is not driven by mental health, but bacillary dysentery is a recognised trigger of post-infectious irritable bowel syndrome and functional gut symptoms.</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Unsafe drinking water is a dominant transmission route; WHO identifies contaminated water and poor sanitation as principal drivers, and unimproved water sources correlate strongly with childhood diarrhoea in South Asia.</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 — no established association between caffeine intake and shigellosis.</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Hand and food hygiene are central: because the infectious dose is only 10–100 organisms, handwashing with soap is the primary preventive measure per CDC, and lack of soap independently raises childhood-diarrhoea odds.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Ingestion of faecally contaminated food or water, close contact with a case or carrier, mass gatherings, and monsoon flooding provoke infection and outbreaks; incubation is typically 1–4 days (about 26 hours in the Assam outbreak).</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 — posture is not relevant to the acquisition or course of shigellosis.</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Drinking-water source</w:t>
            </w:r>
          </w:p>
        </w:tc>
        <w:tc>
          <w:tcPr>
            <w:tcW w:type="dxa" w:w="1655"/>
            <w:vAlign w:val="top"/>
          </w:tcPr>
          <w:p>
            <w:pPr>
              <w:spacing w:after="40" w:before="0" w:line="259" w:lineRule="auto"/>
            </w:pPr>
            <w:r>
              <w:rPr>
                <w:rFonts w:ascii="Calibri" w:hAnsi="Calibri"/>
                <w:b w:val="0"/>
                <w:i w:val="0"/>
                <w:color w:val="212121"/>
                <w:sz w:val="19"/>
              </w:rPr>
              <w:t>All ages, children</w:t>
            </w:r>
          </w:p>
        </w:tc>
        <w:tc>
          <w:tcPr>
            <w:tcW w:type="dxa" w:w="1512"/>
            <w:vAlign w:val="top"/>
          </w:tcPr>
          <w:p>
            <w:pPr>
              <w:spacing w:after="40" w:before="0" w:line="259" w:lineRule="auto"/>
            </w:pPr>
            <w:r>
              <w:rPr>
                <w:rFonts w:ascii="Calibri" w:hAnsi="Calibri"/>
                <w:b w:val="0"/>
                <w:i w:val="0"/>
                <w:color w:val="212121"/>
                <w:sz w:val="19"/>
              </w:rPr>
              <w:t>Improved, treated (boiled/filtered/chlorinated) water</w:t>
            </w:r>
          </w:p>
        </w:tc>
        <w:tc>
          <w:tcPr>
            <w:tcW w:type="dxa" w:w="1512"/>
            <w:vAlign w:val="top"/>
          </w:tcPr>
          <w:p>
            <w:pPr>
              <w:spacing w:after="40" w:before="0" w:line="259" w:lineRule="auto"/>
            </w:pPr>
            <w:r>
              <w:rPr>
                <w:rFonts w:ascii="Calibri" w:hAnsi="Calibri"/>
                <w:b w:val="0"/>
                <w:i w:val="0"/>
                <w:color w:val="212121"/>
                <w:sz w:val="19"/>
              </w:rPr>
              <w:t>Untreated surface or open-well water</w:t>
            </w:r>
          </w:p>
        </w:tc>
        <w:tc>
          <w:tcPr>
            <w:tcW w:type="dxa" w:w="1468"/>
            <w:vAlign w:val="top"/>
          </w:tcPr>
          <w:p>
            <w:pPr>
              <w:spacing w:after="60" w:line="259" w:lineRule="auto"/>
            </w:pPr>
            <w:r>
              <w:rPr>
                <w:rFonts w:ascii="Calibri" w:hAnsi="Calibri"/>
                <w:b w:val="0"/>
                <w:i w:val="0"/>
                <w:color w:val="212121"/>
                <w:sz w:val="19"/>
              </w:rPr>
              <w:t>Unsafe water is a dominant faecal-oral route</w:t>
            </w:r>
          </w:p>
          <w:p>
            <w:pPr>
              <w:spacing w:after="40" w:line="252" w:lineRule="auto"/>
            </w:pPr>
            <w:hyperlink r:id="rId18">
              <w:r>
                <w:rPr>
                  <w:rFonts w:ascii="Calibri" w:hAnsi="Calibri" w:cs="Calibri"/>
                  <w:sz w:val="18"/>
                  <w:color w:val="1155CC"/>
                  <w:u w:val="single"/>
                </w:rPr>
                <w:t xml:space="preserve">https://www.who.int/news-room/fact-sheets/detail/drinking-water</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Free chlorine residual</w:t>
            </w:r>
          </w:p>
        </w:tc>
        <w:tc>
          <w:tcPr>
            <w:tcW w:type="dxa" w:w="1655"/>
            <w:vAlign w:val="top"/>
          </w:tcPr>
          <w:p>
            <w:pPr>
              <w:spacing w:after="40" w:before="0" w:line="259" w:lineRule="auto"/>
            </w:pPr>
            <w:r>
              <w:rPr>
                <w:rFonts w:ascii="Calibri" w:hAnsi="Calibri"/>
                <w:b w:val="0"/>
                <w:i w:val="0"/>
                <w:color w:val="212121"/>
                <w:sz w:val="19"/>
              </w:rPr>
              <w:t>Piped/stored drinking water</w:t>
            </w:r>
          </w:p>
        </w:tc>
        <w:tc>
          <w:tcPr>
            <w:tcW w:type="dxa" w:w="1512"/>
            <w:vAlign w:val="top"/>
          </w:tcPr>
          <w:p>
            <w:pPr>
              <w:spacing w:after="40" w:before="0" w:line="259" w:lineRule="auto"/>
            </w:pPr>
            <w:r>
              <w:rPr>
                <w:rFonts w:ascii="Calibri" w:hAnsi="Calibri"/>
                <w:b w:val="0"/>
                <w:i w:val="0"/>
                <w:color w:val="212121"/>
                <w:sz w:val="19"/>
              </w:rPr>
              <w:t>≥ 0.2 mg/L at point of use</w:t>
            </w:r>
          </w:p>
        </w:tc>
        <w:tc>
          <w:tcPr>
            <w:tcW w:type="dxa" w:w="1512"/>
            <w:vAlign w:val="top"/>
          </w:tcPr>
          <w:p>
            <w:pPr>
              <w:spacing w:after="40" w:before="0" w:line="259" w:lineRule="auto"/>
            </w:pPr>
            <w:r>
              <w:rPr>
                <w:rFonts w:ascii="Calibri" w:hAnsi="Calibri"/>
                <w:b w:val="0"/>
                <w:i w:val="0"/>
                <w:color w:val="212121"/>
                <w:sz w:val="19"/>
              </w:rPr>
              <w:t>&lt; 0.2 mg/L (inadequate disinfection)</w:t>
            </w:r>
          </w:p>
        </w:tc>
        <w:tc>
          <w:tcPr>
            <w:tcW w:type="dxa" w:w="1468"/>
            <w:vAlign w:val="top"/>
          </w:tcPr>
          <w:p>
            <w:pPr>
              <w:spacing w:after="60" w:line="259" w:lineRule="auto"/>
            </w:pPr>
            <w:r>
              <w:rPr>
                <w:rFonts w:ascii="Calibri" w:hAnsi="Calibri"/>
                <w:b w:val="0"/>
                <w:i w:val="0"/>
                <w:color w:val="212121"/>
                <w:sz w:val="19"/>
              </w:rPr>
              <w:t>Adequate residual chlorine inactivates Shigella in water</w:t>
            </w:r>
          </w:p>
          <w:p>
            <w:pPr>
              <w:spacing w:after="40" w:line="252" w:lineRule="auto"/>
            </w:pPr>
            <w:hyperlink r:id="rId18">
              <w:r>
                <w:rPr>
                  <w:rFonts w:ascii="Calibri" w:hAnsi="Calibri" w:cs="Calibri"/>
                  <w:sz w:val="18"/>
                  <w:color w:val="1155CC"/>
                  <w:u w:val="single"/>
                </w:rPr>
                <w:t xml:space="preserve">https://www.who.int/news-room/fact-sheets/detail/drinking-water</w:t>
              </w:r>
            </w:hyperlink>
          </w:p>
        </w:tc>
      </w:tr>
      <w:tr>
        <w:trPr>
          <w:cantSplit/>
        </w:trPr>
        <w:tc>
          <w:tcPr>
            <w:tcW w:type="dxa" w:w="1512"/>
            <w:vMerge w:val="restart"/>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Handwashing with soap</w:t>
            </w:r>
          </w:p>
        </w:tc>
        <w:tc>
          <w:tcPr>
            <w:tcW w:type="dxa" w:w="1655"/>
            <w:vAlign w:val="top"/>
          </w:tcPr>
          <w:p>
            <w:pPr>
              <w:spacing w:after="40" w:before="0" w:line="259" w:lineRule="auto"/>
            </w:pPr>
            <w:r>
              <w:rPr>
                <w:rFonts w:ascii="Calibri" w:hAnsi="Calibri"/>
                <w:b w:val="0"/>
                <w:i w:val="0"/>
                <w:color w:val="212121"/>
                <w:sz w:val="19"/>
              </w:rPr>
              <w:t>Caregivers, food handlers, children</w:t>
            </w:r>
          </w:p>
        </w:tc>
        <w:tc>
          <w:tcPr>
            <w:tcW w:type="dxa" w:w="1512"/>
            <w:vAlign w:val="top"/>
          </w:tcPr>
          <w:p>
            <w:pPr>
              <w:spacing w:after="40" w:before="0" w:line="259" w:lineRule="auto"/>
            </w:pPr>
            <w:r>
              <w:rPr>
                <w:rFonts w:ascii="Calibri" w:hAnsi="Calibri"/>
                <w:b w:val="0"/>
                <w:i w:val="0"/>
                <w:color w:val="212121"/>
                <w:sz w:val="19"/>
              </w:rPr>
              <w:t>Soap use after defecation/nappy change &amp; before food</w:t>
            </w:r>
          </w:p>
        </w:tc>
        <w:tc>
          <w:tcPr>
            <w:tcW w:type="dxa" w:w="1512"/>
            <w:vAlign w:val="top"/>
          </w:tcPr>
          <w:p>
            <w:pPr>
              <w:spacing w:after="40" w:before="0" w:line="259" w:lineRule="auto"/>
            </w:pPr>
            <w:r>
              <w:rPr>
                <w:rFonts w:ascii="Calibri" w:hAnsi="Calibri"/>
                <w:b w:val="0"/>
                <w:i w:val="0"/>
                <w:color w:val="212121"/>
                <w:sz w:val="19"/>
              </w:rPr>
              <w:t>No soap / no handwashing</w:t>
            </w:r>
          </w:p>
        </w:tc>
        <w:tc>
          <w:tcPr>
            <w:tcW w:type="dxa" w:w="1468"/>
            <w:vAlign w:val="top"/>
          </w:tcPr>
          <w:p>
            <w:pPr>
              <w:spacing w:after="60" w:line="259" w:lineRule="auto"/>
            </w:pPr>
            <w:r>
              <w:rPr>
                <w:rFonts w:ascii="Calibri" w:hAnsi="Calibri"/>
                <w:b w:val="0"/>
                <w:i w:val="0"/>
                <w:color w:val="212121"/>
                <w:sz w:val="19"/>
              </w:rPr>
              <w:t>Primary preventive measure; low infectious dose</w:t>
            </w:r>
          </w:p>
          <w:p>
            <w:pPr>
              <w:spacing w:after="40" w:line="252" w:lineRule="auto"/>
            </w:pPr>
            <w:hyperlink r:id="rId15">
              <w:r>
                <w:rPr>
                  <w:rFonts w:ascii="Calibri" w:hAnsi="Calibri" w:cs="Calibri"/>
                  <w:sz w:val="18"/>
                  <w:color w:val="1155CC"/>
                  <w:u w:val="single"/>
                </w:rPr>
                <w:t xml:space="preserve">https://www.cdc.gov/shigella/prevention/index.html</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Sanitation facility</w:t>
            </w:r>
          </w:p>
        </w:tc>
        <w:tc>
          <w:tcPr>
            <w:tcW w:type="dxa" w:w="1655"/>
            <w:vAlign w:val="top"/>
          </w:tcPr>
          <w:p>
            <w:pPr>
              <w:spacing w:after="40" w:before="0" w:line="259" w:lineRule="auto"/>
            </w:pPr>
            <w:r>
              <w:rPr>
                <w:rFonts w:ascii="Calibri" w:hAnsi="Calibri"/>
                <w:b w:val="0"/>
                <w:i w:val="0"/>
                <w:color w:val="212121"/>
                <w:sz w:val="19"/>
              </w:rPr>
              <w:t>Households, communities</w:t>
            </w:r>
          </w:p>
        </w:tc>
        <w:tc>
          <w:tcPr>
            <w:tcW w:type="dxa" w:w="1512"/>
            <w:vAlign w:val="top"/>
          </w:tcPr>
          <w:p>
            <w:pPr>
              <w:spacing w:after="40" w:before="0" w:line="259" w:lineRule="auto"/>
            </w:pPr>
            <w:r>
              <w:rPr>
                <w:rFonts w:ascii="Calibri" w:hAnsi="Calibri"/>
                <w:b w:val="0"/>
                <w:i w:val="0"/>
                <w:color w:val="212121"/>
                <w:sz w:val="19"/>
              </w:rPr>
              <w:t>Improved toilet, no open defecation</w:t>
            </w:r>
          </w:p>
        </w:tc>
        <w:tc>
          <w:tcPr>
            <w:tcW w:type="dxa" w:w="1512"/>
            <w:vAlign w:val="top"/>
          </w:tcPr>
          <w:p>
            <w:pPr>
              <w:spacing w:after="40" w:before="0" w:line="259" w:lineRule="auto"/>
            </w:pPr>
            <w:r>
              <w:rPr>
                <w:rFonts w:ascii="Calibri" w:hAnsi="Calibri"/>
                <w:b w:val="0"/>
                <w:i w:val="0"/>
                <w:color w:val="212121"/>
                <w:sz w:val="19"/>
              </w:rPr>
              <w:t>Open defecation / shared unimproved latrine</w:t>
            </w:r>
          </w:p>
        </w:tc>
        <w:tc>
          <w:tcPr>
            <w:tcW w:type="dxa" w:w="1468"/>
            <w:vAlign w:val="top"/>
          </w:tcPr>
          <w:p>
            <w:pPr>
              <w:spacing w:after="60" w:line="259" w:lineRule="auto"/>
            </w:pPr>
            <w:r>
              <w:rPr>
                <w:rFonts w:ascii="Calibri" w:hAnsi="Calibri"/>
                <w:b w:val="0"/>
                <w:i w:val="0"/>
                <w:color w:val="212121"/>
                <w:sz w:val="19"/>
              </w:rPr>
              <w:t>Interrupts environmental faecal contamination</w:t>
            </w:r>
          </w:p>
          <w:p>
            <w:pPr>
              <w:spacing w:after="40" w:line="252" w:lineRule="auto"/>
            </w:pPr>
            <w:hyperlink r:id="rId12">
              <w:r>
                <w:rPr>
                  <w:rFonts w:ascii="Calibri" w:hAnsi="Calibri" w:cs="Calibri"/>
                  <w:sz w:val="18"/>
                  <w:color w:val="1155CC"/>
                  <w:u w:val="single"/>
                </w:rPr>
                <w:t xml:space="preserve">https://pmc.ncbi.nlm.nih.gov/articles/PMC12336502/</w:t>
              </w:r>
            </w:hyperlink>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Food safety practice</w:t>
            </w:r>
          </w:p>
        </w:tc>
        <w:tc>
          <w:tcPr>
            <w:tcW w:type="dxa" w:w="1655"/>
            <w:vAlign w:val="top"/>
          </w:tcPr>
          <w:p>
            <w:pPr>
              <w:spacing w:after="40" w:before="0" w:line="259" w:lineRule="auto"/>
            </w:pPr>
            <w:r>
              <w:rPr>
                <w:rFonts w:ascii="Calibri" w:hAnsi="Calibri"/>
                <w:b w:val="0"/>
                <w:i w:val="0"/>
                <w:color w:val="212121"/>
                <w:sz w:val="19"/>
              </w:rPr>
              <w:t>Food handlers, families</w:t>
            </w:r>
          </w:p>
        </w:tc>
        <w:tc>
          <w:tcPr>
            <w:tcW w:type="dxa" w:w="1512"/>
            <w:vAlign w:val="top"/>
          </w:tcPr>
          <w:p>
            <w:pPr>
              <w:spacing w:after="40" w:before="0" w:line="259" w:lineRule="auto"/>
            </w:pPr>
            <w:r>
              <w:rPr>
                <w:rFonts w:ascii="Calibri" w:hAnsi="Calibri"/>
                <w:b w:val="0"/>
                <w:i w:val="0"/>
                <w:color w:val="212121"/>
                <w:sz w:val="19"/>
              </w:rPr>
              <w:t>Freshly cooked, hot-held, safely stored food</w:t>
            </w:r>
          </w:p>
        </w:tc>
        <w:tc>
          <w:tcPr>
            <w:tcW w:type="dxa" w:w="1512"/>
            <w:vAlign w:val="top"/>
          </w:tcPr>
          <w:p>
            <w:pPr>
              <w:spacing w:after="40" w:before="0" w:line="259" w:lineRule="auto"/>
            </w:pPr>
            <w:r>
              <w:rPr>
                <w:rFonts w:ascii="Calibri" w:hAnsi="Calibri"/>
                <w:b w:val="0"/>
                <w:i w:val="0"/>
                <w:color w:val="212121"/>
                <w:sz w:val="19"/>
              </w:rPr>
              <w:t>Street/leftover food, unsafe handling</w:t>
            </w:r>
          </w:p>
        </w:tc>
        <w:tc>
          <w:tcPr>
            <w:tcW w:type="dxa" w:w="1468"/>
            <w:vAlign w:val="top"/>
          </w:tcPr>
          <w:p>
            <w:pPr>
              <w:spacing w:after="60" w:line="259" w:lineRule="auto"/>
            </w:pPr>
            <w:r>
              <w:rPr>
                <w:rFonts w:ascii="Calibri" w:hAnsi="Calibri"/>
                <w:b w:val="0"/>
                <w:i w:val="0"/>
                <w:color w:val="212121"/>
                <w:sz w:val="19"/>
              </w:rPr>
              <w:t>Common-source outbreak vehicle</w:t>
            </w:r>
          </w:p>
          <w:p>
            <w:pPr>
              <w:spacing w:after="40" w:line="252" w:lineRule="auto"/>
            </w:pPr>
            <w:hyperlink r:id="rId13">
              <w:r>
                <w:rPr>
                  <w:rFonts w:ascii="Calibri" w:hAnsi="Calibri" w:cs="Calibri"/>
                  <w:sz w:val="18"/>
                  <w:color w:val="1155CC"/>
                  <w:u w:val="single"/>
                </w:rPr>
                <w:t xml:space="preserve">https://pmc.ncbi.nlm.nih.gov/articles/PMC11463884/</w:t>
              </w:r>
            </w:hyperlink>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Infectious dose</w:t>
            </w:r>
          </w:p>
        </w:tc>
        <w:tc>
          <w:tcPr>
            <w:tcW w:type="dxa" w:w="1655"/>
            <w:vAlign w:val="top"/>
          </w:tcPr>
          <w:p>
            <w:pPr>
              <w:spacing w:after="40" w:before="0" w:line="259" w:lineRule="auto"/>
            </w:pPr>
            <w:r>
              <w:rPr>
                <w:rFonts w:ascii="Calibri" w:hAnsi="Calibri"/>
                <w:b w:val="0"/>
                <w:i w:val="0"/>
                <w:color w:val="212121"/>
                <w:sz w:val="19"/>
              </w:rPr>
              <w:t>All exposed</w:t>
            </w:r>
          </w:p>
        </w:tc>
        <w:tc>
          <w:tcPr>
            <w:tcW w:type="dxa" w:w="1512"/>
            <w:vAlign w:val="top"/>
          </w:tcPr>
          <w:p>
            <w:pPr>
              <w:spacing w:after="40" w:before="0" w:line="259" w:lineRule="auto"/>
            </w:pPr>
            <w:r>
              <w:rPr>
                <w:rFonts w:ascii="Calibri" w:hAnsi="Calibri"/>
                <w:b w:val="0"/>
                <w:i w:val="0"/>
                <w:color w:val="212121"/>
                <w:sz w:val="19"/>
              </w:rPr>
              <w:t>No ingestion of contaminated material</w:t>
            </w:r>
          </w:p>
        </w:tc>
        <w:tc>
          <w:tcPr>
            <w:tcW w:type="dxa" w:w="1512"/>
            <w:vAlign w:val="top"/>
          </w:tcPr>
          <w:p>
            <w:pPr>
              <w:spacing w:after="40" w:before="0" w:line="259" w:lineRule="auto"/>
            </w:pPr>
            <w:r>
              <w:rPr>
                <w:rFonts w:ascii="Calibri" w:hAnsi="Calibri"/>
                <w:b w:val="0"/>
                <w:i w:val="0"/>
                <w:color w:val="212121"/>
                <w:sz w:val="19"/>
              </w:rPr>
              <w:t>As few as 10–100 organisms ingested</w:t>
            </w:r>
          </w:p>
        </w:tc>
        <w:tc>
          <w:tcPr>
            <w:tcW w:type="dxa" w:w="1468"/>
            <w:vAlign w:val="top"/>
          </w:tcPr>
          <w:p>
            <w:pPr>
              <w:spacing w:after="60" w:line="259" w:lineRule="auto"/>
            </w:pPr>
            <w:r>
              <w:rPr>
                <w:rFonts w:ascii="Calibri" w:hAnsi="Calibri"/>
                <w:b w:val="0"/>
                <w:i w:val="0"/>
                <w:color w:val="212121"/>
                <w:sz w:val="19"/>
              </w:rPr>
              <w:t>Explains efficient person-to-person spread</w:t>
            </w:r>
          </w:p>
          <w:p>
            <w:pPr>
              <w:spacing w:after="40" w:line="252" w:lineRule="auto"/>
            </w:pPr>
            <w:hyperlink r:id="rId17">
              <w:r>
                <w:rPr>
                  <w:rFonts w:ascii="Calibri" w:hAnsi="Calibri" w:cs="Calibri"/>
                  <w:sz w:val="18"/>
                  <w:color w:val="1155CC"/>
                  <w:u w:val="single"/>
                </w:rPr>
                <w:t xml:space="preserve">https://www.ncbi.nlm.nih.gov/books/NBK482337/</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Incubation period</w:t>
            </w:r>
          </w:p>
        </w:tc>
        <w:tc>
          <w:tcPr>
            <w:tcW w:type="dxa" w:w="1655"/>
            <w:vAlign w:val="top"/>
          </w:tcPr>
          <w:p>
            <w:pPr>
              <w:spacing w:after="40" w:before="0" w:line="259" w:lineRule="auto"/>
            </w:pPr>
            <w:r>
              <w:rPr>
                <w:rFonts w:ascii="Calibri" w:hAnsi="Calibri"/>
                <w:b w:val="0"/>
                <w:i w:val="0"/>
                <w:color w:val="212121"/>
                <w:sz w:val="19"/>
              </w:rPr>
              <w:t>Exposed contacts</w:t>
            </w:r>
          </w:p>
        </w:tc>
        <w:tc>
          <w:tcPr>
            <w:tcW w:type="dxa" w:w="1512"/>
            <w:vAlign w:val="top"/>
          </w:tcPr>
          <w:p>
            <w:pPr>
              <w:spacing w:after="40" w:before="0" w:line="259" w:lineRule="auto"/>
            </w:pPr>
            <w:r>
              <w:rPr>
                <w:rFonts w:ascii="Calibri" w:hAnsi="Calibri"/>
                <w:b w:val="0"/>
                <w:i w:val="0"/>
                <w:color w:val="212121"/>
                <w:sz w:val="19"/>
              </w:rPr>
              <w:t>N/A (avoid exposure)</w:t>
            </w:r>
          </w:p>
        </w:tc>
        <w:tc>
          <w:tcPr>
            <w:tcW w:type="dxa" w:w="1512"/>
            <w:vAlign w:val="top"/>
          </w:tcPr>
          <w:p>
            <w:pPr>
              <w:spacing w:after="40" w:before="0" w:line="259" w:lineRule="auto"/>
            </w:pPr>
            <w:r>
              <w:rPr>
                <w:rFonts w:ascii="Calibri" w:hAnsi="Calibri"/>
                <w:b w:val="0"/>
                <w:i w:val="0"/>
                <w:color w:val="212121"/>
                <w:sz w:val="19"/>
              </w:rPr>
              <w:t>Onset 1–4 days after exposure</w:t>
            </w:r>
          </w:p>
        </w:tc>
        <w:tc>
          <w:tcPr>
            <w:tcW w:type="dxa" w:w="1468"/>
            <w:vAlign w:val="top"/>
          </w:tcPr>
          <w:p>
            <w:pPr>
              <w:spacing w:after="60" w:line="259" w:lineRule="auto"/>
            </w:pPr>
            <w:r>
              <w:rPr>
                <w:rFonts w:ascii="Calibri" w:hAnsi="Calibri"/>
                <w:b w:val="0"/>
                <w:i w:val="0"/>
                <w:color w:val="212121"/>
                <w:sz w:val="19"/>
              </w:rPr>
              <w:t>~26 h mean in the Assam outbreak; guides contact tracing</w:t>
            </w:r>
          </w:p>
          <w:p>
            <w:pPr>
              <w:spacing w:after="40" w:line="252" w:lineRule="auto"/>
            </w:pPr>
            <w:hyperlink r:id="rId13">
              <w:r>
                <w:rPr>
                  <w:rFonts w:ascii="Calibri" w:hAnsi="Calibri" w:cs="Calibri"/>
                  <w:sz w:val="18"/>
                  <w:color w:val="1155CC"/>
                  <w:u w:val="single"/>
                </w:rPr>
                <w:t xml:space="preserve">https://pmc.ncbi.nlm.nih.gov/articles/PMC11463884/</w:t>
              </w:r>
            </w:hyperlink>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Exclusive breastfeeding (infants)</w:t>
            </w:r>
          </w:p>
        </w:tc>
        <w:tc>
          <w:tcPr>
            <w:tcW w:type="dxa" w:w="1655"/>
            <w:vAlign w:val="top"/>
          </w:tcPr>
          <w:p>
            <w:pPr>
              <w:spacing w:after="40" w:before="0" w:line="259" w:lineRule="auto"/>
            </w:pPr>
            <w:r>
              <w:rPr>
                <w:rFonts w:ascii="Calibri" w:hAnsi="Calibri"/>
                <w:b w:val="0"/>
                <w:i w:val="0"/>
                <w:color w:val="212121"/>
                <w:sz w:val="19"/>
              </w:rPr>
              <w:t>Infants &lt; 6 months</w:t>
            </w:r>
          </w:p>
        </w:tc>
        <w:tc>
          <w:tcPr>
            <w:tcW w:type="dxa" w:w="1512"/>
            <w:vAlign w:val="top"/>
          </w:tcPr>
          <w:p>
            <w:pPr>
              <w:spacing w:after="40" w:before="0" w:line="259" w:lineRule="auto"/>
            </w:pPr>
            <w:r>
              <w:rPr>
                <w:rFonts w:ascii="Calibri" w:hAnsi="Calibri"/>
                <w:b w:val="0"/>
                <w:i w:val="0"/>
                <w:color w:val="212121"/>
                <w:sz w:val="19"/>
              </w:rPr>
              <w:t>Exclusive breastfeeding to 6 months</w:t>
            </w:r>
          </w:p>
        </w:tc>
        <w:tc>
          <w:tcPr>
            <w:tcW w:type="dxa" w:w="1512"/>
            <w:vAlign w:val="top"/>
          </w:tcPr>
          <w:p>
            <w:pPr>
              <w:spacing w:after="40" w:before="0" w:line="259" w:lineRule="auto"/>
            </w:pPr>
            <w:r>
              <w:rPr>
                <w:rFonts w:ascii="Calibri" w:hAnsi="Calibri"/>
                <w:b w:val="0"/>
                <w:i w:val="0"/>
                <w:color w:val="212121"/>
                <w:sz w:val="19"/>
              </w:rPr>
              <w:t>Early weaning / formula with unsafe water</w:t>
            </w:r>
          </w:p>
        </w:tc>
        <w:tc>
          <w:tcPr>
            <w:tcW w:type="dxa" w:w="1468"/>
            <w:vAlign w:val="top"/>
          </w:tcPr>
          <w:p>
            <w:pPr>
              <w:spacing w:after="60" w:line="259" w:lineRule="auto"/>
            </w:pPr>
            <w:r>
              <w:rPr>
                <w:rFonts w:ascii="Calibri" w:hAnsi="Calibri"/>
                <w:b w:val="0"/>
                <w:i w:val="0"/>
                <w:color w:val="212121"/>
                <w:sz w:val="19"/>
              </w:rPr>
              <w:t>Protective antibodies; avoids contaminated feeds</w:t>
            </w:r>
          </w:p>
          <w:p>
            <w:pPr>
              <w:spacing w:after="40" w:line="252" w:lineRule="auto"/>
            </w:pPr>
            <w:hyperlink r:id="rId14">
              <w:r>
                <w:rPr>
                  <w:rFonts w:ascii="Calibri" w:hAnsi="Calibri" w:cs="Calibri"/>
                  <w:sz w:val="18"/>
                  <w:color w:val="1155CC"/>
                  <w:u w:val="single"/>
                </w:rPr>
                <w:t xml:space="preserve">https://www.who.int/news-room/fact-sheets/detail/diarrhoeal-disease</w:t>
              </w:r>
            </w:hyperlink>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Hydration status</w:t>
            </w:r>
          </w:p>
        </w:tc>
        <w:tc>
          <w:tcPr>
            <w:tcW w:type="dxa" w:w="1655"/>
            <w:vAlign w:val="top"/>
          </w:tcPr>
          <w:p>
            <w:pPr>
              <w:spacing w:after="40" w:before="0" w:line="259" w:lineRule="auto"/>
            </w:pPr>
            <w:r>
              <w:rPr>
                <w:rFonts w:ascii="Calibri" w:hAnsi="Calibri"/>
                <w:b w:val="0"/>
                <w:i w:val="0"/>
                <w:color w:val="212121"/>
                <w:sz w:val="19"/>
              </w:rPr>
              <w:t>Acutely ill patients</w:t>
            </w:r>
          </w:p>
        </w:tc>
        <w:tc>
          <w:tcPr>
            <w:tcW w:type="dxa" w:w="1512"/>
            <w:vAlign w:val="top"/>
          </w:tcPr>
          <w:p>
            <w:pPr>
              <w:spacing w:after="40" w:before="0" w:line="259" w:lineRule="auto"/>
            </w:pPr>
            <w:r>
              <w:rPr>
                <w:rFonts w:ascii="Calibri" w:hAnsi="Calibri"/>
                <w:b w:val="0"/>
                <w:i w:val="0"/>
                <w:color w:val="212121"/>
                <w:sz w:val="19"/>
              </w:rPr>
              <w:t>&lt; 3% body-weight fluid deficit; ORS maintained</w:t>
            </w:r>
          </w:p>
        </w:tc>
        <w:tc>
          <w:tcPr>
            <w:tcW w:type="dxa" w:w="1512"/>
            <w:vAlign w:val="top"/>
          </w:tcPr>
          <w:p>
            <w:pPr>
              <w:spacing w:after="40" w:before="0" w:line="259" w:lineRule="auto"/>
            </w:pPr>
            <w:r>
              <w:rPr>
                <w:rFonts w:ascii="Calibri" w:hAnsi="Calibri"/>
                <w:b w:val="0"/>
                <w:i w:val="0"/>
                <w:color w:val="212121"/>
                <w:sz w:val="19"/>
              </w:rPr>
              <w:t>≥ 5–10% deficit / signs of severe dehydration</w:t>
            </w:r>
          </w:p>
        </w:tc>
        <w:tc>
          <w:tcPr>
            <w:tcW w:type="dxa" w:w="1468"/>
            <w:vAlign w:val="top"/>
          </w:tcPr>
          <w:p>
            <w:pPr>
              <w:spacing w:after="60" w:line="259" w:lineRule="auto"/>
            </w:pPr>
            <w:r>
              <w:rPr>
                <w:rFonts w:ascii="Calibri" w:hAnsi="Calibri"/>
                <w:b w:val="0"/>
                <w:i w:val="0"/>
                <w:color w:val="212121"/>
                <w:sz w:val="19"/>
              </w:rPr>
              <w:t>ORS is cornerstone; IV fluids if severe</w:t>
            </w:r>
          </w:p>
          <w:p>
            <w:pPr>
              <w:spacing w:after="40" w:line="252" w:lineRule="auto"/>
            </w:pPr>
            <w:hyperlink r:id="rId14">
              <w:r>
                <w:rPr>
                  <w:rFonts w:ascii="Calibri" w:hAnsi="Calibri" w:cs="Calibri"/>
                  <w:sz w:val="18"/>
                  <w:color w:val="1155CC"/>
                  <w:u w:val="single"/>
                </w:rPr>
                <w:t xml:space="preserve">https://www.who.int/news-room/fact-sheets/detail/diarrhoeal-disease</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Stool frequency/character</w:t>
            </w:r>
          </w:p>
        </w:tc>
        <w:tc>
          <w:tcPr>
            <w:tcW w:type="dxa" w:w="1655"/>
            <w:vAlign w:val="top"/>
          </w:tcPr>
          <w:p>
            <w:pPr>
              <w:spacing w:after="40" w:before="0" w:line="259" w:lineRule="auto"/>
            </w:pPr>
            <w:r>
              <w:rPr>
                <w:rFonts w:ascii="Calibri" w:hAnsi="Calibri"/>
                <w:b w:val="0"/>
                <w:i w:val="0"/>
                <w:color w:val="212121"/>
                <w:sz w:val="19"/>
              </w:rPr>
              <w:t>Acutely ill patients</w:t>
            </w:r>
          </w:p>
        </w:tc>
        <w:tc>
          <w:tcPr>
            <w:tcW w:type="dxa" w:w="1512"/>
            <w:vAlign w:val="top"/>
          </w:tcPr>
          <w:p>
            <w:pPr>
              <w:spacing w:after="40" w:before="0" w:line="259" w:lineRule="auto"/>
            </w:pPr>
            <w:r>
              <w:rPr>
                <w:rFonts w:ascii="Calibri" w:hAnsi="Calibri"/>
                <w:b w:val="0"/>
                <w:i w:val="0"/>
                <w:color w:val="212121"/>
                <w:sz w:val="19"/>
              </w:rPr>
              <w:t>Formed, blood-free stool</w:t>
            </w:r>
          </w:p>
        </w:tc>
        <w:tc>
          <w:tcPr>
            <w:tcW w:type="dxa" w:w="1512"/>
            <w:vAlign w:val="top"/>
          </w:tcPr>
          <w:p>
            <w:pPr>
              <w:spacing w:after="40" w:before="0" w:line="259" w:lineRule="auto"/>
            </w:pPr>
            <w:r>
              <w:rPr>
                <w:rFonts w:ascii="Calibri" w:hAnsi="Calibri"/>
                <w:b w:val="0"/>
                <w:i w:val="0"/>
                <w:color w:val="212121"/>
                <w:sz w:val="19"/>
              </w:rPr>
              <w:t>≥ 6 loose bloody/mucoid stools per day</w:t>
            </w:r>
          </w:p>
        </w:tc>
        <w:tc>
          <w:tcPr>
            <w:tcW w:type="dxa" w:w="1468"/>
            <w:vAlign w:val="top"/>
          </w:tcPr>
          <w:p>
            <w:pPr>
              <w:spacing w:after="60" w:line="259" w:lineRule="auto"/>
            </w:pPr>
            <w:r>
              <w:rPr>
                <w:rFonts w:ascii="Calibri" w:hAnsi="Calibri"/>
                <w:b w:val="0"/>
                <w:i w:val="0"/>
                <w:color w:val="212121"/>
                <w:sz w:val="19"/>
              </w:rPr>
              <w:t>Marks invasive dysentery and severity</w:t>
            </w:r>
          </w:p>
          <w:p>
            <w:pPr>
              <w:spacing w:after="40" w:line="252" w:lineRule="auto"/>
            </w:pPr>
            <w:hyperlink r:id="rId20">
              <w:r>
                <w:rPr>
                  <w:rFonts w:ascii="Calibri" w:hAnsi="Calibri" w:cs="Calibri"/>
                  <w:sz w:val="18"/>
                  <w:color w:val="1155CC"/>
                  <w:u w:val="single"/>
                </w:rPr>
                <w:t xml:space="preserve">https://www.cdc.gov/shigella/signs-symptoms/index.html</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Microbiological</w:t>
            </w:r>
          </w:p>
        </w:tc>
        <w:tc>
          <w:tcPr>
            <w:tcW w:type="dxa" w:w="1036"/>
            <w:vAlign w:val="top"/>
          </w:tcPr>
          <w:p>
            <w:pPr>
              <w:spacing w:after="40" w:before="0" w:line="259" w:lineRule="auto"/>
            </w:pPr>
            <w:r>
              <w:rPr>
                <w:rFonts w:ascii="Calibri" w:hAnsi="Calibri"/>
                <w:b w:val="0"/>
                <w:i w:val="0"/>
                <w:color w:val="212121"/>
                <w:sz w:val="16"/>
              </w:rPr>
              <w:t>Stool culture (selective media) + serotyping</w:t>
            </w:r>
          </w:p>
        </w:tc>
        <w:tc>
          <w:tcPr>
            <w:tcW w:type="dxa" w:w="892"/>
            <w:vAlign w:val="top"/>
          </w:tcPr>
          <w:p>
            <w:pPr>
              <w:spacing w:after="40" w:before="0" w:line="259" w:lineRule="auto"/>
            </w:pPr>
            <w:r>
              <w:rPr>
                <w:rFonts w:ascii="Calibri" w:hAnsi="Calibri"/>
                <w:b w:val="0"/>
                <w:i w:val="0"/>
                <w:color w:val="212121"/>
                <w:sz w:val="16"/>
              </w:rPr>
              <w:t>Stool Culture</w:t>
            </w:r>
          </w:p>
        </w:tc>
        <w:tc>
          <w:tcPr>
            <w:tcW w:type="dxa" w:w="950"/>
            <w:vAlign w:val="top"/>
          </w:tcPr>
          <w:p>
            <w:pPr>
              <w:spacing w:after="40" w:before="0" w:line="259" w:lineRule="auto"/>
            </w:pPr>
            <w:r>
              <w:rPr>
                <w:rFonts w:ascii="Calibri" w:hAnsi="Calibri"/>
                <w:b w:val="0"/>
                <w:i w:val="0"/>
                <w:color w:val="212121"/>
                <w:sz w:val="16"/>
              </w:rPr>
              <w:t>No Shigella isolated</w:t>
            </w:r>
          </w:p>
        </w:tc>
        <w:tc>
          <w:tcPr>
            <w:tcW w:type="dxa" w:w="950"/>
            <w:vAlign w:val="top"/>
          </w:tcPr>
          <w:p>
            <w:pPr>
              <w:spacing w:after="40" w:before="0" w:line="259" w:lineRule="auto"/>
            </w:pPr>
            <w:r>
              <w:rPr>
                <w:rFonts w:ascii="Calibri" w:hAnsi="Calibri"/>
                <w:b w:val="0"/>
                <w:i w:val="0"/>
                <w:color w:val="212121"/>
                <w:sz w:val="16"/>
              </w:rPr>
              <w:t>Non-lactose-fermenting, non-motile Shigella isolated</w:t>
            </w:r>
          </w:p>
        </w:tc>
        <w:tc>
          <w:tcPr>
            <w:tcW w:type="dxa" w:w="1036"/>
            <w:vAlign w:val="top"/>
          </w:tcPr>
          <w:p>
            <w:pPr>
              <w:spacing w:after="40" w:before="0" w:line="259" w:lineRule="auto"/>
            </w:pPr>
            <w:r>
              <w:rPr>
                <w:rFonts w:ascii="Calibri" w:hAnsi="Calibri"/>
                <w:b w:val="0"/>
                <w:i w:val="0"/>
                <w:color w:val="212121"/>
                <w:sz w:val="16"/>
              </w:rPr>
              <w:t>Definitive diagnosis; identifies species/serogroup for epidemiology</w:t>
            </w:r>
          </w:p>
        </w:tc>
        <w:tc>
          <w:tcPr>
            <w:tcW w:type="dxa" w:w="1036"/>
            <w:vAlign w:val="top"/>
          </w:tcPr>
          <w:p>
            <w:pPr>
              <w:spacing w:after="40" w:before="0" w:line="259" w:lineRule="auto"/>
            </w:pPr>
            <w:r>
              <w:rPr>
                <w:rFonts w:ascii="Calibri" w:hAnsi="Calibri"/>
                <w:b w:val="0"/>
                <w:i w:val="0"/>
                <w:color w:val="212121"/>
                <w:sz w:val="16"/>
              </w:rPr>
              <w:t>Children with dysentery, outbreak contacts, severe/atypical cases</w:t>
            </w:r>
          </w:p>
        </w:tc>
        <w:tc>
          <w:tcPr>
            <w:tcW w:type="dxa" w:w="720"/>
            <w:vAlign w:val="top"/>
          </w:tcPr>
          <w:p>
            <w:pPr>
              <w:spacing w:after="40" w:before="0" w:line="259" w:lineRule="auto"/>
            </w:pPr>
            <w:r>
              <w:rPr>
                <w:rFonts w:ascii="Calibri" w:hAnsi="Calibri"/>
                <w:b w:val="0"/>
                <w:i w:val="0"/>
                <w:color w:val="212121"/>
                <w:sz w:val="16"/>
              </w:rPr>
              <w:t>Food; Water; Hygiene</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Prompt transport/enrichment improves yield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Microbiological</w:t>
            </w:r>
          </w:p>
        </w:tc>
        <w:tc>
          <w:tcPr>
            <w:tcW w:type="dxa" w:w="1036"/>
            <w:vAlign w:val="top"/>
          </w:tcPr>
          <w:p>
            <w:pPr>
              <w:spacing w:after="40" w:before="0" w:line="259" w:lineRule="auto"/>
            </w:pPr>
            <w:r>
              <w:rPr>
                <w:rFonts w:ascii="Calibri" w:hAnsi="Calibri"/>
                <w:b w:val="0"/>
                <w:i w:val="0"/>
                <w:color w:val="212121"/>
                <w:sz w:val="16"/>
              </w:rPr>
              <w:t>Antimicrobial susceptibility testing</w:t>
            </w:r>
          </w:p>
        </w:tc>
        <w:tc>
          <w:tcPr>
            <w:tcW w:type="dxa" w:w="892"/>
            <w:vAlign w:val="top"/>
          </w:tcPr>
          <w:p>
            <w:pPr>
              <w:spacing w:after="40" w:before="0" w:line="259" w:lineRule="auto"/>
            </w:pPr>
            <w:r>
              <w:rPr>
                <w:rFonts w:ascii="Calibri" w:hAnsi="Calibri"/>
                <w:b w:val="0"/>
                <w:i w:val="0"/>
                <w:color w:val="212121"/>
                <w:sz w:val="16"/>
              </w:rPr>
              <w:t>Stool Culture + AST</w:t>
            </w:r>
          </w:p>
        </w:tc>
        <w:tc>
          <w:tcPr>
            <w:tcW w:type="dxa" w:w="950"/>
            <w:vAlign w:val="top"/>
          </w:tcPr>
          <w:p>
            <w:pPr>
              <w:spacing w:after="40" w:before="0" w:line="259" w:lineRule="auto"/>
            </w:pPr>
            <w:r>
              <w:rPr>
                <w:rFonts w:ascii="Calibri" w:hAnsi="Calibri"/>
                <w:b w:val="0"/>
                <w:i w:val="0"/>
                <w:color w:val="212121"/>
                <w:sz w:val="16"/>
              </w:rPr>
              <w:t>Susceptible to first-line agents</w:t>
            </w:r>
          </w:p>
        </w:tc>
        <w:tc>
          <w:tcPr>
            <w:tcW w:type="dxa" w:w="950"/>
            <w:vAlign w:val="top"/>
          </w:tcPr>
          <w:p>
            <w:pPr>
              <w:spacing w:after="40" w:before="0" w:line="259" w:lineRule="auto"/>
            </w:pPr>
            <w:r>
              <w:rPr>
                <w:rFonts w:ascii="Calibri" w:hAnsi="Calibri"/>
                <w:b w:val="0"/>
                <w:i w:val="0"/>
                <w:color w:val="212121"/>
                <w:sz w:val="16"/>
              </w:rPr>
              <w:t>Resistance to ciprofloxacin/ceftriaxone/azithromycin (MDR/XDR)</w:t>
            </w:r>
          </w:p>
        </w:tc>
        <w:tc>
          <w:tcPr>
            <w:tcW w:type="dxa" w:w="1036"/>
            <w:vAlign w:val="top"/>
          </w:tcPr>
          <w:p>
            <w:pPr>
              <w:spacing w:after="40" w:before="0" w:line="259" w:lineRule="auto"/>
            </w:pPr>
            <w:r>
              <w:rPr>
                <w:rFonts w:ascii="Calibri" w:hAnsi="Calibri"/>
                <w:b w:val="0"/>
                <w:i w:val="0"/>
                <w:color w:val="212121"/>
                <w:sz w:val="16"/>
              </w:rPr>
              <w:t>Guides therapy amid escalating resistance; flags XDR strains</w:t>
            </w:r>
          </w:p>
        </w:tc>
        <w:tc>
          <w:tcPr>
            <w:tcW w:type="dxa" w:w="1036"/>
            <w:vAlign w:val="top"/>
          </w:tcPr>
          <w:p>
            <w:pPr>
              <w:spacing w:after="40" w:before="0" w:line="259" w:lineRule="auto"/>
            </w:pPr>
            <w:r>
              <w:rPr>
                <w:rFonts w:ascii="Calibri" w:hAnsi="Calibri"/>
                <w:b w:val="0"/>
                <w:i w:val="0"/>
                <w:color w:val="212121"/>
                <w:sz w:val="16"/>
              </w:rPr>
              <w:t>All culture-positive cases, treatment failures, travellers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Critical</w:t>
            </w:r>
          </w:p>
        </w:tc>
        <w:tc>
          <w:tcPr>
            <w:tcW w:type="dxa" w:w="720"/>
            <w:vAlign w:val="top"/>
          </w:tcPr>
          <w:p>
            <w:pPr>
              <w:spacing w:after="40" w:before="0" w:line="259" w:lineRule="auto"/>
            </w:pPr>
            <w:r>
              <w:rPr>
                <w:rFonts w:ascii="Calibri" w:hAnsi="Calibri"/>
                <w:b w:val="0"/>
                <w:i w:val="0"/>
                <w:color w:val="212121"/>
                <w:sz w:val="16"/>
              </w:rPr>
              <w:t>XDR S. sonnei reported in Kolkata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Microscopy</w:t>
            </w:r>
          </w:p>
        </w:tc>
        <w:tc>
          <w:tcPr>
            <w:tcW w:type="dxa" w:w="1036"/>
            <w:vAlign w:val="top"/>
          </w:tcPr>
          <w:p>
            <w:pPr>
              <w:spacing w:after="40" w:before="0" w:line="259" w:lineRule="auto"/>
            </w:pPr>
            <w:r>
              <w:rPr>
                <w:rFonts w:ascii="Calibri" w:hAnsi="Calibri"/>
                <w:b w:val="0"/>
                <w:i w:val="0"/>
                <w:color w:val="212121"/>
                <w:sz w:val="16"/>
              </w:rPr>
              <w:t>Stool faecal leukocytes &amp; RBCs</w:t>
            </w:r>
          </w:p>
        </w:tc>
        <w:tc>
          <w:tcPr>
            <w:tcW w:type="dxa" w:w="892"/>
            <w:vAlign w:val="top"/>
          </w:tcPr>
          <w:p>
            <w:pPr>
              <w:spacing w:after="40" w:before="0" w:line="259" w:lineRule="auto"/>
            </w:pPr>
            <w:r>
              <w:rPr>
                <w:rFonts w:ascii="Calibri" w:hAnsi="Calibri"/>
                <w:b w:val="0"/>
                <w:i w:val="0"/>
                <w:color w:val="212121"/>
                <w:sz w:val="16"/>
              </w:rPr>
              <w:t>Stool Microscopy</w:t>
            </w:r>
          </w:p>
        </w:tc>
        <w:tc>
          <w:tcPr>
            <w:tcW w:type="dxa" w:w="950"/>
            <w:vAlign w:val="top"/>
          </w:tcPr>
          <w:p>
            <w:pPr>
              <w:spacing w:after="40" w:before="0" w:line="259" w:lineRule="auto"/>
            </w:pPr>
            <w:r>
              <w:rPr>
                <w:rFonts w:ascii="Calibri" w:hAnsi="Calibri"/>
                <w:b w:val="0"/>
                <w:i w:val="0"/>
                <w:color w:val="212121"/>
                <w:sz w:val="16"/>
              </w:rPr>
              <w:t>No/few leukocytes</w:t>
            </w:r>
          </w:p>
        </w:tc>
        <w:tc>
          <w:tcPr>
            <w:tcW w:type="dxa" w:w="950"/>
            <w:vAlign w:val="top"/>
          </w:tcPr>
          <w:p>
            <w:pPr>
              <w:spacing w:after="40" w:before="0" w:line="259" w:lineRule="auto"/>
            </w:pPr>
            <w:r>
              <w:rPr>
                <w:rFonts w:ascii="Calibri" w:hAnsi="Calibri"/>
                <w:b w:val="0"/>
                <w:i w:val="0"/>
                <w:color w:val="212121"/>
                <w:sz w:val="16"/>
              </w:rPr>
              <w:t>Sheets of pus cells and red blood cells</w:t>
            </w:r>
          </w:p>
        </w:tc>
        <w:tc>
          <w:tcPr>
            <w:tcW w:type="dxa" w:w="1036"/>
            <w:vAlign w:val="top"/>
          </w:tcPr>
          <w:p>
            <w:pPr>
              <w:spacing w:after="40" w:before="0" w:line="259" w:lineRule="auto"/>
            </w:pPr>
            <w:r>
              <w:rPr>
                <w:rFonts w:ascii="Calibri" w:hAnsi="Calibri"/>
                <w:b w:val="0"/>
                <w:i w:val="0"/>
                <w:color w:val="212121"/>
                <w:sz w:val="16"/>
              </w:rPr>
              <w:t>Indicates invasive inflammatory colitis (vs secretory diarrhoea)</w:t>
            </w:r>
          </w:p>
        </w:tc>
        <w:tc>
          <w:tcPr>
            <w:tcW w:type="dxa" w:w="1036"/>
            <w:vAlign w:val="top"/>
          </w:tcPr>
          <w:p>
            <w:pPr>
              <w:spacing w:after="40" w:before="0" w:line="259" w:lineRule="auto"/>
            </w:pPr>
            <w:r>
              <w:rPr>
                <w:rFonts w:ascii="Calibri" w:hAnsi="Calibri"/>
                <w:b w:val="0"/>
                <w:i w:val="0"/>
                <w:color w:val="212121"/>
                <w:sz w:val="16"/>
              </w:rPr>
              <w:t>Patients with bloody/mucoid diarrhoea</w:t>
            </w:r>
          </w:p>
        </w:tc>
        <w:tc>
          <w:tcPr>
            <w:tcW w:type="dxa" w:w="720"/>
            <w:vAlign w:val="top"/>
          </w:tcPr>
          <w:p>
            <w:pPr>
              <w:spacing w:after="40" w:before="0" w:line="259" w:lineRule="auto"/>
            </w:pPr>
            <w:r>
              <w:rPr>
                <w:rFonts w:ascii="Calibri" w:hAnsi="Calibri"/>
                <w:b w:val="0"/>
                <w:i w:val="0"/>
                <w:color w:val="212121"/>
                <w:sz w:val="16"/>
              </w:rPr>
              <w:t>Food; Water</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Rapid, inexpensive point-of-care clue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Molecular</w:t>
            </w:r>
          </w:p>
        </w:tc>
        <w:tc>
          <w:tcPr>
            <w:tcW w:type="dxa" w:w="1036"/>
            <w:vAlign w:val="top"/>
          </w:tcPr>
          <w:p>
            <w:pPr>
              <w:spacing w:after="40" w:before="0" w:line="259" w:lineRule="auto"/>
            </w:pPr>
            <w:r>
              <w:rPr>
                <w:rFonts w:ascii="Calibri" w:hAnsi="Calibri"/>
                <w:b w:val="0"/>
                <w:i w:val="0"/>
                <w:color w:val="212121"/>
                <w:sz w:val="16"/>
              </w:rPr>
              <w:t>Multiplex PCR (ipaH gene)</w:t>
            </w:r>
          </w:p>
        </w:tc>
        <w:tc>
          <w:tcPr>
            <w:tcW w:type="dxa" w:w="892"/>
            <w:vAlign w:val="top"/>
          </w:tcPr>
          <w:p>
            <w:pPr>
              <w:spacing w:after="40" w:before="0" w:line="259" w:lineRule="auto"/>
            </w:pPr>
            <w:r>
              <w:rPr>
                <w:rFonts w:ascii="Calibri" w:hAnsi="Calibri"/>
                <w:b w:val="0"/>
                <w:i w:val="0"/>
                <w:color w:val="212121"/>
                <w:sz w:val="16"/>
              </w:rPr>
              <w:t>Stool NAAT</w:t>
            </w:r>
          </w:p>
        </w:tc>
        <w:tc>
          <w:tcPr>
            <w:tcW w:type="dxa" w:w="950"/>
            <w:vAlign w:val="top"/>
          </w:tcPr>
          <w:p>
            <w:pPr>
              <w:spacing w:after="40" w:before="0" w:line="259" w:lineRule="auto"/>
            </w:pPr>
            <w:r>
              <w:rPr>
                <w:rFonts w:ascii="Calibri" w:hAnsi="Calibri"/>
                <w:b w:val="0"/>
                <w:i w:val="0"/>
                <w:color w:val="212121"/>
                <w:sz w:val="16"/>
              </w:rPr>
              <w:t>ipaH not detected</w:t>
            </w:r>
          </w:p>
        </w:tc>
        <w:tc>
          <w:tcPr>
            <w:tcW w:type="dxa" w:w="950"/>
            <w:vAlign w:val="top"/>
          </w:tcPr>
          <w:p>
            <w:pPr>
              <w:spacing w:after="40" w:before="0" w:line="259" w:lineRule="auto"/>
            </w:pPr>
            <w:r>
              <w:rPr>
                <w:rFonts w:ascii="Calibri" w:hAnsi="Calibri"/>
                <w:b w:val="0"/>
                <w:i w:val="0"/>
                <w:color w:val="212121"/>
                <w:sz w:val="16"/>
              </w:rPr>
              <w:t>ipaH detected (Shigella/EIEC)</w:t>
            </w:r>
          </w:p>
        </w:tc>
        <w:tc>
          <w:tcPr>
            <w:tcW w:type="dxa" w:w="1036"/>
            <w:vAlign w:val="top"/>
          </w:tcPr>
          <w:p>
            <w:pPr>
              <w:spacing w:after="40" w:before="0" w:line="259" w:lineRule="auto"/>
            </w:pPr>
            <w:r>
              <w:rPr>
                <w:rFonts w:ascii="Calibri" w:hAnsi="Calibri"/>
                <w:b w:val="0"/>
                <w:i w:val="0"/>
                <w:color w:val="212121"/>
                <w:sz w:val="16"/>
              </w:rPr>
              <w:t>Sensitive detection when culture negative/unavailable</w:t>
            </w:r>
          </w:p>
        </w:tc>
        <w:tc>
          <w:tcPr>
            <w:tcW w:type="dxa" w:w="1036"/>
            <w:vAlign w:val="top"/>
          </w:tcPr>
          <w:p>
            <w:pPr>
              <w:spacing w:after="40" w:before="0" w:line="259" w:lineRule="auto"/>
            </w:pPr>
            <w:r>
              <w:rPr>
                <w:rFonts w:ascii="Calibri" w:hAnsi="Calibri"/>
                <w:b w:val="0"/>
                <w:i w:val="0"/>
                <w:color w:val="212121"/>
                <w:sz w:val="16"/>
              </w:rPr>
              <w:t>Culture-negative dysentery, prior antibiotics, surveillance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Adjunct</w:t>
            </w:r>
          </w:p>
        </w:tc>
        <w:tc>
          <w:tcPr>
            <w:tcW w:type="dxa" w:w="720"/>
            <w:vAlign w:val="top"/>
          </w:tcPr>
          <w:p>
            <w:pPr>
              <w:spacing w:after="40" w:before="0" w:line="259" w:lineRule="auto"/>
            </w:pPr>
            <w:r>
              <w:rPr>
                <w:rFonts w:ascii="Calibri" w:hAnsi="Calibri"/>
                <w:b w:val="0"/>
                <w:i w:val="0"/>
                <w:color w:val="212121"/>
                <w:sz w:val="16"/>
              </w:rPr>
              <w:t>No susceptibility data; confirm with culture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Haematological</w:t>
            </w:r>
          </w:p>
        </w:tc>
        <w:tc>
          <w:tcPr>
            <w:tcW w:type="dxa" w:w="1036"/>
            <w:vAlign w:val="top"/>
          </w:tcPr>
          <w:p>
            <w:pPr>
              <w:spacing w:after="40" w:before="0" w:line="259" w:lineRule="auto"/>
            </w:pPr>
            <w:r>
              <w:rPr>
                <w:rFonts w:ascii="Calibri" w:hAnsi="Calibri"/>
                <w:b w:val="0"/>
                <w:i w:val="0"/>
                <w:color w:val="212121"/>
                <w:sz w:val="16"/>
              </w:rPr>
              <w:t>Complete blood count</w:t>
            </w:r>
          </w:p>
        </w:tc>
        <w:tc>
          <w:tcPr>
            <w:tcW w:type="dxa" w:w="892"/>
            <w:vAlign w:val="top"/>
          </w:tcPr>
          <w:p>
            <w:pPr>
              <w:spacing w:after="40" w:before="0" w:line="259" w:lineRule="auto"/>
            </w:pPr>
            <w:r>
              <w:rPr>
                <w:rFonts w:ascii="Calibri" w:hAnsi="Calibri"/>
                <w:b w:val="0"/>
                <w:i w:val="0"/>
                <w:color w:val="212121"/>
                <w:sz w:val="16"/>
              </w:rPr>
              <w:t>CBC</w:t>
            </w:r>
          </w:p>
        </w:tc>
        <w:tc>
          <w:tcPr>
            <w:tcW w:type="dxa" w:w="950"/>
            <w:vAlign w:val="top"/>
          </w:tcPr>
          <w:p>
            <w:pPr>
              <w:spacing w:after="40" w:before="0" w:line="259" w:lineRule="auto"/>
            </w:pPr>
            <w:r>
              <w:rPr>
                <w:rFonts w:ascii="Calibri" w:hAnsi="Calibri"/>
                <w:b w:val="0"/>
                <w:i w:val="0"/>
                <w:color w:val="212121"/>
                <w:sz w:val="16"/>
              </w:rPr>
              <w:t>WBC 4,000–11,000/µL</w:t>
            </w:r>
          </w:p>
        </w:tc>
        <w:tc>
          <w:tcPr>
            <w:tcW w:type="dxa" w:w="950"/>
            <w:vAlign w:val="top"/>
          </w:tcPr>
          <w:p>
            <w:pPr>
              <w:spacing w:after="40" w:before="0" w:line="259" w:lineRule="auto"/>
            </w:pPr>
            <w:r>
              <w:rPr>
                <w:rFonts w:ascii="Calibri" w:hAnsi="Calibri"/>
                <w:b w:val="0"/>
                <w:i w:val="0"/>
                <w:color w:val="212121"/>
                <w:sz w:val="16"/>
              </w:rPr>
              <w:t>Neutrophil leukocytosis; leukemoid reaction; anaemia/low platelets</w:t>
            </w:r>
          </w:p>
        </w:tc>
        <w:tc>
          <w:tcPr>
            <w:tcW w:type="dxa" w:w="1036"/>
            <w:vAlign w:val="top"/>
          </w:tcPr>
          <w:p>
            <w:pPr>
              <w:spacing w:after="40" w:before="0" w:line="259" w:lineRule="auto"/>
            </w:pPr>
            <w:r>
              <w:rPr>
                <w:rFonts w:ascii="Calibri" w:hAnsi="Calibri"/>
                <w:b w:val="0"/>
                <w:i w:val="0"/>
                <w:color w:val="212121"/>
                <w:sz w:val="16"/>
              </w:rPr>
              <w:t>Inflammation; cytopenias suggest HUS with S. dysenteriae 1</w:t>
            </w:r>
          </w:p>
        </w:tc>
        <w:tc>
          <w:tcPr>
            <w:tcW w:type="dxa" w:w="1036"/>
            <w:vAlign w:val="top"/>
          </w:tcPr>
          <w:p>
            <w:pPr>
              <w:spacing w:after="40" w:before="0" w:line="259" w:lineRule="auto"/>
            </w:pPr>
            <w:r>
              <w:rPr>
                <w:rFonts w:ascii="Calibri" w:hAnsi="Calibri"/>
                <w:b w:val="0"/>
                <w:i w:val="0"/>
                <w:color w:val="212121"/>
                <w:sz w:val="16"/>
              </w:rPr>
              <w:t>Children, severe disease, suspected HUS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Leukemoid reaction classic in S. dysenteriae 1</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electrolytes, urea, creatinine</w:t>
            </w:r>
          </w:p>
        </w:tc>
        <w:tc>
          <w:tcPr>
            <w:tcW w:type="dxa" w:w="892"/>
            <w:vAlign w:val="top"/>
          </w:tcPr>
          <w:p>
            <w:pPr>
              <w:spacing w:after="40" w:before="0" w:line="259" w:lineRule="auto"/>
            </w:pPr>
            <w:r>
              <w:rPr>
                <w:rFonts w:ascii="Calibri" w:hAnsi="Calibri"/>
                <w:b w:val="0"/>
                <w:i w:val="0"/>
                <w:color w:val="212121"/>
                <w:sz w:val="16"/>
              </w:rPr>
              <w:t>Renal/Electrolyte Panel</w:t>
            </w:r>
          </w:p>
        </w:tc>
        <w:tc>
          <w:tcPr>
            <w:tcW w:type="dxa" w:w="950"/>
            <w:vAlign w:val="top"/>
          </w:tcPr>
          <w:p>
            <w:pPr>
              <w:spacing w:after="40" w:before="0" w:line="259" w:lineRule="auto"/>
            </w:pPr>
            <w:r>
              <w:rPr>
                <w:rFonts w:ascii="Calibri" w:hAnsi="Calibri"/>
                <w:b w:val="0"/>
                <w:i w:val="0"/>
                <w:color w:val="212121"/>
                <w:sz w:val="16"/>
              </w:rPr>
              <w:t>Within reference range</w:t>
            </w:r>
          </w:p>
        </w:tc>
        <w:tc>
          <w:tcPr>
            <w:tcW w:type="dxa" w:w="950"/>
            <w:vAlign w:val="top"/>
          </w:tcPr>
          <w:p>
            <w:pPr>
              <w:spacing w:after="40" w:before="0" w:line="259" w:lineRule="auto"/>
            </w:pPr>
            <w:r>
              <w:rPr>
                <w:rFonts w:ascii="Calibri" w:hAnsi="Calibri"/>
                <w:b w:val="0"/>
                <w:i w:val="0"/>
                <w:color w:val="212121"/>
                <w:sz w:val="16"/>
              </w:rPr>
              <w:t>Hyponatraemia (SIADH), hypokalaemia, rising urea/creatinine</w:t>
            </w:r>
          </w:p>
        </w:tc>
        <w:tc>
          <w:tcPr>
            <w:tcW w:type="dxa" w:w="1036"/>
            <w:vAlign w:val="top"/>
          </w:tcPr>
          <w:p>
            <w:pPr>
              <w:spacing w:after="40" w:before="0" w:line="259" w:lineRule="auto"/>
            </w:pPr>
            <w:r>
              <w:rPr>
                <w:rFonts w:ascii="Calibri" w:hAnsi="Calibri"/>
                <w:b w:val="0"/>
                <w:i w:val="0"/>
                <w:color w:val="212121"/>
                <w:sz w:val="16"/>
              </w:rPr>
              <w:t>Detects dehydration, SIADH and acute kidney injury/HUS</w:t>
            </w:r>
          </w:p>
        </w:tc>
        <w:tc>
          <w:tcPr>
            <w:tcW w:type="dxa" w:w="1036"/>
            <w:vAlign w:val="top"/>
          </w:tcPr>
          <w:p>
            <w:pPr>
              <w:spacing w:after="40" w:before="0" w:line="259" w:lineRule="auto"/>
            </w:pPr>
            <w:r>
              <w:rPr>
                <w:rFonts w:ascii="Calibri" w:hAnsi="Calibri"/>
                <w:b w:val="0"/>
                <w:i w:val="0"/>
                <w:color w:val="212121"/>
                <w:sz w:val="16"/>
              </w:rPr>
              <w:t>Dehydrated patients, elderly, suspected HUS</w:t>
            </w:r>
          </w:p>
        </w:tc>
        <w:tc>
          <w:tcPr>
            <w:tcW w:type="dxa" w:w="720"/>
            <w:vAlign w:val="top"/>
          </w:tcPr>
          <w:p>
            <w:pPr>
              <w:spacing w:after="40" w:before="0" w:line="259" w:lineRule="auto"/>
            </w:pPr>
            <w:r>
              <w:rPr>
                <w:rFonts w:ascii="Calibri" w:hAnsi="Calibri"/>
                <w:b w:val="0"/>
                <w:i w:val="0"/>
                <w:color w:val="212121"/>
                <w:sz w:val="16"/>
              </w:rPr>
              <w:t>Water</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Guides rehydration and detects complications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Haematological</w:t>
            </w:r>
          </w:p>
        </w:tc>
        <w:tc>
          <w:tcPr>
            <w:tcW w:type="dxa" w:w="1036"/>
            <w:vAlign w:val="top"/>
          </w:tcPr>
          <w:p>
            <w:pPr>
              <w:spacing w:after="40" w:before="0" w:line="259" w:lineRule="auto"/>
            </w:pPr>
            <w:r>
              <w:rPr>
                <w:rFonts w:ascii="Calibri" w:hAnsi="Calibri"/>
                <w:b w:val="0"/>
                <w:i w:val="0"/>
                <w:color w:val="212121"/>
                <w:sz w:val="16"/>
              </w:rPr>
              <w:t>Peripheral blood film + LDH (if HUS suspected)</w:t>
            </w:r>
          </w:p>
        </w:tc>
        <w:tc>
          <w:tcPr>
            <w:tcW w:type="dxa" w:w="892"/>
            <w:vAlign w:val="top"/>
          </w:tcPr>
          <w:p>
            <w:pPr>
              <w:spacing w:after="40" w:before="0" w:line="259" w:lineRule="auto"/>
            </w:pPr>
            <w:r>
              <w:rPr>
                <w:rFonts w:ascii="Calibri" w:hAnsi="Calibri"/>
                <w:b w:val="0"/>
                <w:i w:val="0"/>
                <w:color w:val="212121"/>
                <w:sz w:val="16"/>
              </w:rPr>
              <w:t>HUS Workup</w:t>
            </w:r>
          </w:p>
        </w:tc>
        <w:tc>
          <w:tcPr>
            <w:tcW w:type="dxa" w:w="950"/>
            <w:vAlign w:val="top"/>
          </w:tcPr>
          <w:p>
            <w:pPr>
              <w:spacing w:after="40" w:before="0" w:line="259" w:lineRule="auto"/>
            </w:pPr>
            <w:r>
              <w:rPr>
                <w:rFonts w:ascii="Calibri" w:hAnsi="Calibri"/>
                <w:b w:val="0"/>
                <w:i w:val="0"/>
                <w:color w:val="212121"/>
                <w:sz w:val="16"/>
              </w:rPr>
              <w:t>No schistocytes; normal platelets/LDH</w:t>
            </w:r>
          </w:p>
        </w:tc>
        <w:tc>
          <w:tcPr>
            <w:tcW w:type="dxa" w:w="950"/>
            <w:vAlign w:val="top"/>
          </w:tcPr>
          <w:p>
            <w:pPr>
              <w:spacing w:after="40" w:before="0" w:line="259" w:lineRule="auto"/>
            </w:pPr>
            <w:r>
              <w:rPr>
                <w:rFonts w:ascii="Calibri" w:hAnsi="Calibri"/>
                <w:b w:val="0"/>
                <w:i w:val="0"/>
                <w:color w:val="212121"/>
                <w:sz w:val="16"/>
              </w:rPr>
              <w:t>Schistocytes, thrombocytopenia, high LDH, low haemoglobin</w:t>
            </w:r>
          </w:p>
        </w:tc>
        <w:tc>
          <w:tcPr>
            <w:tcW w:type="dxa" w:w="1036"/>
            <w:vAlign w:val="top"/>
          </w:tcPr>
          <w:p>
            <w:pPr>
              <w:spacing w:after="40" w:before="0" w:line="259" w:lineRule="auto"/>
            </w:pPr>
            <w:r>
              <w:rPr>
                <w:rFonts w:ascii="Calibri" w:hAnsi="Calibri"/>
                <w:b w:val="0"/>
                <w:i w:val="0"/>
                <w:color w:val="212121"/>
                <w:sz w:val="16"/>
              </w:rPr>
              <w:t>Confirms microangiopathic haemolysis of HUS</w:t>
            </w:r>
          </w:p>
        </w:tc>
        <w:tc>
          <w:tcPr>
            <w:tcW w:type="dxa" w:w="1036"/>
            <w:vAlign w:val="top"/>
          </w:tcPr>
          <w:p>
            <w:pPr>
              <w:spacing w:after="40" w:before="0" w:line="259" w:lineRule="auto"/>
            </w:pPr>
            <w:r>
              <w:rPr>
                <w:rFonts w:ascii="Calibri" w:hAnsi="Calibri"/>
                <w:b w:val="0"/>
                <w:i w:val="0"/>
                <w:color w:val="212121"/>
                <w:sz w:val="16"/>
              </w:rPr>
              <w:t>Children with S. dysenteriae 1, oliguria, pallor</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Critical when suspected</w:t>
            </w:r>
          </w:p>
        </w:tc>
        <w:tc>
          <w:tcPr>
            <w:tcW w:type="dxa" w:w="720"/>
            <w:vAlign w:val="top"/>
          </w:tcPr>
          <w:p>
            <w:pPr>
              <w:spacing w:after="40" w:before="0" w:line="259" w:lineRule="auto"/>
            </w:pPr>
            <w:r>
              <w:rPr>
                <w:rFonts w:ascii="Calibri" w:hAnsi="Calibri"/>
                <w:b w:val="0"/>
                <w:i w:val="0"/>
                <w:color w:val="212121"/>
                <w:sz w:val="16"/>
              </w:rPr>
              <w:t>HUS mortality reported up to ~36%</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Bloody mucoid diarrhoea, cramps, tenesmus, fever</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Any one or more present</w:t>
            </w:r>
          </w:p>
        </w:tc>
        <w:tc>
          <w:tcPr>
            <w:tcW w:type="dxa" w:w="1036"/>
            <w:vAlign w:val="top"/>
          </w:tcPr>
          <w:p>
            <w:pPr>
              <w:spacing w:after="40" w:before="0" w:line="259" w:lineRule="auto"/>
            </w:pPr>
            <w:r>
              <w:rPr>
                <w:rFonts w:ascii="Calibri" w:hAnsi="Calibri"/>
                <w:b w:val="0"/>
                <w:i w:val="0"/>
                <w:color w:val="212121"/>
                <w:sz w:val="16"/>
              </w:rPr>
              <w:t>Cardinal features of invasive dysentery</w:t>
            </w:r>
          </w:p>
        </w:tc>
        <w:tc>
          <w:tcPr>
            <w:tcW w:type="dxa" w:w="1036"/>
            <w:vAlign w:val="top"/>
          </w:tcPr>
          <w:p>
            <w:pPr>
              <w:spacing w:after="40" w:before="0" w:line="259" w:lineRule="auto"/>
            </w:pPr>
            <w:r>
              <w:rPr>
                <w:rFonts w:ascii="Calibri" w:hAnsi="Calibri"/>
                <w:b w:val="0"/>
                <w:i w:val="0"/>
                <w:color w:val="212121"/>
                <w:sz w:val="16"/>
              </w:rPr>
              <w:t>Children and adults with acute dysentery</w:t>
            </w:r>
          </w:p>
        </w:tc>
        <w:tc>
          <w:tcPr>
            <w:tcW w:type="dxa" w:w="720"/>
            <w:vAlign w:val="top"/>
          </w:tcPr>
          <w:p>
            <w:pPr>
              <w:spacing w:after="40" w:before="0" w:line="259" w:lineRule="auto"/>
            </w:pPr>
            <w:r>
              <w:rPr>
                <w:rFonts w:ascii="Calibri" w:hAnsi="Calibri"/>
                <w:b w:val="0"/>
                <w:i w:val="0"/>
                <w:color w:val="212121"/>
                <w:sz w:val="16"/>
              </w:rPr>
              <w:t>Food; Water</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Watery onset possible, esp. S. sonnei</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Exposure history</w:t>
            </w:r>
          </w:p>
        </w:tc>
        <w:tc>
          <w:tcPr>
            <w:tcW w:type="dxa" w:w="979"/>
            <w:vAlign w:val="top"/>
          </w:tcPr>
          <w:p>
            <w:pPr>
              <w:spacing w:after="40" w:before="0" w:line="259" w:lineRule="auto"/>
            </w:pPr>
            <w:r>
              <w:rPr>
                <w:rFonts w:ascii="Calibri" w:hAnsi="Calibri"/>
                <w:b w:val="0"/>
                <w:i w:val="0"/>
                <w:color w:val="212121"/>
                <w:sz w:val="16"/>
              </w:rPr>
              <w:t>Contaminated food/water, sick contact, travel, gathering</w:t>
            </w:r>
          </w:p>
        </w:tc>
        <w:tc>
          <w:tcPr>
            <w:tcW w:type="dxa" w:w="950"/>
            <w:vAlign w:val="top"/>
          </w:tcPr>
          <w:p>
            <w:pPr>
              <w:spacing w:after="40" w:before="0" w:line="259" w:lineRule="auto"/>
            </w:pPr>
            <w:r>
              <w:rPr>
                <w:rFonts w:ascii="Calibri" w:hAnsi="Calibri"/>
                <w:b w:val="0"/>
                <w:i w:val="0"/>
                <w:color w:val="212121"/>
                <w:sz w:val="16"/>
              </w:rPr>
              <w:t>No identifiable exposure</w:t>
            </w:r>
          </w:p>
        </w:tc>
        <w:tc>
          <w:tcPr>
            <w:tcW w:type="dxa" w:w="950"/>
            <w:vAlign w:val="top"/>
          </w:tcPr>
          <w:p>
            <w:pPr>
              <w:spacing w:after="40" w:before="0" w:line="259" w:lineRule="auto"/>
            </w:pPr>
            <w:r>
              <w:rPr>
                <w:rFonts w:ascii="Calibri" w:hAnsi="Calibri"/>
                <w:b w:val="0"/>
                <w:i w:val="0"/>
                <w:color w:val="212121"/>
                <w:sz w:val="16"/>
              </w:rPr>
              <w:t>Recent exposure within 1–4 days</w:t>
            </w:r>
          </w:p>
        </w:tc>
        <w:tc>
          <w:tcPr>
            <w:tcW w:type="dxa" w:w="1036"/>
            <w:vAlign w:val="top"/>
          </w:tcPr>
          <w:p>
            <w:pPr>
              <w:spacing w:after="40" w:before="0" w:line="259" w:lineRule="auto"/>
            </w:pPr>
            <w:r>
              <w:rPr>
                <w:rFonts w:ascii="Calibri" w:hAnsi="Calibri"/>
                <w:b w:val="0"/>
                <w:i w:val="0"/>
                <w:color w:val="212121"/>
                <w:sz w:val="16"/>
              </w:rPr>
              <w:t>Supports diagnosis; enables source tracing/contact tracing</w:t>
            </w:r>
          </w:p>
        </w:tc>
        <w:tc>
          <w:tcPr>
            <w:tcW w:type="dxa" w:w="1036"/>
            <w:vAlign w:val="top"/>
          </w:tcPr>
          <w:p>
            <w:pPr>
              <w:spacing w:after="40" w:before="0" w:line="259" w:lineRule="auto"/>
            </w:pPr>
            <w:r>
              <w:rPr>
                <w:rFonts w:ascii="Calibri" w:hAnsi="Calibri"/>
                <w:b w:val="0"/>
                <w:i w:val="0"/>
                <w:color w:val="212121"/>
                <w:sz w:val="16"/>
              </w:rPr>
              <w:t>Outbreak clusters, travellers, food handlers</w:t>
            </w:r>
          </w:p>
        </w:tc>
        <w:tc>
          <w:tcPr>
            <w:tcW w:type="dxa" w:w="720"/>
            <w:vAlign w:val="top"/>
          </w:tcPr>
          <w:p>
            <w:pPr>
              <w:spacing w:after="40" w:before="0" w:line="259" w:lineRule="auto"/>
            </w:pPr>
            <w:r>
              <w:rPr>
                <w:rFonts w:ascii="Calibri" w:hAnsi="Calibri"/>
                <w:b w:val="0"/>
                <w:i w:val="0"/>
                <w:color w:val="212121"/>
                <w:sz w:val="16"/>
              </w:rPr>
              <w:t>Provoking factors; Hygiene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Mean incubation ~26 h in Assam outbreak</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Risk &amp; host factors</w:t>
            </w:r>
          </w:p>
        </w:tc>
        <w:tc>
          <w:tcPr>
            <w:tcW w:type="dxa" w:w="979"/>
            <w:vAlign w:val="top"/>
          </w:tcPr>
          <w:p>
            <w:pPr>
              <w:spacing w:after="40" w:before="0" w:line="259" w:lineRule="auto"/>
            </w:pPr>
            <w:r>
              <w:rPr>
                <w:rFonts w:ascii="Calibri" w:hAnsi="Calibri"/>
                <w:b w:val="0"/>
                <w:i w:val="0"/>
                <w:color w:val="212121"/>
                <w:sz w:val="16"/>
              </w:rPr>
              <w:t>Age &lt;5/elderly, malnutrition, HIV, breastfeeding status</w:t>
            </w:r>
          </w:p>
        </w:tc>
        <w:tc>
          <w:tcPr>
            <w:tcW w:type="dxa" w:w="950"/>
            <w:vAlign w:val="top"/>
          </w:tcPr>
          <w:p>
            <w:pPr>
              <w:spacing w:after="40" w:before="0" w:line="259" w:lineRule="auto"/>
            </w:pPr>
            <w:r>
              <w:rPr>
                <w:rFonts w:ascii="Calibri" w:hAnsi="Calibri"/>
                <w:b w:val="0"/>
                <w:i w:val="0"/>
                <w:color w:val="212121"/>
                <w:sz w:val="16"/>
              </w:rPr>
              <w:t>No high-risk factor</w:t>
            </w:r>
          </w:p>
        </w:tc>
        <w:tc>
          <w:tcPr>
            <w:tcW w:type="dxa" w:w="950"/>
            <w:vAlign w:val="top"/>
          </w:tcPr>
          <w:p>
            <w:pPr>
              <w:spacing w:after="40" w:before="0" w:line="259" w:lineRule="auto"/>
            </w:pPr>
            <w:r>
              <w:rPr>
                <w:rFonts w:ascii="Calibri" w:hAnsi="Calibri"/>
                <w:b w:val="0"/>
                <w:i w:val="0"/>
                <w:color w:val="212121"/>
                <w:sz w:val="16"/>
              </w:rPr>
              <w:t>≥ 1 high-risk factor present</w:t>
            </w:r>
          </w:p>
        </w:tc>
        <w:tc>
          <w:tcPr>
            <w:tcW w:type="dxa" w:w="1036"/>
            <w:vAlign w:val="top"/>
          </w:tcPr>
          <w:p>
            <w:pPr>
              <w:spacing w:after="40" w:before="0" w:line="259" w:lineRule="auto"/>
            </w:pPr>
            <w:r>
              <w:rPr>
                <w:rFonts w:ascii="Calibri" w:hAnsi="Calibri"/>
                <w:b w:val="0"/>
                <w:i w:val="0"/>
                <w:color w:val="212121"/>
                <w:sz w:val="16"/>
              </w:rPr>
              <w:t>Predicts severity and complication risk</w:t>
            </w:r>
          </w:p>
        </w:tc>
        <w:tc>
          <w:tcPr>
            <w:tcW w:type="dxa" w:w="1036"/>
            <w:vAlign w:val="top"/>
          </w:tcPr>
          <w:p>
            <w:pPr>
              <w:spacing w:after="40" w:before="0" w:line="259" w:lineRule="auto"/>
            </w:pPr>
            <w:r>
              <w:rPr>
                <w:rFonts w:ascii="Calibri" w:hAnsi="Calibri"/>
                <w:b w:val="0"/>
                <w:i w:val="0"/>
                <w:color w:val="212121"/>
                <w:sz w:val="16"/>
              </w:rPr>
              <w:t>Undernourished children, immunocompromised, elderly</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Guides admission and antibiotic decisions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Hydration assessment</w:t>
            </w:r>
          </w:p>
        </w:tc>
        <w:tc>
          <w:tcPr>
            <w:tcW w:type="dxa" w:w="979"/>
            <w:vAlign w:val="top"/>
          </w:tcPr>
          <w:p>
            <w:pPr>
              <w:spacing w:after="40" w:before="0" w:line="259" w:lineRule="auto"/>
            </w:pPr>
            <w:r>
              <w:rPr>
                <w:rFonts w:ascii="Calibri" w:hAnsi="Calibri"/>
                <w:b w:val="0"/>
                <w:i w:val="0"/>
                <w:color w:val="212121"/>
                <w:sz w:val="16"/>
              </w:rPr>
              <w:t>Skin turgor, mucosae, sunken eyes, capillary refill, pulse/BP</w:t>
            </w:r>
          </w:p>
        </w:tc>
        <w:tc>
          <w:tcPr>
            <w:tcW w:type="dxa" w:w="950"/>
            <w:vAlign w:val="top"/>
          </w:tcPr>
          <w:p>
            <w:pPr>
              <w:spacing w:after="40" w:before="0" w:line="259" w:lineRule="auto"/>
            </w:pPr>
            <w:r>
              <w:rPr>
                <w:rFonts w:ascii="Calibri" w:hAnsi="Calibri"/>
                <w:b w:val="0"/>
                <w:i w:val="0"/>
                <w:color w:val="212121"/>
                <w:sz w:val="16"/>
              </w:rPr>
              <w:t>Well hydrated</w:t>
            </w:r>
          </w:p>
        </w:tc>
        <w:tc>
          <w:tcPr>
            <w:tcW w:type="dxa" w:w="950"/>
            <w:vAlign w:val="top"/>
          </w:tcPr>
          <w:p>
            <w:pPr>
              <w:spacing w:after="40" w:before="0" w:line="259" w:lineRule="auto"/>
            </w:pPr>
            <w:r>
              <w:rPr>
                <w:rFonts w:ascii="Calibri" w:hAnsi="Calibri"/>
                <w:b w:val="0"/>
                <w:i w:val="0"/>
                <w:color w:val="212121"/>
                <w:sz w:val="16"/>
              </w:rPr>
              <w:t>Signs of some/severe dehydration</w:t>
            </w:r>
          </w:p>
        </w:tc>
        <w:tc>
          <w:tcPr>
            <w:tcW w:type="dxa" w:w="1036"/>
            <w:vAlign w:val="top"/>
          </w:tcPr>
          <w:p>
            <w:pPr>
              <w:spacing w:after="40" w:before="0" w:line="259" w:lineRule="auto"/>
            </w:pPr>
            <w:r>
              <w:rPr>
                <w:rFonts w:ascii="Calibri" w:hAnsi="Calibri"/>
                <w:b w:val="0"/>
                <w:i w:val="0"/>
                <w:color w:val="212121"/>
                <w:sz w:val="16"/>
              </w:rPr>
              <w:t>Determines rehydration plan (ORS vs IV)</w:t>
            </w:r>
          </w:p>
        </w:tc>
        <w:tc>
          <w:tcPr>
            <w:tcW w:type="dxa" w:w="1036"/>
            <w:vAlign w:val="top"/>
          </w:tcPr>
          <w:p>
            <w:pPr>
              <w:spacing w:after="40" w:before="0" w:line="259" w:lineRule="auto"/>
            </w:pPr>
            <w:r>
              <w:rPr>
                <w:rFonts w:ascii="Calibri" w:hAnsi="Calibri"/>
                <w:b w:val="0"/>
                <w:i w:val="0"/>
                <w:color w:val="212121"/>
                <w:sz w:val="16"/>
              </w:rPr>
              <w:t>Young children, elderly, high stool output</w:t>
            </w:r>
          </w:p>
        </w:tc>
        <w:tc>
          <w:tcPr>
            <w:tcW w:type="dxa" w:w="720"/>
            <w:vAlign w:val="top"/>
          </w:tcPr>
          <w:p>
            <w:pPr>
              <w:spacing w:after="40" w:before="0" w:line="259" w:lineRule="auto"/>
            </w:pPr>
            <w:r>
              <w:rPr>
                <w:rFonts w:ascii="Calibri" w:hAnsi="Calibri"/>
                <w:b w:val="0"/>
                <w:i w:val="0"/>
                <w:color w:val="212121"/>
                <w:sz w:val="16"/>
              </w:rPr>
              <w:t>Water</w:t>
            </w:r>
          </w:p>
        </w:tc>
        <w:tc>
          <w:tcPr>
            <w:tcW w:type="dxa" w:w="720"/>
            <w:vAlign w:val="top"/>
          </w:tcPr>
          <w:p>
            <w:pPr>
              <w:spacing w:after="40" w:before="0" w:line="259" w:lineRule="auto"/>
            </w:pPr>
            <w:r>
              <w:rPr>
                <w:rFonts w:ascii="Calibri" w:hAnsi="Calibri"/>
                <w:b w:val="0"/>
                <w:i w:val="0"/>
                <w:color w:val="212121"/>
                <w:sz w:val="16"/>
              </w:rPr>
              <w:t>Critical</w:t>
            </w:r>
          </w:p>
        </w:tc>
        <w:tc>
          <w:tcPr>
            <w:tcW w:type="dxa" w:w="720"/>
            <w:vAlign w:val="top"/>
          </w:tcPr>
          <w:p>
            <w:pPr>
              <w:spacing w:after="40" w:before="0" w:line="259" w:lineRule="auto"/>
            </w:pPr>
            <w:r>
              <w:rPr>
                <w:rFonts w:ascii="Calibri" w:hAnsi="Calibri"/>
                <w:b w:val="0"/>
                <w:i w:val="0"/>
                <w:color w:val="212121"/>
                <w:sz w:val="16"/>
              </w:rPr>
              <w:t>Reassess frequently during therapy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Abdominal &amp; rectal exam</w:t>
            </w:r>
          </w:p>
        </w:tc>
        <w:tc>
          <w:tcPr>
            <w:tcW w:type="dxa" w:w="979"/>
            <w:vAlign w:val="top"/>
          </w:tcPr>
          <w:p>
            <w:pPr>
              <w:spacing w:after="40" w:before="0" w:line="259" w:lineRule="auto"/>
            </w:pPr>
            <w:r>
              <w:rPr>
                <w:rFonts w:ascii="Calibri" w:hAnsi="Calibri"/>
                <w:b w:val="0"/>
                <w:i w:val="0"/>
                <w:color w:val="212121"/>
                <w:sz w:val="16"/>
              </w:rPr>
              <w:t>Lower abdominal tenderness; stool blood/mucus; distension</w:t>
            </w:r>
          </w:p>
        </w:tc>
        <w:tc>
          <w:tcPr>
            <w:tcW w:type="dxa" w:w="950"/>
            <w:vAlign w:val="top"/>
          </w:tcPr>
          <w:p>
            <w:pPr>
              <w:spacing w:after="40" w:before="0" w:line="259" w:lineRule="auto"/>
            </w:pPr>
            <w:r>
              <w:rPr>
                <w:rFonts w:ascii="Calibri" w:hAnsi="Calibri"/>
                <w:b w:val="0"/>
                <w:i w:val="0"/>
                <w:color w:val="212121"/>
                <w:sz w:val="16"/>
              </w:rPr>
              <w:t>Soft, non-tender; formed stool</w:t>
            </w:r>
          </w:p>
        </w:tc>
        <w:tc>
          <w:tcPr>
            <w:tcW w:type="dxa" w:w="950"/>
            <w:vAlign w:val="top"/>
          </w:tcPr>
          <w:p>
            <w:pPr>
              <w:spacing w:after="40" w:before="0" w:line="259" w:lineRule="auto"/>
            </w:pPr>
            <w:r>
              <w:rPr>
                <w:rFonts w:ascii="Calibri" w:hAnsi="Calibri"/>
                <w:b w:val="0"/>
                <w:i w:val="0"/>
                <w:color w:val="212121"/>
                <w:sz w:val="16"/>
              </w:rPr>
              <w:t>Tenderness, gross blood/mucus, distension</w:t>
            </w:r>
          </w:p>
        </w:tc>
        <w:tc>
          <w:tcPr>
            <w:tcW w:type="dxa" w:w="1036"/>
            <w:vAlign w:val="top"/>
          </w:tcPr>
          <w:p>
            <w:pPr>
              <w:spacing w:after="40" w:before="0" w:line="259" w:lineRule="auto"/>
            </w:pPr>
            <w:r>
              <w:rPr>
                <w:rFonts w:ascii="Calibri" w:hAnsi="Calibri"/>
                <w:b w:val="0"/>
                <w:i w:val="0"/>
                <w:color w:val="212121"/>
                <w:sz w:val="16"/>
              </w:rPr>
              <w:t>Confirms colitis; distension warns of toxic megacolon</w:t>
            </w:r>
          </w:p>
        </w:tc>
        <w:tc>
          <w:tcPr>
            <w:tcW w:type="dxa" w:w="1036"/>
            <w:vAlign w:val="top"/>
          </w:tcPr>
          <w:p>
            <w:pPr>
              <w:spacing w:after="40" w:before="0" w:line="259" w:lineRule="auto"/>
            </w:pPr>
            <w:r>
              <w:rPr>
                <w:rFonts w:ascii="Calibri" w:hAnsi="Calibri"/>
                <w:b w:val="0"/>
                <w:i w:val="0"/>
                <w:color w:val="212121"/>
                <w:sz w:val="16"/>
              </w:rPr>
              <w:t>Patients with dysentery; severe cases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Avoid antimotility agents if invasive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Neurological assessment</w:t>
            </w:r>
          </w:p>
        </w:tc>
        <w:tc>
          <w:tcPr>
            <w:tcW w:type="dxa" w:w="979"/>
            <w:vAlign w:val="top"/>
          </w:tcPr>
          <w:p>
            <w:pPr>
              <w:spacing w:after="40" w:before="0" w:line="259" w:lineRule="auto"/>
            </w:pPr>
            <w:r>
              <w:rPr>
                <w:rFonts w:ascii="Calibri" w:hAnsi="Calibri"/>
                <w:b w:val="0"/>
                <w:i w:val="0"/>
                <w:color w:val="212121"/>
                <w:sz w:val="16"/>
              </w:rPr>
              <w:t>Consciousness, seizures, irritability/lethargy</w:t>
            </w:r>
          </w:p>
        </w:tc>
        <w:tc>
          <w:tcPr>
            <w:tcW w:type="dxa" w:w="950"/>
            <w:vAlign w:val="top"/>
          </w:tcPr>
          <w:p>
            <w:pPr>
              <w:spacing w:after="40" w:before="0" w:line="259" w:lineRule="auto"/>
            </w:pPr>
            <w:r>
              <w:rPr>
                <w:rFonts w:ascii="Calibri" w:hAnsi="Calibri"/>
                <w:b w:val="0"/>
                <w:i w:val="0"/>
                <w:color w:val="212121"/>
                <w:sz w:val="16"/>
              </w:rPr>
              <w:t>Alert, no seizures</w:t>
            </w:r>
          </w:p>
        </w:tc>
        <w:tc>
          <w:tcPr>
            <w:tcW w:type="dxa" w:w="950"/>
            <w:vAlign w:val="top"/>
          </w:tcPr>
          <w:p>
            <w:pPr>
              <w:spacing w:after="40" w:before="0" w:line="259" w:lineRule="auto"/>
            </w:pPr>
            <w:r>
              <w:rPr>
                <w:rFonts w:ascii="Calibri" w:hAnsi="Calibri"/>
                <w:b w:val="0"/>
                <w:i w:val="0"/>
                <w:color w:val="212121"/>
                <w:sz w:val="16"/>
              </w:rPr>
              <w:t>Seizures/encephalopathy (ekiri), marked lethargy</w:t>
            </w:r>
          </w:p>
        </w:tc>
        <w:tc>
          <w:tcPr>
            <w:tcW w:type="dxa" w:w="1036"/>
            <w:vAlign w:val="top"/>
          </w:tcPr>
          <w:p>
            <w:pPr>
              <w:spacing w:after="40" w:before="0" w:line="259" w:lineRule="auto"/>
            </w:pPr>
            <w:r>
              <w:rPr>
                <w:rFonts w:ascii="Calibri" w:hAnsi="Calibri"/>
                <w:b w:val="0"/>
                <w:i w:val="0"/>
                <w:color w:val="212121"/>
                <w:sz w:val="16"/>
              </w:rPr>
              <w:t>Neurologic involvement, esp. in children; needs urgent care</w:t>
            </w:r>
          </w:p>
        </w:tc>
        <w:tc>
          <w:tcPr>
            <w:tcW w:type="dxa" w:w="1036"/>
            <w:vAlign w:val="top"/>
          </w:tcPr>
          <w:p>
            <w:pPr>
              <w:spacing w:after="40" w:before="0" w:line="259" w:lineRule="auto"/>
            </w:pPr>
            <w:r>
              <w:rPr>
                <w:rFonts w:ascii="Calibri" w:hAnsi="Calibri"/>
                <w:b w:val="0"/>
                <w:i w:val="0"/>
                <w:color w:val="212121"/>
                <w:sz w:val="16"/>
              </w:rPr>
              <w:t>Febrile children, severe disease</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Critical</w:t>
            </w:r>
          </w:p>
        </w:tc>
        <w:tc>
          <w:tcPr>
            <w:tcW w:type="dxa" w:w="720"/>
            <w:vAlign w:val="top"/>
          </w:tcPr>
          <w:p>
            <w:pPr>
              <w:spacing w:after="40" w:before="0" w:line="259" w:lineRule="auto"/>
            </w:pPr>
            <w:r>
              <w:rPr>
                <w:rFonts w:ascii="Calibri" w:hAnsi="Calibri"/>
                <w:b w:val="0"/>
                <w:i w:val="0"/>
                <w:color w:val="212121"/>
                <w:sz w:val="16"/>
              </w:rPr>
              <w:t>Seizure is the commonest neurologic complication</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Bloody diarrhoea (dysentery)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Small-volume stools streaked with visible blood from invasive colitis; hallmark of bacillary dysentery.</w:t>
            </w:r>
          </w:p>
        </w:tc>
      </w:tr>
      <w:tr>
        <w:trPr>
          <w:cantSplit/>
        </w:trPr>
        <w:tc>
          <w:tcPr>
            <w:tcW w:type="dxa" w:w="2304"/>
            <w:vAlign w:val="top"/>
          </w:tcPr>
          <w:p>
            <w:pPr>
              <w:spacing w:after="40" w:before="0" w:line="259" w:lineRule="auto"/>
            </w:pPr>
            <w:r>
              <w:rPr>
                <w:rFonts w:ascii="Calibri" w:hAnsi="Calibri"/>
                <w:b/>
                <w:i w:val="0"/>
                <w:color w:val="212121"/>
                <w:sz w:val="19"/>
              </w:rPr>
              <w:t>Mucoid, small-volume stools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Frequent scanty stools with mucus reflect distal colonic and rectal inflammation.</w:t>
            </w:r>
          </w:p>
        </w:tc>
      </w:tr>
      <w:tr>
        <w:trPr>
          <w:cantSplit/>
        </w:trPr>
        <w:tc>
          <w:tcPr>
            <w:tcW w:type="dxa" w:w="2304"/>
            <w:vAlign w:val="top"/>
          </w:tcPr>
          <w:p>
            <w:pPr>
              <w:spacing w:after="40" w:before="0" w:line="259" w:lineRule="auto"/>
            </w:pPr>
            <w:r>
              <w:rPr>
                <w:rFonts w:ascii="Calibri" w:hAnsi="Calibri"/>
                <w:b/>
                <w:i w:val="0"/>
                <w:color w:val="212121"/>
                <w:sz w:val="19"/>
              </w:rPr>
              <w:t>Abdominal cramps / pain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Colicky lower-abdominal pain from colonic spasm and inflammation; reported in 70–90% of cases.</w:t>
            </w:r>
          </w:p>
        </w:tc>
      </w:tr>
      <w:tr>
        <w:trPr>
          <w:cantSplit/>
        </w:trPr>
        <w:tc>
          <w:tcPr>
            <w:tcW w:type="dxa" w:w="2304"/>
            <w:vAlign w:val="top"/>
          </w:tcPr>
          <w:p>
            <w:pPr>
              <w:spacing w:after="40" w:before="0" w:line="259" w:lineRule="auto"/>
            </w:pPr>
            <w:r>
              <w:rPr>
                <w:rFonts w:ascii="Calibri" w:hAnsi="Calibri"/>
                <w:b/>
                <w:i w:val="0"/>
                <w:color w:val="212121"/>
                <w:sz w:val="19"/>
              </w:rPr>
              <w:t>Tenesmus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Painful, persistent urge to defecate with straining and incomplete evacuation.</w:t>
            </w:r>
          </w:p>
        </w:tc>
      </w:tr>
      <w:tr>
        <w:trPr>
          <w:cantSplit/>
        </w:trPr>
        <w:tc>
          <w:tcPr>
            <w:tcW w:type="dxa" w:w="2304"/>
            <w:vAlign w:val="top"/>
          </w:tcPr>
          <w:p>
            <w:pPr>
              <w:spacing w:after="40" w:before="0" w:line="259" w:lineRule="auto"/>
            </w:pPr>
            <w:r>
              <w:rPr>
                <w:rFonts w:ascii="Calibri" w:hAnsi="Calibri"/>
                <w:b/>
                <w:i w:val="0"/>
                <w:color w:val="212121"/>
                <w:sz w:val="19"/>
              </w:rPr>
              <w:t>Fever</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Often high-grade, reflecting mucosal invasion and systemic inflammatory response.</w:t>
            </w:r>
          </w:p>
        </w:tc>
      </w:tr>
      <w:tr>
        <w:trPr>
          <w:cantSplit/>
        </w:trPr>
        <w:tc>
          <w:tcPr>
            <w:tcW w:type="dxa" w:w="2304"/>
            <w:vAlign w:val="top"/>
          </w:tcPr>
          <w:p>
            <w:pPr>
              <w:spacing w:after="40" w:before="0" w:line="259" w:lineRule="auto"/>
            </w:pPr>
            <w:r>
              <w:rPr>
                <w:rFonts w:ascii="Calibri" w:hAnsi="Calibri"/>
                <w:b/>
                <w:i w:val="0"/>
                <w:color w:val="212121"/>
                <w:sz w:val="19"/>
              </w:rPr>
              <w:t>Watery diarrhoea (early / S. sonnei)</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Illness may begin as, or (with S. sonnei) remain, watery before or instead of frank dysentery.</w:t>
            </w:r>
          </w:p>
        </w:tc>
      </w:tr>
      <w:tr>
        <w:trPr>
          <w:cantSplit/>
        </w:trPr>
        <w:tc>
          <w:tcPr>
            <w:tcW w:type="dxa" w:w="2304"/>
            <w:vAlign w:val="top"/>
          </w:tcPr>
          <w:p>
            <w:pPr>
              <w:spacing w:after="40" w:before="0" w:line="259" w:lineRule="auto"/>
            </w:pPr>
            <w:r>
              <w:rPr>
                <w:rFonts w:ascii="Calibri" w:hAnsi="Calibri"/>
                <w:b/>
                <w:i w:val="0"/>
                <w:color w:val="212121"/>
                <w:sz w:val="19"/>
              </w:rPr>
              <w:t>Anorexia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Loss of appetite contributing to dehydration and weight loss, especially in children.</w:t>
            </w:r>
          </w:p>
        </w:tc>
      </w:tr>
      <w:tr>
        <w:trPr>
          <w:cantSplit/>
        </w:trPr>
        <w:tc>
          <w:tcPr>
            <w:tcW w:type="dxa" w:w="2304"/>
            <w:vAlign w:val="top"/>
          </w:tcPr>
          <w:p>
            <w:pPr>
              <w:spacing w:after="40" w:before="0" w:line="259" w:lineRule="auto"/>
            </w:pPr>
            <w:r>
              <w:rPr>
                <w:rFonts w:ascii="Calibri" w:hAnsi="Calibri"/>
                <w:b/>
                <w:i w:val="0"/>
                <w:color w:val="212121"/>
                <w:sz w:val="19"/>
              </w:rPr>
              <w:t>Faecal urgency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Sudden, frequent urge to pass stool due to rectal irritation.</w:t>
            </w:r>
          </w:p>
        </w:tc>
      </w:tr>
      <w:tr>
        <w:trPr>
          <w:cantSplit/>
        </w:trPr>
        <w:tc>
          <w:tcPr>
            <w:tcW w:type="dxa" w:w="2304"/>
            <w:vAlign w:val="top"/>
          </w:tcPr>
          <w:p>
            <w:pPr>
              <w:spacing w:after="40" w:before="0" w:line="259" w:lineRule="auto"/>
            </w:pPr>
            <w:r>
              <w:rPr>
                <w:rFonts w:ascii="Calibri" w:hAnsi="Calibri"/>
                <w:b/>
                <w:i w:val="0"/>
                <w:color w:val="212121"/>
                <w:sz w:val="19"/>
              </w:rPr>
              <w:t>Malaise / fatigue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Generalised weakness from fever, fluid loss and systemic inflammation.</w:t>
            </w:r>
          </w:p>
        </w:tc>
      </w:tr>
      <w:tr>
        <w:trPr>
          <w:cantSplit/>
        </w:trPr>
        <w:tc>
          <w:tcPr>
            <w:tcW w:type="dxa" w:w="2304"/>
            <w:vAlign w:val="top"/>
          </w:tcPr>
          <w:p>
            <w:pPr>
              <w:spacing w:after="40" w:before="0" w:line="259" w:lineRule="auto"/>
            </w:pPr>
            <w:r>
              <w:rPr>
                <w:rFonts w:ascii="Calibri" w:hAnsi="Calibri"/>
                <w:b/>
                <w:i w:val="0"/>
                <w:color w:val="212121"/>
                <w:sz w:val="19"/>
              </w:rPr>
              <w:t>Nausea and vomiting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May accompany early illness and worsen fluid and electrolyte loss.</w:t>
            </w:r>
          </w:p>
        </w:tc>
      </w:tr>
      <w:tr>
        <w:trPr>
          <w:cantSplit/>
        </w:trPr>
        <w:tc>
          <w:tcPr>
            <w:tcW w:type="dxa" w:w="2304"/>
            <w:vAlign w:val="top"/>
          </w:tcPr>
          <w:p>
            <w:pPr>
              <w:spacing w:after="40" w:before="0" w:line="259" w:lineRule="auto"/>
            </w:pPr>
            <w:r>
              <w:rPr>
                <w:rFonts w:ascii="Calibri" w:hAnsi="Calibri"/>
                <w:b/>
                <w:i w:val="0"/>
                <w:color w:val="212121"/>
                <w:sz w:val="19"/>
              </w:rPr>
              <w:t>Rectal pain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Painful defecation and anorectal discomfort from proctitis and straining.</w:t>
            </w:r>
          </w:p>
        </w:tc>
      </w:tr>
      <w:tr>
        <w:trPr>
          <w:cantSplit/>
        </w:trPr>
        <w:tc>
          <w:tcPr>
            <w:tcW w:type="dxa" w:w="2304"/>
            <w:vAlign w:val="top"/>
          </w:tcPr>
          <w:p>
            <w:pPr>
              <w:spacing w:after="40" w:before="0" w:line="259" w:lineRule="auto"/>
            </w:pPr>
            <w:r>
              <w:rPr>
                <w:rFonts w:ascii="Calibri" w:hAnsi="Calibri"/>
                <w:b/>
                <w:i w:val="0"/>
                <w:color w:val="212121"/>
                <w:sz w:val="19"/>
              </w:rPr>
              <w:t>Headache / myalgia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Non-specific systemic symptoms of the acute infection.</w:t>
            </w:r>
          </w:p>
        </w:tc>
      </w:tr>
      <w:tr>
        <w:trPr>
          <w:cantSplit/>
        </w:trPr>
        <w:tc>
          <w:tcPr>
            <w:tcW w:type="dxa" w:w="2304"/>
            <w:vAlign w:val="top"/>
          </w:tcPr>
          <w:p>
            <w:pPr>
              <w:spacing w:after="40" w:before="0" w:line="259" w:lineRule="auto"/>
            </w:pPr>
            <w:r>
              <w:rPr>
                <w:rFonts w:ascii="Calibri" w:hAnsi="Calibri"/>
                <w:b/>
                <w:i w:val="0"/>
                <w:color w:val="212121"/>
                <w:sz w:val="19"/>
              </w:rPr>
              <w:t>Seizures (children)</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Febrile or toxic seizures are the commonest neurologic complication of paediatric shigellosis (ekiri syndrome).</w:t>
            </w:r>
          </w:p>
        </w:tc>
      </w:tr>
      <w:tr>
        <w:trPr>
          <w:cantSplit/>
        </w:trPr>
        <w:tc>
          <w:tcPr>
            <w:tcW w:type="dxa" w:w="2304"/>
            <w:vAlign w:val="top"/>
          </w:tcPr>
          <w:p>
            <w:pPr>
              <w:spacing w:after="40" w:before="0" w:line="259" w:lineRule="auto"/>
            </w:pPr>
            <w:r>
              <w:rPr>
                <w:rFonts w:ascii="Calibri" w:hAnsi="Calibri"/>
                <w:b/>
                <w:i w:val="0"/>
                <w:color w:val="212121"/>
                <w:sz w:val="19"/>
              </w:rPr>
              <w:t>Reduced urine output / intense thirst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Signals significant dehydration requiring urgent rehydration.</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Pyrexia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Documented fever on examination, frequently high-grade.</w:t>
            </w:r>
          </w:p>
        </w:tc>
      </w:tr>
      <w:tr>
        <w:trPr>
          <w:cantSplit/>
        </w:trPr>
        <w:tc>
          <w:tcPr>
            <w:tcW w:type="dxa" w:w="3456"/>
            <w:vAlign w:val="top"/>
          </w:tcPr>
          <w:p>
            <w:pPr>
              <w:spacing w:after="40" w:before="0" w:line="259" w:lineRule="auto"/>
            </w:pPr>
            <w:r>
              <w:rPr>
                <w:rFonts w:ascii="Calibri" w:hAnsi="Calibri"/>
                <w:b/>
                <w:i w:val="0"/>
                <w:color w:val="212121"/>
                <w:sz w:val="19"/>
              </w:rPr>
              <w:t>Lower abdominal tenderness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Tenderness over the colon, particularly the left iliac fossa, on palpation.</w:t>
            </w:r>
          </w:p>
        </w:tc>
      </w:tr>
      <w:tr>
        <w:trPr>
          <w:cantSplit/>
        </w:trPr>
        <w:tc>
          <w:tcPr>
            <w:tcW w:type="dxa" w:w="3456"/>
            <w:vAlign w:val="top"/>
          </w:tcPr>
          <w:p>
            <w:pPr>
              <w:spacing w:after="40" w:before="0" w:line="259" w:lineRule="auto"/>
            </w:pPr>
            <w:r>
              <w:rPr>
                <w:rFonts w:ascii="Calibri" w:hAnsi="Calibri"/>
                <w:b/>
                <w:i w:val="0"/>
                <w:color w:val="212121"/>
                <w:sz w:val="19"/>
              </w:rPr>
              <w:t>Blood and mucus in stool</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Grossly visible on stool inspection or digital rectal examination — objective marker of invasive colitis.</w:t>
            </w:r>
          </w:p>
        </w:tc>
      </w:tr>
      <w:tr>
        <w:trPr>
          <w:cantSplit/>
        </w:trPr>
        <w:tc>
          <w:tcPr>
            <w:tcW w:type="dxa" w:w="3456"/>
            <w:vAlign w:val="top"/>
          </w:tcPr>
          <w:p>
            <w:pPr>
              <w:spacing w:after="40" w:before="0" w:line="259" w:lineRule="auto"/>
            </w:pPr>
            <w:r>
              <w:rPr>
                <w:rFonts w:ascii="Calibri" w:hAnsi="Calibri"/>
                <w:b/>
                <w:i w:val="0"/>
                <w:color w:val="212121"/>
                <w:sz w:val="19"/>
              </w:rPr>
              <w:t>Signs of dehydration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Dry mucosae, sunken eyes, reduced skin turgor, delayed capillary refill and tachycardia.</w:t>
            </w:r>
          </w:p>
        </w:tc>
      </w:tr>
      <w:tr>
        <w:trPr>
          <w:cantSplit/>
        </w:trPr>
        <w:tc>
          <w:tcPr>
            <w:tcW w:type="dxa" w:w="3456"/>
            <w:vAlign w:val="top"/>
          </w:tcPr>
          <w:p>
            <w:pPr>
              <w:spacing w:after="40" w:before="0" w:line="259" w:lineRule="auto"/>
            </w:pPr>
            <w:r>
              <w:rPr>
                <w:rFonts w:ascii="Calibri" w:hAnsi="Calibri"/>
                <w:b/>
                <w:i w:val="0"/>
                <w:color w:val="212121"/>
                <w:sz w:val="19"/>
              </w:rPr>
              <w:t>Hyperactive bowel sounds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Increased peristalsis on auscultation during acute colitis.</w:t>
            </w:r>
          </w:p>
        </w:tc>
      </w:tr>
      <w:tr>
        <w:trPr>
          <w:cantSplit/>
        </w:trPr>
        <w:tc>
          <w:tcPr>
            <w:tcW w:type="dxa" w:w="3456"/>
            <w:vAlign w:val="top"/>
          </w:tcPr>
          <w:p>
            <w:pPr>
              <w:spacing w:after="40" w:before="0" w:line="259" w:lineRule="auto"/>
            </w:pPr>
            <w:r>
              <w:rPr>
                <w:rFonts w:ascii="Calibri" w:hAnsi="Calibri"/>
                <w:b/>
                <w:i w:val="0"/>
                <w:color w:val="212121"/>
                <w:sz w:val="19"/>
              </w:rPr>
              <w:t>Rectal tenderness / proctitis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Painful, inflamed rectum on examination reflecting distal disease.</w:t>
            </w:r>
          </w:p>
        </w:tc>
      </w:tr>
      <w:tr>
        <w:trPr>
          <w:cantSplit/>
        </w:trPr>
        <w:tc>
          <w:tcPr>
            <w:tcW w:type="dxa" w:w="3456"/>
            <w:vAlign w:val="top"/>
          </w:tcPr>
          <w:p>
            <w:pPr>
              <w:spacing w:after="40" w:before="0" w:line="259" w:lineRule="auto"/>
            </w:pPr>
            <w:r>
              <w:rPr>
                <w:rFonts w:ascii="Calibri" w:hAnsi="Calibri"/>
                <w:b/>
                <w:i w:val="0"/>
                <w:color w:val="212121"/>
                <w:sz w:val="19"/>
              </w:rPr>
              <w:t>Lethargy or irritability (children)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Altered activity in febrile, dehydrated children; may herald neurologic involvement.</w:t>
            </w:r>
          </w:p>
        </w:tc>
      </w:tr>
      <w:tr>
        <w:trPr>
          <w:cantSplit/>
        </w:trPr>
        <w:tc>
          <w:tcPr>
            <w:tcW w:type="dxa" w:w="3456"/>
            <w:vAlign w:val="top"/>
          </w:tcPr>
          <w:p>
            <w:pPr>
              <w:spacing w:after="40" w:before="0" w:line="259" w:lineRule="auto"/>
            </w:pPr>
            <w:r>
              <w:rPr>
                <w:rFonts w:ascii="Calibri" w:hAnsi="Calibri"/>
                <w:b/>
                <w:i w:val="0"/>
                <w:color w:val="212121"/>
                <w:sz w:val="19"/>
              </w:rPr>
              <w:t>Rectal prolapse (children)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Repeated straining and tenesmus can precipitate mucosal prolapse in young children.</w:t>
            </w:r>
          </w:p>
        </w:tc>
      </w:tr>
      <w:tr>
        <w:trPr>
          <w:cantSplit/>
        </w:trPr>
        <w:tc>
          <w:tcPr>
            <w:tcW w:type="dxa" w:w="3456"/>
            <w:vAlign w:val="top"/>
          </w:tcPr>
          <w:p>
            <w:pPr>
              <w:spacing w:after="40" w:before="0" w:line="259" w:lineRule="auto"/>
            </w:pPr>
            <w:r>
              <w:rPr>
                <w:rFonts w:ascii="Calibri" w:hAnsi="Calibri"/>
                <w:b/>
                <w:i w:val="0"/>
                <w:color w:val="212121"/>
                <w:sz w:val="19"/>
              </w:rPr>
              <w:t>Abdominal distension</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Warns of ileus or toxic megacolon, particularly with S. dysenteriae type 1.</w:t>
            </w:r>
          </w:p>
        </w:tc>
      </w:tr>
      <w:tr>
        <w:trPr>
          <w:cantSplit/>
        </w:trPr>
        <w:tc>
          <w:tcPr>
            <w:tcW w:type="dxa" w:w="3456"/>
            <w:vAlign w:val="top"/>
          </w:tcPr>
          <w:p>
            <w:pPr>
              <w:spacing w:after="40" w:before="0" w:line="259" w:lineRule="auto"/>
            </w:pPr>
            <w:r>
              <w:rPr>
                <w:rFonts w:ascii="Calibri" w:hAnsi="Calibri"/>
                <w:b/>
                <w:i w:val="0"/>
                <w:color w:val="212121"/>
                <w:sz w:val="19"/>
              </w:rPr>
              <w:t>Pallor</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Suggests haemolytic anaemia of haemolytic uraemic syndrome.</w:t>
            </w:r>
          </w:p>
        </w:tc>
      </w:tr>
      <w:tr>
        <w:trPr>
          <w:cantSplit/>
        </w:trPr>
        <w:tc>
          <w:tcPr>
            <w:tcW w:type="dxa" w:w="3456"/>
            <w:vAlign w:val="top"/>
          </w:tcPr>
          <w:p>
            <w:pPr>
              <w:spacing w:after="40" w:before="0" w:line="259" w:lineRule="auto"/>
            </w:pPr>
            <w:r>
              <w:rPr>
                <w:rFonts w:ascii="Calibri" w:hAnsi="Calibri"/>
                <w:b/>
                <w:i w:val="0"/>
                <w:color w:val="212121"/>
                <w:sz w:val="19"/>
              </w:rPr>
              <w:t>Oliguria / anuria</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Indicates acute kidney injury, notably as part of HUS.</w:t>
            </w:r>
          </w:p>
        </w:tc>
      </w:tr>
      <w:tr>
        <w:trPr>
          <w:cantSplit/>
        </w:trPr>
        <w:tc>
          <w:tcPr>
            <w:tcW w:type="dxa" w:w="3456"/>
            <w:vAlign w:val="top"/>
          </w:tcPr>
          <w:p>
            <w:pPr>
              <w:spacing w:after="40" w:before="0" w:line="259" w:lineRule="auto"/>
            </w:pPr>
            <w:r>
              <w:rPr>
                <w:rFonts w:ascii="Calibri" w:hAnsi="Calibri"/>
                <w:b/>
                <w:i w:val="0"/>
                <w:color w:val="212121"/>
                <w:sz w:val="19"/>
              </w:rPr>
              <w:t>Seizure / encephalopathy</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Overt neurologic sign in severe paediatric disease (ekiri).</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Dehydration with electrolyte imbalance (hyponatraemia/SIADH, hypokalaemia, metabolic acidosis)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Hypoglycaemia (especially in young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Febrile or toxic seizures in children (commonest neurologic complication)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 bloody diarrhoea with rapid volume depletion</w:t>
            </w:r>
          </w:p>
        </w:tc>
        <w:tc>
          <w:tcPr>
            <w:tcW w:type="dxa" w:w="2980"/>
            <w:vAlign w:val="top"/>
          </w:tcPr>
          <w:p>
            <w:pPr>
              <w:spacing w:after="40" w:before="0" w:line="259" w:lineRule="auto"/>
            </w:pPr>
            <w:r>
              <w:rPr>
                <w:rFonts w:ascii="Calibri" w:hAnsi="Calibri"/>
                <w:b w:val="0"/>
                <w:i w:val="0"/>
                <w:color w:val="212121"/>
                <w:sz w:val="19"/>
              </w:rPr>
              <w:t>Direct consequences of invasive colitis, fluid/electrolyte loss and systemic toxaemia in the acute phase</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Haemolytic uraemic syndrome (Shiga toxin, S. dysenteriae type 1) — haemolytic anaemia, thrombocytopenia, acute kidney injury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Toxic megacolon and intestinal (colonic) perforation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Bacteraemia and sepsis (mainly malnourished children; ~20% mortality)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Protein-losing enteropathy and worsening malnutrition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Rectal prolapse from repeated straining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Leukemoid reaction; hyponatraemia due to SIADH</w:t>
            </w:r>
          </w:p>
        </w:tc>
        <w:tc>
          <w:tcPr>
            <w:tcW w:type="dxa" w:w="2980"/>
            <w:vAlign w:val="top"/>
          </w:tcPr>
          <w:p>
            <w:pPr>
              <w:spacing w:after="40" w:before="0" w:line="259" w:lineRule="auto"/>
            </w:pPr>
            <w:r>
              <w:rPr>
                <w:rFonts w:ascii="Calibri" w:hAnsi="Calibri"/>
                <w:b w:val="0"/>
                <w:i w:val="0"/>
                <w:color w:val="212121"/>
                <w:sz w:val="19"/>
              </w:rPr>
              <w:t>Arise from Shiga-toxin-mediated microangiopathy, transmural inflammation, systemic invasion and metabolic derangement</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kidney disease / end-stage renal disease following HUS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Reactive arthritis / Reiter's syndrome (HLA-B27-associated), sometimes chronic</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Growth stunting and long-term undernutrition (linear growth faltering) in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Post-infectious irritable bowel syndrome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Death — particularly in undernourished children, the elderly and untreated drug-resistant disease</w:t>
            </w:r>
          </w:p>
        </w:tc>
        <w:tc>
          <w:tcPr>
            <w:tcW w:type="dxa" w:w="2980"/>
            <w:vAlign w:val="top"/>
          </w:tcPr>
          <w:p>
            <w:pPr>
              <w:spacing w:after="40" w:before="0" w:line="259" w:lineRule="auto"/>
            </w:pPr>
            <w:r>
              <w:rPr>
                <w:rFonts w:ascii="Calibri" w:hAnsi="Calibri"/>
                <w:b w:val="0"/>
                <w:i w:val="0"/>
                <w:color w:val="212121"/>
                <w:sz w:val="19"/>
              </w:rPr>
              <w:t>Irreversible or long-term sequelae of severe or complicated bacillary dysentery</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Malnutrition / undernutrition</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Malnutrition predisposes to severe invasive dysentery and bacteraemia, while shigellosis drives protein loss, weight loss and linear growth faltering — a vicious cycle in Indian children.</w:t>
            </w:r>
          </w:p>
        </w:tc>
      </w:tr>
      <w:tr>
        <w:trPr>
          <w:cantSplit/>
        </w:trPr>
        <w:tc>
          <w:tcPr>
            <w:tcW w:type="dxa" w:w="2232"/>
            <w:vAlign w:val="top"/>
          </w:tcPr>
          <w:p>
            <w:pPr>
              <w:spacing w:after="40" w:before="0" w:line="259" w:lineRule="auto"/>
            </w:pPr>
            <w:r>
              <w:rPr>
                <w:rFonts w:ascii="Calibri" w:hAnsi="Calibri"/>
                <w:b/>
                <w:i w:val="0"/>
                <w:color w:val="212121"/>
                <w:sz w:val="19"/>
              </w:rPr>
              <w:t>Haemolytic uraemic syndrome (HUS)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Shiga toxin from S. dysenteriae type 1 causes microangiopathic haemolysis, thrombocytopenia and acute kidney injury; HUS mortality is reported up to ~36%.</w:t>
            </w:r>
          </w:p>
          <w:p>
            <w:pPr>
              <w:spacing w:after="40" w:before="0" w:line="259" w:lineRule="auto"/>
            </w:pPr>
            <w:r>
              <w:rPr>
                <w:rFonts w:ascii="Calibri" w:hAnsi="Calibri"/>
                <w:b/>
                <w:i w:val="0"/>
                <w:color w:val="212121"/>
                <w:sz w:val="19"/>
              </w:rPr>
              <w:t>Up to 36% (case-fatality of HUS)</w:t>
            </w:r>
          </w:p>
        </w:tc>
      </w:tr>
      <w:tr>
        <w:trPr>
          <w:cantSplit/>
        </w:trPr>
        <w:tc>
          <w:tcPr>
            <w:tcW w:type="dxa" w:w="2232"/>
            <w:vAlign w:val="top"/>
          </w:tcPr>
          <w:p>
            <w:pPr>
              <w:spacing w:after="40" w:before="0" w:line="259" w:lineRule="auto"/>
            </w:pPr>
            <w:r>
              <w:rPr>
                <w:rFonts w:ascii="Calibri" w:hAnsi="Calibri"/>
                <w:b/>
                <w:i w:val="0"/>
                <w:color w:val="212121"/>
                <w:sz w:val="19"/>
              </w:rPr>
              <w:t>Reactive arthritis (Reiter's syndrome)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Post-infectious sterile arthritis, conjunctivitis and urethritis, classically in HLA-B27-positive hosts after S. flexneri dysentery.</w:t>
            </w:r>
          </w:p>
        </w:tc>
      </w:tr>
      <w:tr>
        <w:trPr>
          <w:cantSplit/>
        </w:trPr>
        <w:tc>
          <w:tcPr>
            <w:tcW w:type="dxa" w:w="2232"/>
            <w:vAlign w:val="top"/>
          </w:tcPr>
          <w:p>
            <w:pPr>
              <w:spacing w:after="40" w:before="0" w:line="259" w:lineRule="auto"/>
            </w:pPr>
            <w:r>
              <w:rPr>
                <w:rFonts w:ascii="Calibri" w:hAnsi="Calibri"/>
                <w:b/>
                <w:i w:val="0"/>
                <w:color w:val="212121"/>
                <w:sz w:val="19"/>
              </w:rPr>
              <w:t>Dehydration &amp; electrolyte imbalance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Fluid and electrolyte losses (including SIADH-related hyponatraemia) are the most frequent acute consequence and the main driver of mortality without rehydration.</w:t>
            </w:r>
          </w:p>
        </w:tc>
      </w:tr>
      <w:tr>
        <w:trPr>
          <w:cantSplit/>
        </w:trPr>
        <w:tc>
          <w:tcPr>
            <w:tcW w:type="dxa" w:w="2232"/>
            <w:vAlign w:val="top"/>
          </w:tcPr>
          <w:p>
            <w:pPr>
              <w:spacing w:after="40" w:before="0" w:line="259" w:lineRule="auto"/>
            </w:pPr>
            <w:r>
              <w:rPr>
                <w:rFonts w:ascii="Calibri" w:hAnsi="Calibri"/>
                <w:b/>
                <w:i w:val="0"/>
                <w:color w:val="212121"/>
                <w:sz w:val="19"/>
              </w:rPr>
              <w:t>HIV / immunosuppression</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Immunocompromise permits prolonged, relapsing, invasive and bacteraemic shigellosis and complicates eradication; coexistence alters treatment choice and duration.</w:t>
            </w:r>
          </w:p>
        </w:tc>
      </w:tr>
      <w:tr>
        <w:trPr>
          <w:cantSplit/>
        </w:trPr>
        <w:tc>
          <w:tcPr>
            <w:tcW w:type="dxa" w:w="2232"/>
            <w:vAlign w:val="top"/>
          </w:tcPr>
          <w:p>
            <w:pPr>
              <w:spacing w:after="40" w:before="0" w:line="259" w:lineRule="auto"/>
            </w:pPr>
            <w:r>
              <w:rPr>
                <w:rFonts w:ascii="Calibri" w:hAnsi="Calibri"/>
                <w:b/>
                <w:i w:val="0"/>
                <w:color w:val="212121"/>
                <w:sz w:val="19"/>
              </w:rPr>
              <w:t>Antimicrobial resistance (MDR / XDR Shigella)</w:t>
            </w:r>
          </w:p>
        </w:tc>
        <w:tc>
          <w:tcPr>
            <w:tcW w:type="dxa" w:w="2520"/>
            <w:vAlign w:val="top"/>
          </w:tcPr>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Nearly half of Shigella worldwide are multidrug-resistant, and XDR strains resistant to ciprofloxacin, ceftriaxone and azithromycin (including CTX-M-15 S. sonnei in Kolkata) directly constrain therapy.</w:t>
            </w:r>
          </w:p>
          <w:p>
            <w:pPr>
              <w:spacing w:after="40" w:before="0" w:line="259" w:lineRule="auto"/>
            </w:pPr>
            <w:r>
              <w:rPr>
                <w:rFonts w:ascii="Calibri" w:hAnsi="Calibri"/>
                <w:b/>
                <w:i w:val="0"/>
                <w:color w:val="212121"/>
                <w:sz w:val="19"/>
              </w:rPr>
              <w:t>~50% MDR globally</w:t>
            </w:r>
          </w:p>
        </w:tc>
      </w:tr>
      <w:tr>
        <w:trPr>
          <w:cantSplit/>
        </w:trPr>
        <w:tc>
          <w:tcPr>
            <w:tcW w:type="dxa" w:w="2232"/>
            <w:vAlign w:val="top"/>
          </w:tcPr>
          <w:p>
            <w:pPr>
              <w:spacing w:after="40" w:before="0" w:line="259" w:lineRule="auto"/>
            </w:pPr>
            <w:r>
              <w:rPr>
                <w:rFonts w:ascii="Calibri" w:hAnsi="Calibri"/>
                <w:b/>
                <w:i w:val="0"/>
                <w:color w:val="212121"/>
                <w:sz w:val="19"/>
              </w:rPr>
              <w:t>Other enteric co-infections (rotavirus, ETEC/EIEC, Entamoeba, Cryptosporidium)</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Shared faecal-oral exposure means co-infection is common and can obscure the diagnosis and alter empirical management of bloody diarrhoea.</w:t>
            </w:r>
          </w:p>
        </w:tc>
      </w:tr>
      <w:tr>
        <w:trPr>
          <w:cantSplit/>
        </w:trPr>
        <w:tc>
          <w:tcPr>
            <w:tcW w:type="dxa" w:w="2232"/>
            <w:vAlign w:val="top"/>
          </w:tcPr>
          <w:p>
            <w:pPr>
              <w:spacing w:after="40" w:before="0" w:line="259" w:lineRule="auto"/>
            </w:pPr>
            <w:r>
              <w:rPr>
                <w:rFonts w:ascii="Calibri" w:hAnsi="Calibri"/>
                <w:b/>
                <w:i w:val="0"/>
                <w:color w:val="212121"/>
                <w:sz w:val="19"/>
              </w:rPr>
              <w:t>Post-infectious irritable bowel syndrome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Bacillary dysentery is a recognised trigger of long-term functional bowel symptoms after the infection resolves.</w:t>
            </w:r>
          </w:p>
        </w:tc>
      </w:tr>
      <w:tr>
        <w:trPr>
          <w:cantSplit/>
        </w:trPr>
        <w:tc>
          <w:tcPr>
            <w:tcW w:type="dxa" w:w="2232"/>
            <w:vAlign w:val="top"/>
          </w:tcPr>
          <w:p>
            <w:pPr>
              <w:spacing w:after="40" w:before="0" w:line="259" w:lineRule="auto"/>
            </w:pPr>
            <w:r>
              <w:rPr>
                <w:rFonts w:ascii="Calibri" w:hAnsi="Calibri"/>
                <w:b/>
                <w:i w:val="0"/>
                <w:color w:val="212121"/>
                <w:sz w:val="19"/>
              </w:rPr>
              <w:t>Toxic megacolon / intestinal perforation</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Severe transmural colitis (notably S. dysenteriae type 1) may progress to toxic megacolon or perforation, a surgical emergency worsened by antimotility drugs.</w:t>
            </w:r>
          </w:p>
        </w:tc>
      </w:tr>
      <w:tr>
        <w:trPr>
          <w:cantSplit/>
        </w:trPr>
        <w:tc>
          <w:tcPr>
            <w:tcW w:type="dxa" w:w="2232"/>
            <w:vAlign w:val="top"/>
          </w:tcPr>
          <w:p>
            <w:pPr>
              <w:spacing w:after="40" w:before="0" w:line="259" w:lineRule="auto"/>
            </w:pPr>
            <w:r>
              <w:rPr>
                <w:rFonts w:ascii="Calibri" w:hAnsi="Calibri"/>
                <w:b/>
                <w:i w:val="0"/>
                <w:color w:val="212121"/>
                <w:sz w:val="19"/>
              </w:rPr>
              <w:t>Measles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Post-measles immunosuppression predisposes to severe, protracted dysentery; the two co-occur in under-immunised, undernourished children.</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faecal-oral spread and the very low infectious dose (10–100 organisms), so even minor lapses in hygiene can transmit dysentery.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Wash hands with soap and water at critical times — after defecation or nappy changes, before preparing or eating food, and after caring for a sick person.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Drink only safe water: boil, filter or chlorinate; avoid untreated surface water, unsafe ice and beverages of uncertain source, especially during monsoon/floods.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warning signs — bloody or mucoid stools, high fever, marked thirst, reduced urine, drowsiness or seizures in a child — and seek care promptly.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symptomatic people out of food handling, childcare and healthcare duties until cleared, and exclude sick children from daycare/school.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Know oral rehydration: how to prepare and give WHO-ORS to prevent dehydration while awaiting care.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Parents/caregivers of young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Food handlers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School &amp; daycare staff</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Rural &amp; peri-urban communities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Travellers to endemic areas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freshly cooked, thoroughly heated food; avoid street food, raw produce washed in unsafe water and food left standing at ambient temperature.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Wash and peel fruits/vegetables with safe water; keep raw and cooked foods separate to prevent cross-contamination.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food handlers practise strict hand hygiene and stay off duty while symptomatic or convalescent.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infants, exclusively breastfeed to six months and prepare weaning foods with safe water and clean utensils.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Store drinking water in clean, covered, narrow-necked containers to prevent recontamination.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with young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Street-food consumers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Food-service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Infants and weaning children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Give low-osmolarity WHO oral rehydration solution generously to replace ongoing stool and vomit losses; use IV fluids for severe dehydration or persistent vomiting.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Supplement zinc in children (10–20 mg/day for 10–14 days) to reduce diarrhoea duration and severity and protect against future episodes.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Continue age-appropriate feeding and breastfeeding throughout illness to prevent malnutrition; resume a normal diet as soon as tolerated.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antimotility drugs (e.g., loperamide) in bloody dysentery — they can worsen colitis and precipitate toxic megacolon or HUS.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Reserve antibiotics for confirmed/severe dysentery, vulnerable hosts or outbreak control, choosing agents by local susceptibility given rising MDR/XDR Shigella.</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dysentery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Dehydrated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Malnourished/immunocompromised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 or bacteraemic cases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Rest during the acute febrile, dehydrating phase; avoid strenuous activity until rehydrated and fever settles.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Resume normal activity gradually as stool frequency and appetite recover, usually within 5–7 days.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general physical activity and nutrition between episodes to support immune competence and recovery from growth faltering in children.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Acutely ill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Convalescent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Recovering children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rest and sleep during recovery to support immune function and rehydration.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Monitor sleepy or difficult-to-rouse children closely — excessive drowsiness can signal severe dehydration or neurologic involvement needing urgent care.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Acutely ill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Young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patients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smoking, which impairs mucosal immunity and is linked to worse gastrointestinal and inflammatory outcomes.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Wash hands before smoking or handling cigarettes to avoid hand-to-mouth transfer of contamination.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 contacts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untreated water and unsafe ice in drinks, a route for waterborne Shigella.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during acute illness and rehydration, as it promotes fluid loss and can mask warning symptoms.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Travellers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Reassure patients and caregivers that most shigellosis is self-limiting and resolves within about a week with rehydration and hygiene.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and address post-infectious irritable bowel syndrome, which can follow bacillary dysentery, with symptom-directed support.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and caregivers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Those with persistent post-infectious gut symptoms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Complete the full prescribed antibiotic course when indicated, and return promptly if symptoms worsen or fail to improve, which may signal resistant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strict hand hygiene and safe stool disposal during and after illness to prevent secondary household and community cases.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Report clustered cases (family, school, workplace, gathering) to health services to enable outbreak investigation and source control.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contact-precaution and food-handling exclusion advice until symptom-free and, where required, stool-clear.</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Diagnosed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 contacts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Outbreak-affected communities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Food handlers</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mc.ncbi.nlm.nih.gov/articles/PMC12134051/" TargetMode="External"/><Relationship Id="rId10" Type="http://schemas.openxmlformats.org/officeDocument/2006/relationships/hyperlink" Target="https://pubmed.ncbi.nlm.nih.gov/27487999/" TargetMode="External"/><Relationship Id="rId11" Type="http://schemas.openxmlformats.org/officeDocument/2006/relationships/hyperlink" Target="https://pmc.ncbi.nlm.nih.gov/articles/PMC13199961/" TargetMode="External"/><Relationship Id="rId12" Type="http://schemas.openxmlformats.org/officeDocument/2006/relationships/hyperlink" Target="https://pmc.ncbi.nlm.nih.gov/articles/PMC12336502/" TargetMode="External"/><Relationship Id="rId13" Type="http://schemas.openxmlformats.org/officeDocument/2006/relationships/hyperlink" Target="https://pmc.ncbi.nlm.nih.gov/articles/PMC11463884/" TargetMode="External"/><Relationship Id="rId14" Type="http://schemas.openxmlformats.org/officeDocument/2006/relationships/hyperlink" Target="https://www.who.int/news-room/fact-sheets/detail/diarrhoeal-disease" TargetMode="External"/><Relationship Id="rId15" Type="http://schemas.openxmlformats.org/officeDocument/2006/relationships/hyperlink" Target="https://www.cdc.gov/shigella/prevention/index.html" TargetMode="External"/><Relationship Id="rId16" Type="http://schemas.openxmlformats.org/officeDocument/2006/relationships/hyperlink" Target="https://www.cdc.gov/shigella/about/index.html" TargetMode="External"/><Relationship Id="rId17" Type="http://schemas.openxmlformats.org/officeDocument/2006/relationships/hyperlink" Target="https://www.ncbi.nlm.nih.gov/books/NBK482337/" TargetMode="External"/><Relationship Id="rId18" Type="http://schemas.openxmlformats.org/officeDocument/2006/relationships/hyperlink" Target="https://www.who.int/news-room/fact-sheets/detail/drinking-water" TargetMode="External"/><Relationship Id="rId19" Type="http://schemas.openxmlformats.org/officeDocument/2006/relationships/hyperlink" Target="https://pubmed.ncbi.nlm.nih.gov/42496106/" TargetMode="External"/><Relationship Id="rId20" Type="http://schemas.openxmlformats.org/officeDocument/2006/relationships/hyperlink" Target="https://www.cdc.gov/shigella/signs-symptoms/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