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CKD of Unknown Etiology</w:t>
      </w:r>
    </w:p>
    <w:p>
      <w:pPr>
        <w:spacing w:before="0" w:after="160"/>
      </w:pPr>
      <w:r>
        <w:rPr>
          <w:rFonts w:ascii="Calibri" w:hAnsi="Calibri"/>
          <w:b/>
          <w:i w:val="0"/>
          <w:color w:val="212121"/>
          <w:sz w:val="22"/>
        </w:rPr>
        <w:t xml:space="preserve">AKA </w:t>
      </w:r>
      <w:r>
        <w:rPr>
          <w:rFonts w:ascii="Calibri" w:hAnsi="Calibri"/>
          <w:b w:val="0"/>
          <w:i w:val="0"/>
          <w:color w:val="212121"/>
          <w:sz w:val="22"/>
        </w:rPr>
        <w:t>i.e., CKDu, Chronic Kidney Disease of undetermined/uncertain etiology (CKDue/CKDuo), Uddanam Nephropathy, Chronic Interstitial Nephritis in Agricultural Communities (CINAC), Agricultural/Heat-Stress Nephropathy; Mesoamerican Nephropathy (global counterpart)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Kidney Disease of unknown etiology (CKDu) is a slowly progressive, predominantly chronic tubulointerstitial kidney disease that occurs in the ABSENCE of the traditional drivers of CKD — diabetes mellitus, poorly controlled hypertension, primary glomerulonephritis, obstructive uropathy, or other identifiable cause. It characteristically affects young to middle-aged manual and agricultural workers in hot rural belts, presents with only minimal (tubular) proteinuria and a bland urinary sediment, and advances silently — often to end-stage kidney disease (ESKD) — while patients remain normotensive and largely asymptomatic until late. In India it clusters in defined geographic 'hotspots' such as Uddanam (coastal Andhra Pradesh), parts of Odisha, Tamil Nadu, Telangana and central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CKDu is a major, under-recognised contributor to the Indian CKD burden. In the first Indian CKD Registry, roughly 16% of all CKD was of undetermined etiology, and these patients were younger, poorer and more likely to present in advanced (Stage V) disease than those with diabetic or hypertensive CKD. In the Uddanam hotspot of coastal Andhra Pradesh, a systematic population study found an age- and sex-adjusted CKD prevalence of about 18.7% (men ~21.3%, women ~16.2%) — several-fold higher than the ~17% national background CKD prevalence. Among agricultural workers in Tamil Nadu, measured CKD prevalence was about 5.31%, of which nearly half was of unknown cause.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CKDu is fundamentally a diagnosis of EXCLUSION, made in a person from an endemic/agricultural setting who has persistent kidney impairment without a traditional cause. Indian consensus case definitions (suspected -&gt; possible/probable -&gt; definite)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kidney function — eGFR &lt; 60 mL/min/1.73 m² (CKD-EPI) AND/OR persistent proteinuria (dipstick ≥ 1+ or elevated urine protein/creatinine ratio) documented on repeat testing over &gt;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Only MINIMAL proteinuria (typically urine PCR &lt; 1 g/g; heavy/nephrotic-range proteinuria argues against CKDu) with a BLAND urinary sediment (absence of significant glomerular haematuria, i.e. &lt; 5 RBC/hpf);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diabetes (HbA1c &lt; 6.5%, FBS &lt; 126 mg/dL, no anti-diabetic therapy) and absence of long-standing / severe hypertension or need for multiple (≥ 2) antihypertensives;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primary glomerular disease, obstructive uropathy, nephrolithiasis, polycystic/congenital kidney disease, vasculitis, lupus and other identifiable secondary causes (clinical, serological and imaging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imaging — ultrasonography showing bilaterally small, shrunken, echogenic kidneys with loss of cortico-medullary differentiation; 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Where available, a definitive diagnosis is supported by kidney biopsy showing chronic tubulointerstitial nephritis (interstitial fibrosis and tubular atrophy, patchy lymphocytic infiltrate) WITHOUT immune-complex deposits; supportive clues include hyperuricaemia and hypokalaemia/hypomagnesaemia.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CKDu has no single accepted classification; in practice it is framed three ways — by diagnostic certainty (Indian case definition), by severity (KDIGO CKD stage), and by the recognised regional/epidemiological entities:</w:t>
      </w:r>
    </w:p>
    <w:p>
      <w:pPr>
        <w:spacing w:before="0" w:after="80"/>
      </w:pPr>
      <w:r>
        <w:rPr>
          <w:rFonts w:ascii="Calibri" w:hAnsi="Calibri"/>
          <w:b w:val="0"/>
          <w:i w:val="0"/>
          <w:color w:val="212121"/>
          <w:sz w:val="21"/>
        </w:rPr>
        <w:t>(1) By diagnostic certainty (Indian case definition): SUSPECTED CKDu (eGFR &lt; 60 and/or proteinuria in an at-risk person), POSSIBLE/PROBABLE CKDu (abnormality persisting &gt; 3 months with traditional causes excluded, often with supportive hyperuricaemia/hypokalaemia), and DEFINITE CKDu (probable criteria PLUS biopsy showing chronic tubulointerstitial nephritis without immune deposits, or characteristic small kidneys on imaging).</w:t>
      </w:r>
    </w:p>
    <w:p>
      <w:pPr>
        <w:spacing w:before="0" w:after="80"/>
      </w:pPr>
      <w:r>
        <w:rPr>
          <w:rFonts w:ascii="Calibri" w:hAnsi="Calibri"/>
          <w:b w:val="0"/>
          <w:i w:val="0"/>
          <w:color w:val="212121"/>
          <w:sz w:val="21"/>
        </w:rPr>
        <w:t>(2) By severity (KDIGO): CKD is staged G1–G5 by eGFR (G1 ≥ 90 with kidney damage, G2 60–89, G3a 45–59, G3b 30–44, G4 15–29, G5 &lt; 15 / dialysis) and by albuminuria (A1–A3). Because CKDu is clinically silent, most cases are detected only at G3–G5, and a large share present already in G5 (ESKD).</w:t>
      </w:r>
    </w:p>
    <w:p>
      <w:pPr>
        <w:spacing w:before="0" w:after="80"/>
      </w:pPr>
      <w:r>
        <w:rPr>
          <w:rFonts w:ascii="Calibri" w:hAnsi="Calibri"/>
          <w:b w:val="0"/>
          <w:i w:val="0"/>
          <w:color w:val="212121"/>
          <w:sz w:val="21"/>
        </w:rPr>
        <w:t>(3) By regional/epidemiological entity: Uddanam nephropathy (Srikakulam, Andhra Pradesh) and similar Indian clusters (coastal Odisha, Tamil Nadu 'Tondaimandalam'/agricultural belts, Telangana, central India); globally analogous entities include Mesoamerican nephropathy (Central America), Sri Lankan CKDu, and the umbrella term CINAC (Chronic Interstitial Nephritis in Agricultural Communities). Heat-stress nephropathy denotes the recurrent-dehydration mechanistic subtype.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Recurrent heat stress &amp; volume depletion: The leading hypothesis — repeated bouts of strenuous outdoor labour in extreme heat cause recurrent subclinical acute kidney injury (AKI), sustained vasopressin activation, activation of the polyol–fructokinase pathway and uric-acid–mediated tubular injury that accumulate into chronic tubulointerstitial damage.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Agrochemical / pesticide exposure: Chronic low-dose exposure to pesticides and herbicides (e.g. organochlorines, endosulfan, glyphosate-era mixtures) is epidemiologically associated with CKDu, though findings are confounded and causation is unproven.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Water quality &amp; geochemistry: Untreated groundwater in endemic zones may carry silica, fluoride, strontium, cadmium, arsenic or lead; hardness and these elements are proposed nephrotoxic co-factors.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Nephrotoxin &amp; analgesic use: Habitual self-medication with NSAIDs/analgesics and some indigenous (Ayurvedic/herbal) remedies — common in manual labourers with body aches — adds a recurrent nephrotoxic insult.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susceptibility: Familial clustering and polymorphisms in pesticide-metabolising and other genes (e.g. NOS3, ACE, GSTs) suggest inherited vulnerability that modifies environmental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Infections &amp; other cofactors: Endemic leptospirosis, hantavirus and other infections, together with heavy physical exertion, alcohol and mycotoxin-contaminated food, are proposed contributory/multifactorial insults.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(approx. 25–55 years)</w:t>
            </w:r>
          </w:p>
        </w:tc>
        <w:tc>
          <w:tcPr>
            <w:tcW w:type="dxa" w:w="4276"/>
            <w:vAlign w:val="top"/>
          </w:tcPr>
          <w:p>
            <w:pPr>
              <w:spacing w:after="60" w:line="259" w:lineRule="auto"/>
            </w:pPr>
            <w:r>
              <w:rPr>
                <w:rFonts w:ascii="Calibri" w:hAnsi="Calibri"/>
                <w:b w:val="0"/>
                <w:i w:val="0"/>
                <w:color w:val="212121"/>
                <w:sz w:val="19"/>
              </w:rPr>
              <w:t>Unlike most CKD, CKDu strikes economically productive young-to-middle-aged manual workers, reflecting cumulative years of heat-exposed labour and recurrent subclinical AKI rather than age-related nephron loss. This 'reversal' of the usual age pattern is a hallmark of the disease.</w:t>
            </w:r>
          </w:p>
          <w:p>
            <w:pPr>
              <w:spacing w:after="40" w:before="60" w:line="259" w:lineRule="auto"/>
            </w:pPr>
            <w:r>
              <w:rPr>
                <w:rFonts w:ascii="Calibri" w:hAnsi="Calibri"/>
                <w:b w:val="0"/>
                <w:i w:val="0"/>
                <w:color w:val="212121"/>
                <w:sz w:val="19"/>
              </w:rPr>
              <w:t>CKDu predominantly affects men aged 20–60 performing agricultural labour; registry CKDu patients were notably younger than those with diabetic/hypertensive CKD.</w:t>
            </w:r>
          </w:p>
          <w:p>
            <w:pPr>
              <w:spacing w:after="40" w:line="252" w:lineRule="auto"/>
            </w:pPr>
            <w:hyperlink r:id="rId9">
              <w:r>
                <w:rPr>
                  <w:rFonts w:ascii="Calibri" w:hAnsi="Calibri" w:cs="Calibri"/>
                  <w:sz w:val="18"/>
                  <w:color w:val="1155CC"/>
                  <w:u w:val="single"/>
                </w:rPr>
                <w:t xml:space="preserve">pathologyoutlines.com — CKDu</w:t>
              </w:r>
            </w:hyperlink>
          </w:p>
          <w:p>
            <w:pPr>
              <w:spacing w:before="60" w:after="40"/>
            </w:pPr>
            <w:r>
              <w:rPr>
                <w:rFonts w:ascii="Calibri" w:hAnsi="Calibri"/>
                <w:b w:val="0"/>
                <w:i w:val="0"/>
                <w:color w:val="5A5A5A"/>
                <w:sz w:val="18"/>
              </w:rPr>
              <w:t>#CKDu  #workingage  #agriculturallabour  #recurrentAKI  #heatstress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(with cumulative exposure)</w:t>
            </w:r>
          </w:p>
        </w:tc>
        <w:tc>
          <w:tcPr>
            <w:tcW w:type="dxa" w:w="4276"/>
            <w:vAlign w:val="top"/>
          </w:tcPr>
          <w:p>
            <w:pPr>
              <w:spacing w:after="60" w:line="259" w:lineRule="auto"/>
            </w:pPr>
            <w:r>
              <w:rPr>
                <w:rFonts w:ascii="Calibri" w:hAnsi="Calibri"/>
                <w:b w:val="0"/>
                <w:i w:val="0"/>
                <w:color w:val="212121"/>
                <w:sz w:val="19"/>
              </w:rPr>
              <w:t>Older former labourers carry decades of accumulated tubulointerstitial damage and reduced renal reserve, so previously compensated CKDu decompensates, frequently presenting directly in advanced stages.</w:t>
            </w:r>
          </w:p>
          <w:p>
            <w:pPr>
              <w:spacing w:after="40" w:before="60" w:line="259" w:lineRule="auto"/>
            </w:pPr>
            <w:r>
              <w:rPr>
                <w:rFonts w:ascii="Calibri" w:hAnsi="Calibri"/>
                <w:b w:val="0"/>
                <w:i w:val="0"/>
                <w:color w:val="212121"/>
                <w:sz w:val="19"/>
              </w:rPr>
              <w:t>In the Uddanam study, adjusted CKD prevalence was ~1.70× higher in those aged ≥ 55 vs &lt; 45 years (PR 1.70, 95% CI 1.33–2.20).</w:t>
            </w:r>
          </w:p>
          <w:p>
            <w:pPr>
              <w:spacing w:after="40" w:line="252" w:lineRule="auto"/>
            </w:pPr>
            <w:hyperlink r:id="rId10">
              <w:r>
                <w:rPr>
                  <w:rFonts w:ascii="Calibri" w:hAnsi="Calibri" w:cs="Calibri"/>
                  <w:sz w:val="18"/>
                  <w:color w:val="1155CC"/>
                  <w:u w:val="single"/>
                </w:rPr>
                <w:t xml:space="preserve">pmc.ncbi.nlm.nih.gov/PMC7710882 — Uddanam CKD study</w:t>
              </w:r>
            </w:hyperlink>
          </w:p>
          <w:p>
            <w:pPr>
              <w:spacing w:before="60" w:after="40"/>
            </w:pPr>
            <w:r>
              <w:rPr>
                <w:rFonts w:ascii="Calibri" w:hAnsi="Calibri"/>
                <w:b w:val="0"/>
                <w:i w:val="0"/>
                <w:color w:val="5A5A5A"/>
                <w:sz w:val="18"/>
              </w:rPr>
              <w:t>#elderly  #latepresentation  #reducedreserve  #ESKD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undertake the most heat-exposed, physically demanding field work (paddy, cashew, sugarcane) and have higher rates of tobacco/alcohol use, giving a consistent male predominance (~3:1) across CKDu sites.</w:t>
            </w:r>
          </w:p>
          <w:p>
            <w:pPr>
              <w:spacing w:after="40" w:before="60" w:line="259" w:lineRule="auto"/>
            </w:pPr>
            <w:r>
              <w:rPr>
                <w:rFonts w:ascii="Calibri" w:hAnsi="Calibri"/>
                <w:b w:val="0"/>
                <w:i w:val="0"/>
                <w:color w:val="212121"/>
                <w:sz w:val="19"/>
              </w:rPr>
              <w:t>Uddanam: men 21.3% vs women 16.2% CKD prevalence (adjusted PR for male sex 1.35, 95% CI 1.05–1.73).</w:t>
            </w:r>
          </w:p>
          <w:p>
            <w:pPr>
              <w:spacing w:after="40" w:line="252" w:lineRule="auto"/>
            </w:pPr>
            <w:hyperlink r:id="rId10">
              <w:r>
                <w:rPr>
                  <w:rFonts w:ascii="Calibri" w:hAnsi="Calibri" w:cs="Calibri"/>
                  <w:sz w:val="18"/>
                  <w:color w:val="1155CC"/>
                  <w:u w:val="single"/>
                </w:rPr>
                <w:t xml:space="preserve">pmc.ncbi.nlm.nih.gov/PMC7710882 — Uddanam CKD study</w:t>
              </w:r>
            </w:hyperlink>
          </w:p>
          <w:p>
            <w:pPr>
              <w:spacing w:before="60" w:after="40"/>
            </w:pPr>
            <w:r>
              <w:rPr>
                <w:rFonts w:ascii="Calibri" w:hAnsi="Calibri"/>
                <w:b w:val="0"/>
                <w:i w:val="0"/>
                <w:color w:val="5A5A5A"/>
                <w:sz w:val="18"/>
              </w:rPr>
              <w:t>#malepredominance  #occupational  #fieldwork  #3to1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rural manual labourers</w:t>
            </w:r>
          </w:p>
        </w:tc>
        <w:tc>
          <w:tcPr>
            <w:tcW w:type="dxa" w:w="4276"/>
            <w:vAlign w:val="top"/>
          </w:tcPr>
          <w:p>
            <w:pPr>
              <w:spacing w:after="60" w:line="259" w:lineRule="auto"/>
            </w:pPr>
            <w:r>
              <w:rPr>
                <w:rFonts w:ascii="Calibri" w:hAnsi="Calibri"/>
                <w:b w:val="0"/>
                <w:i w:val="0"/>
                <w:color w:val="212121"/>
                <w:sz w:val="19"/>
              </w:rPr>
              <w:t>Poverty concentrates the exposures — outdoor manual labour without cooling or safe hydration, untreated water, delayed care and self-medication — and limits access to dialysis/transplant, so CKDu is both a disease of and a driver of impoverishment.</w:t>
            </w:r>
          </w:p>
          <w:p>
            <w:pPr>
              <w:spacing w:after="40" w:before="60" w:line="259" w:lineRule="auto"/>
            </w:pPr>
            <w:r>
              <w:rPr>
                <w:rFonts w:ascii="Calibri" w:hAnsi="Calibri"/>
                <w:b w:val="0"/>
                <w:i w:val="0"/>
                <w:color w:val="212121"/>
                <w:sz w:val="19"/>
              </w:rPr>
              <w:t>CKDu of undetermined etiology in the Indian CKD Registry affected younger, poorer patients who more often presented in Stage V; in central India ~88.6% of CKDu patients were rural residents.</w:t>
            </w:r>
          </w:p>
          <w:p>
            <w:pPr>
              <w:spacing w:after="40" w:line="252" w:lineRule="auto"/>
            </w:pPr>
            <w:hyperlink r:id="rId11">
              <w:r>
                <w:rPr>
                  <w:rFonts w:ascii="Calibri" w:hAnsi="Calibri" w:cs="Calibri"/>
                  <w:sz w:val="18"/>
                  <w:color w:val="1155CC"/>
                  <w:u w:val="single"/>
                </w:rPr>
                <w:t xml:space="preserve">link.springer.com — Indian CKD Registry</w:t>
              </w:r>
            </w:hyperlink>
          </w:p>
          <w:p>
            <w:pPr>
              <w:spacing w:before="60" w:after="40"/>
            </w:pPr>
            <w:r>
              <w:rPr>
                <w:rFonts w:ascii="Calibri" w:hAnsi="Calibri"/>
                <w:b w:val="0"/>
                <w:i w:val="0"/>
                <w:color w:val="5A5A5A"/>
                <w:sz w:val="18"/>
              </w:rPr>
              <w:t>#poverty  #rural  #outofpocket  #latepresentation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Uddanam belt, coastal Andhra Pradesh (Srikakulam)</w:t>
            </w:r>
          </w:p>
        </w:tc>
        <w:tc>
          <w:tcPr>
            <w:tcW w:type="dxa" w:w="4276"/>
            <w:vAlign w:val="top"/>
          </w:tcPr>
          <w:p>
            <w:pPr>
              <w:spacing w:after="60" w:line="259" w:lineRule="auto"/>
            </w:pPr>
            <w:r>
              <w:rPr>
                <w:rFonts w:ascii="Calibri" w:hAnsi="Calibri"/>
                <w:b w:val="0"/>
                <w:i w:val="0"/>
                <w:color w:val="212121"/>
                <w:sz w:val="19"/>
              </w:rPr>
              <w:t>The hot, humid coastal Uddanam belt — paddy and cashew cultivation, heavy manual labour and shallow groundwater — is India's best-characterised CKDu hotspot, with disease clustering across whole villages.</w:t>
            </w:r>
          </w:p>
          <w:p>
            <w:pPr>
              <w:spacing w:after="40" w:before="60" w:line="259" w:lineRule="auto"/>
            </w:pPr>
            <w:r>
              <w:rPr>
                <w:rFonts w:ascii="Calibri" w:hAnsi="Calibri"/>
                <w:b w:val="0"/>
                <w:i w:val="0"/>
                <w:color w:val="212121"/>
                <w:sz w:val="19"/>
              </w:rPr>
              <w:t>Uddanam: age- and sex-adjusted CKD prevalence ~18.7% (95% CI 16.4–21.0), far above background; CKD is a leading cause of death in the region.</w:t>
            </w:r>
          </w:p>
          <w:p>
            <w:pPr>
              <w:spacing w:after="40" w:line="252" w:lineRule="auto"/>
            </w:pPr>
            <w:hyperlink r:id="rId10">
              <w:r>
                <w:rPr>
                  <w:rFonts w:ascii="Calibri" w:hAnsi="Calibri" w:cs="Calibri"/>
                  <w:sz w:val="18"/>
                  <w:color w:val="1155CC"/>
                  <w:u w:val="single"/>
                </w:rPr>
                <w:t xml:space="preserve">pmc.ncbi.nlm.nih.gov/PMC7710882 — Uddanam CKD study</w:t>
              </w:r>
            </w:hyperlink>
          </w:p>
          <w:p>
            <w:pPr>
              <w:spacing w:before="60" w:after="40"/>
            </w:pPr>
            <w:r>
              <w:rPr>
                <w:rFonts w:ascii="Calibri" w:hAnsi="Calibri"/>
                <w:b w:val="0"/>
                <w:i w:val="0"/>
                <w:color w:val="5A5A5A"/>
                <w:sz w:val="18"/>
              </w:rPr>
              <w:t>#Uddanam  #AndhraPradesh  #hotspot  #coastalbelt  #paddycashew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Other Indian hotspots — Odisha, Tamil Nadu, Telangana, central India, Goa</w:t>
            </w:r>
          </w:p>
        </w:tc>
        <w:tc>
          <w:tcPr>
            <w:tcW w:type="dxa" w:w="4276"/>
            <w:vAlign w:val="top"/>
          </w:tcPr>
          <w:p>
            <w:pPr>
              <w:spacing w:after="60" w:line="259" w:lineRule="auto"/>
            </w:pPr>
            <w:r>
              <w:rPr>
                <w:rFonts w:ascii="Calibri" w:hAnsi="Calibri"/>
                <w:b w:val="0"/>
                <w:i w:val="0"/>
                <w:color w:val="212121"/>
                <w:sz w:val="19"/>
              </w:rPr>
              <w:t>CKDu clusters recur wherever hot-climate agricultural labour meets specific groundwater geochemistry, indicating shared environmental drivers rather than a single locality.</w:t>
            </w:r>
          </w:p>
          <w:p>
            <w:pPr>
              <w:spacing w:after="40" w:before="60" w:line="259" w:lineRule="auto"/>
            </w:pPr>
            <w:r>
              <w:rPr>
                <w:rFonts w:ascii="Calibri" w:hAnsi="Calibri"/>
                <w:b w:val="0"/>
                <w:i w:val="0"/>
                <w:color w:val="212121"/>
                <w:sz w:val="19"/>
              </w:rPr>
              <w:t>Recognised Indian clusters include Narasinghapur (Odisha), Akola (Maharashtra), Canacona (Goa) and agricultural belts of Tamil Nadu and Telangana; among Tamil Nadu agri-workers ~50% of CKD was of unknown cause.</w:t>
            </w:r>
          </w:p>
          <w:p>
            <w:pPr>
              <w:spacing w:after="40" w:line="252" w:lineRule="auto"/>
            </w:pPr>
            <w:hyperlink r:id="rId12">
              <w:r>
                <w:rPr>
                  <w:rFonts w:ascii="Calibri" w:hAnsi="Calibri" w:cs="Calibri"/>
                  <w:sz w:val="18"/>
                  <w:color w:val="1155CC"/>
                  <w:u w:val="single"/>
                </w:rPr>
                <w:t xml:space="preserve">indianjnephrol.org — CKDu case definition (India)</w:t>
              </w:r>
            </w:hyperlink>
          </w:p>
          <w:p>
            <w:pPr>
              <w:spacing w:before="60" w:after="40"/>
            </w:pPr>
            <w:r>
              <w:rPr>
                <w:rFonts w:ascii="Calibri" w:hAnsi="Calibri"/>
                <w:b w:val="0"/>
                <w:i w:val="0"/>
                <w:color w:val="5A5A5A"/>
                <w:sz w:val="18"/>
              </w:rPr>
              <w:t>#Odisha  #TamilNadu  #Telangana  #hotspots  #groundwater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heat exposure</w:t>
            </w:r>
          </w:p>
        </w:tc>
        <w:tc>
          <w:tcPr>
            <w:tcW w:type="dxa" w:w="2160"/>
            <w:vAlign w:val="top"/>
          </w:tcPr>
          <w:p>
            <w:pPr>
              <w:spacing w:after="40" w:before="0" w:line="259" w:lineRule="auto"/>
            </w:pPr>
            <w:r>
              <w:rPr>
                <w:rFonts w:ascii="Calibri" w:hAnsi="Calibri"/>
                <w:b w:val="0"/>
                <w:i w:val="0"/>
                <w:color w:val="212121"/>
                <w:sz w:val="19"/>
              </w:rPr>
              <w:t>Paddy/cashew/sugarcane farmers &amp; outdoor labourers</w:t>
            </w:r>
          </w:p>
        </w:tc>
        <w:tc>
          <w:tcPr>
            <w:tcW w:type="dxa" w:w="4276"/>
            <w:vAlign w:val="top"/>
          </w:tcPr>
          <w:p>
            <w:pPr>
              <w:spacing w:after="60" w:line="259" w:lineRule="auto"/>
            </w:pPr>
            <w:r>
              <w:rPr>
                <w:rFonts w:ascii="Calibri" w:hAnsi="Calibri"/>
                <w:b w:val="0"/>
                <w:i w:val="0"/>
                <w:color w:val="212121"/>
                <w:sz w:val="19"/>
              </w:rPr>
              <w:t>Prolonged strenuous work in high wet-bulb temperature with inadequate fluid replacement drives recurrent dehydration, core-temperature rise and repeated subclinical AKI — the central mechanistic exposure in CKDu.</w:t>
            </w:r>
          </w:p>
          <w:p>
            <w:pPr>
              <w:spacing w:after="40" w:before="60" w:line="259" w:lineRule="auto"/>
            </w:pPr>
            <w:r>
              <w:rPr>
                <w:rFonts w:ascii="Calibri" w:hAnsi="Calibri"/>
                <w:b w:val="0"/>
                <w:i w:val="0"/>
                <w:color w:val="212121"/>
                <w:sz w:val="19"/>
              </w:rPr>
              <w:t>Heat-exposed workers have ~2.2× higher odds of kidney disease (OR 2.22); in Tamil Nadu agri-workers, longer weekly outdoor hours correlated with kidney deterioration and transient AKI was seen in 17.4%.</w:t>
            </w:r>
          </w:p>
          <w:p>
            <w:pPr>
              <w:spacing w:after="40" w:line="252" w:lineRule="auto"/>
            </w:pPr>
            <w:hyperlink r:id="rId13">
              <w:r>
                <w:rPr>
                  <w:rFonts w:ascii="Calibri" w:hAnsi="Calibri" w:cs="Calibri"/>
                  <w:sz w:val="18"/>
                  <w:color w:val="1155CC"/>
                  <w:u w:val="single"/>
                </w:rPr>
                <w:t xml:space="preserve">indianjnephrol.org — CKDu distribution &amp; determinants</w:t>
              </w:r>
            </w:hyperlink>
          </w:p>
          <w:p>
            <w:pPr>
              <w:spacing w:before="60" w:after="40"/>
            </w:pPr>
            <w:r>
              <w:rPr>
                <w:rFonts w:ascii="Calibri" w:hAnsi="Calibri"/>
                <w:b w:val="0"/>
                <w:i w:val="0"/>
                <w:color w:val="5A5A5A"/>
                <w:sz w:val="18"/>
              </w:rPr>
              <w:t>#heatstress  #dehydration  #outdoorlabour  #subclinicalAKI  #WBGT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Tobacco chewers and smokers</w:t>
            </w:r>
          </w:p>
        </w:tc>
        <w:tc>
          <w:tcPr>
            <w:tcW w:type="dxa" w:w="4276"/>
            <w:vAlign w:val="top"/>
          </w:tcPr>
          <w:p>
            <w:pPr>
              <w:spacing w:after="60" w:line="259" w:lineRule="auto"/>
            </w:pPr>
            <w:r>
              <w:rPr>
                <w:rFonts w:ascii="Calibri" w:hAnsi="Calibri"/>
                <w:b w:val="0"/>
                <w:i w:val="0"/>
                <w:color w:val="212121"/>
                <w:sz w:val="19"/>
              </w:rPr>
              <w:t>Tobacco causes endothelial dysfunction and afferent-arteriolar vasoconstriction, compounding ischaemic tubular injury; it is highly prevalent in the affected labouring communities.</w:t>
            </w:r>
          </w:p>
          <w:p>
            <w:pPr>
              <w:spacing w:after="40" w:before="60" w:line="259" w:lineRule="auto"/>
            </w:pPr>
            <w:r>
              <w:rPr>
                <w:rFonts w:ascii="Calibri" w:hAnsi="Calibri"/>
                <w:b w:val="0"/>
                <w:i w:val="0"/>
                <w:color w:val="212121"/>
                <w:sz w:val="19"/>
              </w:rPr>
              <w:t>Uddanam: tobacco use adjusted PR 1.25 (95% CI 1.01–1.54) with ~43% tobacco use; central-India CKDu cohort tobacco use ~53%.</w:t>
            </w:r>
          </w:p>
          <w:p>
            <w:pPr>
              <w:spacing w:after="40" w:line="252" w:lineRule="auto"/>
            </w:pPr>
            <w:hyperlink r:id="rId10">
              <w:r>
                <w:rPr>
                  <w:rFonts w:ascii="Calibri" w:hAnsi="Calibri" w:cs="Calibri"/>
                  <w:sz w:val="18"/>
                  <w:color w:val="1155CC"/>
                  <w:u w:val="single"/>
                </w:rPr>
                <w:t xml:space="preserve">pmc.ncbi.nlm.nih.gov/PMC7710882 — Uddanam CKD study</w:t>
              </w:r>
            </w:hyperlink>
          </w:p>
          <w:p>
            <w:pPr>
              <w:spacing w:before="60" w:after="40"/>
            </w:pPr>
            <w:r>
              <w:rPr>
                <w:rFonts w:ascii="Calibri" w:hAnsi="Calibri"/>
                <w:b w:val="0"/>
                <w:i w:val="0"/>
                <w:color w:val="5A5A5A"/>
                <w:sz w:val="18"/>
              </w:rPr>
              <w:t>#tobacco  #smoking  #gutka  #endothelial  #vasoconstriction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Regular/heavy alcohol users</w:t>
            </w:r>
          </w:p>
        </w:tc>
        <w:tc>
          <w:tcPr>
            <w:tcW w:type="dxa" w:w="4276"/>
            <w:vAlign w:val="top"/>
          </w:tcPr>
          <w:p>
            <w:pPr>
              <w:spacing w:after="60" w:line="259" w:lineRule="auto"/>
            </w:pPr>
            <w:r>
              <w:rPr>
                <w:rFonts w:ascii="Calibri" w:hAnsi="Calibri"/>
                <w:b w:val="0"/>
                <w:i w:val="0"/>
                <w:color w:val="212121"/>
                <w:sz w:val="19"/>
              </w:rPr>
              <w:t>Alcohol adds a dehydrating, volume-depleting insult and often accompanies the heat-exposed labouring lifestyle, potentially compounding recurrent AKI and hyperuricaemia.</w:t>
            </w:r>
          </w:p>
          <w:p>
            <w:pPr>
              <w:spacing w:after="40" w:before="60" w:line="259" w:lineRule="auto"/>
            </w:pPr>
            <w:r>
              <w:rPr>
                <w:rFonts w:ascii="Calibri" w:hAnsi="Calibri"/>
                <w:b w:val="0"/>
                <w:i w:val="0"/>
                <w:color w:val="212121"/>
                <w:sz w:val="19"/>
              </w:rPr>
              <w:t>In a central-India CKDu cohort, ~30% reported alcohol use; alcohol clusters with the other CKDu risk exposures.</w:t>
            </w:r>
          </w:p>
          <w:p>
            <w:pPr>
              <w:spacing w:after="40" w:line="252" w:lineRule="auto"/>
            </w:pPr>
            <w:hyperlink r:id="rId14">
              <w:r>
                <w:rPr>
                  <w:rFonts w:ascii="Calibri" w:hAnsi="Calibri" w:cs="Calibri"/>
                  <w:sz w:val="18"/>
                  <w:color w:val="1155CC"/>
                  <w:u w:val="single"/>
                </w:rPr>
                <w:t xml:space="preserve">indianjnephrol.org — Central India CKDu profile</w:t>
              </w:r>
            </w:hyperlink>
          </w:p>
          <w:p>
            <w:pPr>
              <w:spacing w:before="60" w:after="40"/>
            </w:pPr>
            <w:r>
              <w:rPr>
                <w:rFonts w:ascii="Calibri" w:hAnsi="Calibri"/>
                <w:b w:val="0"/>
                <w:i w:val="0"/>
                <w:color w:val="5A5A5A"/>
                <w:sz w:val="18"/>
              </w:rPr>
              <w:t>#alcohol  #dehydration  #hyperuricaemia  #volume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Nephrotoxin / analgesic use</w:t>
            </w:r>
          </w:p>
        </w:tc>
        <w:tc>
          <w:tcPr>
            <w:tcW w:type="dxa" w:w="2160"/>
            <w:vAlign w:val="top"/>
          </w:tcPr>
          <w:p>
            <w:pPr>
              <w:spacing w:after="40" w:before="0" w:line="259" w:lineRule="auto"/>
            </w:pPr>
            <w:r>
              <w:rPr>
                <w:rFonts w:ascii="Calibri" w:hAnsi="Calibri"/>
                <w:b w:val="0"/>
                <w:i w:val="0"/>
                <w:color w:val="212121"/>
                <w:sz w:val="19"/>
              </w:rPr>
              <w:t>Habitual NSAID &amp; indigenous-medicine users</w:t>
            </w:r>
          </w:p>
        </w:tc>
        <w:tc>
          <w:tcPr>
            <w:tcW w:type="dxa" w:w="4276"/>
            <w:vAlign w:val="top"/>
          </w:tcPr>
          <w:p>
            <w:pPr>
              <w:spacing w:after="60" w:line="259" w:lineRule="auto"/>
            </w:pPr>
            <w:r>
              <w:rPr>
                <w:rFonts w:ascii="Calibri" w:hAnsi="Calibri"/>
                <w:b w:val="0"/>
                <w:i w:val="0"/>
                <w:color w:val="212121"/>
                <w:sz w:val="19"/>
              </w:rPr>
              <w:t>Labourers frequently self-medicate body aches with over-the-counter NSAIDs and herbal/Ayurvedic preparations; NSAIDs reduce renal perfusion and both add repeated nephrotoxic hits on already-stressed tubules.</w:t>
            </w:r>
          </w:p>
          <w:p>
            <w:pPr>
              <w:spacing w:after="40" w:before="60" w:line="259" w:lineRule="auto"/>
            </w:pPr>
            <w:r>
              <w:rPr>
                <w:rFonts w:ascii="Calibri" w:hAnsi="Calibri"/>
                <w:b w:val="0"/>
                <w:i w:val="0"/>
                <w:color w:val="212121"/>
                <w:sz w:val="19"/>
              </w:rPr>
              <w:t>Central-India CKDu cohort: over-the-counter analgesic use ~41.6% and Ayurvedic-medicine use ~30.7%.</w:t>
            </w:r>
          </w:p>
          <w:p>
            <w:pPr>
              <w:spacing w:after="40" w:line="252" w:lineRule="auto"/>
            </w:pPr>
            <w:hyperlink r:id="rId14">
              <w:r>
                <w:rPr>
                  <w:rFonts w:ascii="Calibri" w:hAnsi="Calibri" w:cs="Calibri"/>
                  <w:sz w:val="18"/>
                  <w:color w:val="1155CC"/>
                  <w:u w:val="single"/>
                </w:rPr>
                <w:t xml:space="preserve">indianjnephrol.org — Central India CKDu profile</w:t>
              </w:r>
            </w:hyperlink>
          </w:p>
          <w:p>
            <w:pPr>
              <w:spacing w:before="60" w:after="40"/>
            </w:pPr>
            <w:r>
              <w:rPr>
                <w:rFonts w:ascii="Calibri" w:hAnsi="Calibri"/>
                <w:b w:val="0"/>
                <w:i w:val="0"/>
                <w:color w:val="5A5A5A"/>
                <w:sz w:val="18"/>
              </w:rPr>
              <w:t>#NSAID  #analgesicnephropathy  #herbal  #selfmedication  #nephrotoxin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Hydration behaviour</w:t>
            </w:r>
          </w:p>
        </w:tc>
        <w:tc>
          <w:tcPr>
            <w:tcW w:type="dxa" w:w="2160"/>
            <w:vAlign w:val="top"/>
          </w:tcPr>
          <w:p>
            <w:pPr>
              <w:spacing w:after="40" w:before="0" w:line="259" w:lineRule="auto"/>
            </w:pPr>
            <w:r>
              <w:rPr>
                <w:rFonts w:ascii="Calibri" w:hAnsi="Calibri"/>
                <w:b w:val="0"/>
                <w:i w:val="0"/>
                <w:color w:val="212121"/>
                <w:sz w:val="19"/>
              </w:rPr>
              <w:t>Low water intake + sugary rehydration</w:t>
            </w:r>
          </w:p>
        </w:tc>
        <w:tc>
          <w:tcPr>
            <w:tcW w:type="dxa" w:w="4276"/>
            <w:vAlign w:val="top"/>
          </w:tcPr>
          <w:p>
            <w:pPr>
              <w:spacing w:after="60" w:line="259" w:lineRule="auto"/>
            </w:pPr>
            <w:r>
              <w:rPr>
                <w:rFonts w:ascii="Calibri" w:hAnsi="Calibri"/>
                <w:b w:val="0"/>
                <w:i w:val="0"/>
                <w:color w:val="212121"/>
                <w:sz w:val="19"/>
              </w:rPr>
              <w:t>Inadequate plain-water intake during work, and rehydration with sugary/fructose-containing drinks, amplify vasopressin and polyol–fructokinase-mediated tubular injury rather than protecting the kidney.</w:t>
            </w:r>
          </w:p>
          <w:p>
            <w:pPr>
              <w:spacing w:after="40" w:before="60" w:line="259" w:lineRule="auto"/>
            </w:pPr>
            <w:r>
              <w:rPr>
                <w:rFonts w:ascii="Calibri" w:hAnsi="Calibri"/>
                <w:b w:val="0"/>
                <w:i w:val="0"/>
                <w:color w:val="212121"/>
                <w:sz w:val="19"/>
              </w:rPr>
              <w:t>Guidance for heat-exposed workers is ~250 mL water every 20–30 min (about 4–6 L/day) and avoidance of sugary beverages, which worsen dehydration-induced kidney injury.</w:t>
            </w:r>
          </w:p>
          <w:p>
            <w:pPr>
              <w:spacing w:after="40" w:line="252" w:lineRule="auto"/>
            </w:pPr>
            <w:hyperlink r:id="rId15">
              <w:r>
                <w:rPr>
                  <w:rFonts w:ascii="Calibri" w:hAnsi="Calibri" w:cs="Calibri"/>
                  <w:sz w:val="18"/>
                  <w:color w:val="1155CC"/>
                  <w:u w:val="single"/>
                </w:rPr>
                <w:t xml:space="preserve">rmcglobaljournal.com — heat-stress nephropathy</w:t>
              </w:r>
            </w:hyperlink>
          </w:p>
          <w:p>
            <w:pPr>
              <w:spacing w:before="60" w:after="40"/>
            </w:pPr>
            <w:r>
              <w:rPr>
                <w:rFonts w:ascii="Calibri" w:hAnsi="Calibri"/>
                <w:b w:val="0"/>
                <w:i w:val="0"/>
                <w:color w:val="5A5A5A"/>
                <w:sz w:val="18"/>
              </w:rPr>
              <w:t>#hydration  #fructose  #sugarydrinks  #vasopressin  #polyol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source / geochemistry</w:t>
            </w:r>
          </w:p>
        </w:tc>
        <w:tc>
          <w:tcPr>
            <w:tcW w:type="dxa" w:w="2160"/>
            <w:vAlign w:val="top"/>
          </w:tcPr>
          <w:p>
            <w:pPr>
              <w:spacing w:after="40" w:before="0" w:line="259" w:lineRule="auto"/>
            </w:pPr>
            <w:r>
              <w:rPr>
                <w:rFonts w:ascii="Calibri" w:hAnsi="Calibri"/>
                <w:b w:val="0"/>
                <w:i w:val="0"/>
                <w:color w:val="212121"/>
                <w:sz w:val="19"/>
              </w:rPr>
              <w:t>Consumers of untreated shallow groundwater</w:t>
            </w:r>
          </w:p>
        </w:tc>
        <w:tc>
          <w:tcPr>
            <w:tcW w:type="dxa" w:w="4276"/>
            <w:vAlign w:val="top"/>
          </w:tcPr>
          <w:p>
            <w:pPr>
              <w:spacing w:after="60" w:line="259" w:lineRule="auto"/>
            </w:pPr>
            <w:r>
              <w:rPr>
                <w:rFonts w:ascii="Calibri" w:hAnsi="Calibri"/>
                <w:b w:val="0"/>
                <w:i w:val="0"/>
                <w:color w:val="212121"/>
                <w:sz w:val="19"/>
              </w:rPr>
              <w:t>Endemic-area groundwater may contain silica, fluoride, strontium or heavy metals (cadmium, arsenic, lead); chronic ingestion is a proposed nephrotoxic co-factor interacting with heat and dehydration.</w:t>
            </w:r>
          </w:p>
          <w:p>
            <w:pPr>
              <w:spacing w:after="40" w:before="60" w:line="259" w:lineRule="auto"/>
            </w:pPr>
            <w:r>
              <w:rPr>
                <w:rFonts w:ascii="Calibri" w:hAnsi="Calibri"/>
                <w:b w:val="0"/>
                <w:i w:val="0"/>
                <w:color w:val="212121"/>
                <w:sz w:val="19"/>
              </w:rPr>
              <w:t>Silica and strontium elevation in groundwater, possible lead contamination and fluoride are among the environmental risk factors flagged in Indian CKDu hotspots.</w:t>
            </w:r>
          </w:p>
          <w:p>
            <w:pPr>
              <w:spacing w:after="40" w:line="252" w:lineRule="auto"/>
            </w:pPr>
            <w:hyperlink r:id="rId12">
              <w:r>
                <w:rPr>
                  <w:rFonts w:ascii="Calibri" w:hAnsi="Calibri" w:cs="Calibri"/>
                  <w:sz w:val="18"/>
                  <w:color w:val="1155CC"/>
                  <w:u w:val="single"/>
                </w:rPr>
                <w:t xml:space="preserve">indianjnephrol.org — CKDu case definition (India)</w:t>
              </w:r>
            </w:hyperlink>
          </w:p>
          <w:p>
            <w:pPr>
              <w:spacing w:before="60" w:after="40"/>
            </w:pPr>
            <w:r>
              <w:rPr>
                <w:rFonts w:ascii="Calibri" w:hAnsi="Calibri"/>
                <w:b w:val="0"/>
                <w:i w:val="0"/>
                <w:color w:val="5A5A5A"/>
                <w:sz w:val="18"/>
              </w:rPr>
              <w:t>#groundwater  #silica  #fluoride  #heavymetals  #watersafety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CKD/CKDu</w:t>
            </w:r>
          </w:p>
        </w:tc>
        <w:tc>
          <w:tcPr>
            <w:tcW w:type="dxa" w:w="4276"/>
            <w:vAlign w:val="top"/>
          </w:tcPr>
          <w:p>
            <w:pPr>
              <w:spacing w:after="60" w:line="259" w:lineRule="auto"/>
            </w:pPr>
            <w:r>
              <w:rPr>
                <w:rFonts w:ascii="Calibri" w:hAnsi="Calibri"/>
                <w:b w:val="0"/>
                <w:i w:val="0"/>
                <w:color w:val="212121"/>
                <w:sz w:val="19"/>
              </w:rPr>
              <w:t>Familial clustering — shared genes plus shared environment — markedly raises risk; polymorphisms in pesticide-metabolising and vascular genes are proposed susceptibility modifiers.</w:t>
            </w:r>
          </w:p>
          <w:p>
            <w:pPr>
              <w:spacing w:after="40" w:before="60" w:line="259" w:lineRule="auto"/>
            </w:pPr>
            <w:r>
              <w:rPr>
                <w:rFonts w:ascii="Calibri" w:hAnsi="Calibri"/>
                <w:b w:val="0"/>
                <w:i w:val="0"/>
                <w:color w:val="212121"/>
                <w:sz w:val="19"/>
              </w:rPr>
              <w:t>Uddanam: family history of CKD adjusted PR 1.33 (95% CI 1.05–1.67); ~14% reported a family history of CKD.</w:t>
            </w:r>
          </w:p>
          <w:p>
            <w:pPr>
              <w:spacing w:after="40" w:line="252" w:lineRule="auto"/>
            </w:pPr>
            <w:hyperlink r:id="rId10">
              <w:r>
                <w:rPr>
                  <w:rFonts w:ascii="Calibri" w:hAnsi="Calibri" w:cs="Calibri"/>
                  <w:sz w:val="18"/>
                  <w:color w:val="1155CC"/>
                  <w:u w:val="single"/>
                </w:rPr>
                <w:t xml:space="preserve">pmc.ncbi.nlm.nih.gov/PMC7710882 — Uddanam CKD study</w:t>
              </w:r>
            </w:hyperlink>
          </w:p>
          <w:p>
            <w:pPr>
              <w:spacing w:before="60" w:after="40"/>
            </w:pPr>
            <w:r>
              <w:rPr>
                <w:rFonts w:ascii="Calibri" w:hAnsi="Calibri"/>
                <w:b w:val="0"/>
                <w:i w:val="0"/>
                <w:color w:val="5A5A5A"/>
                <w:sz w:val="18"/>
              </w:rPr>
              <w:t>#familyhistory  #genetic  #NOS3  #GST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(later-onset) hypertension</w:t>
            </w:r>
          </w:p>
        </w:tc>
        <w:tc>
          <w:tcPr>
            <w:tcW w:type="dxa" w:w="4276"/>
            <w:vAlign w:val="top"/>
          </w:tcPr>
          <w:p>
            <w:pPr>
              <w:spacing w:after="60" w:line="259" w:lineRule="auto"/>
            </w:pPr>
            <w:r>
              <w:rPr>
                <w:rFonts w:ascii="Calibri" w:hAnsi="Calibri"/>
                <w:b w:val="0"/>
                <w:i w:val="0"/>
                <w:color w:val="212121"/>
                <w:sz w:val="19"/>
              </w:rPr>
              <w:t>Although CKDu patients are characteristically normotensive early, hypertension develops as CKD progresses and then accelerates further nephron loss; its presence also complicates the exclusion-based diagnosis.</w:t>
            </w:r>
          </w:p>
          <w:p>
            <w:pPr>
              <w:spacing w:after="40" w:before="60" w:line="259" w:lineRule="auto"/>
            </w:pPr>
            <w:r>
              <w:rPr>
                <w:rFonts w:ascii="Calibri" w:hAnsi="Calibri"/>
                <w:b w:val="0"/>
                <w:i w:val="0"/>
                <w:color w:val="212121"/>
                <w:sz w:val="19"/>
              </w:rPr>
              <w:t>Uddanam: hypertension adjusted PR 1.74 (95% CI 1.42–2.14), with ~41.5% hypertension prevalence in the cohort.</w:t>
            </w:r>
          </w:p>
          <w:p>
            <w:pPr>
              <w:spacing w:after="40" w:line="252" w:lineRule="auto"/>
            </w:pPr>
            <w:hyperlink r:id="rId10">
              <w:r>
                <w:rPr>
                  <w:rFonts w:ascii="Calibri" w:hAnsi="Calibri" w:cs="Calibri"/>
                  <w:sz w:val="18"/>
                  <w:color w:val="1155CC"/>
                  <w:u w:val="single"/>
                </w:rPr>
                <w:t xml:space="preserve">pmc.ncbi.nlm.nih.gov/PMC7710882 — Uddanam CKD study</w:t>
              </w:r>
            </w:hyperlink>
          </w:p>
          <w:p>
            <w:pPr>
              <w:spacing w:before="60" w:after="40"/>
            </w:pPr>
            <w:r>
              <w:rPr>
                <w:rFonts w:ascii="Calibri" w:hAnsi="Calibri"/>
                <w:b w:val="0"/>
                <w:i w:val="0"/>
                <w:color w:val="5A5A5A"/>
                <w:sz w:val="18"/>
              </w:rPr>
              <w:t>#hypertension  #progression  #normotensiveearly  #CKDprogression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Hyperuricaemia / Gout</w:t>
            </w:r>
          </w:p>
        </w:tc>
        <w:tc>
          <w:tcPr>
            <w:tcW w:type="dxa" w:w="2160"/>
            <w:vAlign w:val="top"/>
          </w:tcPr>
          <w:p>
            <w:pPr>
              <w:spacing w:after="40" w:before="0" w:line="259" w:lineRule="auto"/>
            </w:pPr>
            <w:r>
              <w:rPr>
                <w:rFonts w:ascii="Calibri" w:hAnsi="Calibri"/>
                <w:b w:val="0"/>
                <w:i w:val="0"/>
                <w:color w:val="212121"/>
                <w:sz w:val="19"/>
              </w:rPr>
              <w:t>Patients with hyperuricaemia</w:t>
            </w:r>
          </w:p>
        </w:tc>
        <w:tc>
          <w:tcPr>
            <w:tcW w:type="dxa" w:w="4276"/>
            <w:vAlign w:val="top"/>
          </w:tcPr>
          <w:p>
            <w:pPr>
              <w:spacing w:after="60" w:line="259" w:lineRule="auto"/>
            </w:pPr>
            <w:r>
              <w:rPr>
                <w:rFonts w:ascii="Calibri" w:hAnsi="Calibri"/>
                <w:b w:val="0"/>
                <w:i w:val="0"/>
                <w:color w:val="212121"/>
                <w:sz w:val="19"/>
              </w:rPr>
              <w:t>Recurrent dehydration and heat concentrate acidic urine and raise serum uric acid; uric-acid crystals and urate-mediated inflammation contribute directly to tubular injury, making hyperuricaemia both marker and mechanism.</w:t>
            </w:r>
          </w:p>
          <w:p>
            <w:pPr>
              <w:spacing w:after="40" w:before="60" w:line="259" w:lineRule="auto"/>
            </w:pPr>
            <w:r>
              <w:rPr>
                <w:rFonts w:ascii="Calibri" w:hAnsi="Calibri"/>
                <w:b w:val="0"/>
                <w:i w:val="0"/>
                <w:color w:val="212121"/>
                <w:sz w:val="19"/>
              </w:rPr>
              <w:t>Hyperuricaemia is reported in roughly 70–80% of heat-stress nephropathy/CKDu patients.</w:t>
            </w:r>
          </w:p>
          <w:p>
            <w:pPr>
              <w:spacing w:after="40" w:line="252" w:lineRule="auto"/>
            </w:pPr>
            <w:hyperlink r:id="rId15">
              <w:r>
                <w:rPr>
                  <w:rFonts w:ascii="Calibri" w:hAnsi="Calibri" w:cs="Calibri"/>
                  <w:sz w:val="18"/>
                  <w:color w:val="1155CC"/>
                  <w:u w:val="single"/>
                </w:rPr>
                <w:t xml:space="preserve">rmcglobaljournal.com — heat-stress nephropathy</w:t>
              </w:r>
            </w:hyperlink>
          </w:p>
          <w:p>
            <w:pPr>
              <w:spacing w:before="60" w:after="40"/>
            </w:pPr>
            <w:r>
              <w:rPr>
                <w:rFonts w:ascii="Calibri" w:hAnsi="Calibri"/>
                <w:b w:val="0"/>
                <w:i w:val="0"/>
                <w:color w:val="5A5A5A"/>
                <w:sz w:val="18"/>
              </w:rPr>
              <w:t>#hyperuricaemia  #uricacid  #gout  #crystalnephropathy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AKI / heat illness</w:t>
            </w:r>
          </w:p>
        </w:tc>
        <w:tc>
          <w:tcPr>
            <w:tcW w:type="dxa" w:w="2160"/>
            <w:vAlign w:val="top"/>
          </w:tcPr>
          <w:p>
            <w:pPr>
              <w:spacing w:after="40" w:before="0" w:line="259" w:lineRule="auto"/>
            </w:pPr>
            <w:r>
              <w:rPr>
                <w:rFonts w:ascii="Calibri" w:hAnsi="Calibri"/>
                <w:b w:val="0"/>
                <w:i w:val="0"/>
                <w:color w:val="212121"/>
                <w:sz w:val="19"/>
              </w:rPr>
              <w:t>Workers with repeated acute kidney injury or heat illness</w:t>
            </w:r>
          </w:p>
        </w:tc>
        <w:tc>
          <w:tcPr>
            <w:tcW w:type="dxa" w:w="4276"/>
            <w:vAlign w:val="top"/>
          </w:tcPr>
          <w:p>
            <w:pPr>
              <w:spacing w:after="60" w:line="259" w:lineRule="auto"/>
            </w:pPr>
            <w:r>
              <w:rPr>
                <w:rFonts w:ascii="Calibri" w:hAnsi="Calibri"/>
                <w:b w:val="0"/>
                <w:i w:val="0"/>
                <w:color w:val="212121"/>
                <w:sz w:val="19"/>
              </w:rPr>
              <w:t>Each hot-season episode of dehydration-related AKI leaves incremental interstitial scarring; repeated incomplete recovery is the proposed pathway from healthy kidney to established CKDu.</w:t>
            </w:r>
          </w:p>
          <w:p>
            <w:pPr>
              <w:spacing w:after="40" w:before="60" w:line="259" w:lineRule="auto"/>
            </w:pPr>
            <w:r>
              <w:rPr>
                <w:rFonts w:ascii="Calibri" w:hAnsi="Calibri"/>
                <w:b w:val="0"/>
                <w:i w:val="0"/>
                <w:color w:val="212121"/>
                <w:sz w:val="19"/>
              </w:rPr>
              <w:t>Transient acute kidney injury was detected in 17.4% of agricultural workers in the Tamil Nadu CKDu-AGRI study.</w:t>
            </w:r>
          </w:p>
          <w:p>
            <w:pPr>
              <w:spacing w:after="40" w:line="252" w:lineRule="auto"/>
            </w:pPr>
            <w:hyperlink r:id="rId16">
              <w:r>
                <w:rPr>
                  <w:rFonts w:ascii="Calibri" w:hAnsi="Calibri" w:cs="Calibri"/>
                  <w:sz w:val="18"/>
                  <w:color w:val="1155CC"/>
                  <w:u w:val="single"/>
                </w:rPr>
                <w:t xml:space="preserve">indiamedtoday.com — CKDu-AGRI (Tamil Nadu)</w:t>
              </w:r>
            </w:hyperlink>
          </w:p>
          <w:p>
            <w:pPr>
              <w:spacing w:before="60" w:after="40"/>
            </w:pPr>
            <w:r>
              <w:rPr>
                <w:rFonts w:ascii="Calibri" w:hAnsi="Calibri"/>
                <w:b w:val="0"/>
                <w:i w:val="0"/>
                <w:color w:val="5A5A5A"/>
                <w:sz w:val="18"/>
              </w:rPr>
              <w:t>#recurrentAKI  #heatillness  #incompleterecovery  #AKItoCKD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 CKDu the relationship is inverted vs metabolic disease: prolonged strenuous outdoor physical labour in heat — not inactivity — is the key driver, causing recurrent dehydration, core-temperature rise, rhabdomyolysis and subclinical AKI. Heat-exposed workers have ~2.2× higher odds of kidney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Sugary/fructose-containing rehydration drinks worsen dehydration-induced tubular injury, while high-salt intake accelerates hypertension and progression; possible mycotoxin-contaminated food is a proposed cofactor in endemic areas.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inadequate rest and recovery after heat-exposed shifts may impair renal recovery, and disturbed sleep is common with advancing uraemia.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use (smoked and chewed) is associated with higher CKD prevalence in hotspots (adjusted PR ~1.25) via endothelial dysfunction and afferent vasoconstriction.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adds a dehydrating, volume-depleting and hyperuricaemic insult and clusters with the labouring lifestyle; ~30% of some Indian CKDu cohorts report alcohol use.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illness, loss of livelihood in working-age adults and the cost of dialysis impose substantial depression/anxiety burden, but mental health is a consequence rather than a cause.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QUANTITY (chronic under-hydration during work driving vasopressin and polyol-pathway injury) and QUALITY (silica, fluoride, strontium, heavy metals in untreated groundwater) are central to CKDu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excess caffeinated or sugary energy drinks used as rehydration may be mildly dehydrating but evidence specific to CKDu is lacking.</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Limited direct role, but poor sanitation and water contact increase exposure to endemic infections (e.g. leptospirosis) that are proposed contributory insults in agricultural CKDu.</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Recurrent heat exposure/dehydration, habitual NSAID and herbal nephrotoxin use, agrochemical exposure and repeated subclinical AKI episodes are the principal provoking factors that precipitate and accelerate CKDu.</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plain-water intake (heat-exposed work)</w:t>
            </w:r>
          </w:p>
        </w:tc>
        <w:tc>
          <w:tcPr>
            <w:tcW w:type="dxa" w:w="1655"/>
            <w:vAlign w:val="top"/>
          </w:tcPr>
          <w:p>
            <w:pPr>
              <w:spacing w:after="40" w:before="0" w:line="259" w:lineRule="auto"/>
            </w:pPr>
            <w:r>
              <w:rPr>
                <w:rFonts w:ascii="Calibri" w:hAnsi="Calibri"/>
                <w:b w:val="0"/>
                <w:i w:val="0"/>
                <w:color w:val="212121"/>
                <w:sz w:val="19"/>
              </w:rPr>
              <w:t>Agricultural / outdoor labourers</w:t>
            </w:r>
          </w:p>
        </w:tc>
        <w:tc>
          <w:tcPr>
            <w:tcW w:type="dxa" w:w="1512"/>
            <w:vAlign w:val="top"/>
          </w:tcPr>
          <w:p>
            <w:pPr>
              <w:spacing w:after="40" w:before="0" w:line="259" w:lineRule="auto"/>
            </w:pPr>
            <w:r>
              <w:rPr>
                <w:rFonts w:ascii="Calibri" w:hAnsi="Calibri"/>
                <w:b w:val="0"/>
                <w:i w:val="0"/>
                <w:color w:val="212121"/>
                <w:sz w:val="19"/>
              </w:rPr>
              <w:t>~4–6 L/day; ~250 mL every 20–30 min during heat</w:t>
            </w:r>
          </w:p>
        </w:tc>
        <w:tc>
          <w:tcPr>
            <w:tcW w:type="dxa" w:w="1512"/>
            <w:vAlign w:val="top"/>
          </w:tcPr>
          <w:p>
            <w:pPr>
              <w:spacing w:after="40" w:before="0" w:line="259" w:lineRule="auto"/>
            </w:pPr>
            <w:r>
              <w:rPr>
                <w:rFonts w:ascii="Calibri" w:hAnsi="Calibri"/>
                <w:b w:val="0"/>
                <w:i w:val="0"/>
                <w:color w:val="212121"/>
                <w:sz w:val="19"/>
              </w:rPr>
              <w:t>&lt; 2–3 L/day or reliance on sugary drinks</w:t>
            </w:r>
          </w:p>
        </w:tc>
        <w:tc>
          <w:tcPr>
            <w:tcW w:type="dxa" w:w="1468"/>
            <w:vAlign w:val="top"/>
          </w:tcPr>
          <w:p>
            <w:pPr>
              <w:spacing w:after="60" w:line="259" w:lineRule="auto"/>
            </w:pPr>
            <w:r>
              <w:rPr>
                <w:rFonts w:ascii="Calibri" w:hAnsi="Calibri"/>
                <w:b w:val="0"/>
                <w:i w:val="0"/>
                <w:color w:val="212121"/>
                <w:sz w:val="19"/>
              </w:rPr>
              <w:t>Under-hydration + fructose rehydration drives vasopressin/polyol tubular injury</w:t>
            </w:r>
          </w:p>
          <w:p>
            <w:pPr>
              <w:spacing w:after="40" w:line="252" w:lineRule="auto"/>
            </w:pPr>
            <w:hyperlink r:id="rId15">
              <w:r>
                <w:rPr>
                  <w:rFonts w:ascii="Calibri" w:hAnsi="Calibri" w:cs="Calibri"/>
                  <w:sz w:val="18"/>
                  <w:color w:val="1155CC"/>
                  <w:u w:val="single"/>
                </w:rPr>
                <w:t xml:space="preserve">https://rmcglobaljournal.com/rising-heat-failing-kidneys-heat-stress-nephropathy-in-climate-crisis/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Continuous outdoor work in peak heat</w:t>
            </w:r>
          </w:p>
        </w:tc>
        <w:tc>
          <w:tcPr>
            <w:tcW w:type="dxa" w:w="1655"/>
            <w:vAlign w:val="top"/>
          </w:tcPr>
          <w:p>
            <w:pPr>
              <w:spacing w:after="40" w:before="0" w:line="259" w:lineRule="auto"/>
            </w:pPr>
            <w:r>
              <w:rPr>
                <w:rFonts w:ascii="Calibri" w:hAnsi="Calibri"/>
                <w:b w:val="0"/>
                <w:i w:val="0"/>
                <w:color w:val="212121"/>
                <w:sz w:val="19"/>
              </w:rPr>
              <w:t>Field workers</w:t>
            </w:r>
          </w:p>
        </w:tc>
        <w:tc>
          <w:tcPr>
            <w:tcW w:type="dxa" w:w="1512"/>
            <w:vAlign w:val="top"/>
          </w:tcPr>
          <w:p>
            <w:pPr>
              <w:spacing w:after="40" w:before="0" w:line="259" w:lineRule="auto"/>
            </w:pPr>
            <w:r>
              <w:rPr>
                <w:rFonts w:ascii="Calibri" w:hAnsi="Calibri"/>
                <w:b w:val="0"/>
                <w:i w:val="0"/>
                <w:color w:val="212121"/>
                <w:sz w:val="19"/>
              </w:rPr>
              <w:t>Avoid strenuous work at peak heat; 15-min rest breaks in shade</w:t>
            </w:r>
          </w:p>
        </w:tc>
        <w:tc>
          <w:tcPr>
            <w:tcW w:type="dxa" w:w="1512"/>
            <w:vAlign w:val="top"/>
          </w:tcPr>
          <w:p>
            <w:pPr>
              <w:spacing w:after="40" w:before="0" w:line="259" w:lineRule="auto"/>
            </w:pPr>
            <w:r>
              <w:rPr>
                <w:rFonts w:ascii="Calibri" w:hAnsi="Calibri"/>
                <w:b w:val="0"/>
                <w:i w:val="0"/>
                <w:color w:val="212121"/>
                <w:sz w:val="19"/>
              </w:rPr>
              <w:t>Prolonged unbroken work in high WBGT / midday sun</w:t>
            </w:r>
          </w:p>
        </w:tc>
        <w:tc>
          <w:tcPr>
            <w:tcW w:type="dxa" w:w="1468"/>
            <w:vAlign w:val="top"/>
          </w:tcPr>
          <w:p>
            <w:pPr>
              <w:spacing w:after="60" w:line="259" w:lineRule="auto"/>
            </w:pPr>
            <w:r>
              <w:rPr>
                <w:rFonts w:ascii="Calibri" w:hAnsi="Calibri"/>
                <w:b w:val="0"/>
                <w:i w:val="0"/>
                <w:color w:val="212121"/>
                <w:sz w:val="19"/>
              </w:rPr>
              <w:t>Longer weekly outdoor hours correlate with kidney deterioration</w:t>
            </w:r>
          </w:p>
          <w:p>
            <w:pPr>
              <w:spacing w:after="40" w:line="252" w:lineRule="auto"/>
            </w:pPr>
            <w:hyperlink r:id="rId13">
              <w:r>
                <w:rPr>
                  <w:rFonts w:ascii="Calibri" w:hAnsi="Calibri" w:cs="Calibri"/>
                  <w:sz w:val="18"/>
                  <w:color w:val="1155CC"/>
                  <w:u w:val="single"/>
                </w:rPr>
                <w:t xml:space="preserve">https://indianjnephrol.org/distribution-and-determinants-of-chronic-kidney-disease-of-unknown-etiology-a-brief-overview/</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Core body temperature during work</w:t>
            </w:r>
          </w:p>
        </w:tc>
        <w:tc>
          <w:tcPr>
            <w:tcW w:type="dxa" w:w="1655"/>
            <w:vAlign w:val="top"/>
          </w:tcPr>
          <w:p>
            <w:pPr>
              <w:spacing w:after="40" w:before="0" w:line="259" w:lineRule="auto"/>
            </w:pPr>
            <w:r>
              <w:rPr>
                <w:rFonts w:ascii="Calibri" w:hAnsi="Calibri"/>
                <w:b w:val="0"/>
                <w:i w:val="0"/>
                <w:color w:val="212121"/>
                <w:sz w:val="19"/>
              </w:rPr>
              <w:t>Heat-exposed workers</w:t>
            </w:r>
          </w:p>
        </w:tc>
        <w:tc>
          <w:tcPr>
            <w:tcW w:type="dxa" w:w="1512"/>
            <w:vAlign w:val="top"/>
          </w:tcPr>
          <w:p>
            <w:pPr>
              <w:spacing w:after="40" w:before="0" w:line="259" w:lineRule="auto"/>
            </w:pPr>
            <w:r>
              <w:rPr>
                <w:rFonts w:ascii="Calibri" w:hAnsi="Calibri"/>
                <w:b w:val="0"/>
                <w:i w:val="0"/>
                <w:color w:val="212121"/>
                <w:sz w:val="19"/>
              </w:rPr>
              <w:t>&lt; 38 °C</w:t>
            </w:r>
          </w:p>
        </w:tc>
        <w:tc>
          <w:tcPr>
            <w:tcW w:type="dxa" w:w="1512"/>
            <w:vAlign w:val="top"/>
          </w:tcPr>
          <w:p>
            <w:pPr>
              <w:spacing w:after="40" w:before="0" w:line="259" w:lineRule="auto"/>
            </w:pPr>
            <w:r>
              <w:rPr>
                <w:rFonts w:ascii="Calibri" w:hAnsi="Calibri"/>
                <w:b w:val="0"/>
                <w:i w:val="0"/>
                <w:color w:val="212121"/>
                <w:sz w:val="19"/>
              </w:rPr>
              <w:t>≥ 38.5 °C (heat strain)</w:t>
            </w:r>
          </w:p>
        </w:tc>
        <w:tc>
          <w:tcPr>
            <w:tcW w:type="dxa" w:w="1468"/>
            <w:vAlign w:val="top"/>
          </w:tcPr>
          <w:p>
            <w:pPr>
              <w:spacing w:after="40" w:before="0" w:line="259" w:lineRule="auto"/>
            </w:pPr>
            <w:r>
              <w:rPr>
                <w:rFonts w:ascii="Calibri" w:hAnsi="Calibri"/>
                <w:b w:val="0"/>
                <w:i w:val="0"/>
                <w:color w:val="212121"/>
                <w:sz w:val="19"/>
              </w:rPr>
              <w:t>Repeated core-temperature rise drives subclinical AKI</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(smoked/chewed)</w:t>
            </w:r>
          </w:p>
        </w:tc>
        <w:tc>
          <w:tcPr>
            <w:tcW w:type="dxa" w:w="1655"/>
            <w:vAlign w:val="top"/>
          </w:tcPr>
          <w:p>
            <w:pPr>
              <w:spacing w:after="40" w:before="0" w:line="259" w:lineRule="auto"/>
            </w:pPr>
            <w:r>
              <w:rPr>
                <w:rFonts w:ascii="Calibri" w:hAnsi="Calibri"/>
                <w:b w:val="0"/>
                <w:i w:val="0"/>
                <w:color w:val="212121"/>
                <w:sz w:val="19"/>
              </w:rPr>
              <w:t>Adults in endemic areas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current tobacco use</w:t>
            </w:r>
          </w:p>
        </w:tc>
        <w:tc>
          <w:tcPr>
            <w:tcW w:type="dxa" w:w="1468"/>
            <w:vAlign w:val="top"/>
          </w:tcPr>
          <w:p>
            <w:pPr>
              <w:spacing w:after="60" w:line="259" w:lineRule="auto"/>
            </w:pPr>
            <w:r>
              <w:rPr>
                <w:rFonts w:ascii="Calibri" w:hAnsi="Calibri"/>
                <w:b w:val="0"/>
                <w:i w:val="0"/>
                <w:color w:val="212121"/>
                <w:sz w:val="19"/>
              </w:rPr>
              <w:t>Associated with higher CKD prevalence (adjusted PR ~1.25)</w:t>
            </w:r>
          </w:p>
          <w:p>
            <w:pPr>
              <w:spacing w:after="40" w:line="252" w:lineRule="auto"/>
            </w:pPr>
            <w:hyperlink r:id="rId10">
              <w:r>
                <w:rPr>
                  <w:rFonts w:ascii="Calibri" w:hAnsi="Calibri" w:cs="Calibri"/>
                  <w:sz w:val="18"/>
                  <w:color w:val="1155CC"/>
                  <w:u w:val="single"/>
                </w:rPr>
                <w:t xml:space="preserve">https://pmc.ncbi.nlm.nih.gov/articles/PMC7710882/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 labourers</w:t>
            </w:r>
          </w:p>
        </w:tc>
        <w:tc>
          <w:tcPr>
            <w:tcW w:type="dxa" w:w="1512"/>
            <w:vAlign w:val="top"/>
          </w:tcPr>
          <w:p>
            <w:pPr>
              <w:spacing w:after="40" w:before="0" w:line="259" w:lineRule="auto"/>
            </w:pPr>
            <w:r>
              <w:rPr>
                <w:rFonts w:ascii="Calibri" w:hAnsi="Calibri"/>
                <w:b w:val="0"/>
                <w:i w:val="0"/>
                <w:color w:val="212121"/>
                <w:sz w:val="19"/>
              </w:rPr>
              <w:t>Nil / minimal</w:t>
            </w:r>
          </w:p>
        </w:tc>
        <w:tc>
          <w:tcPr>
            <w:tcW w:type="dxa" w:w="1512"/>
            <w:vAlign w:val="top"/>
          </w:tcPr>
          <w:p>
            <w:pPr>
              <w:spacing w:after="40" w:before="0" w:line="259" w:lineRule="auto"/>
            </w:pPr>
            <w:r>
              <w:rPr>
                <w:rFonts w:ascii="Calibri" w:hAnsi="Calibri"/>
                <w:b w:val="0"/>
                <w:i w:val="0"/>
                <w:color w:val="212121"/>
                <w:sz w:val="19"/>
              </w:rPr>
              <w:t>Regular or heavy use</w:t>
            </w:r>
          </w:p>
        </w:tc>
        <w:tc>
          <w:tcPr>
            <w:tcW w:type="dxa" w:w="1468"/>
            <w:vAlign w:val="top"/>
          </w:tcPr>
          <w:p>
            <w:pPr>
              <w:spacing w:after="40" w:before="0" w:line="259" w:lineRule="auto"/>
            </w:pPr>
            <w:r>
              <w:rPr>
                <w:rFonts w:ascii="Calibri" w:hAnsi="Calibri"/>
                <w:b w:val="0"/>
                <w:i w:val="0"/>
                <w:color w:val="212121"/>
                <w:sz w:val="19"/>
              </w:rPr>
              <w:t>Adds dehydrating and hyperuricaemic insult</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w:t>
            </w:r>
          </w:p>
        </w:tc>
        <w:tc>
          <w:tcPr>
            <w:tcW w:type="dxa" w:w="1655"/>
            <w:vAlign w:val="top"/>
          </w:tcPr>
          <w:p>
            <w:pPr>
              <w:spacing w:after="40" w:before="0" w:line="259" w:lineRule="auto"/>
            </w:pPr>
            <w:r>
              <w:rPr>
                <w:rFonts w:ascii="Calibri" w:hAnsi="Calibri"/>
                <w:b w:val="0"/>
                <w:i w:val="0"/>
                <w:color w:val="212121"/>
                <w:sz w:val="19"/>
              </w:rPr>
              <w:t>CKDu / at-risk adults</w:t>
            </w:r>
          </w:p>
        </w:tc>
        <w:tc>
          <w:tcPr>
            <w:tcW w:type="dxa" w:w="1512"/>
            <w:vAlign w:val="top"/>
          </w:tcPr>
          <w:p>
            <w:pPr>
              <w:spacing w:after="40" w:before="0" w:line="259" w:lineRule="auto"/>
            </w:pPr>
            <w:r>
              <w:rPr>
                <w:rFonts w:ascii="Calibri" w:hAnsi="Calibri"/>
                <w:b w:val="0"/>
                <w:i w:val="0"/>
                <w:color w:val="212121"/>
                <w:sz w:val="19"/>
              </w:rPr>
              <w:t>&lt; 2 g sodium (~5 g salt)/day</w:t>
            </w:r>
          </w:p>
        </w:tc>
        <w:tc>
          <w:tcPr>
            <w:tcW w:type="dxa" w:w="1512"/>
            <w:vAlign w:val="top"/>
          </w:tcPr>
          <w:p>
            <w:pPr>
              <w:spacing w:after="40" w:before="0" w:line="259" w:lineRule="auto"/>
            </w:pPr>
            <w:r>
              <w:rPr>
                <w:rFonts w:ascii="Calibri" w:hAnsi="Calibri"/>
                <w:b w:val="0"/>
                <w:i w:val="0"/>
                <w:color w:val="212121"/>
                <w:sz w:val="19"/>
              </w:rPr>
              <w:t>&gt; 5 g sodium/day</w:t>
            </w:r>
          </w:p>
        </w:tc>
        <w:tc>
          <w:tcPr>
            <w:tcW w:type="dxa" w:w="1468"/>
            <w:vAlign w:val="top"/>
          </w:tcPr>
          <w:p>
            <w:pPr>
              <w:spacing w:after="40" w:before="0" w:line="259" w:lineRule="auto"/>
            </w:pPr>
            <w:r>
              <w:rPr>
                <w:rFonts w:ascii="Calibri" w:hAnsi="Calibri"/>
                <w:b w:val="0"/>
                <w:i w:val="0"/>
                <w:color w:val="212121"/>
                <w:sz w:val="19"/>
              </w:rPr>
              <w:t>High salt accelerates hypertension and CKD progression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NSAID / OTC analgesic use</w:t>
            </w:r>
          </w:p>
        </w:tc>
        <w:tc>
          <w:tcPr>
            <w:tcW w:type="dxa" w:w="1655"/>
            <w:vAlign w:val="top"/>
          </w:tcPr>
          <w:p>
            <w:pPr>
              <w:spacing w:after="40" w:before="0" w:line="259" w:lineRule="auto"/>
            </w:pPr>
            <w:r>
              <w:rPr>
                <w:rFonts w:ascii="Calibri" w:hAnsi="Calibri"/>
                <w:b w:val="0"/>
                <w:i w:val="0"/>
                <w:color w:val="212121"/>
                <w:sz w:val="19"/>
              </w:rPr>
              <w:t>Labourers with body aches</w:t>
            </w:r>
          </w:p>
        </w:tc>
        <w:tc>
          <w:tcPr>
            <w:tcW w:type="dxa" w:w="1512"/>
            <w:vAlign w:val="top"/>
          </w:tcPr>
          <w:p>
            <w:pPr>
              <w:spacing w:after="40" w:before="0" w:line="259" w:lineRule="auto"/>
            </w:pPr>
            <w:r>
              <w:rPr>
                <w:rFonts w:ascii="Calibri" w:hAnsi="Calibri"/>
                <w:b w:val="0"/>
                <w:i w:val="0"/>
                <w:color w:val="212121"/>
                <w:sz w:val="19"/>
              </w:rPr>
              <w:t>Avoid habitual NSAIDs</w:t>
            </w:r>
          </w:p>
        </w:tc>
        <w:tc>
          <w:tcPr>
            <w:tcW w:type="dxa" w:w="1512"/>
            <w:vAlign w:val="top"/>
          </w:tcPr>
          <w:p>
            <w:pPr>
              <w:spacing w:after="40" w:before="0" w:line="259" w:lineRule="auto"/>
            </w:pPr>
            <w:r>
              <w:rPr>
                <w:rFonts w:ascii="Calibri" w:hAnsi="Calibri"/>
                <w:b w:val="0"/>
                <w:i w:val="0"/>
                <w:color w:val="212121"/>
                <w:sz w:val="19"/>
              </w:rPr>
              <w:t>Frequent/chronic NSAID or nephrotoxic herbal use</w:t>
            </w:r>
          </w:p>
        </w:tc>
        <w:tc>
          <w:tcPr>
            <w:tcW w:type="dxa" w:w="1468"/>
            <w:vAlign w:val="top"/>
          </w:tcPr>
          <w:p>
            <w:pPr>
              <w:spacing w:after="60" w:line="259" w:lineRule="auto"/>
            </w:pPr>
            <w:r>
              <w:rPr>
                <w:rFonts w:ascii="Calibri" w:hAnsi="Calibri"/>
                <w:b w:val="0"/>
                <w:i w:val="0"/>
                <w:color w:val="212121"/>
                <w:sz w:val="19"/>
              </w:rPr>
              <w:t>~41.6% of a CKDu cohort used OTC analgesics; recurrent nephrotoxic hits</w:t>
            </w:r>
          </w:p>
          <w:p>
            <w:pPr>
              <w:spacing w:after="40" w:line="252" w:lineRule="auto"/>
            </w:pPr>
            <w:hyperlink r:id="rId14">
              <w:r>
                <w:rPr>
                  <w:rFonts w:ascii="Calibri" w:hAnsi="Calibri" w:cs="Calibri"/>
                  <w:sz w:val="18"/>
                  <w:color w:val="1155CC"/>
                  <w:u w:val="single"/>
                </w:rPr>
                <w:t xml:space="preserve">https://indianjnephrol.org/clinico-epidemiological-profile-of-patients-with-chronic-kidney-diseases-of-unknown-etiology-a-hospital-based-cross-sectional-study-from-central-india/</w:t>
              </w:r>
            </w:hyperlink>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Estimated GFR (CKD-EPI)</w:t>
            </w:r>
          </w:p>
        </w:tc>
        <w:tc>
          <w:tcPr>
            <w:tcW w:type="dxa" w:w="1655"/>
            <w:vAlign w:val="top"/>
          </w:tcPr>
          <w:p>
            <w:pPr>
              <w:spacing w:after="40" w:before="0" w:line="259" w:lineRule="auto"/>
            </w:pPr>
            <w:r>
              <w:rPr>
                <w:rFonts w:ascii="Calibri" w:hAnsi="Calibri"/>
                <w:b w:val="0"/>
                <w:i w:val="0"/>
                <w:color w:val="212121"/>
                <w:sz w:val="19"/>
              </w:rPr>
              <w:t>Screening of at-risk adults</w:t>
            </w:r>
          </w:p>
        </w:tc>
        <w:tc>
          <w:tcPr>
            <w:tcW w:type="dxa" w:w="1512"/>
            <w:vAlign w:val="top"/>
          </w:tcPr>
          <w:p>
            <w:pPr>
              <w:spacing w:after="40" w:before="0" w:line="259" w:lineRule="auto"/>
            </w:pPr>
            <w:r>
              <w:rPr>
                <w:rFonts w:ascii="Calibri" w:hAnsi="Calibri"/>
                <w:b w:val="0"/>
                <w:i w:val="0"/>
                <w:color w:val="212121"/>
                <w:sz w:val="19"/>
              </w:rPr>
              <w:t>≥ 90 mL/min/1.73 m²</w:t>
            </w:r>
          </w:p>
        </w:tc>
        <w:tc>
          <w:tcPr>
            <w:tcW w:type="dxa" w:w="1512"/>
            <w:vAlign w:val="top"/>
          </w:tcPr>
          <w:p>
            <w:pPr>
              <w:spacing w:after="40" w:before="0" w:line="259" w:lineRule="auto"/>
            </w:pPr>
            <w:r>
              <w:rPr>
                <w:rFonts w:ascii="Calibri" w:hAnsi="Calibri"/>
                <w:b w:val="0"/>
                <w:i w:val="0"/>
                <w:color w:val="212121"/>
                <w:sz w:val="19"/>
              </w:rPr>
              <w:t>&lt; 60 mL/min/1.73 m² (persistent &gt; 3 months)</w:t>
            </w:r>
          </w:p>
        </w:tc>
        <w:tc>
          <w:tcPr>
            <w:tcW w:type="dxa" w:w="1468"/>
            <w:vAlign w:val="top"/>
          </w:tcPr>
          <w:p>
            <w:pPr>
              <w:spacing w:after="60" w:line="259" w:lineRule="auto"/>
            </w:pPr>
            <w:r>
              <w:rPr>
                <w:rFonts w:ascii="Calibri" w:hAnsi="Calibri"/>
                <w:b w:val="0"/>
                <w:i w:val="0"/>
                <w:color w:val="212121"/>
                <w:sz w:val="19"/>
              </w:rPr>
              <w:t>Core CKD-defining threshold; often silent until G3–G5</w:t>
            </w:r>
          </w:p>
          <w:p>
            <w:pPr>
              <w:spacing w:after="40" w:line="252" w:lineRule="auto"/>
            </w:pPr>
            <w:hyperlink r:id="rId12">
              <w:r>
                <w:rPr>
                  <w:rFonts w:ascii="Calibri" w:hAnsi="Calibri" w:cs="Calibri"/>
                  <w:sz w:val="18"/>
                  <w:color w:val="1155CC"/>
                  <w:u w:val="single"/>
                </w:rPr>
                <w:t xml:space="preserve">https://indianjnephrol.org/chronic-kidney-disease-of-unknown-etiology-case-definition-for-india-a-perspective/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 protein (dipstick / PCR)</w:t>
            </w:r>
          </w:p>
        </w:tc>
        <w:tc>
          <w:tcPr>
            <w:tcW w:type="dxa" w:w="1655"/>
            <w:vAlign w:val="top"/>
          </w:tcPr>
          <w:p>
            <w:pPr>
              <w:spacing w:after="40" w:before="0" w:line="259" w:lineRule="auto"/>
            </w:pPr>
            <w:r>
              <w:rPr>
                <w:rFonts w:ascii="Calibri" w:hAnsi="Calibri"/>
                <w:b w:val="0"/>
                <w:i w:val="0"/>
                <w:color w:val="212121"/>
                <w:sz w:val="19"/>
              </w:rPr>
              <w:t>At-risk adults</w:t>
            </w:r>
          </w:p>
        </w:tc>
        <w:tc>
          <w:tcPr>
            <w:tcW w:type="dxa" w:w="1512"/>
            <w:vAlign w:val="top"/>
          </w:tcPr>
          <w:p>
            <w:pPr>
              <w:spacing w:after="40" w:before="0" w:line="259" w:lineRule="auto"/>
            </w:pPr>
            <w:r>
              <w:rPr>
                <w:rFonts w:ascii="Calibri" w:hAnsi="Calibri"/>
                <w:b w:val="0"/>
                <w:i w:val="0"/>
                <w:color w:val="212121"/>
                <w:sz w:val="19"/>
              </w:rPr>
              <w:t>Negative / PCR &lt; 0.15 g/g</w:t>
            </w:r>
          </w:p>
        </w:tc>
        <w:tc>
          <w:tcPr>
            <w:tcW w:type="dxa" w:w="1512"/>
            <w:vAlign w:val="top"/>
          </w:tcPr>
          <w:p>
            <w:pPr>
              <w:spacing w:after="40" w:before="0" w:line="259" w:lineRule="auto"/>
            </w:pPr>
            <w:r>
              <w:rPr>
                <w:rFonts w:ascii="Calibri" w:hAnsi="Calibri"/>
                <w:b w:val="0"/>
                <w:i w:val="0"/>
                <w:color w:val="212121"/>
                <w:sz w:val="19"/>
              </w:rPr>
              <w:t>Dipstick ≥ 1+ or PCR ≥ 0.15 g/g (but typically &lt; 1 g/g in CKDu)</w:t>
            </w:r>
          </w:p>
        </w:tc>
        <w:tc>
          <w:tcPr>
            <w:tcW w:type="dxa" w:w="1468"/>
            <w:vAlign w:val="top"/>
          </w:tcPr>
          <w:p>
            <w:pPr>
              <w:spacing w:after="60" w:line="259" w:lineRule="auto"/>
            </w:pPr>
            <w:r>
              <w:rPr>
                <w:rFonts w:ascii="Calibri" w:hAnsi="Calibri"/>
                <w:b w:val="0"/>
                <w:i w:val="0"/>
                <w:color w:val="212121"/>
                <w:sz w:val="19"/>
              </w:rPr>
              <w:t>CKDu shows only minimal tubular proteinuria</w:t>
            </w:r>
          </w:p>
          <w:p>
            <w:pPr>
              <w:spacing w:after="40" w:line="252" w:lineRule="auto"/>
            </w:pPr>
            <w:hyperlink r:id="rId12">
              <w:r>
                <w:rPr>
                  <w:rFonts w:ascii="Calibri" w:hAnsi="Calibri" w:cs="Calibri"/>
                  <w:sz w:val="18"/>
                  <w:color w:val="1155CC"/>
                  <w:u w:val="single"/>
                </w:rPr>
                <w:t xml:space="preserve">https://indianjnephrol.org/chronic-kidney-disease-of-unknown-etiology-case-definition-for-india-a-perspective/</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uric acid</w:t>
            </w:r>
          </w:p>
        </w:tc>
        <w:tc>
          <w:tcPr>
            <w:tcW w:type="dxa" w:w="1655"/>
            <w:vAlign w:val="top"/>
          </w:tcPr>
          <w:p>
            <w:pPr>
              <w:spacing w:after="40" w:before="0" w:line="259" w:lineRule="auto"/>
            </w:pPr>
            <w:r>
              <w:rPr>
                <w:rFonts w:ascii="Calibri" w:hAnsi="Calibri"/>
                <w:b w:val="0"/>
                <w:i w:val="0"/>
                <w:color w:val="212121"/>
                <w:sz w:val="19"/>
              </w:rPr>
              <w:t>Heat-exposed / CKDu patients</w:t>
            </w:r>
          </w:p>
        </w:tc>
        <w:tc>
          <w:tcPr>
            <w:tcW w:type="dxa" w:w="1512"/>
            <w:vAlign w:val="top"/>
          </w:tcPr>
          <w:p>
            <w:pPr>
              <w:spacing w:after="40" w:before="0" w:line="259" w:lineRule="auto"/>
            </w:pPr>
            <w:r>
              <w:rPr>
                <w:rFonts w:ascii="Calibri" w:hAnsi="Calibri"/>
                <w:b w:val="0"/>
                <w:i w:val="0"/>
                <w:color w:val="212121"/>
                <w:sz w:val="19"/>
              </w:rPr>
              <w:t>M ≤ 7 mg/dL; F ≤ 6 mg/dL</w:t>
            </w:r>
          </w:p>
        </w:tc>
        <w:tc>
          <w:tcPr>
            <w:tcW w:type="dxa" w:w="1512"/>
            <w:vAlign w:val="top"/>
          </w:tcPr>
          <w:p>
            <w:pPr>
              <w:spacing w:after="40" w:before="0" w:line="259" w:lineRule="auto"/>
            </w:pPr>
            <w:r>
              <w:rPr>
                <w:rFonts w:ascii="Calibri" w:hAnsi="Calibri"/>
                <w:b w:val="0"/>
                <w:i w:val="0"/>
                <w:color w:val="212121"/>
                <w:sz w:val="19"/>
              </w:rPr>
              <w:t>Hyperuricaemia (&gt; 7 mg/dL)</w:t>
            </w:r>
          </w:p>
        </w:tc>
        <w:tc>
          <w:tcPr>
            <w:tcW w:type="dxa" w:w="1468"/>
            <w:vAlign w:val="top"/>
          </w:tcPr>
          <w:p>
            <w:pPr>
              <w:spacing w:after="60" w:line="259" w:lineRule="auto"/>
            </w:pPr>
            <w:r>
              <w:rPr>
                <w:rFonts w:ascii="Calibri" w:hAnsi="Calibri"/>
                <w:b w:val="0"/>
                <w:i w:val="0"/>
                <w:color w:val="212121"/>
                <w:sz w:val="19"/>
              </w:rPr>
              <w:t>Present in ~70–80% of heat-stress nephropathy; contributes to tubular injury</w:t>
            </w:r>
          </w:p>
          <w:p>
            <w:pPr>
              <w:spacing w:after="40" w:line="252" w:lineRule="auto"/>
            </w:pPr>
            <w:hyperlink r:id="rId15">
              <w:r>
                <w:rPr>
                  <w:rFonts w:ascii="Calibri" w:hAnsi="Calibri" w:cs="Calibri"/>
                  <w:sz w:val="18"/>
                  <w:color w:val="1155CC"/>
                  <w:u w:val="single"/>
                </w:rPr>
                <w:t xml:space="preserve">https://rmcglobaljournal.com/rising-heat-failing-kidneys-heat-stress-nephropathy-in-climate-crisis/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CKDu patients</w:t>
            </w:r>
          </w:p>
        </w:tc>
        <w:tc>
          <w:tcPr>
            <w:tcW w:type="dxa" w:w="1512"/>
            <w:vAlign w:val="top"/>
          </w:tcPr>
          <w:p>
            <w:pPr>
              <w:spacing w:after="40" w:before="0" w:line="259" w:lineRule="auto"/>
            </w:pPr>
            <w:r>
              <w:rPr>
                <w:rFonts w:ascii="Calibri" w:hAnsi="Calibri"/>
                <w:b w:val="0"/>
                <w:i w:val="0"/>
                <w:color w:val="212121"/>
                <w:sz w:val="19"/>
              </w:rPr>
              <w:t>M 13–17; F 12–15 g/dL</w:t>
            </w:r>
          </w:p>
        </w:tc>
        <w:tc>
          <w:tcPr>
            <w:tcW w:type="dxa" w:w="1512"/>
            <w:vAlign w:val="top"/>
          </w:tcPr>
          <w:p>
            <w:pPr>
              <w:spacing w:after="40" w:before="0" w:line="259" w:lineRule="auto"/>
            </w:pPr>
            <w:r>
              <w:rPr>
                <w:rFonts w:ascii="Calibri" w:hAnsi="Calibri"/>
                <w:b w:val="0"/>
                <w:i w:val="0"/>
                <w:color w:val="212121"/>
                <w:sz w:val="19"/>
              </w:rPr>
              <w:t>&lt; 10 g/dL (anaemia of CKD)</w:t>
            </w:r>
          </w:p>
        </w:tc>
        <w:tc>
          <w:tcPr>
            <w:tcW w:type="dxa" w:w="1468"/>
            <w:vAlign w:val="top"/>
          </w:tcPr>
          <w:p>
            <w:pPr>
              <w:spacing w:after="40" w:before="0" w:line="259" w:lineRule="auto"/>
            </w:pPr>
            <w:r>
              <w:rPr>
                <w:rFonts w:ascii="Calibri" w:hAnsi="Calibri"/>
                <w:b w:val="0"/>
                <w:i w:val="0"/>
                <w:color w:val="212121"/>
                <w:sz w:val="19"/>
              </w:rPr>
              <w:t>Anaemia is often marked and an early progression predictor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 (CKD-EPI)</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 90 mL/min/1.73 m²</w:t>
            </w:r>
          </w:p>
        </w:tc>
        <w:tc>
          <w:tcPr>
            <w:tcW w:type="dxa" w:w="950"/>
            <w:vAlign w:val="top"/>
          </w:tcPr>
          <w:p>
            <w:pPr>
              <w:spacing w:after="40" w:before="0" w:line="259" w:lineRule="auto"/>
            </w:pPr>
            <w:r>
              <w:rPr>
                <w:rFonts w:ascii="Calibri" w:hAnsi="Calibri"/>
                <w:b w:val="0"/>
                <w:i w:val="0"/>
                <w:color w:val="212121"/>
                <w:sz w:val="16"/>
              </w:rPr>
              <w:t>eGFR &lt; 60 (persistent &gt; 3 months)</w:t>
            </w:r>
          </w:p>
        </w:tc>
        <w:tc>
          <w:tcPr>
            <w:tcW w:type="dxa" w:w="1036"/>
            <w:vAlign w:val="top"/>
          </w:tcPr>
          <w:p>
            <w:pPr>
              <w:spacing w:after="40" w:before="0" w:line="259" w:lineRule="auto"/>
            </w:pPr>
            <w:r>
              <w:rPr>
                <w:rFonts w:ascii="Calibri" w:hAnsi="Calibri"/>
                <w:b w:val="0"/>
                <w:i w:val="0"/>
                <w:color w:val="212121"/>
                <w:sz w:val="16"/>
              </w:rPr>
              <w:t>Defines and stages CKD; frequently already G3–G5 at detection because CKDu is silent</w:t>
            </w:r>
          </w:p>
        </w:tc>
        <w:tc>
          <w:tcPr>
            <w:tcW w:type="dxa" w:w="1036"/>
            <w:vAlign w:val="top"/>
          </w:tcPr>
          <w:p>
            <w:pPr>
              <w:spacing w:after="40" w:before="0" w:line="259" w:lineRule="auto"/>
            </w:pPr>
            <w:r>
              <w:rPr>
                <w:rFonts w:ascii="Calibri" w:hAnsi="Calibri"/>
                <w:b w:val="0"/>
                <w:i w:val="0"/>
                <w:color w:val="212121"/>
                <w:sz w:val="16"/>
              </w:rPr>
              <w:t>Agricultural workers, endemic-area residents, at-risk labourers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Use serial values; avoid over-reliance on creatinine alone in low-muscle/cachectic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Urine</w:t>
            </w:r>
          </w:p>
        </w:tc>
        <w:tc>
          <w:tcPr>
            <w:tcW w:type="dxa" w:w="1036"/>
            <w:vAlign w:val="top"/>
          </w:tcPr>
          <w:p>
            <w:pPr>
              <w:spacing w:after="40" w:before="0" w:line="259" w:lineRule="auto"/>
            </w:pPr>
            <w:r>
              <w:rPr>
                <w:rFonts w:ascii="Calibri" w:hAnsi="Calibri"/>
                <w:b w:val="0"/>
                <w:i w:val="0"/>
                <w:color w:val="212121"/>
                <w:sz w:val="16"/>
              </w:rPr>
              <w:t>Urine protein (dipstick, PCR/ACR)</w:t>
            </w:r>
          </w:p>
        </w:tc>
        <w:tc>
          <w:tcPr>
            <w:tcW w:type="dxa" w:w="892"/>
            <w:vAlign w:val="top"/>
          </w:tcPr>
          <w:p>
            <w:pPr>
              <w:spacing w:after="40" w:before="0" w:line="259" w:lineRule="auto"/>
            </w:pPr>
            <w:r>
              <w:rPr>
                <w:rFonts w:ascii="Calibri" w:hAnsi="Calibri"/>
                <w:b w:val="0"/>
                <w:i w:val="0"/>
                <w:color w:val="212121"/>
                <w:sz w:val="16"/>
              </w:rPr>
              <w:t>Urinalysis</w:t>
            </w:r>
          </w:p>
        </w:tc>
        <w:tc>
          <w:tcPr>
            <w:tcW w:type="dxa" w:w="950"/>
            <w:vAlign w:val="top"/>
          </w:tcPr>
          <w:p>
            <w:pPr>
              <w:spacing w:after="40" w:before="0" w:line="259" w:lineRule="auto"/>
            </w:pPr>
            <w:r>
              <w:rPr>
                <w:rFonts w:ascii="Calibri" w:hAnsi="Calibri"/>
                <w:b w:val="0"/>
                <w:i w:val="0"/>
                <w:color w:val="212121"/>
                <w:sz w:val="16"/>
              </w:rPr>
              <w:t>Negative / PCR &lt; 0.15 g/g</w:t>
            </w:r>
          </w:p>
        </w:tc>
        <w:tc>
          <w:tcPr>
            <w:tcW w:type="dxa" w:w="950"/>
            <w:vAlign w:val="top"/>
          </w:tcPr>
          <w:p>
            <w:pPr>
              <w:spacing w:after="40" w:before="0" w:line="259" w:lineRule="auto"/>
            </w:pPr>
            <w:r>
              <w:rPr>
                <w:rFonts w:ascii="Calibri" w:hAnsi="Calibri"/>
                <w:b w:val="0"/>
                <w:i w:val="0"/>
                <w:color w:val="212121"/>
                <w:sz w:val="16"/>
              </w:rPr>
              <w:t>Persistent ≥ 1+ but typically low-grade (PCR &lt; 1 g/g)</w:t>
            </w:r>
          </w:p>
        </w:tc>
        <w:tc>
          <w:tcPr>
            <w:tcW w:type="dxa" w:w="1036"/>
            <w:vAlign w:val="top"/>
          </w:tcPr>
          <w:p>
            <w:pPr>
              <w:spacing w:after="40" w:before="0" w:line="259" w:lineRule="auto"/>
            </w:pPr>
            <w:r>
              <w:rPr>
                <w:rFonts w:ascii="Calibri" w:hAnsi="Calibri"/>
                <w:b w:val="0"/>
                <w:i w:val="0"/>
                <w:color w:val="212121"/>
                <w:sz w:val="16"/>
              </w:rPr>
              <w:t>CKDu shows MINIMAL tubular proteinuria; nephrotic-range proteinuria points away from CKDu</w:t>
            </w:r>
          </w:p>
        </w:tc>
        <w:tc>
          <w:tcPr>
            <w:tcW w:type="dxa" w:w="1036"/>
            <w:vAlign w:val="top"/>
          </w:tcPr>
          <w:p>
            <w:pPr>
              <w:spacing w:after="40" w:before="0" w:line="259" w:lineRule="auto"/>
            </w:pPr>
            <w:r>
              <w:rPr>
                <w:rFonts w:ascii="Calibri" w:hAnsi="Calibri"/>
                <w:b w:val="0"/>
                <w:i w:val="0"/>
                <w:color w:val="212121"/>
                <w:sz w:val="16"/>
              </w:rPr>
              <w:t>Screening cohorts, farmers, hotspot residents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persistence on repeat; bland sediment expected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microscopy</w:t>
            </w:r>
          </w:p>
        </w:tc>
        <w:tc>
          <w:tcPr>
            <w:tcW w:type="dxa" w:w="1036"/>
            <w:vAlign w:val="top"/>
          </w:tcPr>
          <w:p>
            <w:pPr>
              <w:spacing w:after="40" w:before="0" w:line="259" w:lineRule="auto"/>
            </w:pPr>
            <w:r>
              <w:rPr>
                <w:rFonts w:ascii="Calibri" w:hAnsi="Calibri"/>
                <w:b w:val="0"/>
                <w:i w:val="0"/>
                <w:color w:val="212121"/>
                <w:sz w:val="16"/>
              </w:rPr>
              <w:t>Urinary sediment / RBCs</w:t>
            </w:r>
          </w:p>
        </w:tc>
        <w:tc>
          <w:tcPr>
            <w:tcW w:type="dxa" w:w="892"/>
            <w:vAlign w:val="top"/>
          </w:tcPr>
          <w:p>
            <w:pPr>
              <w:spacing w:after="40" w:before="0" w:line="259" w:lineRule="auto"/>
            </w:pPr>
            <w:r>
              <w:rPr>
                <w:rFonts w:ascii="Calibri" w:hAnsi="Calibri"/>
                <w:b w:val="0"/>
                <w:i w:val="0"/>
                <w:color w:val="212121"/>
                <w:sz w:val="16"/>
              </w:rPr>
              <w:t>Urinalysis</w:t>
            </w:r>
          </w:p>
        </w:tc>
        <w:tc>
          <w:tcPr>
            <w:tcW w:type="dxa" w:w="950"/>
            <w:vAlign w:val="top"/>
          </w:tcPr>
          <w:p>
            <w:pPr>
              <w:spacing w:after="40" w:before="0" w:line="259" w:lineRule="auto"/>
            </w:pPr>
            <w:r>
              <w:rPr>
                <w:rFonts w:ascii="Calibri" w:hAnsi="Calibri"/>
                <w:b w:val="0"/>
                <w:i w:val="0"/>
                <w:color w:val="212121"/>
                <w:sz w:val="16"/>
              </w:rPr>
              <w:t>&lt; 5 RBC/hpf, no casts</w:t>
            </w:r>
          </w:p>
        </w:tc>
        <w:tc>
          <w:tcPr>
            <w:tcW w:type="dxa" w:w="950"/>
            <w:vAlign w:val="top"/>
          </w:tcPr>
          <w:p>
            <w:pPr>
              <w:spacing w:after="40" w:before="0" w:line="259" w:lineRule="auto"/>
            </w:pPr>
            <w:r>
              <w:rPr>
                <w:rFonts w:ascii="Calibri" w:hAnsi="Calibri"/>
                <w:b w:val="0"/>
                <w:i w:val="0"/>
                <w:color w:val="212121"/>
                <w:sz w:val="16"/>
              </w:rPr>
              <w:t>Bland sediment; leukocyturia in acute phase</w:t>
            </w:r>
          </w:p>
        </w:tc>
        <w:tc>
          <w:tcPr>
            <w:tcW w:type="dxa" w:w="1036"/>
            <w:vAlign w:val="top"/>
          </w:tcPr>
          <w:p>
            <w:pPr>
              <w:spacing w:after="40" w:before="0" w:line="259" w:lineRule="auto"/>
            </w:pPr>
            <w:r>
              <w:rPr>
                <w:rFonts w:ascii="Calibri" w:hAnsi="Calibri"/>
                <w:b w:val="0"/>
                <w:i w:val="0"/>
                <w:color w:val="212121"/>
                <w:sz w:val="16"/>
              </w:rPr>
              <w:t>Absence of glomerular haematuria/dysmorphic RBCs supports tubulointerstitial (CKDu) pattern</w:t>
            </w:r>
          </w:p>
        </w:tc>
        <w:tc>
          <w:tcPr>
            <w:tcW w:type="dxa" w:w="1036"/>
            <w:vAlign w:val="top"/>
          </w:tcPr>
          <w:p>
            <w:pPr>
              <w:spacing w:after="40" w:before="0" w:line="259" w:lineRule="auto"/>
            </w:pPr>
            <w:r>
              <w:rPr>
                <w:rFonts w:ascii="Calibri" w:hAnsi="Calibri"/>
                <w:b w:val="0"/>
                <w:i w:val="0"/>
                <w:color w:val="212121"/>
                <w:sz w:val="16"/>
              </w:rPr>
              <w:t>At-risk adults, acute-phase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Significant haematuria warrants alternative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M ≤ 7; F ≤ 6 mg/dL</w:t>
            </w:r>
          </w:p>
        </w:tc>
        <w:tc>
          <w:tcPr>
            <w:tcW w:type="dxa" w:w="950"/>
            <w:vAlign w:val="top"/>
          </w:tcPr>
          <w:p>
            <w:pPr>
              <w:spacing w:after="40" w:before="0" w:line="259" w:lineRule="auto"/>
            </w:pPr>
            <w:r>
              <w:rPr>
                <w:rFonts w:ascii="Calibri" w:hAnsi="Calibri"/>
                <w:b w:val="0"/>
                <w:i w:val="0"/>
                <w:color w:val="212121"/>
                <w:sz w:val="16"/>
              </w:rPr>
              <w:t>Hyperuricaemia (&gt; 7 mg/dL)</w:t>
            </w:r>
          </w:p>
        </w:tc>
        <w:tc>
          <w:tcPr>
            <w:tcW w:type="dxa" w:w="1036"/>
            <w:vAlign w:val="top"/>
          </w:tcPr>
          <w:p>
            <w:pPr>
              <w:spacing w:after="40" w:before="0" w:line="259" w:lineRule="auto"/>
            </w:pPr>
            <w:r>
              <w:rPr>
                <w:rFonts w:ascii="Calibri" w:hAnsi="Calibri"/>
                <w:b w:val="0"/>
                <w:i w:val="0"/>
                <w:color w:val="212121"/>
                <w:sz w:val="16"/>
              </w:rPr>
              <w:t>Common in CKDu; both a marker of dehydration injury and a contributor to tubular damage</w:t>
            </w:r>
          </w:p>
        </w:tc>
        <w:tc>
          <w:tcPr>
            <w:tcW w:type="dxa" w:w="1036"/>
            <w:vAlign w:val="top"/>
          </w:tcPr>
          <w:p>
            <w:pPr>
              <w:spacing w:after="40" w:before="0" w:line="259" w:lineRule="auto"/>
            </w:pPr>
            <w:r>
              <w:rPr>
                <w:rFonts w:ascii="Calibri" w:hAnsi="Calibri"/>
                <w:b w:val="0"/>
                <w:i w:val="0"/>
                <w:color w:val="212121"/>
                <w:sz w:val="16"/>
              </w:rPr>
              <w:t>Heat-exposed workers, CKDu patients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Present in ~70–80% of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(K+, Mg2+, HCO3-)</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K+ 3.5–5.0; Mg 1.7–2.2 mEq/L; HCO3- 22–28</w:t>
            </w:r>
          </w:p>
        </w:tc>
        <w:tc>
          <w:tcPr>
            <w:tcW w:type="dxa" w:w="950"/>
            <w:vAlign w:val="top"/>
          </w:tcPr>
          <w:p>
            <w:pPr>
              <w:spacing w:after="40" w:before="0" w:line="259" w:lineRule="auto"/>
            </w:pPr>
            <w:r>
              <w:rPr>
                <w:rFonts w:ascii="Calibri" w:hAnsi="Calibri"/>
                <w:b w:val="0"/>
                <w:i w:val="0"/>
                <w:color w:val="212121"/>
                <w:sz w:val="16"/>
              </w:rPr>
              <w:t>Hypokalaemia, hypomagnesaemia, metabolic acidosis</w:t>
            </w:r>
          </w:p>
        </w:tc>
        <w:tc>
          <w:tcPr>
            <w:tcW w:type="dxa" w:w="1036"/>
            <w:vAlign w:val="top"/>
          </w:tcPr>
          <w:p>
            <w:pPr>
              <w:spacing w:after="40" w:before="0" w:line="259" w:lineRule="auto"/>
            </w:pPr>
            <w:r>
              <w:rPr>
                <w:rFonts w:ascii="Calibri" w:hAnsi="Calibri"/>
                <w:b w:val="0"/>
                <w:i w:val="0"/>
                <w:color w:val="212121"/>
                <w:sz w:val="16"/>
              </w:rPr>
              <w:t>Tubular dysfunction causes renal potassium/magnesium wasting and acidosis — supportive of CKDu</w:t>
            </w:r>
          </w:p>
        </w:tc>
        <w:tc>
          <w:tcPr>
            <w:tcW w:type="dxa" w:w="1036"/>
            <w:vAlign w:val="top"/>
          </w:tcPr>
          <w:p>
            <w:pPr>
              <w:spacing w:after="40" w:before="0" w:line="259" w:lineRule="auto"/>
            </w:pPr>
            <w:r>
              <w:rPr>
                <w:rFonts w:ascii="Calibri" w:hAnsi="Calibri"/>
                <w:b w:val="0"/>
                <w:i w:val="0"/>
                <w:color w:val="212121"/>
                <w:sz w:val="16"/>
              </w:rPr>
              <w:t>CKDu patients, endemic-area workers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guides management of complications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CBC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13–17; F 12–15 g/dL</w:t>
            </w:r>
          </w:p>
        </w:tc>
        <w:tc>
          <w:tcPr>
            <w:tcW w:type="dxa" w:w="950"/>
            <w:vAlign w:val="top"/>
          </w:tcPr>
          <w:p>
            <w:pPr>
              <w:spacing w:after="40" w:before="0" w:line="259" w:lineRule="auto"/>
            </w:pPr>
            <w:r>
              <w:rPr>
                <w:rFonts w:ascii="Calibri" w:hAnsi="Calibri"/>
                <w:b w:val="0"/>
                <w:i w:val="0"/>
                <w:color w:val="212121"/>
                <w:sz w:val="16"/>
              </w:rPr>
              <w:t>Anaemia (often &lt; 10 g/dL), sometimes disproportionate to eGFR</w:t>
            </w:r>
          </w:p>
        </w:tc>
        <w:tc>
          <w:tcPr>
            <w:tcW w:type="dxa" w:w="1036"/>
            <w:vAlign w:val="top"/>
          </w:tcPr>
          <w:p>
            <w:pPr>
              <w:spacing w:after="40" w:before="0" w:line="259" w:lineRule="auto"/>
            </w:pPr>
            <w:r>
              <w:rPr>
                <w:rFonts w:ascii="Calibri" w:hAnsi="Calibri"/>
                <w:b w:val="0"/>
                <w:i w:val="0"/>
                <w:color w:val="212121"/>
                <w:sz w:val="16"/>
              </w:rPr>
              <w:t>Anaemia of CKD; early/severe anaemia predicts faster progression</w:t>
            </w:r>
          </w:p>
        </w:tc>
        <w:tc>
          <w:tcPr>
            <w:tcW w:type="dxa" w:w="1036"/>
            <w:vAlign w:val="top"/>
          </w:tcPr>
          <w:p>
            <w:pPr>
              <w:spacing w:after="40" w:before="0" w:line="259" w:lineRule="auto"/>
            </w:pPr>
            <w:r>
              <w:rPr>
                <w:rFonts w:ascii="Calibri" w:hAnsi="Calibri"/>
                <w:b w:val="0"/>
                <w:i w:val="0"/>
                <w:color w:val="212121"/>
                <w:sz w:val="16"/>
              </w:rPr>
              <w:t>CKDu patients, advanced-stage presenters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Central-India cohort mean Hb ~7.8 g/dL at presentation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ultrasonography</w:t>
            </w:r>
          </w:p>
        </w:tc>
        <w:tc>
          <w:tcPr>
            <w:tcW w:type="dxa" w:w="892"/>
            <w:vAlign w:val="top"/>
          </w:tcPr>
          <w:p>
            <w:pPr>
              <w:spacing w:after="40" w:before="0" w:line="259" w:lineRule="auto"/>
            </w:pPr>
            <w:r>
              <w:rPr>
                <w:rFonts w:ascii="Calibri" w:hAnsi="Calibri"/>
                <w:b w:val="0"/>
                <w:i w:val="0"/>
                <w:color w:val="212121"/>
                <w:sz w:val="16"/>
              </w:rPr>
              <w:t>Ultrasound (KUB)</w:t>
            </w:r>
          </w:p>
        </w:tc>
        <w:tc>
          <w:tcPr>
            <w:tcW w:type="dxa" w:w="950"/>
            <w:vAlign w:val="top"/>
          </w:tcPr>
          <w:p>
            <w:pPr>
              <w:spacing w:after="40" w:before="0" w:line="259" w:lineRule="auto"/>
            </w:pPr>
            <w:r>
              <w:rPr>
                <w:rFonts w:ascii="Calibri" w:hAnsi="Calibri"/>
                <w:b w:val="0"/>
                <w:i w:val="0"/>
                <w:color w:val="212121"/>
                <w:sz w:val="16"/>
              </w:rPr>
              <w:t>Normal size (9–12 cm), preserved cortico-medullary differentiation</w:t>
            </w:r>
          </w:p>
        </w:tc>
        <w:tc>
          <w:tcPr>
            <w:tcW w:type="dxa" w:w="950"/>
            <w:vAlign w:val="top"/>
          </w:tcPr>
          <w:p>
            <w:pPr>
              <w:spacing w:after="40" w:before="0" w:line="259" w:lineRule="auto"/>
            </w:pPr>
            <w:r>
              <w:rPr>
                <w:rFonts w:ascii="Calibri" w:hAnsi="Calibri"/>
                <w:b w:val="0"/>
                <w:i w:val="0"/>
                <w:color w:val="212121"/>
                <w:sz w:val="16"/>
              </w:rPr>
              <w:t>Bilaterally small, echogenic, shrunken kidneys; Doppler resistive index &gt; 0.7</w:t>
            </w:r>
          </w:p>
        </w:tc>
        <w:tc>
          <w:tcPr>
            <w:tcW w:type="dxa" w:w="1036"/>
            <w:vAlign w:val="top"/>
          </w:tcPr>
          <w:p>
            <w:pPr>
              <w:spacing w:after="40" w:before="0" w:line="259" w:lineRule="auto"/>
            </w:pPr>
            <w:r>
              <w:rPr>
                <w:rFonts w:ascii="Calibri" w:hAnsi="Calibri"/>
                <w:b w:val="0"/>
                <w:i w:val="0"/>
                <w:color w:val="212121"/>
                <w:sz w:val="16"/>
              </w:rPr>
              <w:t>Chronic bilateral parenchymal disease without obstruction/stones — consistent with CKDu</w:t>
            </w:r>
          </w:p>
        </w:tc>
        <w:tc>
          <w:tcPr>
            <w:tcW w:type="dxa" w:w="1036"/>
            <w:vAlign w:val="top"/>
          </w:tcPr>
          <w:p>
            <w:pPr>
              <w:spacing w:after="40" w:before="0" w:line="259" w:lineRule="auto"/>
            </w:pPr>
            <w:r>
              <w:rPr>
                <w:rFonts w:ascii="Calibri" w:hAnsi="Calibri"/>
                <w:b w:val="0"/>
                <w:i w:val="0"/>
                <w:color w:val="212121"/>
                <w:sz w:val="16"/>
              </w:rPr>
              <w:t>Patients with reduced eGFR, hotspot residents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Excludes obstruction, stones, PCKD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Kidney biopsy</w:t>
            </w:r>
          </w:p>
        </w:tc>
        <w:tc>
          <w:tcPr>
            <w:tcW w:type="dxa" w:w="892"/>
            <w:vAlign w:val="top"/>
          </w:tcPr>
          <w:p>
            <w:pPr>
              <w:spacing w:after="40" w:before="0" w:line="259" w:lineRule="auto"/>
            </w:pPr>
            <w:r>
              <w:rPr>
                <w:rFonts w:ascii="Calibri" w:hAnsi="Calibri"/>
                <w:b w:val="0"/>
                <w:i w:val="0"/>
                <w:color w:val="212121"/>
                <w:sz w:val="16"/>
              </w:rPr>
              <w:t>Renal Biopsy</w:t>
            </w:r>
          </w:p>
        </w:tc>
        <w:tc>
          <w:tcPr>
            <w:tcW w:type="dxa" w:w="950"/>
            <w:vAlign w:val="top"/>
          </w:tcPr>
          <w:p>
            <w:pPr>
              <w:spacing w:after="40" w:before="0" w:line="259" w:lineRule="auto"/>
            </w:pPr>
            <w:r>
              <w:rPr>
                <w:rFonts w:ascii="Calibri" w:hAnsi="Calibri"/>
                <w:b w:val="0"/>
                <w:i w:val="0"/>
                <w:color w:val="212121"/>
                <w:sz w:val="16"/>
              </w:rPr>
              <w:t>Normal glomeruli/interstitium</w:t>
            </w:r>
          </w:p>
        </w:tc>
        <w:tc>
          <w:tcPr>
            <w:tcW w:type="dxa" w:w="950"/>
            <w:vAlign w:val="top"/>
          </w:tcPr>
          <w:p>
            <w:pPr>
              <w:spacing w:after="40" w:before="0" w:line="259" w:lineRule="auto"/>
            </w:pPr>
            <w:r>
              <w:rPr>
                <w:rFonts w:ascii="Calibri" w:hAnsi="Calibri"/>
                <w:b w:val="0"/>
                <w:i w:val="0"/>
                <w:color w:val="212121"/>
                <w:sz w:val="16"/>
              </w:rPr>
              <w:t>Chronic tubulointerstitial nephritis: interstitial fibrosis &amp; tubular atrophy (IFTA), patchy lymphocytic infiltrate, global glomerulosclerosis, NO immune deposits</w:t>
            </w:r>
          </w:p>
        </w:tc>
        <w:tc>
          <w:tcPr>
            <w:tcW w:type="dxa" w:w="1036"/>
            <w:vAlign w:val="top"/>
          </w:tcPr>
          <w:p>
            <w:pPr>
              <w:spacing w:after="40" w:before="0" w:line="259" w:lineRule="auto"/>
            </w:pPr>
            <w:r>
              <w:rPr>
                <w:rFonts w:ascii="Calibri" w:hAnsi="Calibri"/>
                <w:b w:val="0"/>
                <w:i w:val="0"/>
                <w:color w:val="212121"/>
                <w:sz w:val="16"/>
              </w:rPr>
              <w:t>Provides DEFINITE diagnosis and excludes glomerular/immune disease</w:t>
            </w:r>
          </w:p>
        </w:tc>
        <w:tc>
          <w:tcPr>
            <w:tcW w:type="dxa" w:w="1036"/>
            <w:vAlign w:val="top"/>
          </w:tcPr>
          <w:p>
            <w:pPr>
              <w:spacing w:after="40" w:before="0" w:line="259" w:lineRule="auto"/>
            </w:pPr>
            <w:r>
              <w:rPr>
                <w:rFonts w:ascii="Calibri" w:hAnsi="Calibri"/>
                <w:b w:val="0"/>
                <w:i w:val="0"/>
                <w:color w:val="212121"/>
                <w:sz w:val="16"/>
              </w:rPr>
              <w:t>Selected cases (adequate kidney size,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Not feasible in small shrunken kidneys; IF/EM show no immune-complex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Tubular injury biomarkers</w:t>
            </w:r>
          </w:p>
        </w:tc>
        <w:tc>
          <w:tcPr>
            <w:tcW w:type="dxa" w:w="1036"/>
            <w:vAlign w:val="top"/>
          </w:tcPr>
          <w:p>
            <w:pPr>
              <w:spacing w:after="40" w:before="0" w:line="259" w:lineRule="auto"/>
            </w:pPr>
            <w:r>
              <w:rPr>
                <w:rFonts w:ascii="Calibri" w:hAnsi="Calibri"/>
                <w:b w:val="0"/>
                <w:i w:val="0"/>
                <w:color w:val="212121"/>
                <w:sz w:val="16"/>
              </w:rPr>
              <w:t>Urinary NGAL / β2- &amp; α1-microglobulin</w:t>
            </w:r>
          </w:p>
        </w:tc>
        <w:tc>
          <w:tcPr>
            <w:tcW w:type="dxa" w:w="892"/>
            <w:vAlign w:val="top"/>
          </w:tcPr>
          <w:p>
            <w:pPr>
              <w:spacing w:after="40" w:before="0" w:line="259" w:lineRule="auto"/>
            </w:pPr>
            <w:r>
              <w:rPr>
                <w:rFonts w:ascii="Calibri" w:hAnsi="Calibri"/>
                <w:b w:val="0"/>
                <w:i w:val="0"/>
                <w:color w:val="212121"/>
                <w:sz w:val="16"/>
              </w:rPr>
              <w:t>Tubular Biomarker Panel</w:t>
            </w:r>
          </w:p>
        </w:tc>
        <w:tc>
          <w:tcPr>
            <w:tcW w:type="dxa" w:w="950"/>
            <w:vAlign w:val="top"/>
          </w:tcPr>
          <w:p>
            <w:pPr>
              <w:spacing w:after="40" w:before="0" w:line="259" w:lineRule="auto"/>
            </w:pPr>
            <w:r>
              <w:rPr>
                <w:rFonts w:ascii="Calibri" w:hAnsi="Calibri"/>
                <w:b w:val="0"/>
                <w:i w:val="0"/>
                <w:color w:val="212121"/>
                <w:sz w:val="16"/>
              </w:rPr>
              <w:t>Low</w:t>
            </w:r>
          </w:p>
        </w:tc>
        <w:tc>
          <w:tcPr>
            <w:tcW w:type="dxa" w:w="950"/>
            <w:vAlign w:val="top"/>
          </w:tcPr>
          <w:p>
            <w:pPr>
              <w:spacing w:after="40" w:before="0" w:line="259" w:lineRule="auto"/>
            </w:pPr>
            <w:r>
              <w:rPr>
                <w:rFonts w:ascii="Calibri" w:hAnsi="Calibri"/>
                <w:b w:val="0"/>
                <w:i w:val="0"/>
                <w:color w:val="212121"/>
                <w:sz w:val="16"/>
              </w:rPr>
              <w:t>Elevated (early tubular injury)</w:t>
            </w:r>
          </w:p>
        </w:tc>
        <w:tc>
          <w:tcPr>
            <w:tcW w:type="dxa" w:w="1036"/>
            <w:vAlign w:val="top"/>
          </w:tcPr>
          <w:p>
            <w:pPr>
              <w:spacing w:after="40" w:before="0" w:line="259" w:lineRule="auto"/>
            </w:pPr>
            <w:r>
              <w:rPr>
                <w:rFonts w:ascii="Calibri" w:hAnsi="Calibri"/>
                <w:b w:val="0"/>
                <w:i w:val="0"/>
                <w:color w:val="212121"/>
                <w:sz w:val="16"/>
              </w:rPr>
              <w:t>May detect subclinical tubular damage before eGFR falls; research/screening tool</w:t>
            </w:r>
          </w:p>
        </w:tc>
        <w:tc>
          <w:tcPr>
            <w:tcW w:type="dxa" w:w="1036"/>
            <w:vAlign w:val="top"/>
          </w:tcPr>
          <w:p>
            <w:pPr>
              <w:spacing w:after="40" w:before="0" w:line="259" w:lineRule="auto"/>
            </w:pPr>
            <w:r>
              <w:rPr>
                <w:rFonts w:ascii="Calibri" w:hAnsi="Calibri"/>
                <w:b w:val="0"/>
                <w:i w:val="0"/>
                <w:color w:val="212121"/>
                <w:sz w:val="16"/>
              </w:rPr>
              <w:t>Active agricultural workers, screening cohorts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Emerging / Screening</w:t>
            </w:r>
          </w:p>
        </w:tc>
        <w:tc>
          <w:tcPr>
            <w:tcW w:type="dxa" w:w="720"/>
            <w:vAlign w:val="top"/>
          </w:tcPr>
          <w:p>
            <w:pPr>
              <w:spacing w:after="40" w:before="0" w:line="259" w:lineRule="auto"/>
            </w:pPr>
            <w:r>
              <w:rPr>
                <w:rFonts w:ascii="Calibri" w:hAnsi="Calibri"/>
                <w:b w:val="0"/>
                <w:i w:val="0"/>
                <w:color w:val="212121"/>
                <w:sz w:val="16"/>
              </w:rPr>
              <w:t>Useful for early detection during hot-season exposure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environmental history</w:t>
            </w:r>
          </w:p>
        </w:tc>
        <w:tc>
          <w:tcPr>
            <w:tcW w:type="dxa" w:w="979"/>
            <w:vAlign w:val="top"/>
          </w:tcPr>
          <w:p>
            <w:pPr>
              <w:spacing w:after="40" w:before="0" w:line="259" w:lineRule="auto"/>
            </w:pPr>
            <w:r>
              <w:rPr>
                <w:rFonts w:ascii="Calibri" w:hAnsi="Calibri"/>
                <w:b w:val="0"/>
                <w:i w:val="0"/>
                <w:color w:val="212121"/>
                <w:sz w:val="16"/>
              </w:rPr>
              <w:t>Agricultural work, heat exposure, hydration, residence in hotspot</w:t>
            </w:r>
          </w:p>
        </w:tc>
        <w:tc>
          <w:tcPr>
            <w:tcW w:type="dxa" w:w="950"/>
            <w:vAlign w:val="top"/>
          </w:tcPr>
          <w:p>
            <w:pPr>
              <w:spacing w:after="40" w:before="0" w:line="259" w:lineRule="auto"/>
            </w:pPr>
            <w:r>
              <w:rPr>
                <w:rFonts w:ascii="Calibri" w:hAnsi="Calibri"/>
                <w:b w:val="0"/>
                <w:i w:val="0"/>
                <w:color w:val="212121"/>
                <w:sz w:val="16"/>
              </w:rPr>
              <w:t>No heat-exposed labour / non-endemic residence</w:t>
            </w:r>
          </w:p>
        </w:tc>
        <w:tc>
          <w:tcPr>
            <w:tcW w:type="dxa" w:w="950"/>
            <w:vAlign w:val="top"/>
          </w:tcPr>
          <w:p>
            <w:pPr>
              <w:spacing w:after="40" w:before="0" w:line="259" w:lineRule="auto"/>
            </w:pPr>
            <w:r>
              <w:rPr>
                <w:rFonts w:ascii="Calibri" w:hAnsi="Calibri"/>
                <w:b w:val="0"/>
                <w:i w:val="0"/>
                <w:color w:val="212121"/>
                <w:sz w:val="16"/>
              </w:rPr>
              <w:t>Years of outdoor field labour in a CKDu hotspot with poor hydration</w:t>
            </w:r>
          </w:p>
        </w:tc>
        <w:tc>
          <w:tcPr>
            <w:tcW w:type="dxa" w:w="1036"/>
            <w:vAlign w:val="top"/>
          </w:tcPr>
          <w:p>
            <w:pPr>
              <w:spacing w:after="40" w:before="0" w:line="259" w:lineRule="auto"/>
            </w:pPr>
            <w:r>
              <w:rPr>
                <w:rFonts w:ascii="Calibri" w:hAnsi="Calibri"/>
                <w:b w:val="0"/>
                <w:i w:val="0"/>
                <w:color w:val="212121"/>
                <w:sz w:val="16"/>
              </w:rPr>
              <w:t>Establishes the characteristic exposure pattern central to a CKDu diagnosis</w:t>
            </w:r>
          </w:p>
        </w:tc>
        <w:tc>
          <w:tcPr>
            <w:tcW w:type="dxa" w:w="1036"/>
            <w:vAlign w:val="top"/>
          </w:tcPr>
          <w:p>
            <w:pPr>
              <w:spacing w:after="40" w:before="0" w:line="259" w:lineRule="auto"/>
            </w:pPr>
            <w:r>
              <w:rPr>
                <w:rFonts w:ascii="Calibri" w:hAnsi="Calibri"/>
                <w:b w:val="0"/>
                <w:i w:val="0"/>
                <w:color w:val="212121"/>
                <w:sz w:val="16"/>
              </w:rPr>
              <w:t>Farmers, cashew/paddy/sugarcane workers, hotspot residents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water source and weekly outdoor hours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Nephrotoxin &amp; drug history</w:t>
            </w:r>
          </w:p>
        </w:tc>
        <w:tc>
          <w:tcPr>
            <w:tcW w:type="dxa" w:w="979"/>
            <w:vAlign w:val="top"/>
          </w:tcPr>
          <w:p>
            <w:pPr>
              <w:spacing w:after="40" w:before="0" w:line="259" w:lineRule="auto"/>
            </w:pPr>
            <w:r>
              <w:rPr>
                <w:rFonts w:ascii="Calibri" w:hAnsi="Calibri"/>
                <w:b w:val="0"/>
                <w:i w:val="0"/>
                <w:color w:val="212121"/>
                <w:sz w:val="16"/>
              </w:rPr>
              <w:t>NSAID / analgesic &amp; indigenous-medicine use</w:t>
            </w:r>
          </w:p>
        </w:tc>
        <w:tc>
          <w:tcPr>
            <w:tcW w:type="dxa" w:w="950"/>
            <w:vAlign w:val="top"/>
          </w:tcPr>
          <w:p>
            <w:pPr>
              <w:spacing w:after="40" w:before="0" w:line="259" w:lineRule="auto"/>
            </w:pPr>
            <w:r>
              <w:rPr>
                <w:rFonts w:ascii="Calibri" w:hAnsi="Calibri"/>
                <w:b w:val="0"/>
                <w:i w:val="0"/>
                <w:color w:val="212121"/>
                <w:sz w:val="16"/>
              </w:rPr>
              <w:t>No habitual nephrotoxins</w:t>
            </w:r>
          </w:p>
        </w:tc>
        <w:tc>
          <w:tcPr>
            <w:tcW w:type="dxa" w:w="950"/>
            <w:vAlign w:val="top"/>
          </w:tcPr>
          <w:p>
            <w:pPr>
              <w:spacing w:after="40" w:before="0" w:line="259" w:lineRule="auto"/>
            </w:pPr>
            <w:r>
              <w:rPr>
                <w:rFonts w:ascii="Calibri" w:hAnsi="Calibri"/>
                <w:b w:val="0"/>
                <w:i w:val="0"/>
                <w:color w:val="212121"/>
                <w:sz w:val="16"/>
              </w:rPr>
              <w:t>Frequent NSAID or herbal/Ayurvedic remedy use</w:t>
            </w:r>
          </w:p>
        </w:tc>
        <w:tc>
          <w:tcPr>
            <w:tcW w:type="dxa" w:w="1036"/>
            <w:vAlign w:val="top"/>
          </w:tcPr>
          <w:p>
            <w:pPr>
              <w:spacing w:after="40" w:before="0" w:line="259" w:lineRule="auto"/>
            </w:pPr>
            <w:r>
              <w:rPr>
                <w:rFonts w:ascii="Calibri" w:hAnsi="Calibri"/>
                <w:b w:val="0"/>
                <w:i w:val="0"/>
                <w:color w:val="212121"/>
                <w:sz w:val="16"/>
              </w:rPr>
              <w:t>Identifies a modifiable, recurrent nephrotoxic insult that compounds injury</w:t>
            </w:r>
          </w:p>
        </w:tc>
        <w:tc>
          <w:tcPr>
            <w:tcW w:type="dxa" w:w="1036"/>
            <w:vAlign w:val="top"/>
          </w:tcPr>
          <w:p>
            <w:pPr>
              <w:spacing w:after="40" w:before="0" w:line="259" w:lineRule="auto"/>
            </w:pPr>
            <w:r>
              <w:rPr>
                <w:rFonts w:ascii="Calibri" w:hAnsi="Calibri"/>
                <w:b w:val="0"/>
                <w:i w:val="0"/>
                <w:color w:val="212121"/>
                <w:sz w:val="16"/>
              </w:rPr>
              <w:t>Labourers with chronic body aches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~41.6% OTC analgesic use in a CKDu cohort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CKD/CKDu in first-degree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relative with CKD</w:t>
            </w:r>
          </w:p>
        </w:tc>
        <w:tc>
          <w:tcPr>
            <w:tcW w:type="dxa" w:w="1036"/>
            <w:vAlign w:val="top"/>
          </w:tcPr>
          <w:p>
            <w:pPr>
              <w:spacing w:after="40" w:before="0" w:line="259" w:lineRule="auto"/>
            </w:pPr>
            <w:r>
              <w:rPr>
                <w:rFonts w:ascii="Calibri" w:hAnsi="Calibri"/>
                <w:b w:val="0"/>
                <w:i w:val="0"/>
                <w:color w:val="212121"/>
                <w:sz w:val="16"/>
              </w:rPr>
              <w:t>Reflects shared genetic susceptibility and shared environment</w:t>
            </w:r>
          </w:p>
        </w:tc>
        <w:tc>
          <w:tcPr>
            <w:tcW w:type="dxa" w:w="1036"/>
            <w:vAlign w:val="top"/>
          </w:tcPr>
          <w:p>
            <w:pPr>
              <w:spacing w:after="40" w:before="0" w:line="259" w:lineRule="auto"/>
            </w:pPr>
            <w:r>
              <w:rPr>
                <w:rFonts w:ascii="Calibri" w:hAnsi="Calibri"/>
                <w:b w:val="0"/>
                <w:i w:val="0"/>
                <w:color w:val="212121"/>
                <w:sz w:val="16"/>
              </w:rPr>
              <w:t>Relatives of CKDu patients in hotspots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Adjusted PR ~1.33 in Uddanam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Nocturia, fatigue, anorexia, body/back ache, cramps</w:t>
            </w:r>
          </w:p>
        </w:tc>
        <w:tc>
          <w:tcPr>
            <w:tcW w:type="dxa" w:w="950"/>
            <w:vAlign w:val="top"/>
          </w:tcPr>
          <w:p>
            <w:pPr>
              <w:spacing w:after="40" w:before="0" w:line="259" w:lineRule="auto"/>
            </w:pPr>
            <w:r>
              <w:rPr>
                <w:rFonts w:ascii="Calibri" w:hAnsi="Calibri"/>
                <w:b w:val="0"/>
                <w:i w:val="0"/>
                <w:color w:val="212121"/>
                <w:sz w:val="16"/>
              </w:rPr>
              <w:t>Asymptomatic</w:t>
            </w:r>
          </w:p>
        </w:tc>
        <w:tc>
          <w:tcPr>
            <w:tcW w:type="dxa" w:w="950"/>
            <w:vAlign w:val="top"/>
          </w:tcPr>
          <w:p>
            <w:pPr>
              <w:spacing w:after="40" w:before="0" w:line="259" w:lineRule="auto"/>
            </w:pPr>
            <w:r>
              <w:rPr>
                <w:rFonts w:ascii="Calibri" w:hAnsi="Calibri"/>
                <w:b w:val="0"/>
                <w:i w:val="0"/>
                <w:color w:val="212121"/>
                <w:sz w:val="16"/>
              </w:rPr>
              <w:t>Insidious nocturia, tiredness, muscle cramps; late anorexia/nausea</w:t>
            </w:r>
          </w:p>
        </w:tc>
        <w:tc>
          <w:tcPr>
            <w:tcW w:type="dxa" w:w="1036"/>
            <w:vAlign w:val="top"/>
          </w:tcPr>
          <w:p>
            <w:pPr>
              <w:spacing w:after="40" w:before="0" w:line="259" w:lineRule="auto"/>
            </w:pPr>
            <w:r>
              <w:rPr>
                <w:rFonts w:ascii="Calibri" w:hAnsi="Calibri"/>
                <w:b w:val="0"/>
                <w:i w:val="0"/>
                <w:color w:val="212121"/>
                <w:sz w:val="16"/>
              </w:rPr>
              <w:t>CKDu is largely silent early; subtle tubular/uraemic symptoms prompt testing</w:t>
            </w:r>
          </w:p>
        </w:tc>
        <w:tc>
          <w:tcPr>
            <w:tcW w:type="dxa" w:w="1036"/>
            <w:vAlign w:val="top"/>
          </w:tcPr>
          <w:p>
            <w:pPr>
              <w:spacing w:after="40" w:before="0" w:line="259" w:lineRule="auto"/>
            </w:pPr>
            <w:r>
              <w:rPr>
                <w:rFonts w:ascii="Calibri" w:hAnsi="Calibri"/>
                <w:b w:val="0"/>
                <w:i w:val="0"/>
                <w:color w:val="212121"/>
                <w:sz w:val="16"/>
              </w:rPr>
              <w:t>At-risk workers, early-stage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Late presentation is the norm — a high index of suspicion is needed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Blood pressure</w:t>
            </w:r>
          </w:p>
        </w:tc>
        <w:tc>
          <w:tcPr>
            <w:tcW w:type="dxa" w:w="979"/>
            <w:vAlign w:val="top"/>
          </w:tcPr>
          <w:p>
            <w:pPr>
              <w:spacing w:after="40" w:before="0" w:line="259" w:lineRule="auto"/>
            </w:pPr>
            <w:r>
              <w:rPr>
                <w:rFonts w:ascii="Calibri" w:hAnsi="Calibri"/>
                <w:b w:val="0"/>
                <w:i w:val="0"/>
                <w:color w:val="212121"/>
                <w:sz w:val="16"/>
              </w:rPr>
              <w:t>Arterial BP</w:t>
            </w:r>
          </w:p>
        </w:tc>
        <w:tc>
          <w:tcPr>
            <w:tcW w:type="dxa" w:w="950"/>
            <w:vAlign w:val="top"/>
          </w:tcPr>
          <w:p>
            <w:pPr>
              <w:spacing w:after="40" w:before="0" w:line="259" w:lineRule="auto"/>
            </w:pPr>
            <w:r>
              <w:rPr>
                <w:rFonts w:ascii="Calibri" w:hAnsi="Calibri"/>
                <w:b w:val="0"/>
                <w:i w:val="0"/>
                <w:color w:val="212121"/>
                <w:sz w:val="16"/>
              </w:rPr>
              <w:t>&lt; 130/80 mmHg</w:t>
            </w:r>
          </w:p>
        </w:tc>
        <w:tc>
          <w:tcPr>
            <w:tcW w:type="dxa" w:w="950"/>
            <w:vAlign w:val="top"/>
          </w:tcPr>
          <w:p>
            <w:pPr>
              <w:spacing w:after="40" w:before="0" w:line="259" w:lineRule="auto"/>
            </w:pPr>
            <w:r>
              <w:rPr>
                <w:rFonts w:ascii="Calibri" w:hAnsi="Calibri"/>
                <w:b w:val="0"/>
                <w:i w:val="0"/>
                <w:color w:val="212121"/>
                <w:sz w:val="16"/>
              </w:rPr>
              <w:t>Normotensive early; hypertension develops with progression</w:t>
            </w:r>
          </w:p>
        </w:tc>
        <w:tc>
          <w:tcPr>
            <w:tcW w:type="dxa" w:w="1036"/>
            <w:vAlign w:val="top"/>
          </w:tcPr>
          <w:p>
            <w:pPr>
              <w:spacing w:after="40" w:before="0" w:line="259" w:lineRule="auto"/>
            </w:pPr>
            <w:r>
              <w:rPr>
                <w:rFonts w:ascii="Calibri" w:hAnsi="Calibri"/>
                <w:b w:val="0"/>
                <w:i w:val="0"/>
                <w:color w:val="212121"/>
                <w:sz w:val="16"/>
              </w:rPr>
              <w:t>Characteristic early normotension helps distinguish CKDu from hypertensive nephrosclerosis</w:t>
            </w:r>
          </w:p>
        </w:tc>
        <w:tc>
          <w:tcPr>
            <w:tcW w:type="dxa" w:w="1036"/>
            <w:vAlign w:val="top"/>
          </w:tcPr>
          <w:p>
            <w:pPr>
              <w:spacing w:after="40" w:before="0" w:line="259" w:lineRule="auto"/>
            </w:pPr>
            <w:r>
              <w:rPr>
                <w:rFonts w:ascii="Calibri" w:hAnsi="Calibri"/>
                <w:b w:val="0"/>
                <w:i w:val="0"/>
                <w:color w:val="212121"/>
                <w:sz w:val="16"/>
              </w:rPr>
              <w:t>CKDu patients across stages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Multiple antihypertensives argue against pure CKDu</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Volume/general examination</w:t>
            </w:r>
          </w:p>
        </w:tc>
        <w:tc>
          <w:tcPr>
            <w:tcW w:type="dxa" w:w="979"/>
            <w:vAlign w:val="top"/>
          </w:tcPr>
          <w:p>
            <w:pPr>
              <w:spacing w:after="40" w:before="0" w:line="259" w:lineRule="auto"/>
            </w:pPr>
            <w:r>
              <w:rPr>
                <w:rFonts w:ascii="Calibri" w:hAnsi="Calibri"/>
                <w:b w:val="0"/>
                <w:i w:val="0"/>
                <w:color w:val="212121"/>
                <w:sz w:val="16"/>
              </w:rPr>
              <w:t>Pallor, hydration status, oedema</w:t>
            </w:r>
          </w:p>
        </w:tc>
        <w:tc>
          <w:tcPr>
            <w:tcW w:type="dxa" w:w="950"/>
            <w:vAlign w:val="top"/>
          </w:tcPr>
          <w:p>
            <w:pPr>
              <w:spacing w:after="40" w:before="0" w:line="259" w:lineRule="auto"/>
            </w:pPr>
            <w:r>
              <w:rPr>
                <w:rFonts w:ascii="Calibri" w:hAnsi="Calibri"/>
                <w:b w:val="0"/>
                <w:i w:val="0"/>
                <w:color w:val="212121"/>
                <w:sz w:val="16"/>
              </w:rPr>
              <w:t>Well-hydrated, no pallor/oedema</w:t>
            </w:r>
          </w:p>
        </w:tc>
        <w:tc>
          <w:tcPr>
            <w:tcW w:type="dxa" w:w="950"/>
            <w:vAlign w:val="top"/>
          </w:tcPr>
          <w:p>
            <w:pPr>
              <w:spacing w:after="40" w:before="0" w:line="259" w:lineRule="auto"/>
            </w:pPr>
            <w:r>
              <w:rPr>
                <w:rFonts w:ascii="Calibri" w:hAnsi="Calibri"/>
                <w:b w:val="0"/>
                <w:i w:val="0"/>
                <w:color w:val="212121"/>
                <w:sz w:val="16"/>
              </w:rPr>
              <w:t>Pallor (anaemia), signs of dehydration during work; pedal oedema in advanced disease</w:t>
            </w:r>
          </w:p>
        </w:tc>
        <w:tc>
          <w:tcPr>
            <w:tcW w:type="dxa" w:w="1036"/>
            <w:vAlign w:val="top"/>
          </w:tcPr>
          <w:p>
            <w:pPr>
              <w:spacing w:after="40" w:before="0" w:line="259" w:lineRule="auto"/>
            </w:pPr>
            <w:r>
              <w:rPr>
                <w:rFonts w:ascii="Calibri" w:hAnsi="Calibri"/>
                <w:b w:val="0"/>
                <w:i w:val="0"/>
                <w:color w:val="212121"/>
                <w:sz w:val="16"/>
              </w:rPr>
              <w:t>Assesses anaemia, volume status and progression to fluid overload</w:t>
            </w:r>
          </w:p>
        </w:tc>
        <w:tc>
          <w:tcPr>
            <w:tcW w:type="dxa" w:w="1036"/>
            <w:vAlign w:val="top"/>
          </w:tcPr>
          <w:p>
            <w:pPr>
              <w:spacing w:after="40" w:before="0" w:line="259" w:lineRule="auto"/>
            </w:pPr>
            <w:r>
              <w:rPr>
                <w:rFonts w:ascii="Calibri" w:hAnsi="Calibri"/>
                <w:b w:val="0"/>
                <w:i w:val="0"/>
                <w:color w:val="212121"/>
                <w:sz w:val="16"/>
              </w:rPr>
              <w:t>CKDu patients, advanced presenters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Oedema/overload signal advanced (G4–G5)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(early disease)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patients have no symptoms during early CKD, so disease is detected incidentally or only when advanced.</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urinary concentration from tubular injury causes early, frequent night-time urination.</w:t>
            </w:r>
          </w:p>
        </w:tc>
      </w:tr>
      <w:tr>
        <w:trPr>
          <w:cantSplit/>
        </w:trPr>
        <w:tc>
          <w:tcPr>
            <w:tcW w:type="dxa" w:w="2304"/>
            <w:vAlign w:val="top"/>
          </w:tcPr>
          <w:p>
            <w:pPr>
              <w:spacing w:after="40" w:before="0" w:line="259" w:lineRule="auto"/>
            </w:pPr>
            <w:r>
              <w:rPr>
                <w:rFonts w:ascii="Calibri" w:hAnsi="Calibri"/>
                <w:b/>
                <w:i w:val="0"/>
                <w:color w:val="212121"/>
                <w:sz w:val="19"/>
              </w:rPr>
              <w:t>Fatigue /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Related to anaemia, uraemia and chronic volume/electrolyte disturbance.</w:t>
            </w:r>
          </w:p>
        </w:tc>
      </w:tr>
      <w:tr>
        <w:trPr>
          <w:cantSplit/>
        </w:trPr>
        <w:tc>
          <w:tcPr>
            <w:tcW w:type="dxa" w:w="2304"/>
            <w:vAlign w:val="top"/>
          </w:tcPr>
          <w:p>
            <w:pPr>
              <w:spacing w:after="40" w:before="0" w:line="259" w:lineRule="auto"/>
            </w:pPr>
            <w:r>
              <w:rPr>
                <w:rFonts w:ascii="Calibri" w:hAnsi="Calibri"/>
                <w:b/>
                <w:i w:val="0"/>
                <w:color w:val="212121"/>
                <w:sz w:val="19"/>
              </w:rPr>
              <w:t>Body ache / low-back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bilateral flank/back and body aches, often prompting NSAID self-medication.</w:t>
            </w:r>
          </w:p>
        </w:tc>
      </w:tr>
      <w:tr>
        <w:trPr>
          <w:cantSplit/>
        </w:trPr>
        <w:tc>
          <w:tcPr>
            <w:tcW w:type="dxa" w:w="2304"/>
            <w:vAlign w:val="top"/>
          </w:tcPr>
          <w:p>
            <w:pPr>
              <w:spacing w:after="40" w:before="0" w:line="259" w:lineRule="auto"/>
            </w:pPr>
            <w:r>
              <w:rPr>
                <w:rFonts w:ascii="Calibri" w:hAnsi="Calibri"/>
                <w:b/>
                <w:i w:val="0"/>
                <w:color w:val="212121"/>
                <w:sz w:val="19"/>
              </w:rPr>
              <w:t>Muscle cramps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electrolyte disturbance (hypokalaemia/hypomagnesaemia) and volume depletion, especially after heat-exposed work.</w:t>
            </w:r>
          </w:p>
        </w:tc>
      </w:tr>
      <w:tr>
        <w:trPr>
          <w:cantSplit/>
        </w:trPr>
        <w:tc>
          <w:tcPr>
            <w:tcW w:type="dxa" w:w="2304"/>
            <w:vAlign w:val="top"/>
          </w:tcPr>
          <w:p>
            <w:pPr>
              <w:spacing w:after="40" w:before="0" w:line="259" w:lineRule="auto"/>
            </w:pPr>
            <w:r>
              <w:rPr>
                <w:rFonts w:ascii="Calibri" w:hAnsi="Calibri"/>
                <w:b/>
                <w:i w:val="0"/>
                <w:color w:val="212121"/>
                <w:sz w:val="19"/>
              </w:rPr>
              <w:t>Reduced appetite /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Uraemic anorexia and nausea appear as disease advances.</w:t>
            </w:r>
          </w:p>
        </w:tc>
      </w:tr>
      <w:tr>
        <w:trPr>
          <w:cantSplit/>
        </w:trPr>
        <w:tc>
          <w:tcPr>
            <w:tcW w:type="dxa" w:w="2304"/>
            <w:vAlign w:val="top"/>
          </w:tcPr>
          <w:p>
            <w:pPr>
              <w:spacing w:after="40" w:before="0" w:line="259" w:lineRule="auto"/>
            </w:pPr>
            <w:r>
              <w:rPr>
                <w:rFonts w:ascii="Calibri" w:hAnsi="Calibri"/>
                <w:b/>
                <w:i w:val="0"/>
                <w:color w:val="212121"/>
                <w:sz w:val="19"/>
              </w:rPr>
              <w:t>Foamy urine / burning micturition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Low-grade proteinuria (foam) and dysuria may appear in stage 2 onward.</w:t>
            </w:r>
          </w:p>
        </w:tc>
      </w:tr>
      <w:tr>
        <w:trPr>
          <w:cantSplit/>
        </w:trPr>
        <w:tc>
          <w:tcPr>
            <w:tcW w:type="dxa" w:w="2304"/>
            <w:vAlign w:val="top"/>
          </w:tcPr>
          <w:p>
            <w:pPr>
              <w:spacing w:after="40" w:before="0" w:line="259" w:lineRule="auto"/>
            </w:pPr>
            <w:r>
              <w:rPr>
                <w:rFonts w:ascii="Calibri" w:hAnsi="Calibri"/>
                <w:b/>
                <w:i w:val="0"/>
                <w:color w:val="212121"/>
                <w:sz w:val="19"/>
              </w:rPr>
              <w:t>Low-grade fever, nausea, headache (acute phase)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Acute heat-stress/AKI episodes present with low-grade fever, nausea, vomiting, headache and muscle weakness.</w:t>
            </w:r>
          </w:p>
        </w:tc>
      </w:tr>
      <w:tr>
        <w:trPr>
          <w:cantSplit/>
        </w:trPr>
        <w:tc>
          <w:tcPr>
            <w:tcW w:type="dxa" w:w="2304"/>
            <w:vAlign w:val="top"/>
          </w:tcPr>
          <w:p>
            <w:pPr>
              <w:spacing w:after="40" w:before="0" w:line="259" w:lineRule="auto"/>
            </w:pPr>
            <w:r>
              <w:rPr>
                <w:rFonts w:ascii="Calibri" w:hAnsi="Calibri"/>
                <w:b/>
                <w:i w:val="0"/>
                <w:color w:val="212121"/>
                <w:sz w:val="19"/>
              </w:rPr>
              <w:t>Paraesthesias / limb tingling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 electrolyte disturbance or early uraemic neuropathy; a predictor of progression.</w:t>
            </w:r>
          </w:p>
        </w:tc>
      </w:tr>
      <w:tr>
        <w:trPr>
          <w:cantSplit/>
        </w:trPr>
        <w:tc>
          <w:tcPr>
            <w:tcW w:type="dxa" w:w="2304"/>
            <w:vAlign w:val="top"/>
          </w:tcPr>
          <w:p>
            <w:pPr>
              <w:spacing w:after="40" w:before="0" w:line="259" w:lineRule="auto"/>
            </w:pPr>
            <w:r>
              <w:rPr>
                <w:rFonts w:ascii="Calibri" w:hAnsi="Calibri"/>
                <w:b/>
                <w:i w:val="0"/>
                <w:color w:val="212121"/>
                <w:sz w:val="19"/>
              </w:rPr>
              <w:t>Reduced urine output (oliguria)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during acute-on-chronic episodes and in advanced disease.</w:t>
            </w:r>
          </w:p>
        </w:tc>
      </w:tr>
      <w:tr>
        <w:trPr>
          <w:cantSplit/>
        </w:trPr>
        <w:tc>
          <w:tcPr>
            <w:tcW w:type="dxa" w:w="2304"/>
            <w:vAlign w:val="top"/>
          </w:tcPr>
          <w:p>
            <w:pPr>
              <w:spacing w:after="40" w:before="0" w:line="259" w:lineRule="auto"/>
            </w:pPr>
            <w:r>
              <w:rPr>
                <w:rFonts w:ascii="Calibri" w:hAnsi="Calibri"/>
                <w:b/>
                <w:i w:val="0"/>
                <w:color w:val="212121"/>
                <w:sz w:val="19"/>
              </w:rPr>
              <w:t>Breathlessness / pedal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Late features of fluid overload and severe anaemia in advanced (G4–G5) CKDu.</w:t>
            </w:r>
          </w:p>
        </w:tc>
      </w:tr>
      <w:tr>
        <w:trPr>
          <w:cantSplit/>
        </w:trPr>
        <w:tc>
          <w:tcPr>
            <w:tcW w:type="dxa" w:w="2304"/>
            <w:vAlign w:val="top"/>
          </w:tcPr>
          <w:p>
            <w:pPr>
              <w:spacing w:after="40" w:before="0" w:line="259" w:lineRule="auto"/>
            </w:pPr>
            <w:r>
              <w:rPr>
                <w:rFonts w:ascii="Calibri" w:hAnsi="Calibri"/>
                <w:b/>
                <w:i w:val="0"/>
                <w:color w:val="212121"/>
                <w:sz w:val="19"/>
              </w:rPr>
              <w:t>Pruritus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Uraemic itching in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Conjunctival/palmar pallor; anaemia is often marked and disproportionate to eGFR.</w:t>
            </w:r>
          </w:p>
        </w:tc>
      </w:tr>
      <w:tr>
        <w:trPr>
          <w:cantSplit/>
        </w:trPr>
        <w:tc>
          <w:tcPr>
            <w:tcW w:type="dxa" w:w="3456"/>
            <w:vAlign w:val="top"/>
          </w:tcPr>
          <w:p>
            <w:pPr>
              <w:spacing w:after="40" w:before="0" w:line="259" w:lineRule="auto"/>
            </w:pPr>
            <w:r>
              <w:rPr>
                <w:rFonts w:ascii="Calibri" w:hAnsi="Calibri"/>
                <w:b/>
                <w:i w:val="0"/>
                <w:color w:val="212121"/>
                <w:sz w:val="19"/>
              </w:rPr>
              <w:t>Early normotension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Blood pressure is characteristically normal early — a useful clue distinguishing CKDu from hypertensive/diabetic CKD.</w:t>
            </w:r>
          </w:p>
        </w:tc>
      </w:tr>
      <w:tr>
        <w:trPr>
          <w:cantSplit/>
        </w:trPr>
        <w:tc>
          <w:tcPr>
            <w:tcW w:type="dxa" w:w="3456"/>
            <w:vAlign w:val="top"/>
          </w:tcPr>
          <w:p>
            <w:pPr>
              <w:spacing w:after="40" w:before="0" w:line="259" w:lineRule="auto"/>
            </w:pPr>
            <w:r>
              <w:rPr>
                <w:rFonts w:ascii="Calibri" w:hAnsi="Calibri"/>
                <w:b/>
                <w:i w:val="0"/>
                <w:color w:val="212121"/>
                <w:sz w:val="19"/>
              </w:rPr>
              <w:t>Signs of dehydration/volume depletion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mucosae, tachycardia and postural change during or after heat-exposed labour.</w:t>
            </w:r>
          </w:p>
        </w:tc>
      </w:tr>
      <w:tr>
        <w:trPr>
          <w:cantSplit/>
        </w:trPr>
        <w:tc>
          <w:tcPr>
            <w:tcW w:type="dxa" w:w="3456"/>
            <w:vAlign w:val="top"/>
          </w:tcPr>
          <w:p>
            <w:pPr>
              <w:spacing w:after="40" w:before="0" w:line="259" w:lineRule="auto"/>
            </w:pPr>
            <w:r>
              <w:rPr>
                <w:rFonts w:ascii="Calibri" w:hAnsi="Calibri"/>
                <w:b/>
                <w:i w:val="0"/>
                <w:color w:val="212121"/>
                <w:sz w:val="19"/>
              </w:rPr>
              <w:t>Bilaterally small, echogenic kidneys on ultrasound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Chronic parenchymal disease without obstruction or stones; resistive index &gt; 0.7 on Doppler.</w:t>
            </w:r>
          </w:p>
        </w:tc>
      </w:tr>
      <w:tr>
        <w:trPr>
          <w:cantSplit/>
        </w:trPr>
        <w:tc>
          <w:tcPr>
            <w:tcW w:type="dxa" w:w="3456"/>
            <w:vAlign w:val="top"/>
          </w:tcPr>
          <w:p>
            <w:pPr>
              <w:spacing w:after="40" w:before="0" w:line="259" w:lineRule="auto"/>
            </w:pPr>
            <w:r>
              <w:rPr>
                <w:rFonts w:ascii="Calibri" w:hAnsi="Calibri"/>
                <w:b/>
                <w:i w:val="0"/>
                <w:color w:val="212121"/>
                <w:sz w:val="19"/>
              </w:rPr>
              <w:t>Bland urinary sediment with minimal proteinuria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glomerular haematuria/heavy proteinuria — supports a tubulointerstitial process.</w:t>
            </w:r>
          </w:p>
        </w:tc>
      </w:tr>
      <w:tr>
        <w:trPr>
          <w:cantSplit/>
        </w:trPr>
        <w:tc>
          <w:tcPr>
            <w:tcW w:type="dxa" w:w="3456"/>
            <w:vAlign w:val="top"/>
          </w:tcPr>
          <w:p>
            <w:pPr>
              <w:spacing w:after="40" w:before="0" w:line="259" w:lineRule="auto"/>
            </w:pPr>
            <w:r>
              <w:rPr>
                <w:rFonts w:ascii="Calibri" w:hAnsi="Calibri"/>
                <w:b/>
                <w:i w:val="0"/>
                <w:color w:val="212121"/>
                <w:sz w:val="19"/>
              </w:rPr>
              <w:t>Hyperuricaemia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Elevated serum uric acid in ~70–80% of heat-stress nephropathy patients.</w:t>
            </w:r>
          </w:p>
        </w:tc>
      </w:tr>
      <w:tr>
        <w:trPr>
          <w:cantSplit/>
        </w:trPr>
        <w:tc>
          <w:tcPr>
            <w:tcW w:type="dxa" w:w="3456"/>
            <w:vAlign w:val="top"/>
          </w:tcPr>
          <w:p>
            <w:pPr>
              <w:spacing w:after="40" w:before="0" w:line="259" w:lineRule="auto"/>
            </w:pPr>
            <w:r>
              <w:rPr>
                <w:rFonts w:ascii="Calibri" w:hAnsi="Calibri"/>
                <w:b/>
                <w:i w:val="0"/>
                <w:color w:val="212121"/>
                <w:sz w:val="19"/>
              </w:rPr>
              <w:t>Later-onset hypertension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Develops as CKD progresses, then accelerates further nephron loss.</w:t>
            </w:r>
          </w:p>
        </w:tc>
      </w:tr>
      <w:tr>
        <w:trPr>
          <w:cantSplit/>
        </w:trPr>
        <w:tc>
          <w:tcPr>
            <w:tcW w:type="dxa" w:w="3456"/>
            <w:vAlign w:val="top"/>
          </w:tcPr>
          <w:p>
            <w:pPr>
              <w:spacing w:after="40" w:before="0" w:line="259" w:lineRule="auto"/>
            </w:pPr>
            <w:r>
              <w:rPr>
                <w:rFonts w:ascii="Calibri" w:hAnsi="Calibri"/>
                <w:b/>
                <w:i w:val="0"/>
                <w:color w:val="212121"/>
                <w:sz w:val="19"/>
              </w:rPr>
              <w:t>Pedal / dependent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Fluid overload in advanced (G4–G5) disease.</w:t>
            </w:r>
          </w:p>
        </w:tc>
      </w:tr>
      <w:tr>
        <w:trPr>
          <w:cantSplit/>
        </w:trPr>
        <w:tc>
          <w:tcPr>
            <w:tcW w:type="dxa" w:w="3456"/>
            <w:vAlign w:val="top"/>
          </w:tcPr>
          <w:p>
            <w:pPr>
              <w:spacing w:after="40" w:before="0" w:line="259" w:lineRule="auto"/>
            </w:pPr>
            <w:r>
              <w:rPr>
                <w:rFonts w:ascii="Calibri" w:hAnsi="Calibri"/>
                <w:b/>
                <w:i w:val="0"/>
                <w:color w:val="212121"/>
                <w:sz w:val="19"/>
              </w:rPr>
              <w:t>Muscle wasting / low BMI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chronic disease, poverty-associated malnutrition and uraemic catabolism.</w:t>
            </w:r>
          </w:p>
        </w:tc>
      </w:tr>
      <w:tr>
        <w:trPr>
          <w:cantSplit/>
        </w:trPr>
        <w:tc>
          <w:tcPr>
            <w:tcW w:type="dxa" w:w="3456"/>
            <w:vAlign w:val="top"/>
          </w:tcPr>
          <w:p>
            <w:pPr>
              <w:spacing w:after="40" w:before="0" w:line="259" w:lineRule="auto"/>
            </w:pPr>
            <w:r>
              <w:rPr>
                <w:rFonts w:ascii="Calibri" w:hAnsi="Calibri"/>
                <w:b/>
                <w:i w:val="0"/>
                <w:color w:val="212121"/>
                <w:sz w:val="19"/>
              </w:rPr>
              <w:t>Uraemic signs (asterixis, pericardial rub, fetor)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Features of advanced uraemia at very late presentation.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largely irreversible loss of eGFR leading to end-stage kidney disease (ESKD)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acute-on-chronic kidney injury during hot-season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tubular dysfunction — hypokalaemia, hypomagnesaemia and renal tubular acidosis</w:t>
            </w:r>
          </w:p>
        </w:tc>
        <w:tc>
          <w:tcPr>
            <w:tcW w:type="dxa" w:w="2980"/>
            <w:vAlign w:val="top"/>
          </w:tcPr>
          <w:p>
            <w:pPr>
              <w:spacing w:after="40" w:before="0" w:line="259" w:lineRule="auto"/>
            </w:pPr>
            <w:r>
              <w:rPr>
                <w:rFonts w:ascii="Calibri" w:hAnsi="Calibri"/>
                <w:b w:val="0"/>
                <w:i w:val="0"/>
                <w:color w:val="212121"/>
                <w:sz w:val="19"/>
              </w:rPr>
              <w:t>Direct consequences of the chronic tubulointerstitial injury that defines CKDu</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chronic kidney disease (often severe,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CKD–mineral and bone disorder (renal osteodystrophy, hyperphosphataemia, secondary hyperparathyroidism)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(later-onset) hypertension and metabolic acidosis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Hyperuricaemia and secondary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Volume overload and electrolyte emergencies (e.g. hyperkalaemia in late stages)</w:t>
            </w:r>
          </w:p>
        </w:tc>
        <w:tc>
          <w:tcPr>
            <w:tcW w:type="dxa" w:w="2980"/>
            <w:vAlign w:val="top"/>
          </w:tcPr>
          <w:p>
            <w:pPr>
              <w:spacing w:after="40" w:before="0" w:line="259" w:lineRule="auto"/>
            </w:pPr>
            <w:r>
              <w:rPr>
                <w:rFonts w:ascii="Calibri" w:hAnsi="Calibri"/>
                <w:b w:val="0"/>
                <w:i w:val="0"/>
                <w:color w:val="212121"/>
                <w:sz w:val="19"/>
              </w:rPr>
              <w:t>Systemic consequences of declining kidney function and disrupted homeostasis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dependence and need for kidney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cardiovascular disease and premature cardiovascular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mortality in economically productive (working-age)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Catastrophic out-of-pocket health expenditure and impoverishment of rural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Community/economic devastation of entire agricultural villages ('CKDu belts')</w:t>
            </w:r>
          </w:p>
        </w:tc>
        <w:tc>
          <w:tcPr>
            <w:tcW w:type="dxa" w:w="2980"/>
            <w:vAlign w:val="top"/>
          </w:tcPr>
          <w:p>
            <w:pPr>
              <w:spacing w:after="40" w:before="0" w:line="259" w:lineRule="auto"/>
            </w:pPr>
            <w:r>
              <w:rPr>
                <w:rFonts w:ascii="Calibri" w:hAnsi="Calibri"/>
                <w:b w:val="0"/>
                <w:i w:val="0"/>
                <w:color w:val="212121"/>
                <w:sz w:val="19"/>
              </w:rPr>
              <w:t>Irreversible, disabling and socioeconomic outcomes of end-stage CKDu, magnified by late presentation and limited access to renal replacement therapy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Usually absent early (a diagnostic clue) but develops as CKDu progresses and then accelerates nephron loss; its presence also complicates the exclusion-based diagnosis.</w:t>
            </w:r>
          </w:p>
          <w:p>
            <w:pPr>
              <w:spacing w:after="40" w:before="0" w:line="259" w:lineRule="auto"/>
            </w:pPr>
            <w:r>
              <w:rPr>
                <w:rFonts w:ascii="Calibri" w:hAnsi="Calibri"/>
                <w:b/>
                <w:i w:val="0"/>
                <w:color w:val="212121"/>
                <w:sz w:val="19"/>
              </w:rPr>
              <w:t>~41.5% (Uddanam cohort)</w:t>
            </w:r>
          </w:p>
        </w:tc>
      </w:tr>
      <w:tr>
        <w:trPr>
          <w:cantSplit/>
        </w:trPr>
        <w:tc>
          <w:tcPr>
            <w:tcW w:type="dxa" w:w="2232"/>
            <w:vAlign w:val="top"/>
          </w:tcPr>
          <w:p>
            <w:pPr>
              <w:spacing w:after="40" w:before="0" w:line="259" w:lineRule="auto"/>
            </w:pPr>
            <w:r>
              <w:rPr>
                <w:rFonts w:ascii="Calibri" w:hAnsi="Calibri"/>
                <w:b/>
                <w:i w:val="0"/>
                <w:color w:val="212121"/>
                <w:sz w:val="19"/>
              </w:rPr>
              <w:t>Hyperuricaemia / Gout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Recurrent dehydration concentrates acidic urine and raises serum urate; uric-acid crystals and urate inflammation contribute directly to tubular injury.</w:t>
            </w:r>
          </w:p>
          <w:p>
            <w:pPr>
              <w:spacing w:after="40" w:before="0" w:line="259" w:lineRule="auto"/>
            </w:pPr>
            <w:r>
              <w:rPr>
                <w:rFonts w:ascii="Calibri" w:hAnsi="Calibri"/>
                <w:b/>
                <w:i w:val="0"/>
                <w:color w:val="212121"/>
                <w:sz w:val="19"/>
              </w:rPr>
              <w:t>~70–80%</w:t>
            </w:r>
          </w:p>
        </w:tc>
      </w:tr>
      <w:tr>
        <w:trPr>
          <w:cantSplit/>
        </w:trPr>
        <w:tc>
          <w:tcPr>
            <w:tcW w:type="dxa" w:w="2232"/>
            <w:vAlign w:val="top"/>
          </w:tcPr>
          <w:p>
            <w:pPr>
              <w:spacing w:after="40" w:before="0" w:line="259" w:lineRule="auto"/>
            </w:pPr>
            <w:r>
              <w:rPr>
                <w:rFonts w:ascii="Calibri" w:hAnsi="Calibri"/>
                <w:b/>
                <w:i w:val="0"/>
                <w:color w:val="212121"/>
                <w:sz w:val="19"/>
              </w:rPr>
              <w:t>Anaemia of CKD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erythropoietin and chronic disease cause often-severe anaemia that also predicts faster progression.</w:t>
            </w:r>
          </w:p>
          <w:p>
            <w:pPr>
              <w:spacing w:after="40" w:before="0" w:line="259" w:lineRule="auto"/>
            </w:pPr>
            <w:r>
              <w:rPr>
                <w:rFonts w:ascii="Calibri" w:hAnsi="Calibri"/>
                <w:b/>
                <w:i w:val="0"/>
                <w:color w:val="212121"/>
                <w:sz w:val="19"/>
              </w:rPr>
              <w:t>Common (mean Hb ~7.8 g/dL at presentation in one cohort)</w:t>
            </w:r>
          </w:p>
        </w:tc>
      </w:tr>
      <w:tr>
        <w:trPr>
          <w:cantSplit/>
        </w:trPr>
        <w:tc>
          <w:tcPr>
            <w:tcW w:type="dxa" w:w="2232"/>
            <w:vAlign w:val="top"/>
          </w:tcPr>
          <w:p>
            <w:pPr>
              <w:spacing w:after="40" w:before="0" w:line="259" w:lineRule="auto"/>
            </w:pPr>
            <w:r>
              <w:rPr>
                <w:rFonts w:ascii="Calibri" w:hAnsi="Calibri"/>
                <w:b/>
                <w:i w:val="0"/>
                <w:color w:val="212121"/>
                <w:sz w:val="19"/>
              </w:rPr>
              <w:t>Recurrent acute kidney injury (heat-stress AKI)</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Repeated hot-season subclinical AKI is the proposed pathway to established CKDu; each incomplete recovery adds interstitial scarring.</w:t>
            </w:r>
          </w:p>
          <w:p>
            <w:pPr>
              <w:spacing w:after="40" w:before="0" w:line="259" w:lineRule="auto"/>
            </w:pPr>
            <w:r>
              <w:rPr>
                <w:rFonts w:ascii="Calibri" w:hAnsi="Calibri"/>
                <w:b/>
                <w:i w:val="0"/>
                <w:color w:val="212121"/>
                <w:sz w:val="19"/>
              </w:rPr>
              <w:t>Transient AKI ~17.4% of agri-workers</w:t>
            </w:r>
          </w:p>
        </w:tc>
      </w:tr>
      <w:tr>
        <w:trPr>
          <w:cantSplit/>
        </w:trPr>
        <w:tc>
          <w:tcPr>
            <w:tcW w:type="dxa" w:w="2232"/>
            <w:vAlign w:val="top"/>
          </w:tcPr>
          <w:p>
            <w:pPr>
              <w:spacing w:after="40" w:before="0" w:line="259" w:lineRule="auto"/>
            </w:pPr>
            <w:r>
              <w:rPr>
                <w:rFonts w:ascii="Calibri" w:hAnsi="Calibri"/>
                <w:b/>
                <w:i w:val="0"/>
                <w:color w:val="212121"/>
                <w:sz w:val="19"/>
              </w:rPr>
              <w:t>Type 2 Diabetes mellitus (coexisting)</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Must be excluded to diagnose CKDu; when it coexists it confounds attribution and independently worsens kidney outcomes.</w:t>
            </w:r>
          </w:p>
          <w:p>
            <w:pPr>
              <w:spacing w:after="40" w:before="0" w:line="259" w:lineRule="auto"/>
            </w:pPr>
            <w:r>
              <w:rPr>
                <w:rFonts w:ascii="Calibri" w:hAnsi="Calibri"/>
                <w:b/>
                <w:i w:val="0"/>
                <w:color w:val="212121"/>
                <w:sz w:val="19"/>
              </w:rPr>
              <w:t>~13% in a hotspot cohort</w:t>
            </w:r>
          </w:p>
        </w:tc>
      </w:tr>
      <w:tr>
        <w:trPr>
          <w:cantSplit/>
        </w:trPr>
        <w:tc>
          <w:tcPr>
            <w:tcW w:type="dxa" w:w="2232"/>
            <w:vAlign w:val="top"/>
          </w:tcPr>
          <w:p>
            <w:pPr>
              <w:spacing w:after="40" w:before="0" w:line="259" w:lineRule="auto"/>
            </w:pPr>
            <w:r>
              <w:rPr>
                <w:rFonts w:ascii="Calibri" w:hAnsi="Calibri"/>
                <w:b/>
                <w:i w:val="0"/>
                <w:color w:val="212121"/>
                <w:sz w:val="19"/>
              </w:rPr>
              <w:t>Leptospirosis &amp; other endemic infections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Common in the same wet agricultural settings; acute nephritis/AKI from leptospirosis or hantavirus is a proposed contributory insult.</w:t>
            </w:r>
          </w:p>
        </w:tc>
      </w:tr>
      <w:tr>
        <w:trPr>
          <w:cantSplit/>
        </w:trPr>
        <w:tc>
          <w:tcPr>
            <w:tcW w:type="dxa" w:w="2232"/>
            <w:vAlign w:val="top"/>
          </w:tcPr>
          <w:p>
            <w:pPr>
              <w:spacing w:after="40" w:before="0" w:line="259" w:lineRule="auto"/>
            </w:pPr>
            <w:r>
              <w:rPr>
                <w:rFonts w:ascii="Calibri" w:hAnsi="Calibri"/>
                <w:b/>
                <w:i w:val="0"/>
                <w:color w:val="212121"/>
                <w:sz w:val="19"/>
              </w:rPr>
              <w:t>Nephrolithiasis / urolithiasis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dehydration and hyperuricaemia favour stone formation, which can add obstructive injury and must be excluded during diagnosis.</w:t>
            </w:r>
          </w:p>
        </w:tc>
      </w:tr>
      <w:tr>
        <w:trPr>
          <w:cantSplit/>
        </w:trPr>
        <w:tc>
          <w:tcPr>
            <w:tcW w:type="dxa" w:w="2232"/>
            <w:vAlign w:val="top"/>
          </w:tcPr>
          <w:p>
            <w:pPr>
              <w:spacing w:after="40" w:before="0" w:line="259" w:lineRule="auto"/>
            </w:pPr>
            <w:r>
              <w:rPr>
                <w:rFonts w:ascii="Calibri" w:hAnsi="Calibri"/>
                <w:b/>
                <w:i w:val="0"/>
                <w:color w:val="212121"/>
                <w:sz w:val="19"/>
              </w:rPr>
              <w:t>CKD–mineral &amp; bone disorder (renal osteodystrophy)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Disturbed calcium–phosphate–PTH–vitamin D metabolism with advancing CKDu causes bone disease and vascular calcification.</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CKD is a powerful cardiovascular risk multiplier; most CKDu patients face high cardiovascular morbidity and are more likely to die of cardiovascular causes than reach dialysis.</w:t>
            </w:r>
          </w:p>
        </w:tc>
      </w:tr>
      <w:tr>
        <w:trPr>
          <w:cantSplit/>
        </w:trPr>
        <w:tc>
          <w:tcPr>
            <w:tcW w:type="dxa" w:w="2232"/>
            <w:vAlign w:val="top"/>
          </w:tcPr>
          <w:p>
            <w:pPr>
              <w:spacing w:after="40" w:before="0" w:line="259" w:lineRule="auto"/>
            </w:pPr>
            <w:r>
              <w:rPr>
                <w:rFonts w:ascii="Calibri" w:hAnsi="Calibri"/>
                <w:b/>
                <w:i w:val="0"/>
                <w:color w:val="212121"/>
                <w:sz w:val="19"/>
              </w:rPr>
              <w:t>Analgesic (NSAID) nephropathy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Habitual NSAID/analgesic use for labour-related pain overlaps with and compounds CKDu, adding recurrent nephrotoxic hits.</w:t>
            </w:r>
          </w:p>
          <w:p>
            <w:pPr>
              <w:spacing w:after="40" w:before="0" w:line="259" w:lineRule="auto"/>
            </w:pPr>
            <w:r>
              <w:rPr>
                <w:rFonts w:ascii="Calibri" w:hAnsi="Calibri"/>
                <w:b/>
                <w:i w:val="0"/>
                <w:color w:val="212121"/>
                <w:sz w:val="19"/>
              </w:rPr>
              <w:t>OTC analgesic use ~41.6%</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CKDu is silent — get eGFR and urine-protein screening even when feeling well, especially agricultural workers in hotspot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heat–dehydration link: repeated bouts of working through heat without enough water damage the kidneys over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over-the-counter painkillers (NSAIDs) and unregulated herbal/Ayurvedic remedies for body aches; seek medical advice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only safe/treated drinking water; be aware that local groundwater may carry silica, fluoride or heavy metals.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clues (nocturia, unexplained fatigue, anaemia, muscle cramps) and seek timely testing rather than waiting for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community screening and workplace heat-safety programmes; early detection can slow progression to dialysis.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Agricultural &amp; outdoor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CKDu hotspots (Uddanam, coastal Odisha, TN/Telangana)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history of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rural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Schedule strenuous outdoor work for cooler morning/evening hours and avoid continuous labour during peak midday 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rest breaks in shade (e.g. ~15 minutes each hour) during hot conditions to allow core temperature and kidney perfusion to recover.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shaded rest areas, lightweight clothing and personal cooling measures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heavy exertion and avoid working to exhaustion in high humidity (high wet-bulb temperature).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Paddy/cashew/sugarcane farmers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Construction &amp; other outdoor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workers in endemic belts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established CKDu, avoid re-exposure to extreme heat and heavy dehydrating labour to prevent recurrent acute-on-chronic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moderate, well-hydrated activity as tolerated for cardiovascular health, adjusted to CKD stage.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episode of heat illness, reduced urine output or dark urine promptly for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CKDu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prior heat-related AKI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stage G3–G5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Rehydrate with plain water or oral rehydration solution during work — NOT sugary/fructose-containing soft drinks, which worsen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dietary salt moderate (&lt; 5 g/day) to limit hypertension and CKD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but not excessive protein and plenty of vegetables/fruit (adjusted for potassium in advanced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purine-heavy and alcohol intake to reduce hyperuricaemia.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the drinking-water source is safe/treated; avoid untreated shallow groundwater in endemic areas.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hotspot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hyperuricaemia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CKD-appropriate diet with individualised protein, sodium, potassium and phosphate targets guided by a nephrologist/dietitian.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anaemia (iron, erythropoiesis-stimulating agents) and correct acidosis/electrolyte disturbances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nephrotoxins including NSAIDs, nephrotoxic herbal products and unsupervised contrast/aminoglycosides.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but not excessive hydration appropriate to CKD stage and volume status.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CKDu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CKD–MBD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recovery between heat-exposed work shifts.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disturbed sleep and restless legs, which are common as kidney function declines.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CKDu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(smoked and chewed); tobacco is linked to higher CKD prevalence in hotspots and worsens vascular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community and government tobacco-cessation support where available.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CKDu patients who smoke/chew tobacco</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which is dehydrating and raises uric acid, compounding heat-related kidney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alcohol as a rehydration fluid during or after heat-exposed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male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 in hotspots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depression/anxiety, which are common with chronic illness, loss of livelihood and dialysis burden in working-age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and families to social-support, financial-assistance and counselling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CKDu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Affected rural families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athologyoutlines.com/topic/kidneynontumorCKDu.html" TargetMode="External"/><Relationship Id="rId10" Type="http://schemas.openxmlformats.org/officeDocument/2006/relationships/hyperlink" Target="https://pmc.ncbi.nlm.nih.gov/articles/PMC7710882/" TargetMode="External"/><Relationship Id="rId11" Type="http://schemas.openxmlformats.org/officeDocument/2006/relationships/hyperlink" Target="https://link.springer.com/article/10.1186/1471-2369-13-10" TargetMode="External"/><Relationship Id="rId12" Type="http://schemas.openxmlformats.org/officeDocument/2006/relationships/hyperlink" Target="https://indianjnephrol.org/chronic-kidney-disease-of-unknown-etiology-case-definition-for-india-a-perspective/" TargetMode="External"/><Relationship Id="rId13" Type="http://schemas.openxmlformats.org/officeDocument/2006/relationships/hyperlink" Target="https://indianjnephrol.org/distribution-and-determinants-of-chronic-kidney-disease-of-unknown-etiology-a-brief-overview/" TargetMode="External"/><Relationship Id="rId14" Type="http://schemas.openxmlformats.org/officeDocument/2006/relationships/hyperlink" Target="https://indianjnephrol.org/clinico-epidemiological-profile-of-patients-with-chronic-kidney-diseases-of-unknown-etiology-a-hospital-based-cross-sectional-study-from-central-india/" TargetMode="External"/><Relationship Id="rId15" Type="http://schemas.openxmlformats.org/officeDocument/2006/relationships/hyperlink" Target="https://rmcglobaljournal.com/rising-heat-failing-kidneys-heat-stress-nephropathy-in-climate-crisis/" TargetMode="External"/><Relationship Id="rId16" Type="http://schemas.openxmlformats.org/officeDocument/2006/relationships/hyperlink" Target="https://indiamedtoday.com/study-finds-half-of-agricultural-workers-with-chronic-kidney-disease-in-tamil-nadu-have-unknown-ca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